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A6523E">
      <w:pPr>
        <w:spacing w:line="360" w:lineRule="auto"/>
        <w:jc w:val="center"/>
        <w:rPr>
          <w:rFonts w:hint="eastAsia" w:ascii="仿宋" w:hAnsi="仿宋" w:eastAsia="仿宋" w:cs="仿宋"/>
          <w:b/>
          <w:color w:val="auto"/>
          <w:sz w:val="24"/>
          <w:highlight w:val="none"/>
        </w:rPr>
      </w:pPr>
    </w:p>
    <w:p w14:paraId="0AA349B3">
      <w:pPr>
        <w:pStyle w:val="30"/>
        <w:rPr>
          <w:rFonts w:hint="eastAsia"/>
          <w:color w:val="auto"/>
          <w:highlight w:val="none"/>
        </w:rPr>
      </w:pPr>
    </w:p>
    <w:p w14:paraId="4858C06E">
      <w:pPr>
        <w:pStyle w:val="30"/>
        <w:rPr>
          <w:rFonts w:hint="eastAsia"/>
          <w:color w:val="auto"/>
          <w:highlight w:val="none"/>
        </w:rPr>
      </w:pPr>
    </w:p>
    <w:p w14:paraId="2778852A">
      <w:pPr>
        <w:keepNext w:val="0"/>
        <w:keepLines w:val="0"/>
        <w:pageBreakBefore w:val="0"/>
        <w:widowControl w:val="0"/>
        <w:kinsoku/>
        <w:wordWrap/>
        <w:overflowPunct/>
        <w:topLinePunct w:val="0"/>
        <w:autoSpaceDE/>
        <w:autoSpaceDN/>
        <w:bidi w:val="0"/>
        <w:adjustRightInd/>
        <w:spacing w:line="360" w:lineRule="auto"/>
        <w:ind w:firstLine="0"/>
        <w:jc w:val="center"/>
        <w:textAlignment w:val="auto"/>
        <w:rPr>
          <w:rFonts w:hint="eastAsia" w:ascii="仿宋" w:hAnsi="仿宋" w:eastAsia="仿宋" w:cs="仿宋"/>
          <w:color w:val="auto"/>
          <w:sz w:val="48"/>
          <w:szCs w:val="48"/>
          <w:highlight w:val="none"/>
          <w:lang w:eastAsia="zh-CN"/>
        </w:rPr>
      </w:pPr>
      <w:r>
        <w:rPr>
          <w:rFonts w:hint="eastAsia" w:ascii="仿宋" w:hAnsi="仿宋" w:eastAsia="仿宋" w:cs="仿宋"/>
          <w:color w:val="auto"/>
          <w:sz w:val="48"/>
          <w:szCs w:val="48"/>
          <w:highlight w:val="none"/>
          <w:lang w:eastAsia="zh-CN"/>
        </w:rPr>
        <w:t>反诈专项（涉网新型犯罪侦防数据服务）</w:t>
      </w:r>
    </w:p>
    <w:p w14:paraId="230B6A4E">
      <w:pPr>
        <w:keepNext w:val="0"/>
        <w:keepLines w:val="0"/>
        <w:pageBreakBefore w:val="0"/>
        <w:widowControl w:val="0"/>
        <w:kinsoku/>
        <w:wordWrap/>
        <w:overflowPunct/>
        <w:topLinePunct w:val="0"/>
        <w:autoSpaceDE/>
        <w:autoSpaceDN/>
        <w:bidi w:val="0"/>
        <w:adjustRightInd/>
        <w:spacing w:line="360" w:lineRule="auto"/>
        <w:ind w:firstLine="0"/>
        <w:jc w:val="center"/>
        <w:textAlignment w:val="auto"/>
        <w:rPr>
          <w:rFonts w:hint="eastAsia" w:ascii="仿宋" w:hAnsi="仿宋" w:eastAsia="仿宋" w:cs="仿宋"/>
          <w:color w:val="auto"/>
          <w:sz w:val="48"/>
          <w:szCs w:val="48"/>
          <w:highlight w:val="none"/>
        </w:rPr>
      </w:pPr>
    </w:p>
    <w:p w14:paraId="10728AFB">
      <w:pPr>
        <w:pStyle w:val="102"/>
        <w:keepNext w:val="0"/>
        <w:keepLines w:val="0"/>
        <w:pageBreakBefore w:val="0"/>
        <w:widowControl w:val="0"/>
        <w:kinsoku/>
        <w:wordWrap/>
        <w:overflowPunct/>
        <w:topLinePunct w:val="0"/>
        <w:autoSpaceDE/>
        <w:autoSpaceDN/>
        <w:bidi w:val="0"/>
        <w:ind w:firstLine="0"/>
        <w:textAlignment w:val="auto"/>
        <w:rPr>
          <w:rFonts w:hint="eastAsia" w:ascii="仿宋" w:hAnsi="仿宋" w:eastAsia="仿宋" w:cs="仿宋"/>
          <w:color w:val="auto"/>
          <w:highlight w:val="none"/>
        </w:rPr>
      </w:pPr>
    </w:p>
    <w:p w14:paraId="0D0FD797">
      <w:pPr>
        <w:keepNext w:val="0"/>
        <w:keepLines w:val="0"/>
        <w:pageBreakBefore w:val="0"/>
        <w:widowControl w:val="0"/>
        <w:kinsoku/>
        <w:wordWrap/>
        <w:overflowPunct/>
        <w:topLinePunct w:val="0"/>
        <w:autoSpaceDE/>
        <w:autoSpaceDN/>
        <w:bidi w:val="0"/>
        <w:adjustRightInd/>
        <w:spacing w:line="360" w:lineRule="auto"/>
        <w:ind w:firstLine="0"/>
        <w:jc w:val="center"/>
        <w:textAlignment w:val="auto"/>
        <w:rPr>
          <w:rFonts w:hint="eastAsia" w:ascii="仿宋" w:hAnsi="仿宋" w:eastAsia="仿宋" w:cs="仿宋"/>
          <w:color w:val="auto"/>
          <w:sz w:val="52"/>
          <w:szCs w:val="52"/>
          <w:highlight w:val="none"/>
        </w:rPr>
      </w:pPr>
      <w:r>
        <w:rPr>
          <w:rFonts w:hint="eastAsia" w:ascii="仿宋" w:hAnsi="仿宋" w:eastAsia="仿宋" w:cs="仿宋"/>
          <w:color w:val="auto"/>
          <w:sz w:val="52"/>
          <w:szCs w:val="52"/>
          <w:highlight w:val="none"/>
        </w:rPr>
        <w:t xml:space="preserve">招标文件 </w:t>
      </w:r>
    </w:p>
    <w:p w14:paraId="587BEE12">
      <w:pPr>
        <w:keepNext w:val="0"/>
        <w:keepLines w:val="0"/>
        <w:pageBreakBefore w:val="0"/>
        <w:widowControl w:val="0"/>
        <w:tabs>
          <w:tab w:val="center" w:pos="4594"/>
          <w:tab w:val="left" w:pos="6783"/>
        </w:tabs>
        <w:kinsoku/>
        <w:wordWrap/>
        <w:overflowPunct/>
        <w:topLinePunct w:val="0"/>
        <w:autoSpaceDE/>
        <w:autoSpaceDN/>
        <w:bidi w:val="0"/>
        <w:adjustRightInd/>
        <w:spacing w:line="360" w:lineRule="auto"/>
        <w:ind w:firstLine="0"/>
        <w:jc w:val="center"/>
        <w:textAlignment w:val="auto"/>
        <w:rPr>
          <w:rFonts w:hint="eastAsia" w:ascii="仿宋" w:hAnsi="仿宋" w:eastAsia="仿宋" w:cs="仿宋"/>
          <w:b/>
          <w:color w:val="auto"/>
          <w:sz w:val="44"/>
          <w:szCs w:val="44"/>
          <w:highlight w:val="none"/>
        </w:rPr>
      </w:pPr>
      <w:r>
        <w:rPr>
          <w:rFonts w:hint="eastAsia" w:ascii="仿宋" w:hAnsi="仿宋" w:eastAsia="仿宋" w:cs="仿宋"/>
          <w:b/>
          <w:color w:val="auto"/>
          <w:sz w:val="44"/>
          <w:szCs w:val="44"/>
          <w:highlight w:val="none"/>
        </w:rPr>
        <w:t>（电子招投标）</w:t>
      </w:r>
    </w:p>
    <w:p w14:paraId="6C056437">
      <w:pPr>
        <w:keepNext w:val="0"/>
        <w:keepLines w:val="0"/>
        <w:pageBreakBefore w:val="0"/>
        <w:widowControl w:val="0"/>
        <w:kinsoku/>
        <w:wordWrap/>
        <w:overflowPunct/>
        <w:topLinePunct w:val="0"/>
        <w:autoSpaceDE/>
        <w:autoSpaceDN/>
        <w:bidi w:val="0"/>
        <w:snapToGrid w:val="0"/>
        <w:spacing w:line="360" w:lineRule="auto"/>
        <w:ind w:firstLine="0"/>
        <w:jc w:val="center"/>
        <w:textAlignment w:val="auto"/>
        <w:rPr>
          <w:rFonts w:hint="eastAsia" w:ascii="仿宋" w:hAnsi="仿宋" w:eastAsia="仿宋" w:cs="仿宋"/>
          <w:color w:val="auto"/>
          <w:sz w:val="30"/>
          <w:szCs w:val="30"/>
          <w:highlight w:val="none"/>
        </w:rPr>
      </w:pPr>
    </w:p>
    <w:p w14:paraId="0076223A">
      <w:pPr>
        <w:keepNext w:val="0"/>
        <w:keepLines w:val="0"/>
        <w:pageBreakBefore w:val="0"/>
        <w:widowControl w:val="0"/>
        <w:kinsoku/>
        <w:wordWrap/>
        <w:overflowPunct/>
        <w:topLinePunct w:val="0"/>
        <w:autoSpaceDE/>
        <w:autoSpaceDN/>
        <w:bidi w:val="0"/>
        <w:snapToGrid w:val="0"/>
        <w:spacing w:line="360" w:lineRule="auto"/>
        <w:ind w:firstLine="0"/>
        <w:jc w:val="center"/>
        <w:textAlignment w:val="auto"/>
        <w:rPr>
          <w:rFonts w:hint="eastAsia" w:ascii="仿宋" w:hAnsi="仿宋" w:eastAsia="仿宋" w:cs="仿宋"/>
          <w:color w:val="auto"/>
          <w:sz w:val="30"/>
          <w:szCs w:val="30"/>
          <w:highlight w:val="none"/>
          <w:lang w:eastAsia="zh-CN"/>
        </w:rPr>
      </w:pPr>
      <w:r>
        <w:rPr>
          <w:rFonts w:hint="eastAsia" w:ascii="仿宋" w:hAnsi="仿宋" w:eastAsia="仿宋" w:cs="仿宋"/>
          <w:color w:val="auto"/>
          <w:sz w:val="30"/>
          <w:szCs w:val="30"/>
          <w:highlight w:val="none"/>
        </w:rPr>
        <w:t>编号</w:t>
      </w:r>
      <w:r>
        <w:rPr>
          <w:rFonts w:hint="eastAsia" w:ascii="仿宋" w:hAnsi="仿宋" w:eastAsia="仿宋" w:cs="仿宋"/>
          <w:color w:val="auto"/>
          <w:sz w:val="30"/>
          <w:szCs w:val="30"/>
          <w:highlight w:val="none"/>
          <w:lang w:eastAsia="zh-CN"/>
        </w:rPr>
        <w:t>：YHDL-HZ-CG2025026</w:t>
      </w:r>
    </w:p>
    <w:p w14:paraId="0E20D092">
      <w:pPr>
        <w:adjustRightInd/>
        <w:spacing w:line="360" w:lineRule="auto"/>
        <w:rPr>
          <w:rFonts w:hint="eastAsia" w:ascii="仿宋" w:hAnsi="仿宋" w:eastAsia="仿宋" w:cs="仿宋"/>
          <w:color w:val="auto"/>
          <w:sz w:val="28"/>
          <w:szCs w:val="20"/>
          <w:highlight w:val="none"/>
        </w:rPr>
      </w:pPr>
    </w:p>
    <w:p w14:paraId="5002E88B">
      <w:pPr>
        <w:spacing w:line="360" w:lineRule="auto"/>
        <w:jc w:val="center"/>
        <w:rPr>
          <w:rFonts w:hint="eastAsia" w:ascii="仿宋" w:hAnsi="仿宋" w:eastAsia="仿宋" w:cs="仿宋"/>
          <w:b/>
          <w:color w:val="auto"/>
          <w:sz w:val="44"/>
          <w:szCs w:val="44"/>
          <w:highlight w:val="none"/>
        </w:rPr>
      </w:pPr>
    </w:p>
    <w:p w14:paraId="24A26A3A">
      <w:pPr>
        <w:spacing w:line="360" w:lineRule="auto"/>
        <w:jc w:val="center"/>
        <w:rPr>
          <w:rFonts w:hint="eastAsia" w:ascii="仿宋" w:hAnsi="仿宋" w:eastAsia="仿宋" w:cs="仿宋"/>
          <w:color w:val="auto"/>
          <w:sz w:val="24"/>
          <w:highlight w:val="none"/>
        </w:rPr>
      </w:pPr>
    </w:p>
    <w:p w14:paraId="46B6F030">
      <w:pPr>
        <w:spacing w:line="360" w:lineRule="auto"/>
        <w:rPr>
          <w:rFonts w:hint="eastAsia" w:ascii="仿宋" w:hAnsi="仿宋" w:eastAsia="仿宋" w:cs="仿宋"/>
          <w:color w:val="auto"/>
          <w:sz w:val="32"/>
          <w:szCs w:val="32"/>
          <w:highlight w:val="none"/>
        </w:rPr>
      </w:pPr>
    </w:p>
    <w:p w14:paraId="48D636CF">
      <w:pPr>
        <w:pStyle w:val="31"/>
        <w:rPr>
          <w:rFonts w:hint="eastAsia"/>
          <w:color w:val="auto"/>
          <w:highlight w:val="none"/>
        </w:rPr>
      </w:pPr>
    </w:p>
    <w:p w14:paraId="40FB23E4">
      <w:pPr>
        <w:pStyle w:val="97"/>
        <w:rPr>
          <w:rFonts w:hint="eastAsia"/>
          <w:color w:val="auto"/>
          <w:highlight w:val="none"/>
        </w:rPr>
      </w:pPr>
    </w:p>
    <w:p w14:paraId="6C84E6C2">
      <w:pPr>
        <w:spacing w:line="360" w:lineRule="auto"/>
        <w:jc w:val="center"/>
        <w:rPr>
          <w:rFonts w:hint="eastAsia" w:ascii="仿宋" w:hAnsi="仿宋" w:eastAsia="仿宋" w:cs="仿宋"/>
          <w:bCs/>
          <w:color w:val="auto"/>
          <w:sz w:val="32"/>
          <w:szCs w:val="32"/>
          <w:highlight w:val="none"/>
        </w:rPr>
      </w:pPr>
    </w:p>
    <w:p w14:paraId="4EEEB990">
      <w:pPr>
        <w:spacing w:line="360" w:lineRule="auto"/>
        <w:jc w:val="center"/>
        <w:rPr>
          <w:rFonts w:hint="eastAsia" w:ascii="仿宋" w:hAnsi="仿宋" w:eastAsia="仿宋" w:cs="仿宋"/>
          <w:bCs/>
          <w:color w:val="auto"/>
          <w:sz w:val="32"/>
          <w:szCs w:val="32"/>
          <w:highlight w:val="none"/>
        </w:rPr>
      </w:pPr>
    </w:p>
    <w:p w14:paraId="1FC138A1">
      <w:pPr>
        <w:spacing w:line="360" w:lineRule="auto"/>
        <w:jc w:val="center"/>
        <w:rPr>
          <w:rFonts w:hint="eastAsia" w:ascii="仿宋" w:hAnsi="仿宋" w:eastAsia="仿宋" w:cs="仿宋"/>
          <w:bCs/>
          <w:color w:val="auto"/>
          <w:sz w:val="32"/>
          <w:szCs w:val="32"/>
          <w:highlight w:val="none"/>
          <w:lang w:eastAsia="zh-CN"/>
        </w:rPr>
      </w:pPr>
      <w:r>
        <w:rPr>
          <w:rFonts w:hint="eastAsia" w:ascii="仿宋" w:hAnsi="仿宋" w:eastAsia="仿宋" w:cs="仿宋"/>
          <w:bCs/>
          <w:color w:val="auto"/>
          <w:sz w:val="32"/>
          <w:szCs w:val="32"/>
          <w:highlight w:val="none"/>
        </w:rPr>
        <w:t>采  购  人：</w:t>
      </w:r>
      <w:r>
        <w:rPr>
          <w:rFonts w:hint="eastAsia" w:ascii="仿宋" w:hAnsi="仿宋" w:eastAsia="仿宋" w:cs="仿宋"/>
          <w:bCs/>
          <w:color w:val="auto"/>
          <w:sz w:val="32"/>
          <w:szCs w:val="32"/>
          <w:highlight w:val="none"/>
          <w:lang w:eastAsia="zh-CN"/>
        </w:rPr>
        <w:t>杭州市公安局刑事侦查支队</w:t>
      </w:r>
    </w:p>
    <w:p w14:paraId="5E13B658">
      <w:pPr>
        <w:spacing w:line="360" w:lineRule="auto"/>
        <w:jc w:val="center"/>
        <w:rPr>
          <w:rFonts w:hint="eastAsia" w:ascii="仿宋" w:hAnsi="仿宋" w:eastAsia="仿宋" w:cs="仿宋"/>
          <w:bCs/>
          <w:color w:val="auto"/>
          <w:sz w:val="32"/>
          <w:szCs w:val="32"/>
          <w:highlight w:val="none"/>
          <w:lang w:eastAsia="zh-CN"/>
        </w:rPr>
      </w:pPr>
      <w:r>
        <w:rPr>
          <w:rFonts w:hint="eastAsia" w:ascii="仿宋" w:hAnsi="仿宋" w:eastAsia="仿宋" w:cs="仿宋"/>
          <w:bCs/>
          <w:color w:val="auto"/>
          <w:sz w:val="32"/>
          <w:szCs w:val="32"/>
          <w:highlight w:val="none"/>
        </w:rPr>
        <w:t>采购代理机构：</w:t>
      </w:r>
      <w:r>
        <w:rPr>
          <w:rFonts w:hint="eastAsia" w:ascii="仿宋" w:hAnsi="仿宋" w:eastAsia="仿宋" w:cs="仿宋"/>
          <w:bCs/>
          <w:color w:val="auto"/>
          <w:sz w:val="32"/>
          <w:szCs w:val="32"/>
          <w:highlight w:val="none"/>
          <w:lang w:eastAsia="zh-CN"/>
        </w:rPr>
        <w:t>耀华建设管理有限公司</w:t>
      </w:r>
    </w:p>
    <w:p w14:paraId="0D2CF702">
      <w:pPr>
        <w:spacing w:line="360" w:lineRule="auto"/>
        <w:jc w:val="center"/>
        <w:rPr>
          <w:rFonts w:hint="eastAsia" w:ascii="仿宋" w:hAnsi="仿宋" w:eastAsia="仿宋" w:cs="仿宋"/>
          <w:color w:val="auto"/>
          <w:sz w:val="24"/>
          <w:highlight w:val="none"/>
        </w:rPr>
      </w:pPr>
      <w:r>
        <w:rPr>
          <w:rFonts w:hint="eastAsia" w:ascii="仿宋" w:hAnsi="仿宋" w:eastAsia="仿宋" w:cs="仿宋"/>
          <w:bCs/>
          <w:color w:val="auto"/>
          <w:sz w:val="32"/>
          <w:szCs w:val="32"/>
          <w:highlight w:val="none"/>
        </w:rPr>
        <w:t>二〇二</w:t>
      </w:r>
      <w:r>
        <w:rPr>
          <w:rFonts w:hint="eastAsia" w:ascii="仿宋" w:hAnsi="仿宋" w:eastAsia="仿宋" w:cs="仿宋"/>
          <w:bCs/>
          <w:color w:val="auto"/>
          <w:sz w:val="32"/>
          <w:szCs w:val="32"/>
          <w:highlight w:val="none"/>
          <w:lang w:val="en-US" w:eastAsia="zh-CN"/>
        </w:rPr>
        <w:t>五</w:t>
      </w:r>
      <w:r>
        <w:rPr>
          <w:rFonts w:hint="eastAsia" w:ascii="仿宋" w:hAnsi="仿宋" w:eastAsia="仿宋" w:cs="仿宋"/>
          <w:bCs/>
          <w:color w:val="auto"/>
          <w:sz w:val="32"/>
          <w:szCs w:val="32"/>
          <w:highlight w:val="none"/>
        </w:rPr>
        <w:t>年</w:t>
      </w:r>
      <w:r>
        <w:rPr>
          <w:rFonts w:hint="eastAsia" w:ascii="仿宋" w:hAnsi="仿宋" w:eastAsia="仿宋" w:cs="仿宋"/>
          <w:bCs/>
          <w:color w:val="auto"/>
          <w:sz w:val="32"/>
          <w:szCs w:val="32"/>
          <w:highlight w:val="none"/>
          <w:lang w:val="en-US" w:eastAsia="zh-CN"/>
        </w:rPr>
        <w:t>七</w:t>
      </w:r>
      <w:r>
        <w:rPr>
          <w:rFonts w:hint="eastAsia" w:ascii="仿宋" w:hAnsi="仿宋" w:eastAsia="仿宋" w:cs="仿宋"/>
          <w:bCs/>
          <w:color w:val="auto"/>
          <w:sz w:val="32"/>
          <w:szCs w:val="32"/>
          <w:highlight w:val="none"/>
        </w:rPr>
        <w:t>月</w:t>
      </w:r>
      <w:r>
        <w:rPr>
          <w:rFonts w:hint="eastAsia" w:ascii="仿宋" w:hAnsi="仿宋" w:eastAsia="仿宋" w:cs="仿宋"/>
          <w:color w:val="auto"/>
          <w:sz w:val="24"/>
          <w:highlight w:val="none"/>
        </w:rPr>
        <w:br w:type="page"/>
      </w:r>
      <w:bookmarkStart w:id="0" w:name="_Hlt67893495"/>
      <w:bookmarkEnd w:id="0"/>
    </w:p>
    <w:p w14:paraId="1835D3B8">
      <w:pPr>
        <w:rPr>
          <w:rFonts w:hint="eastAsia"/>
          <w:color w:val="auto"/>
          <w:highlight w:val="none"/>
        </w:rPr>
      </w:pPr>
    </w:p>
    <w:p w14:paraId="563C8187">
      <w:pPr>
        <w:pStyle w:val="97"/>
        <w:rPr>
          <w:rFonts w:hint="eastAsia"/>
          <w:color w:val="auto"/>
          <w:highlight w:val="none"/>
        </w:rPr>
      </w:pPr>
    </w:p>
    <w:p w14:paraId="2CFB8C82">
      <w:pPr>
        <w:spacing w:line="360" w:lineRule="auto"/>
        <w:jc w:val="center"/>
        <w:rPr>
          <w:rFonts w:hint="eastAsia" w:ascii="仿宋" w:hAnsi="仿宋" w:eastAsia="仿宋" w:cs="仿宋"/>
          <w:b/>
          <w:color w:val="auto"/>
          <w:sz w:val="48"/>
          <w:szCs w:val="48"/>
          <w:highlight w:val="none"/>
        </w:rPr>
      </w:pPr>
      <w:r>
        <w:rPr>
          <w:rFonts w:hint="eastAsia" w:ascii="仿宋" w:hAnsi="仿宋" w:eastAsia="仿宋" w:cs="仿宋"/>
          <w:b/>
          <w:color w:val="auto"/>
          <w:sz w:val="48"/>
          <w:szCs w:val="48"/>
          <w:highlight w:val="none"/>
        </w:rPr>
        <w:t>目  录</w:t>
      </w:r>
    </w:p>
    <w:p w14:paraId="13151236">
      <w:pPr>
        <w:spacing w:line="360" w:lineRule="auto"/>
        <w:rPr>
          <w:rFonts w:hint="eastAsia" w:ascii="仿宋" w:hAnsi="仿宋" w:eastAsia="仿宋" w:cs="仿宋"/>
          <w:color w:val="auto"/>
          <w:sz w:val="32"/>
          <w:szCs w:val="32"/>
          <w:highlight w:val="none"/>
        </w:rPr>
      </w:pPr>
    </w:p>
    <w:p w14:paraId="06ED1825">
      <w:pPr>
        <w:spacing w:line="360" w:lineRule="auto"/>
        <w:rPr>
          <w:rFonts w:hint="eastAsia" w:ascii="仿宋" w:hAnsi="仿宋" w:eastAsia="仿宋" w:cs="仿宋"/>
          <w:color w:val="auto"/>
          <w:sz w:val="32"/>
          <w:szCs w:val="32"/>
          <w:highlight w:val="none"/>
        </w:rPr>
      </w:pPr>
    </w:p>
    <w:p w14:paraId="7B51792D">
      <w:pPr>
        <w:spacing w:line="360" w:lineRule="auto"/>
        <w:ind w:firstLine="1280" w:firstLineChars="4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第一部分      招标公告</w:t>
      </w:r>
    </w:p>
    <w:p w14:paraId="039575BE">
      <w:pPr>
        <w:spacing w:line="360" w:lineRule="auto"/>
        <w:ind w:firstLine="1280" w:firstLineChars="4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第二部分      投标人须知</w:t>
      </w:r>
    </w:p>
    <w:p w14:paraId="05B2146F">
      <w:pPr>
        <w:spacing w:line="360" w:lineRule="auto"/>
        <w:ind w:firstLine="1280" w:firstLineChars="4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第三部分      采购需求</w:t>
      </w:r>
    </w:p>
    <w:p w14:paraId="44564E3F">
      <w:pPr>
        <w:spacing w:line="360" w:lineRule="auto"/>
        <w:ind w:firstLine="1280" w:firstLineChars="4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第四部分      评标办法</w:t>
      </w:r>
    </w:p>
    <w:p w14:paraId="71733CC3">
      <w:pPr>
        <w:spacing w:line="360" w:lineRule="auto"/>
        <w:ind w:firstLine="1280" w:firstLineChars="4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第五部分      拟签订的合同文本</w:t>
      </w:r>
    </w:p>
    <w:p w14:paraId="0EA348D0">
      <w:pPr>
        <w:spacing w:line="360" w:lineRule="auto"/>
        <w:ind w:firstLine="1280" w:firstLineChars="4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第六部分      应提交的有关格式范例</w:t>
      </w:r>
    </w:p>
    <w:p w14:paraId="1A96476F">
      <w:pPr>
        <w:spacing w:line="360" w:lineRule="auto"/>
        <w:ind w:firstLine="549" w:firstLineChars="229"/>
        <w:rPr>
          <w:rFonts w:hint="eastAsia" w:ascii="仿宋" w:hAnsi="仿宋" w:eastAsia="仿宋" w:cs="仿宋"/>
          <w:color w:val="auto"/>
          <w:sz w:val="24"/>
          <w:highlight w:val="none"/>
        </w:rPr>
      </w:pPr>
      <w:bookmarkStart w:id="1" w:name="_Hlt91233176"/>
      <w:bookmarkEnd w:id="1"/>
      <w:bookmarkStart w:id="2" w:name="_Toc91899869"/>
    </w:p>
    <w:p w14:paraId="12F2C6E9">
      <w:pPr>
        <w:spacing w:line="360" w:lineRule="auto"/>
        <w:ind w:firstLine="549" w:firstLineChars="229"/>
        <w:rPr>
          <w:rFonts w:hint="eastAsia" w:ascii="仿宋" w:hAnsi="仿宋" w:eastAsia="仿宋" w:cs="仿宋"/>
          <w:color w:val="auto"/>
          <w:sz w:val="24"/>
          <w:highlight w:val="none"/>
        </w:rPr>
      </w:pPr>
    </w:p>
    <w:p w14:paraId="66BF462E">
      <w:pPr>
        <w:spacing w:line="360" w:lineRule="auto"/>
        <w:ind w:firstLine="549" w:firstLineChars="229"/>
        <w:rPr>
          <w:rFonts w:hint="eastAsia" w:ascii="仿宋" w:hAnsi="仿宋" w:eastAsia="仿宋" w:cs="仿宋"/>
          <w:color w:val="auto"/>
          <w:sz w:val="24"/>
          <w:highlight w:val="none"/>
        </w:rPr>
      </w:pPr>
    </w:p>
    <w:p w14:paraId="249C388A">
      <w:pPr>
        <w:spacing w:line="360" w:lineRule="auto"/>
        <w:ind w:firstLine="549" w:firstLineChars="229"/>
        <w:rPr>
          <w:rFonts w:hint="eastAsia" w:ascii="仿宋" w:hAnsi="仿宋" w:eastAsia="仿宋" w:cs="仿宋"/>
          <w:color w:val="auto"/>
          <w:sz w:val="24"/>
          <w:highlight w:val="none"/>
        </w:rPr>
      </w:pPr>
    </w:p>
    <w:p w14:paraId="01EF549D">
      <w:pPr>
        <w:spacing w:line="360" w:lineRule="auto"/>
        <w:ind w:firstLine="549" w:firstLineChars="229"/>
        <w:rPr>
          <w:rFonts w:hint="eastAsia" w:ascii="仿宋" w:hAnsi="仿宋" w:eastAsia="仿宋" w:cs="仿宋"/>
          <w:color w:val="auto"/>
          <w:sz w:val="24"/>
          <w:highlight w:val="none"/>
        </w:rPr>
      </w:pPr>
    </w:p>
    <w:p w14:paraId="6A67DA33">
      <w:pPr>
        <w:spacing w:line="360" w:lineRule="auto"/>
        <w:rPr>
          <w:rFonts w:hint="eastAsia" w:ascii="仿宋" w:hAnsi="仿宋" w:eastAsia="仿宋" w:cs="仿宋"/>
          <w:color w:val="auto"/>
          <w:sz w:val="24"/>
          <w:highlight w:val="none"/>
        </w:rPr>
      </w:pPr>
    </w:p>
    <w:p w14:paraId="5369B9A7">
      <w:pPr>
        <w:adjustRightInd/>
        <w:spacing w:line="360" w:lineRule="auto"/>
        <w:jc w:val="center"/>
        <w:outlineLvl w:val="0"/>
        <w:rPr>
          <w:rFonts w:hint="eastAsia" w:ascii="仿宋" w:hAnsi="仿宋" w:eastAsia="仿宋" w:cs="仿宋"/>
          <w:b/>
          <w:color w:val="auto"/>
          <w:sz w:val="36"/>
          <w:szCs w:val="20"/>
          <w:highlight w:val="none"/>
        </w:rPr>
      </w:pPr>
      <w:bookmarkStart w:id="3" w:name="第一部分"/>
      <w:r>
        <w:rPr>
          <w:rFonts w:hint="eastAsia" w:ascii="仿宋" w:hAnsi="仿宋" w:eastAsia="仿宋" w:cs="仿宋"/>
          <w:b/>
          <w:color w:val="auto"/>
          <w:sz w:val="36"/>
          <w:szCs w:val="36"/>
          <w:highlight w:val="none"/>
        </w:rPr>
        <w:br w:type="page"/>
      </w:r>
      <w:bookmarkEnd w:id="2"/>
      <w:bookmarkEnd w:id="3"/>
      <w:bookmarkStart w:id="4" w:name="_Hlt74729822"/>
      <w:bookmarkEnd w:id="4"/>
      <w:bookmarkStart w:id="5" w:name="_Hlt74707423"/>
      <w:bookmarkEnd w:id="5"/>
      <w:bookmarkStart w:id="6" w:name="_Hlt74728647"/>
      <w:bookmarkEnd w:id="6"/>
      <w:bookmarkStart w:id="7" w:name="_Hlt74649545"/>
      <w:bookmarkEnd w:id="7"/>
      <w:bookmarkStart w:id="8" w:name="第二部分"/>
      <w:bookmarkStart w:id="9" w:name="_Toc91899870"/>
      <w:bookmarkStart w:id="10" w:name="_Toc91899871"/>
      <w:r>
        <w:rPr>
          <w:rFonts w:hint="eastAsia" w:ascii="仿宋" w:hAnsi="仿宋" w:eastAsia="仿宋" w:cs="仿宋"/>
          <w:b/>
          <w:color w:val="auto"/>
          <w:sz w:val="36"/>
          <w:szCs w:val="20"/>
          <w:highlight w:val="none"/>
        </w:rPr>
        <w:t>第一部分 招标公告</w:t>
      </w:r>
    </w:p>
    <w:p w14:paraId="16CD28BF">
      <w:pPr>
        <w:pBdr>
          <w:top w:val="single" w:color="auto" w:sz="4" w:space="1"/>
          <w:left w:val="single" w:color="auto" w:sz="4" w:space="4"/>
          <w:bottom w:val="single" w:color="auto" w:sz="4" w:space="1"/>
          <w:right w:val="single" w:color="auto" w:sz="4" w:space="4"/>
        </w:pBd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项目概况</w:t>
      </w:r>
    </w:p>
    <w:p w14:paraId="7A64D8C3">
      <w:pPr>
        <w:pBdr>
          <w:top w:val="single" w:color="auto" w:sz="4" w:space="1"/>
          <w:left w:val="single" w:color="auto" w:sz="4" w:space="4"/>
          <w:bottom w:val="single" w:color="auto" w:sz="4" w:space="1"/>
          <w:right w:val="single" w:color="auto" w:sz="4" w:space="4"/>
        </w:pBdr>
        <w:spacing w:line="360"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lang w:eastAsia="zh-CN"/>
        </w:rPr>
        <w:t>反诈专项（涉网新型犯罪侦防数据服务）</w:t>
      </w:r>
      <w:r>
        <w:rPr>
          <w:rFonts w:hint="eastAsia" w:ascii="仿宋" w:hAnsi="仿宋" w:eastAsia="仿宋" w:cs="仿宋"/>
          <w:color w:val="auto"/>
          <w:sz w:val="24"/>
          <w:highlight w:val="none"/>
        </w:rPr>
        <w:t>招标项目的潜在投标人应在政采云平台（</w:t>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"https://www.zcygov.cn/）获取（下载）招标文件，并于202%20年%20月%20日%20点%20分00秒" </w:instrText>
      </w:r>
      <w:r>
        <w:rPr>
          <w:rFonts w:hint="eastAsia" w:ascii="仿宋" w:hAnsi="仿宋" w:eastAsia="仿宋" w:cs="仿宋"/>
          <w:color w:val="auto"/>
          <w:highlight w:val="none"/>
        </w:rPr>
        <w:fldChar w:fldCharType="separate"/>
      </w:r>
      <w:r>
        <w:rPr>
          <w:rStyle w:val="94"/>
          <w:rFonts w:hint="eastAsia" w:ascii="仿宋" w:hAnsi="仿宋" w:eastAsia="仿宋" w:cs="仿宋"/>
          <w:snapToGrid/>
          <w:color w:val="auto"/>
          <w:kern w:val="2"/>
          <w:sz w:val="24"/>
          <w:szCs w:val="24"/>
          <w:highlight w:val="none"/>
        </w:rPr>
        <w:t>https://www.zcygov.cn/）获取（下载）招标文件，并于</w:t>
      </w:r>
      <w:r>
        <w:rPr>
          <w:rStyle w:val="94"/>
          <w:rFonts w:hint="eastAsia" w:ascii="仿宋" w:hAnsi="仿宋" w:eastAsia="仿宋" w:cs="仿宋"/>
          <w:snapToGrid/>
          <w:color w:val="auto"/>
          <w:kern w:val="2"/>
          <w:sz w:val="24"/>
          <w:szCs w:val="24"/>
          <w:highlight w:val="none"/>
          <w:u w:val="single"/>
          <w:lang w:eastAsia="zh-CN"/>
        </w:rPr>
        <w:t>2025年 7 月 23 日09点00分</w:t>
      </w:r>
      <w:r>
        <w:rPr>
          <w:rStyle w:val="94"/>
          <w:rFonts w:hint="eastAsia" w:ascii="仿宋" w:hAnsi="仿宋" w:eastAsia="仿宋" w:cs="仿宋"/>
          <w:bCs/>
          <w:snapToGrid/>
          <w:color w:val="auto"/>
          <w:kern w:val="2"/>
          <w:sz w:val="24"/>
          <w:szCs w:val="24"/>
          <w:highlight w:val="none"/>
          <w:u w:val="single"/>
        </w:rPr>
        <w:t>00秒</w:t>
      </w:r>
      <w:r>
        <w:rPr>
          <w:rStyle w:val="94"/>
          <w:rFonts w:hint="eastAsia" w:ascii="仿宋" w:hAnsi="仿宋" w:eastAsia="仿宋" w:cs="仿宋"/>
          <w:bCs/>
          <w:snapToGrid/>
          <w:color w:val="auto"/>
          <w:kern w:val="2"/>
          <w:sz w:val="24"/>
          <w:szCs w:val="24"/>
          <w:highlight w:val="none"/>
        </w:rPr>
        <w:fldChar w:fldCharType="end"/>
      </w:r>
      <w:r>
        <w:rPr>
          <w:rFonts w:hint="eastAsia" w:ascii="仿宋" w:hAnsi="仿宋" w:eastAsia="仿宋" w:cs="仿宋"/>
          <w:bCs/>
          <w:color w:val="auto"/>
          <w:sz w:val="24"/>
          <w:highlight w:val="none"/>
        </w:rPr>
        <w:t>（北京时间）前</w:t>
      </w:r>
      <w:r>
        <w:rPr>
          <w:rFonts w:hint="eastAsia" w:ascii="仿宋" w:hAnsi="仿宋" w:eastAsia="仿宋" w:cs="仿宋"/>
          <w:color w:val="auto"/>
          <w:sz w:val="24"/>
          <w:highlight w:val="none"/>
        </w:rPr>
        <w:t>递交（上传）投标文件。</w:t>
      </w:r>
    </w:p>
    <w:p w14:paraId="55A29F4F">
      <w:pPr>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 xml:space="preserve">一、项目基本情况                                            </w:t>
      </w:r>
    </w:p>
    <w:p w14:paraId="6FFA14E4">
      <w:pPr>
        <w:spacing w:line="360" w:lineRule="auto"/>
        <w:ind w:firstLine="422" w:firstLineChars="200"/>
        <w:rPr>
          <w:rFonts w:hint="eastAsia" w:ascii="仿宋" w:hAnsi="仿宋" w:eastAsia="仿宋" w:cs="仿宋"/>
          <w:color w:val="auto"/>
          <w:sz w:val="21"/>
          <w:szCs w:val="21"/>
          <w:highlight w:val="none"/>
          <w:lang w:eastAsia="zh-CN"/>
        </w:rPr>
      </w:pPr>
      <w:r>
        <w:rPr>
          <w:rFonts w:hint="eastAsia" w:ascii="仿宋" w:hAnsi="仿宋" w:eastAsia="仿宋" w:cs="仿宋"/>
          <w:b/>
          <w:color w:val="auto"/>
          <w:sz w:val="21"/>
          <w:szCs w:val="21"/>
          <w:highlight w:val="none"/>
        </w:rPr>
        <w:t>项目编号：</w:t>
      </w:r>
      <w:r>
        <w:rPr>
          <w:rFonts w:hint="eastAsia" w:ascii="仿宋" w:hAnsi="仿宋" w:eastAsia="仿宋" w:cs="仿宋"/>
          <w:color w:val="auto"/>
          <w:sz w:val="21"/>
          <w:szCs w:val="21"/>
          <w:highlight w:val="none"/>
          <w:lang w:eastAsia="zh-CN"/>
        </w:rPr>
        <w:t>YHDL-HZ-CG2025026</w:t>
      </w:r>
    </w:p>
    <w:p w14:paraId="34808373">
      <w:pPr>
        <w:spacing w:line="360" w:lineRule="auto"/>
        <w:ind w:firstLine="422" w:firstLineChars="200"/>
        <w:rPr>
          <w:rFonts w:hint="eastAsia" w:ascii="仿宋" w:hAnsi="仿宋" w:eastAsia="仿宋" w:cs="仿宋"/>
          <w:color w:val="auto"/>
          <w:sz w:val="21"/>
          <w:szCs w:val="21"/>
          <w:highlight w:val="none"/>
          <w:lang w:eastAsia="zh-CN"/>
        </w:rPr>
      </w:pPr>
      <w:r>
        <w:rPr>
          <w:rFonts w:hint="eastAsia" w:ascii="仿宋" w:hAnsi="仿宋" w:eastAsia="仿宋" w:cs="仿宋"/>
          <w:b/>
          <w:color w:val="auto"/>
          <w:sz w:val="21"/>
          <w:szCs w:val="21"/>
          <w:highlight w:val="none"/>
        </w:rPr>
        <w:t>项目名称：</w:t>
      </w:r>
      <w:r>
        <w:rPr>
          <w:rFonts w:hint="eastAsia" w:ascii="仿宋" w:hAnsi="仿宋" w:eastAsia="仿宋" w:cs="仿宋"/>
          <w:color w:val="auto"/>
          <w:sz w:val="21"/>
          <w:szCs w:val="21"/>
          <w:highlight w:val="none"/>
          <w:lang w:eastAsia="zh-CN"/>
        </w:rPr>
        <w:t>反诈专项（涉网新型犯罪侦防数据服务）</w:t>
      </w:r>
    </w:p>
    <w:p w14:paraId="2D66F74A">
      <w:pPr>
        <w:spacing w:line="360" w:lineRule="auto"/>
        <w:ind w:firstLine="422" w:firstLineChars="200"/>
        <w:rPr>
          <w:rFonts w:hint="eastAsia" w:ascii="仿宋" w:hAnsi="仿宋" w:eastAsia="仿宋" w:cs="仿宋"/>
          <w:color w:val="auto"/>
          <w:sz w:val="21"/>
          <w:szCs w:val="21"/>
          <w:highlight w:val="none"/>
        </w:rPr>
      </w:pPr>
      <w:r>
        <w:rPr>
          <w:rFonts w:hint="eastAsia" w:ascii="仿宋" w:hAnsi="仿宋" w:eastAsia="仿宋" w:cs="仿宋"/>
          <w:b/>
          <w:color w:val="auto"/>
          <w:sz w:val="21"/>
          <w:szCs w:val="21"/>
          <w:highlight w:val="none"/>
        </w:rPr>
        <w:t>预算金额：</w:t>
      </w:r>
      <w:r>
        <w:rPr>
          <w:rFonts w:hint="eastAsia" w:ascii="仿宋" w:hAnsi="仿宋" w:eastAsia="仿宋" w:cs="仿宋"/>
          <w:b/>
          <w:color w:val="auto"/>
          <w:sz w:val="21"/>
          <w:szCs w:val="21"/>
          <w:highlight w:val="none"/>
          <w:lang w:eastAsia="zh-CN"/>
        </w:rPr>
        <w:t>442.01万元（其中2025年安排147.34万元）</w:t>
      </w:r>
    </w:p>
    <w:p w14:paraId="50B50AB6">
      <w:pPr>
        <w:spacing w:line="360" w:lineRule="auto"/>
        <w:ind w:firstLine="422" w:firstLineChars="200"/>
        <w:rPr>
          <w:rFonts w:hint="eastAsia" w:ascii="仿宋" w:hAnsi="仿宋" w:eastAsia="仿宋" w:cs="仿宋"/>
          <w:b/>
          <w:color w:val="auto"/>
          <w:sz w:val="21"/>
          <w:szCs w:val="21"/>
          <w:highlight w:val="none"/>
          <w:lang w:eastAsia="zh-CN"/>
        </w:rPr>
      </w:pPr>
      <w:r>
        <w:rPr>
          <w:rFonts w:hint="eastAsia" w:ascii="仿宋" w:hAnsi="仿宋" w:eastAsia="仿宋" w:cs="仿宋"/>
          <w:b/>
          <w:color w:val="auto"/>
          <w:sz w:val="21"/>
          <w:szCs w:val="21"/>
          <w:highlight w:val="none"/>
        </w:rPr>
        <w:t>最高限价：</w:t>
      </w:r>
      <w:r>
        <w:rPr>
          <w:rFonts w:hint="eastAsia" w:ascii="仿宋" w:hAnsi="仿宋" w:eastAsia="仿宋" w:cs="仿宋"/>
          <w:b/>
          <w:color w:val="auto"/>
          <w:sz w:val="21"/>
          <w:szCs w:val="21"/>
          <w:highlight w:val="none"/>
          <w:lang w:val="en-US" w:eastAsia="zh-CN"/>
        </w:rPr>
        <w:t>/</w:t>
      </w:r>
    </w:p>
    <w:p w14:paraId="1F31DC18">
      <w:pPr>
        <w:spacing w:line="360" w:lineRule="auto"/>
        <w:ind w:firstLine="422" w:firstLineChars="200"/>
        <w:jc w:val="left"/>
        <w:rPr>
          <w:rFonts w:hint="eastAsia" w:ascii="仿宋" w:hAnsi="仿宋" w:eastAsia="仿宋" w:cs="仿宋"/>
          <w:b w:val="0"/>
          <w:bCs/>
          <w:color w:val="auto"/>
          <w:sz w:val="21"/>
          <w:szCs w:val="21"/>
          <w:highlight w:val="none"/>
        </w:rPr>
      </w:pPr>
      <w:r>
        <w:rPr>
          <w:rFonts w:hint="eastAsia" w:ascii="仿宋" w:hAnsi="仿宋" w:eastAsia="仿宋" w:cs="仿宋"/>
          <w:b/>
          <w:color w:val="auto"/>
          <w:sz w:val="21"/>
          <w:szCs w:val="21"/>
          <w:highlight w:val="none"/>
        </w:rPr>
        <w:t>采购需求：</w:t>
      </w:r>
      <w:r>
        <w:rPr>
          <w:rFonts w:hint="eastAsia" w:ascii="仿宋" w:hAnsi="仿宋" w:eastAsia="仿宋" w:cs="仿宋"/>
          <w:b w:val="0"/>
          <w:bCs/>
          <w:color w:val="auto"/>
          <w:sz w:val="21"/>
          <w:szCs w:val="21"/>
          <w:highlight w:val="none"/>
          <w:lang w:eastAsia="zh-CN"/>
        </w:rPr>
        <w:t>反诈专项（涉网新型犯罪侦防数据服务）</w:t>
      </w:r>
      <w:r>
        <w:rPr>
          <w:rFonts w:hint="eastAsia" w:ascii="仿宋" w:hAnsi="仿宋" w:eastAsia="仿宋" w:cs="仿宋"/>
          <w:b w:val="0"/>
          <w:bCs/>
          <w:color w:val="auto"/>
          <w:sz w:val="21"/>
          <w:szCs w:val="21"/>
          <w:highlight w:val="none"/>
          <w:lang w:val="en-US" w:eastAsia="zh-CN"/>
        </w:rPr>
        <w:t>,</w:t>
      </w:r>
      <w:r>
        <w:rPr>
          <w:rFonts w:hint="eastAsia" w:ascii="仿宋" w:hAnsi="仿宋" w:eastAsia="仿宋" w:cs="仿宋"/>
          <w:b w:val="0"/>
          <w:bCs/>
          <w:color w:val="auto"/>
          <w:sz w:val="21"/>
          <w:szCs w:val="21"/>
          <w:highlight w:val="none"/>
        </w:rPr>
        <w:t>主要内容：</w:t>
      </w:r>
      <w:r>
        <w:rPr>
          <w:rFonts w:hint="eastAsia" w:ascii="仿宋" w:hAnsi="仿宋" w:eastAsia="仿宋" w:cs="仿宋"/>
          <w:b w:val="0"/>
          <w:bCs/>
          <w:color w:val="auto"/>
          <w:sz w:val="21"/>
          <w:szCs w:val="21"/>
          <w:highlight w:val="none"/>
          <w:lang w:val="en-US" w:eastAsia="zh-CN"/>
        </w:rPr>
        <w:t>服务内容包括</w:t>
      </w:r>
      <w:r>
        <w:rPr>
          <w:rFonts w:hint="eastAsia" w:ascii="仿宋" w:hAnsi="仿宋" w:eastAsia="仿宋" w:cs="仿宋"/>
          <w:b w:val="0"/>
          <w:bCs/>
          <w:color w:val="auto"/>
          <w:sz w:val="21"/>
          <w:szCs w:val="21"/>
          <w:highlight w:val="none"/>
        </w:rPr>
        <w:t>（一）案件侦查打击服务；（二）大数据智能查控服务；（三）资金智能查控服务；（四）涉网诈骗预感探测数据服务；（五）涉网新型案件行为分析服务；（六）新型涉网案件智勘联侦分析系统服务。</w:t>
      </w:r>
    </w:p>
    <w:p w14:paraId="5A1C77FE">
      <w:pPr>
        <w:spacing w:line="360" w:lineRule="auto"/>
        <w:ind w:firstLine="420" w:firstLineChars="200"/>
        <w:jc w:val="left"/>
        <w:rPr>
          <w:rFonts w:hint="eastAsia" w:ascii="仿宋" w:hAnsi="仿宋" w:eastAsia="仿宋" w:cs="仿宋"/>
          <w:bCs/>
          <w:color w:val="auto"/>
          <w:sz w:val="21"/>
          <w:szCs w:val="21"/>
          <w:highlight w:val="none"/>
        </w:rPr>
      </w:pPr>
      <w:r>
        <w:rPr>
          <w:rFonts w:hint="eastAsia" w:ascii="仿宋" w:hAnsi="仿宋" w:eastAsia="仿宋" w:cs="仿宋"/>
          <w:color w:val="auto"/>
          <w:sz w:val="21"/>
          <w:szCs w:val="21"/>
          <w:highlight w:val="none"/>
        </w:rPr>
        <w:t>具体以招标文件第三部分采购需求为准，供应商可点击本公告下方“浏览采购文件”查看采购需求。</w:t>
      </w:r>
    </w:p>
    <w:p w14:paraId="6BCEDA5A">
      <w:pPr>
        <w:spacing w:line="360" w:lineRule="auto"/>
        <w:ind w:firstLine="422" w:firstLineChars="200"/>
        <w:jc w:val="left"/>
        <w:rPr>
          <w:rFonts w:hint="eastAsia" w:ascii="仿宋" w:hAnsi="仿宋" w:eastAsia="仿宋" w:cs="仿宋"/>
          <w:color w:val="auto"/>
          <w:sz w:val="21"/>
          <w:szCs w:val="21"/>
          <w:highlight w:val="none"/>
          <w:lang w:eastAsia="zh-CN"/>
        </w:rPr>
      </w:pPr>
      <w:r>
        <w:rPr>
          <w:rFonts w:hint="eastAsia" w:ascii="仿宋" w:hAnsi="仿宋" w:eastAsia="仿宋" w:cs="仿宋"/>
          <w:b/>
          <w:bCs/>
          <w:color w:val="auto"/>
          <w:sz w:val="21"/>
          <w:szCs w:val="21"/>
          <w:highlight w:val="none"/>
        </w:rPr>
        <w:t>合同履约期限：</w:t>
      </w:r>
      <w:r>
        <w:rPr>
          <w:rFonts w:hint="eastAsia" w:ascii="仿宋" w:hAnsi="仿宋" w:eastAsia="仿宋" w:cs="仿宋"/>
          <w:color w:val="auto"/>
          <w:sz w:val="21"/>
          <w:szCs w:val="21"/>
          <w:highlight w:val="none"/>
          <w:lang w:eastAsia="zh-CN"/>
        </w:rPr>
        <w:t>2025年7月28日-2026年7月27日。</w:t>
      </w:r>
    </w:p>
    <w:p w14:paraId="55B7F8A5">
      <w:pPr>
        <w:pStyle w:val="6"/>
        <w:spacing w:line="360" w:lineRule="auto"/>
        <w:ind w:firstLine="480"/>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本项目接受联合体投标：</w:t>
      </w:r>
      <w:r>
        <w:rPr>
          <w:rFonts w:hint="eastAsia" w:ascii="仿宋" w:hAnsi="仿宋" w:eastAsia="仿宋" w:cs="仿宋"/>
          <w:color w:val="auto"/>
          <w:kern w:val="0"/>
          <w:sz w:val="21"/>
          <w:szCs w:val="21"/>
          <w:highlight w:val="none"/>
        </w:rPr>
        <w:sym w:font="Wingdings" w:char="F0FE"/>
      </w:r>
      <w:r>
        <w:rPr>
          <w:rFonts w:hint="eastAsia" w:ascii="仿宋" w:hAnsi="仿宋" w:eastAsia="仿宋" w:cs="仿宋"/>
          <w:b/>
          <w:color w:val="auto"/>
          <w:sz w:val="21"/>
          <w:szCs w:val="21"/>
          <w:highlight w:val="none"/>
        </w:rPr>
        <w:t>是；</w:t>
      </w:r>
      <w:sdt>
        <w:sdtPr>
          <w:rPr>
            <w:rFonts w:hint="eastAsia" w:ascii="仿宋" w:hAnsi="仿宋" w:eastAsia="仿宋" w:cs="仿宋"/>
            <w:color w:val="auto"/>
            <w:kern w:val="0"/>
            <w:sz w:val="21"/>
            <w:szCs w:val="21"/>
            <w:highlight w:val="none"/>
          </w:rPr>
          <w:id w:val="-1591624199"/>
        </w:sdtPr>
        <w:sdtEndPr>
          <w:rPr>
            <w:rFonts w:hint="eastAsia" w:ascii="仿宋" w:hAnsi="仿宋" w:eastAsia="仿宋" w:cs="仿宋"/>
            <w:color w:val="auto"/>
            <w:kern w:val="0"/>
            <w:sz w:val="21"/>
            <w:szCs w:val="21"/>
            <w:highlight w:val="none"/>
          </w:rPr>
        </w:sdtEndPr>
        <w:sdtContent>
          <w:r>
            <w:rPr>
              <w:rFonts w:hint="eastAsia" w:ascii="仿宋" w:hAnsi="仿宋" w:eastAsia="仿宋" w:cs="仿宋"/>
              <w:color w:val="auto"/>
              <w:kern w:val="0"/>
              <w:sz w:val="21"/>
              <w:szCs w:val="21"/>
              <w:highlight w:val="none"/>
            </w:rPr>
            <w:t>☐</w:t>
          </w:r>
        </w:sdtContent>
      </w:sdt>
      <w:r>
        <w:rPr>
          <w:rFonts w:hint="eastAsia" w:ascii="仿宋" w:hAnsi="仿宋" w:eastAsia="仿宋" w:cs="仿宋"/>
          <w:b/>
          <w:color w:val="auto"/>
          <w:sz w:val="21"/>
          <w:szCs w:val="21"/>
          <w:highlight w:val="none"/>
        </w:rPr>
        <w:t>否</w:t>
      </w:r>
      <w:r>
        <w:rPr>
          <w:rFonts w:hint="eastAsia" w:ascii="仿宋" w:hAnsi="仿宋" w:eastAsia="仿宋" w:cs="仿宋"/>
          <w:color w:val="auto"/>
          <w:kern w:val="0"/>
          <w:sz w:val="21"/>
          <w:szCs w:val="21"/>
          <w:highlight w:val="none"/>
        </w:rPr>
        <w:t>。</w:t>
      </w:r>
    </w:p>
    <w:p w14:paraId="5C7D0F00">
      <w:pPr>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二、申请人的资格要求：</w:t>
      </w:r>
    </w:p>
    <w:p w14:paraId="28B0E819">
      <w:pPr>
        <w:spacing w:line="360" w:lineRule="auto"/>
        <w:ind w:firstLine="480"/>
        <w:rPr>
          <w:rFonts w:hint="eastAsia" w:ascii="仿宋" w:hAnsi="仿宋" w:eastAsia="仿宋" w:cs="仿宋"/>
          <w:snapToGrid w:val="0"/>
          <w:color w:val="auto"/>
          <w:kern w:val="28"/>
          <w:sz w:val="21"/>
          <w:szCs w:val="21"/>
          <w:highlight w:val="none"/>
        </w:rPr>
      </w:pPr>
      <w:r>
        <w:rPr>
          <w:rFonts w:hint="eastAsia" w:ascii="仿宋" w:hAnsi="仿宋" w:eastAsia="仿宋" w:cs="仿宋"/>
          <w:snapToGrid w:val="0"/>
          <w:color w:val="auto"/>
          <w:kern w:val="28"/>
          <w:sz w:val="21"/>
          <w:szCs w:val="21"/>
          <w:highlight w:val="none"/>
        </w:rPr>
        <w:t>1. 满足《中华人民共和国政府采购法》第二十二条规定；未被“信用中国”（www.creditchina.gov.cn)、中国政府采购网（www.ccgp.gov.cn）列入失信被执行人、重大税收违法案件当事人名单、政府采购严重违法失信行为记录名单；</w:t>
      </w:r>
    </w:p>
    <w:p w14:paraId="1589CE54">
      <w:pPr>
        <w:spacing w:line="360" w:lineRule="auto"/>
        <w:ind w:firstLine="480"/>
        <w:rPr>
          <w:rFonts w:hint="eastAsia" w:ascii="仿宋" w:hAnsi="仿宋" w:eastAsia="仿宋" w:cs="仿宋"/>
          <w:snapToGrid w:val="0"/>
          <w:color w:val="auto"/>
          <w:kern w:val="28"/>
          <w:sz w:val="21"/>
          <w:szCs w:val="21"/>
          <w:highlight w:val="none"/>
        </w:rPr>
      </w:pPr>
      <w:r>
        <w:rPr>
          <w:rFonts w:hint="eastAsia" w:ascii="仿宋" w:hAnsi="仿宋" w:eastAsia="仿宋" w:cs="仿宋"/>
          <w:snapToGrid w:val="0"/>
          <w:color w:val="auto"/>
          <w:kern w:val="28"/>
          <w:sz w:val="21"/>
          <w:szCs w:val="21"/>
          <w:highlight w:val="none"/>
        </w:rPr>
        <w:t>2.以联合体形式投标的，提供联合协议(本项目不接受联合体投标或者投标人不以联合体形式投标的，则不需要提供) ；</w:t>
      </w:r>
    </w:p>
    <w:p w14:paraId="690C155C">
      <w:pPr>
        <w:spacing w:line="360" w:lineRule="auto"/>
        <w:ind w:firstLine="420" w:firstLineChars="200"/>
        <w:rPr>
          <w:rFonts w:hint="eastAsia" w:ascii="仿宋" w:hAnsi="仿宋" w:eastAsia="仿宋" w:cs="仿宋"/>
          <w:snapToGrid w:val="0"/>
          <w:color w:val="auto"/>
          <w:kern w:val="28"/>
          <w:sz w:val="21"/>
          <w:szCs w:val="21"/>
          <w:highlight w:val="none"/>
        </w:rPr>
      </w:pPr>
      <w:r>
        <w:rPr>
          <w:rFonts w:hint="eastAsia" w:ascii="仿宋" w:hAnsi="仿宋" w:eastAsia="仿宋" w:cs="仿宋"/>
          <w:snapToGrid w:val="0"/>
          <w:color w:val="auto"/>
          <w:kern w:val="28"/>
          <w:sz w:val="21"/>
          <w:szCs w:val="21"/>
          <w:highlight w:val="none"/>
        </w:rPr>
        <w:t>3.落实政府采购政策需满足的资格要求：</w:t>
      </w:r>
    </w:p>
    <w:p w14:paraId="0A3A0ACE">
      <w:pPr>
        <w:spacing w:line="360" w:lineRule="auto"/>
        <w:ind w:firstLine="420" w:firstLineChars="200"/>
        <w:rPr>
          <w:rFonts w:hint="eastAsia" w:ascii="仿宋" w:hAnsi="仿宋" w:eastAsia="仿宋" w:cs="仿宋"/>
          <w:b w:val="0"/>
          <w:bCs w:val="0"/>
          <w:color w:val="auto"/>
          <w:sz w:val="21"/>
          <w:szCs w:val="21"/>
          <w:highlight w:val="none"/>
        </w:rPr>
      </w:pPr>
      <w:sdt>
        <w:sdtPr>
          <w:rPr>
            <w:rFonts w:hint="eastAsia" w:ascii="仿宋" w:hAnsi="仿宋" w:eastAsia="仿宋" w:cs="仿宋"/>
            <w:b w:val="0"/>
            <w:bCs w:val="0"/>
            <w:color w:val="auto"/>
            <w:kern w:val="0"/>
            <w:sz w:val="21"/>
            <w:szCs w:val="21"/>
            <w:highlight w:val="none"/>
          </w:rPr>
          <w:id w:val="1928616923"/>
        </w:sdtPr>
        <w:sdtEndPr>
          <w:rPr>
            <w:rFonts w:hint="eastAsia" w:ascii="仿宋" w:hAnsi="仿宋" w:eastAsia="仿宋" w:cs="仿宋"/>
            <w:b w:val="0"/>
            <w:bCs w:val="0"/>
            <w:color w:val="auto"/>
            <w:kern w:val="0"/>
            <w:sz w:val="21"/>
            <w:szCs w:val="21"/>
            <w:highlight w:val="none"/>
          </w:rPr>
        </w:sdtEndPr>
        <w:sdtContent>
          <w:r>
            <w:rPr>
              <w:rFonts w:hint="eastAsia" w:ascii="仿宋" w:hAnsi="仿宋" w:eastAsia="仿宋" w:cs="仿宋"/>
              <w:b w:val="0"/>
              <w:bCs w:val="0"/>
              <w:color w:val="auto"/>
              <w:kern w:val="0"/>
              <w:sz w:val="21"/>
              <w:szCs w:val="21"/>
              <w:highlight w:val="none"/>
            </w:rPr>
            <w:sym w:font="Wingdings" w:char="00A8"/>
          </w:r>
        </w:sdtContent>
      </w:sdt>
      <w:r>
        <w:rPr>
          <w:rFonts w:hint="eastAsia" w:ascii="仿宋" w:hAnsi="仿宋" w:eastAsia="仿宋" w:cs="仿宋"/>
          <w:b w:val="0"/>
          <w:bCs w:val="0"/>
          <w:color w:val="auto"/>
          <w:sz w:val="21"/>
          <w:szCs w:val="21"/>
          <w:highlight w:val="none"/>
        </w:rPr>
        <w:t>无</w:t>
      </w:r>
      <w:r>
        <w:rPr>
          <w:rFonts w:hint="eastAsia" w:ascii="仿宋" w:hAnsi="仿宋" w:eastAsia="仿宋" w:cs="仿宋"/>
          <w:b w:val="0"/>
          <w:bCs w:val="0"/>
          <w:snapToGrid w:val="0"/>
          <w:color w:val="auto"/>
          <w:kern w:val="28"/>
          <w:sz w:val="21"/>
          <w:szCs w:val="21"/>
          <w:highlight w:val="none"/>
        </w:rPr>
        <w:t>（注：不得限制大中型企业与小微企业组成联合体参与投标）；</w:t>
      </w:r>
    </w:p>
    <w:p w14:paraId="310DE0C3">
      <w:pPr>
        <w:spacing w:line="360" w:lineRule="auto"/>
        <w:ind w:firstLine="420" w:firstLineChars="200"/>
        <w:rPr>
          <w:rFonts w:hint="eastAsia" w:ascii="仿宋" w:hAnsi="仿宋" w:eastAsia="仿宋" w:cs="仿宋"/>
          <w:color w:val="auto"/>
          <w:sz w:val="21"/>
          <w:szCs w:val="21"/>
          <w:highlight w:val="none"/>
        </w:rPr>
      </w:pPr>
      <w:sdt>
        <w:sdtPr>
          <w:rPr>
            <w:rFonts w:hint="eastAsia" w:ascii="仿宋" w:hAnsi="仿宋" w:eastAsia="仿宋" w:cs="仿宋"/>
            <w:color w:val="auto"/>
            <w:kern w:val="0"/>
            <w:sz w:val="21"/>
            <w:szCs w:val="21"/>
            <w:highlight w:val="none"/>
          </w:rPr>
          <w:id w:val="-1024704304"/>
        </w:sdtPr>
        <w:sdtEndPr>
          <w:rPr>
            <w:rFonts w:hint="eastAsia" w:ascii="仿宋" w:hAnsi="仿宋" w:eastAsia="仿宋" w:cs="仿宋"/>
            <w:color w:val="auto"/>
            <w:kern w:val="0"/>
            <w:sz w:val="21"/>
            <w:szCs w:val="21"/>
            <w:highlight w:val="none"/>
          </w:rPr>
        </w:sdtEndPr>
        <w:sdtContent>
          <w:r>
            <w:rPr>
              <w:rFonts w:hint="eastAsia" w:ascii="仿宋" w:hAnsi="仿宋" w:eastAsia="仿宋" w:cs="仿宋"/>
              <w:color w:val="auto"/>
              <w:kern w:val="0"/>
              <w:sz w:val="21"/>
              <w:szCs w:val="21"/>
              <w:highlight w:val="none"/>
            </w:rPr>
            <w:t>☐</w:t>
          </w:r>
        </w:sdtContent>
      </w:sdt>
      <w:r>
        <w:rPr>
          <w:rFonts w:hint="eastAsia" w:ascii="仿宋" w:hAnsi="仿宋" w:eastAsia="仿宋" w:cs="仿宋"/>
          <w:color w:val="auto"/>
          <w:kern w:val="0"/>
          <w:sz w:val="21"/>
          <w:szCs w:val="21"/>
          <w:highlight w:val="none"/>
        </w:rPr>
        <w:t>专</w:t>
      </w:r>
      <w:r>
        <w:rPr>
          <w:rFonts w:hint="eastAsia" w:ascii="仿宋" w:hAnsi="仿宋" w:eastAsia="仿宋" w:cs="仿宋"/>
          <w:color w:val="auto"/>
          <w:sz w:val="21"/>
          <w:szCs w:val="21"/>
          <w:highlight w:val="none"/>
        </w:rPr>
        <w:t>门面向中小企业</w:t>
      </w:r>
    </w:p>
    <w:p w14:paraId="0EB7F7CA">
      <w:pPr>
        <w:spacing w:line="360" w:lineRule="auto"/>
        <w:ind w:firstLine="785" w:firstLineChars="374"/>
        <w:rPr>
          <w:rFonts w:hint="eastAsia" w:ascii="仿宋" w:hAnsi="仿宋" w:eastAsia="仿宋" w:cs="仿宋"/>
          <w:color w:val="auto"/>
          <w:sz w:val="21"/>
          <w:szCs w:val="21"/>
          <w:highlight w:val="none"/>
        </w:rPr>
      </w:pPr>
      <w:sdt>
        <w:sdtPr>
          <w:rPr>
            <w:rFonts w:hint="eastAsia" w:ascii="仿宋" w:hAnsi="仿宋" w:eastAsia="仿宋" w:cs="仿宋"/>
            <w:color w:val="auto"/>
            <w:kern w:val="0"/>
            <w:sz w:val="21"/>
            <w:szCs w:val="21"/>
            <w:highlight w:val="none"/>
          </w:rPr>
          <w:id w:val="-333685401"/>
        </w:sdtPr>
        <w:sdtEndPr>
          <w:rPr>
            <w:rFonts w:hint="eastAsia" w:ascii="仿宋" w:hAnsi="仿宋" w:eastAsia="仿宋" w:cs="仿宋"/>
            <w:color w:val="auto"/>
            <w:kern w:val="0"/>
            <w:sz w:val="21"/>
            <w:szCs w:val="21"/>
            <w:highlight w:val="none"/>
          </w:rPr>
        </w:sdtEndPr>
        <w:sdtContent>
          <w:r>
            <w:rPr>
              <w:rFonts w:hint="eastAsia" w:ascii="仿宋" w:hAnsi="仿宋" w:eastAsia="仿宋" w:cs="仿宋"/>
              <w:color w:val="auto"/>
              <w:kern w:val="0"/>
              <w:sz w:val="21"/>
              <w:szCs w:val="21"/>
              <w:highlight w:val="none"/>
            </w:rPr>
            <w:t>☐</w:t>
          </w:r>
        </w:sdtContent>
      </w:sdt>
      <w:r>
        <w:rPr>
          <w:rFonts w:hint="eastAsia" w:ascii="仿宋" w:hAnsi="仿宋" w:eastAsia="仿宋" w:cs="仿宋"/>
          <w:color w:val="auto"/>
          <w:sz w:val="21"/>
          <w:szCs w:val="21"/>
          <w:highlight w:val="none"/>
        </w:rPr>
        <w:t>服务全部由符合政策要求的中小企业承接，提供中小企业声明函；</w:t>
      </w:r>
    </w:p>
    <w:p w14:paraId="19BD192A">
      <w:pPr>
        <w:spacing w:line="360" w:lineRule="auto"/>
        <w:ind w:firstLine="785" w:firstLineChars="374"/>
        <w:rPr>
          <w:rFonts w:hint="eastAsia" w:ascii="仿宋" w:hAnsi="仿宋" w:eastAsia="仿宋" w:cs="仿宋"/>
          <w:color w:val="auto"/>
          <w:sz w:val="21"/>
          <w:szCs w:val="21"/>
          <w:highlight w:val="none"/>
        </w:rPr>
      </w:pPr>
      <w:sdt>
        <w:sdtPr>
          <w:rPr>
            <w:rFonts w:hint="eastAsia" w:ascii="仿宋" w:hAnsi="仿宋" w:eastAsia="仿宋" w:cs="仿宋"/>
            <w:color w:val="auto"/>
            <w:kern w:val="0"/>
            <w:sz w:val="21"/>
            <w:szCs w:val="21"/>
            <w:highlight w:val="none"/>
          </w:rPr>
          <w:id w:val="-2141025358"/>
        </w:sdtPr>
        <w:sdtEndPr>
          <w:rPr>
            <w:rFonts w:hint="eastAsia" w:ascii="仿宋" w:hAnsi="仿宋" w:eastAsia="仿宋" w:cs="仿宋"/>
            <w:color w:val="auto"/>
            <w:kern w:val="0"/>
            <w:sz w:val="21"/>
            <w:szCs w:val="21"/>
            <w:highlight w:val="none"/>
          </w:rPr>
        </w:sdtEndPr>
        <w:sdtContent>
          <w:r>
            <w:rPr>
              <w:rFonts w:hint="eastAsia" w:ascii="仿宋" w:hAnsi="仿宋" w:eastAsia="仿宋" w:cs="仿宋"/>
              <w:color w:val="auto"/>
              <w:kern w:val="0"/>
              <w:sz w:val="21"/>
              <w:szCs w:val="21"/>
              <w:highlight w:val="none"/>
            </w:rPr>
            <w:t>☐</w:t>
          </w:r>
        </w:sdtContent>
      </w:sdt>
      <w:r>
        <w:rPr>
          <w:rFonts w:hint="eastAsia" w:ascii="仿宋" w:hAnsi="仿宋" w:eastAsia="仿宋" w:cs="仿宋"/>
          <w:color w:val="auto"/>
          <w:sz w:val="21"/>
          <w:szCs w:val="21"/>
          <w:highlight w:val="none"/>
        </w:rPr>
        <w:t>服务全部由符合政策要求的小微企业承接，提供中小企业声明函；</w:t>
      </w:r>
    </w:p>
    <w:p w14:paraId="691DA3CD">
      <w:pPr>
        <w:rPr>
          <w:rFonts w:hint="eastAsia" w:ascii="仿宋" w:hAnsi="仿宋" w:eastAsia="仿宋" w:cs="仿宋"/>
          <w:color w:val="auto"/>
          <w:sz w:val="21"/>
          <w:szCs w:val="21"/>
          <w:highlight w:val="none"/>
        </w:rPr>
      </w:pPr>
    </w:p>
    <w:p w14:paraId="25077EC2">
      <w:pPr>
        <w:spacing w:line="360" w:lineRule="auto"/>
        <w:ind w:firstLine="420" w:firstLineChars="200"/>
        <w:rPr>
          <w:rFonts w:hint="eastAsia" w:ascii="仿宋" w:hAnsi="仿宋" w:eastAsia="仿宋" w:cs="仿宋"/>
          <w:color w:val="auto"/>
          <w:sz w:val="21"/>
          <w:szCs w:val="21"/>
          <w:highlight w:val="none"/>
        </w:rPr>
      </w:pPr>
      <w:sdt>
        <w:sdtPr>
          <w:rPr>
            <w:rFonts w:hint="eastAsia" w:ascii="仿宋" w:hAnsi="仿宋" w:eastAsia="仿宋" w:cs="仿宋"/>
            <w:color w:val="auto"/>
            <w:kern w:val="0"/>
            <w:sz w:val="21"/>
            <w:szCs w:val="21"/>
            <w:highlight w:val="none"/>
          </w:rPr>
          <w:id w:val="-1985607795"/>
        </w:sdtPr>
        <w:sdtEndPr>
          <w:rPr>
            <w:rFonts w:hint="eastAsia" w:ascii="仿宋" w:hAnsi="仿宋" w:eastAsia="仿宋" w:cs="仿宋"/>
            <w:color w:val="auto"/>
            <w:kern w:val="0"/>
            <w:sz w:val="21"/>
            <w:szCs w:val="21"/>
            <w:highlight w:val="none"/>
          </w:rPr>
        </w:sdtEndPr>
        <w:sdtContent>
          <w:r>
            <w:rPr>
              <w:rFonts w:hint="eastAsia" w:ascii="仿宋" w:hAnsi="仿宋" w:eastAsia="仿宋" w:cs="仿宋"/>
              <w:color w:val="auto"/>
              <w:kern w:val="0"/>
              <w:sz w:val="21"/>
              <w:szCs w:val="21"/>
              <w:highlight w:val="none"/>
            </w:rPr>
            <w:t>☐</w:t>
          </w:r>
        </w:sdtContent>
      </w:sdt>
      <w:r>
        <w:rPr>
          <w:rFonts w:hint="eastAsia" w:ascii="仿宋" w:hAnsi="仿宋" w:eastAsia="仿宋" w:cs="仿宋"/>
          <w:color w:val="auto"/>
          <w:sz w:val="21"/>
          <w:szCs w:val="21"/>
          <w:highlight w:val="none"/>
        </w:rPr>
        <w:t>要求以联合体形式参加，提供联合协议和中小企业声明函，联合协议中中小企业合同金额应当达到</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val="en-US" w:eastAsia="zh-CN"/>
        </w:rPr>
        <w:t>/</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%，其中小微企业合同金额应当达到</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val="en-US" w:eastAsia="zh-CN"/>
        </w:rPr>
        <w:t>/</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w:t>
      </w:r>
      <w:r>
        <w:rPr>
          <w:rFonts w:hint="eastAsia" w:ascii="仿宋" w:hAnsi="仿宋" w:eastAsia="仿宋" w:cs="仿宋"/>
          <w:color w:val="auto"/>
          <w:spacing w:val="8"/>
          <w:kern w:val="0"/>
          <w:sz w:val="21"/>
          <w:szCs w:val="21"/>
          <w:highlight w:val="none"/>
        </w:rPr>
        <w:t>如果供应商本身提供所有标的均由中小企业制造、承建或承接，并相应达到了前述比例要求，视同符合了资格条件，无需再与其他中小企业组成联合体参加政府采购活动，无需提供联合协议</w:t>
      </w:r>
      <w:r>
        <w:rPr>
          <w:rFonts w:hint="eastAsia" w:ascii="仿宋" w:hAnsi="仿宋" w:eastAsia="仿宋" w:cs="仿宋"/>
          <w:color w:val="auto"/>
          <w:sz w:val="21"/>
          <w:szCs w:val="21"/>
          <w:highlight w:val="none"/>
        </w:rPr>
        <w:t>；</w:t>
      </w:r>
    </w:p>
    <w:p w14:paraId="7488AE8C">
      <w:pPr>
        <w:spacing w:line="360" w:lineRule="auto"/>
        <w:ind w:firstLine="422" w:firstLineChars="200"/>
        <w:rPr>
          <w:rFonts w:hint="eastAsia" w:ascii="仿宋" w:hAnsi="仿宋" w:eastAsia="仿宋" w:cs="仿宋"/>
          <w:b/>
          <w:bCs/>
          <w:color w:val="auto"/>
          <w:kern w:val="0"/>
          <w:sz w:val="21"/>
          <w:szCs w:val="21"/>
          <w:highlight w:val="none"/>
        </w:rPr>
      </w:pPr>
      <w:sdt>
        <w:sdtPr>
          <w:rPr>
            <w:rFonts w:hint="eastAsia" w:ascii="仿宋" w:hAnsi="仿宋" w:eastAsia="仿宋" w:cs="仿宋"/>
            <w:b/>
            <w:bCs/>
            <w:color w:val="auto"/>
            <w:kern w:val="0"/>
            <w:sz w:val="21"/>
            <w:szCs w:val="21"/>
            <w:highlight w:val="none"/>
          </w:rPr>
          <w:id w:val="147451558"/>
          <w14:checkbox>
            <w14:checked w14:val="1"/>
            <w14:checkedState w14:val="00FE" w14:font="Wingdings"/>
            <w14:uncheckedState w14:val="2610" w14:font="MS Gothic"/>
          </w14:checkbox>
        </w:sdtPr>
        <w:sdtEndPr>
          <w:rPr>
            <w:rFonts w:hint="eastAsia" w:ascii="仿宋" w:hAnsi="仿宋" w:eastAsia="仿宋" w:cs="仿宋"/>
            <w:b/>
            <w:bCs/>
            <w:color w:val="auto"/>
            <w:kern w:val="0"/>
            <w:sz w:val="21"/>
            <w:szCs w:val="21"/>
            <w:highlight w:val="none"/>
          </w:rPr>
        </w:sdtEndPr>
        <w:sdtContent>
          <w:r>
            <w:rPr>
              <w:rFonts w:hint="eastAsia" w:ascii="Wingdings" w:hAnsi="Wingdings" w:eastAsia="仿宋" w:cs="仿宋"/>
              <w:b/>
              <w:bCs/>
              <w:color w:val="auto"/>
              <w:kern w:val="0"/>
              <w:sz w:val="21"/>
              <w:szCs w:val="21"/>
              <w:highlight w:val="none"/>
              <w:lang w:val="en-US" w:eastAsia="zh-CN" w:bidi="ar-SA"/>
            </w:rPr>
            <w:t>þ</w:t>
          </w:r>
        </w:sdtContent>
      </w:sdt>
      <w:r>
        <w:rPr>
          <w:rFonts w:hint="eastAsia" w:ascii="仿宋" w:hAnsi="仿宋" w:eastAsia="仿宋" w:cs="仿宋"/>
          <w:b/>
          <w:bCs/>
          <w:color w:val="auto"/>
          <w:kern w:val="0"/>
          <w:sz w:val="21"/>
          <w:szCs w:val="21"/>
          <w:highlight w:val="none"/>
          <w:lang w:val="en-US" w:eastAsia="zh-CN"/>
        </w:rPr>
        <w:t>本项目</w:t>
      </w:r>
      <w:r>
        <w:rPr>
          <w:rFonts w:hint="eastAsia" w:ascii="仿宋" w:hAnsi="仿宋" w:eastAsia="仿宋" w:cs="仿宋"/>
          <w:b/>
          <w:bCs/>
          <w:color w:val="auto"/>
          <w:kern w:val="0"/>
          <w:sz w:val="21"/>
          <w:szCs w:val="21"/>
          <w:highlight w:val="none"/>
        </w:rPr>
        <w:t>要求合同分包，</w:t>
      </w:r>
      <w:r>
        <w:rPr>
          <w:rFonts w:hint="eastAsia" w:ascii="仿宋" w:hAnsi="仿宋" w:eastAsia="仿宋" w:cs="仿宋"/>
          <w:b/>
          <w:bCs/>
          <w:color w:val="auto"/>
          <w:kern w:val="0"/>
          <w:sz w:val="21"/>
          <w:szCs w:val="21"/>
          <w:highlight w:val="none"/>
          <w:lang w:val="en-US" w:eastAsia="zh-CN"/>
        </w:rPr>
        <w:t>供应商应以合同分包形式参加，并按要求</w:t>
      </w:r>
      <w:r>
        <w:rPr>
          <w:rFonts w:hint="eastAsia" w:ascii="仿宋" w:hAnsi="仿宋" w:eastAsia="仿宋" w:cs="仿宋"/>
          <w:b/>
          <w:bCs/>
          <w:color w:val="auto"/>
          <w:kern w:val="0"/>
          <w:sz w:val="21"/>
          <w:szCs w:val="21"/>
          <w:highlight w:val="none"/>
        </w:rPr>
        <w:t>提供分包意向协议和中小企业声明函</w:t>
      </w:r>
      <w:r>
        <w:rPr>
          <w:rFonts w:hint="eastAsia" w:ascii="仿宋" w:hAnsi="仿宋" w:eastAsia="仿宋" w:cs="仿宋"/>
          <w:b/>
          <w:bCs/>
          <w:color w:val="auto"/>
          <w:kern w:val="0"/>
          <w:sz w:val="21"/>
          <w:szCs w:val="21"/>
          <w:highlight w:val="none"/>
          <w:lang w:eastAsia="zh-CN"/>
        </w:rPr>
        <w:t>。</w:t>
      </w:r>
      <w:r>
        <w:rPr>
          <w:rFonts w:hint="eastAsia" w:ascii="仿宋" w:hAnsi="仿宋" w:eastAsia="仿宋" w:cs="仿宋"/>
          <w:b/>
          <w:bCs/>
          <w:color w:val="auto"/>
          <w:kern w:val="0"/>
          <w:sz w:val="21"/>
          <w:szCs w:val="21"/>
          <w:highlight w:val="none"/>
        </w:rPr>
        <w:t>分包意向协议中</w:t>
      </w:r>
      <w:r>
        <w:rPr>
          <w:rFonts w:hint="eastAsia" w:ascii="仿宋" w:hAnsi="仿宋" w:eastAsia="仿宋" w:cs="仿宋"/>
          <w:b/>
          <w:bCs/>
          <w:color w:val="auto"/>
          <w:kern w:val="0"/>
          <w:sz w:val="21"/>
          <w:szCs w:val="21"/>
          <w:highlight w:val="none"/>
          <w:lang w:eastAsia="zh-CN"/>
        </w:rPr>
        <w:t>，</w:t>
      </w:r>
      <w:r>
        <w:rPr>
          <w:rFonts w:hint="eastAsia" w:ascii="仿宋" w:hAnsi="仿宋" w:eastAsia="仿宋" w:cs="仿宋"/>
          <w:b/>
          <w:bCs/>
          <w:color w:val="auto"/>
          <w:kern w:val="0"/>
          <w:sz w:val="21"/>
          <w:szCs w:val="21"/>
          <w:highlight w:val="none"/>
        </w:rPr>
        <w:t>中小企业合同金额应当达到</w:t>
      </w:r>
      <w:r>
        <w:rPr>
          <w:rFonts w:hint="eastAsia" w:ascii="仿宋" w:hAnsi="仿宋" w:eastAsia="仿宋" w:cs="仿宋"/>
          <w:b/>
          <w:bCs/>
          <w:color w:val="auto"/>
          <w:sz w:val="21"/>
          <w:szCs w:val="21"/>
          <w:highlight w:val="none"/>
          <w:u w:val="single"/>
        </w:rPr>
        <w:t xml:space="preserve"> </w:t>
      </w:r>
      <w:r>
        <w:rPr>
          <w:rFonts w:hint="eastAsia" w:ascii="仿宋" w:hAnsi="仿宋" w:eastAsia="仿宋" w:cs="仿宋"/>
          <w:b/>
          <w:bCs/>
          <w:color w:val="auto"/>
          <w:sz w:val="21"/>
          <w:szCs w:val="21"/>
          <w:highlight w:val="none"/>
          <w:u w:val="single"/>
          <w:lang w:val="en-US" w:eastAsia="zh-CN"/>
        </w:rPr>
        <w:t xml:space="preserve">40 </w:t>
      </w:r>
      <w:r>
        <w:rPr>
          <w:rFonts w:hint="eastAsia" w:ascii="仿宋" w:hAnsi="仿宋" w:eastAsia="仿宋" w:cs="仿宋"/>
          <w:b/>
          <w:bCs/>
          <w:color w:val="auto"/>
          <w:sz w:val="21"/>
          <w:szCs w:val="21"/>
          <w:highlight w:val="none"/>
          <w:u w:val="single"/>
        </w:rPr>
        <w:t xml:space="preserve"> </w:t>
      </w:r>
      <w:r>
        <w:rPr>
          <w:rFonts w:hint="eastAsia" w:ascii="仿宋" w:hAnsi="仿宋" w:eastAsia="仿宋" w:cs="仿宋"/>
          <w:b/>
          <w:bCs/>
          <w:color w:val="auto"/>
          <w:kern w:val="0"/>
          <w:sz w:val="21"/>
          <w:szCs w:val="21"/>
          <w:highlight w:val="none"/>
        </w:rPr>
        <w:t>% ，其中</w:t>
      </w:r>
      <w:r>
        <w:rPr>
          <w:rFonts w:hint="eastAsia" w:ascii="仿宋" w:hAnsi="仿宋" w:eastAsia="仿宋" w:cs="仿宋"/>
          <w:b/>
          <w:bCs/>
          <w:color w:val="auto"/>
          <w:kern w:val="0"/>
          <w:sz w:val="21"/>
          <w:szCs w:val="21"/>
          <w:highlight w:val="none"/>
          <w:lang w:eastAsia="zh-CN"/>
        </w:rPr>
        <w:t>，</w:t>
      </w:r>
      <w:r>
        <w:rPr>
          <w:rFonts w:hint="eastAsia" w:ascii="仿宋" w:hAnsi="仿宋" w:eastAsia="仿宋" w:cs="仿宋"/>
          <w:b/>
          <w:bCs/>
          <w:color w:val="auto"/>
          <w:kern w:val="0"/>
          <w:sz w:val="21"/>
          <w:szCs w:val="21"/>
          <w:highlight w:val="none"/>
        </w:rPr>
        <w:t>小微企业合同金额应当达到</w:t>
      </w:r>
      <w:r>
        <w:rPr>
          <w:rFonts w:hint="eastAsia" w:ascii="仿宋" w:hAnsi="仿宋" w:eastAsia="仿宋" w:cs="仿宋"/>
          <w:b/>
          <w:bCs/>
          <w:color w:val="auto"/>
          <w:sz w:val="21"/>
          <w:szCs w:val="21"/>
          <w:highlight w:val="none"/>
          <w:u w:val="single"/>
        </w:rPr>
        <w:t xml:space="preserve"> </w:t>
      </w:r>
      <w:r>
        <w:rPr>
          <w:rFonts w:hint="eastAsia" w:ascii="仿宋" w:hAnsi="仿宋" w:eastAsia="仿宋" w:cs="仿宋"/>
          <w:b/>
          <w:bCs/>
          <w:color w:val="auto"/>
          <w:sz w:val="21"/>
          <w:szCs w:val="21"/>
          <w:highlight w:val="none"/>
          <w:u w:val="single"/>
          <w:lang w:val="en-US" w:eastAsia="zh-CN"/>
        </w:rPr>
        <w:t>28</w:t>
      </w:r>
      <w:r>
        <w:rPr>
          <w:rFonts w:hint="eastAsia" w:ascii="仿宋" w:hAnsi="仿宋" w:eastAsia="仿宋" w:cs="仿宋"/>
          <w:b/>
          <w:bCs/>
          <w:color w:val="auto"/>
          <w:sz w:val="21"/>
          <w:szCs w:val="21"/>
          <w:highlight w:val="none"/>
          <w:u w:val="single"/>
        </w:rPr>
        <w:t xml:space="preserve"> </w:t>
      </w:r>
      <w:r>
        <w:rPr>
          <w:rFonts w:hint="eastAsia" w:ascii="仿宋" w:hAnsi="仿宋" w:eastAsia="仿宋" w:cs="仿宋"/>
          <w:b/>
          <w:bCs/>
          <w:color w:val="auto"/>
          <w:kern w:val="0"/>
          <w:sz w:val="21"/>
          <w:szCs w:val="21"/>
          <w:highlight w:val="none"/>
        </w:rPr>
        <w:t>% ;如果供应商本身提供所有标的均由</w:t>
      </w:r>
      <w:r>
        <w:rPr>
          <w:rFonts w:hint="eastAsia" w:ascii="仿宋" w:hAnsi="仿宋" w:eastAsia="仿宋" w:cs="仿宋"/>
          <w:b/>
          <w:bCs/>
          <w:color w:val="auto"/>
          <w:spacing w:val="8"/>
          <w:kern w:val="0"/>
          <w:sz w:val="21"/>
          <w:szCs w:val="21"/>
          <w:highlight w:val="none"/>
        </w:rPr>
        <w:t>小</w:t>
      </w:r>
      <w:r>
        <w:rPr>
          <w:rFonts w:hint="eastAsia" w:ascii="仿宋" w:hAnsi="仿宋" w:eastAsia="仿宋" w:cs="仿宋"/>
          <w:b/>
          <w:bCs/>
          <w:color w:val="auto"/>
          <w:spacing w:val="8"/>
          <w:kern w:val="0"/>
          <w:sz w:val="21"/>
          <w:szCs w:val="21"/>
          <w:highlight w:val="none"/>
          <w:lang w:val="en-US" w:eastAsia="zh-CN"/>
        </w:rPr>
        <w:t>微</w:t>
      </w:r>
      <w:r>
        <w:rPr>
          <w:rFonts w:hint="eastAsia" w:ascii="仿宋" w:hAnsi="仿宋" w:eastAsia="仿宋" w:cs="仿宋"/>
          <w:b/>
          <w:bCs/>
          <w:color w:val="auto"/>
          <w:spacing w:val="8"/>
          <w:kern w:val="0"/>
          <w:sz w:val="21"/>
          <w:szCs w:val="21"/>
          <w:highlight w:val="none"/>
        </w:rPr>
        <w:t>企业</w:t>
      </w:r>
      <w:r>
        <w:rPr>
          <w:rFonts w:hint="eastAsia" w:ascii="仿宋" w:hAnsi="仿宋" w:eastAsia="仿宋" w:cs="仿宋"/>
          <w:b/>
          <w:bCs/>
          <w:color w:val="auto"/>
          <w:kern w:val="0"/>
          <w:sz w:val="21"/>
          <w:szCs w:val="21"/>
          <w:highlight w:val="none"/>
        </w:rPr>
        <w:t>制造、承建或承接，并相应达到了前述比例要求，</w:t>
      </w:r>
      <w:r>
        <w:rPr>
          <w:rFonts w:hint="eastAsia" w:ascii="仿宋" w:hAnsi="仿宋" w:eastAsia="仿宋" w:cs="仿宋"/>
          <w:b/>
          <w:bCs/>
          <w:color w:val="auto"/>
          <w:spacing w:val="8"/>
          <w:kern w:val="0"/>
          <w:sz w:val="21"/>
          <w:szCs w:val="21"/>
          <w:highlight w:val="none"/>
        </w:rPr>
        <w:t>无需再向中小企业分包，</w:t>
      </w:r>
      <w:r>
        <w:rPr>
          <w:rFonts w:hint="eastAsia" w:ascii="仿宋" w:hAnsi="仿宋" w:eastAsia="仿宋" w:cs="仿宋"/>
          <w:b/>
          <w:bCs/>
          <w:color w:val="auto"/>
          <w:spacing w:val="8"/>
          <w:kern w:val="0"/>
          <w:sz w:val="21"/>
          <w:szCs w:val="21"/>
          <w:highlight w:val="none"/>
          <w:lang w:val="en-US" w:eastAsia="zh-CN"/>
        </w:rPr>
        <w:t>按要求提供中小企业声明函</w:t>
      </w:r>
      <w:r>
        <w:rPr>
          <w:rFonts w:hint="eastAsia" w:ascii="仿宋" w:hAnsi="仿宋" w:eastAsia="仿宋" w:cs="仿宋"/>
          <w:b/>
          <w:bCs/>
          <w:color w:val="auto"/>
          <w:kern w:val="0"/>
          <w:sz w:val="21"/>
          <w:szCs w:val="21"/>
          <w:highlight w:val="none"/>
        </w:rPr>
        <w:t>；</w:t>
      </w:r>
    </w:p>
    <w:p w14:paraId="6021EAD8">
      <w:pPr>
        <w:spacing w:line="360" w:lineRule="auto"/>
        <w:ind w:firstLine="420" w:firstLineChars="200"/>
        <w:rPr>
          <w:rFonts w:hint="eastAsia" w:ascii="仿宋" w:hAnsi="仿宋" w:eastAsia="仿宋" w:cs="仿宋"/>
          <w:color w:val="auto"/>
          <w:sz w:val="21"/>
          <w:szCs w:val="21"/>
          <w:highlight w:val="none"/>
          <w:u w:val="single"/>
        </w:rPr>
      </w:pPr>
      <w:r>
        <w:rPr>
          <w:rFonts w:hint="eastAsia" w:ascii="仿宋" w:hAnsi="仿宋" w:eastAsia="仿宋" w:cs="仿宋"/>
          <w:color w:val="auto"/>
          <w:sz w:val="21"/>
          <w:szCs w:val="21"/>
          <w:highlight w:val="none"/>
        </w:rPr>
        <w:t>4.本项目的特定资格要求：</w:t>
      </w:r>
    </w:p>
    <w:p w14:paraId="34968BC1">
      <w:pPr>
        <w:snapToGrid w:val="0"/>
        <w:spacing w:line="360" w:lineRule="auto"/>
        <w:ind w:firstLine="420" w:firstLineChars="200"/>
        <w:rPr>
          <w:rFonts w:hint="eastAsia" w:ascii="仿宋" w:hAnsi="仿宋" w:eastAsia="仿宋" w:cs="仿宋"/>
          <w:color w:val="auto"/>
          <w:sz w:val="21"/>
          <w:szCs w:val="21"/>
          <w:highlight w:val="none"/>
          <w:lang w:val="en-US" w:eastAsia="zh-CN"/>
        </w:rPr>
      </w:pPr>
      <w:sdt>
        <w:sdtPr>
          <w:rPr>
            <w:rFonts w:hint="eastAsia" w:ascii="仿宋" w:hAnsi="仿宋" w:eastAsia="仿宋" w:cs="仿宋"/>
            <w:color w:val="auto"/>
            <w:kern w:val="0"/>
            <w:sz w:val="21"/>
            <w:szCs w:val="21"/>
            <w:highlight w:val="none"/>
          </w:rPr>
          <w:id w:val="147473441"/>
          <w14:checkbox>
            <w14:checked w14:val="1"/>
            <w14:checkedState w14:val="00FE" w14:font="Wingdings"/>
            <w14:uncheckedState w14:val="2610" w14:font="MS Gothic"/>
          </w14:checkbox>
        </w:sdtPr>
        <w:sdtEndPr>
          <w:rPr>
            <w:rFonts w:hint="eastAsia" w:ascii="仿宋" w:hAnsi="仿宋" w:eastAsia="仿宋" w:cs="仿宋"/>
            <w:color w:val="auto"/>
            <w:kern w:val="0"/>
            <w:sz w:val="21"/>
            <w:szCs w:val="21"/>
            <w:highlight w:val="none"/>
          </w:rPr>
        </w:sdtEndPr>
        <w:sdtContent>
          <w:r>
            <w:rPr>
              <w:rFonts w:hint="eastAsia" w:ascii="Wingdings" w:hAnsi="Wingdings" w:eastAsia="仿宋" w:cs="仿宋"/>
              <w:color w:val="auto"/>
              <w:kern w:val="0"/>
              <w:sz w:val="21"/>
              <w:szCs w:val="21"/>
              <w:highlight w:val="none"/>
              <w:lang w:val="en-US" w:eastAsia="zh-CN" w:bidi="ar-SA"/>
            </w:rPr>
            <w:t>þ</w:t>
          </w:r>
        </w:sdtContent>
      </w:sdt>
      <w:r>
        <w:rPr>
          <w:rFonts w:hint="eastAsia" w:ascii="仿宋" w:hAnsi="仿宋" w:eastAsia="仿宋" w:cs="仿宋"/>
          <w:color w:val="auto"/>
          <w:kern w:val="0"/>
          <w:sz w:val="21"/>
          <w:szCs w:val="21"/>
          <w:highlight w:val="none"/>
          <w:lang w:val="en-US" w:eastAsia="zh-CN"/>
        </w:rPr>
        <w:t>无。</w:t>
      </w:r>
    </w:p>
    <w:p w14:paraId="1DC09A7C">
      <w:pPr>
        <w:snapToGrid w:val="0"/>
        <w:spacing w:line="360" w:lineRule="auto"/>
        <w:ind w:firstLine="420" w:firstLineChars="200"/>
        <w:rPr>
          <w:rFonts w:hint="eastAsia" w:ascii="仿宋" w:hAnsi="仿宋" w:eastAsia="仿宋" w:cs="仿宋"/>
          <w:color w:val="auto"/>
          <w:sz w:val="21"/>
          <w:szCs w:val="21"/>
          <w:highlight w:val="none"/>
        </w:rPr>
      </w:pPr>
      <w:sdt>
        <w:sdtPr>
          <w:rPr>
            <w:rFonts w:hint="eastAsia" w:ascii="仿宋" w:hAnsi="仿宋" w:eastAsia="仿宋" w:cs="仿宋"/>
            <w:color w:val="auto"/>
            <w:kern w:val="0"/>
            <w:sz w:val="21"/>
            <w:szCs w:val="21"/>
            <w:highlight w:val="none"/>
          </w:rPr>
          <w:id w:val="147466878"/>
          <w14:checkbox>
            <w14:checked w14:val="0"/>
            <w14:checkedState w14:val="00FE" w14:font="Wingdings"/>
            <w14:uncheckedState w14:val="2610" w14:font="MS Gothic"/>
          </w14:checkbox>
        </w:sdtPr>
        <w:sdtEndPr>
          <w:rPr>
            <w:rFonts w:hint="eastAsia" w:ascii="仿宋" w:hAnsi="仿宋" w:eastAsia="仿宋" w:cs="仿宋"/>
            <w:color w:val="auto"/>
            <w:kern w:val="0"/>
            <w:sz w:val="21"/>
            <w:szCs w:val="21"/>
            <w:highlight w:val="none"/>
          </w:rPr>
        </w:sdtEndPr>
        <w:sdtContent>
          <w:r>
            <w:rPr>
              <w:rFonts w:hint="eastAsia" w:ascii="仿宋" w:hAnsi="仿宋" w:eastAsia="仿宋" w:cs="仿宋"/>
              <w:color w:val="auto"/>
              <w:kern w:val="0"/>
              <w:sz w:val="21"/>
              <w:szCs w:val="21"/>
              <w:highlight w:val="none"/>
            </w:rPr>
            <w:t>☐</w:t>
          </w:r>
        </w:sdtContent>
      </w:sdt>
      <w:r>
        <w:rPr>
          <w:rFonts w:hint="eastAsia" w:ascii="仿宋" w:hAnsi="仿宋" w:eastAsia="仿宋" w:cs="仿宋"/>
          <w:color w:val="auto"/>
          <w:sz w:val="21"/>
          <w:szCs w:val="21"/>
          <w:highlight w:val="none"/>
        </w:rPr>
        <w:t>有特定资格要求：</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，该特定条件的法律法规依据：</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w:t>
      </w:r>
    </w:p>
    <w:p w14:paraId="59DBAF3E">
      <w:pPr>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单位负责人为同一人或者存在直接控股、管理关系的不同供应商，不得参加同一合同项下的政府采购活动；为采购项目提供整体设计、规范编制或者项目管理、监理、检测等服务后不得再参加该采购项目的其他采购活动。</w:t>
      </w:r>
    </w:p>
    <w:p w14:paraId="17406336">
      <w:pPr>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 xml:space="preserve">三、获取招标文件 </w:t>
      </w:r>
    </w:p>
    <w:p w14:paraId="3A8A4711">
      <w:pPr>
        <w:spacing w:line="360" w:lineRule="auto"/>
        <w:ind w:firstLine="422" w:firstLineChars="200"/>
        <w:rPr>
          <w:rFonts w:hint="eastAsia" w:ascii="仿宋" w:hAnsi="仿宋" w:eastAsia="仿宋" w:cs="仿宋"/>
          <w:color w:val="auto"/>
          <w:sz w:val="21"/>
          <w:szCs w:val="21"/>
          <w:highlight w:val="none"/>
        </w:rPr>
      </w:pPr>
      <w:r>
        <w:rPr>
          <w:rFonts w:hint="eastAsia" w:ascii="仿宋" w:hAnsi="仿宋" w:eastAsia="仿宋" w:cs="仿宋"/>
          <w:b/>
          <w:color w:val="auto"/>
          <w:sz w:val="21"/>
          <w:szCs w:val="21"/>
          <w:highlight w:val="none"/>
        </w:rPr>
        <w:t>时间：</w:t>
      </w:r>
      <w:r>
        <w:rPr>
          <w:rFonts w:hint="eastAsia" w:ascii="仿宋" w:hAnsi="仿宋" w:eastAsia="仿宋" w:cs="仿宋"/>
          <w:color w:val="auto"/>
          <w:sz w:val="21"/>
          <w:szCs w:val="21"/>
          <w:highlight w:val="none"/>
        </w:rPr>
        <w:t>/至</w:t>
      </w:r>
      <w:r>
        <w:rPr>
          <w:rFonts w:hint="eastAsia" w:ascii="仿宋" w:hAnsi="仿宋" w:eastAsia="仿宋" w:cs="仿宋"/>
          <w:color w:val="auto"/>
          <w:sz w:val="21"/>
          <w:szCs w:val="21"/>
          <w:highlight w:val="none"/>
          <w:u w:val="single"/>
          <w:lang w:eastAsia="zh-CN"/>
        </w:rPr>
        <w:t>2025年 7 月 23 日</w:t>
      </w:r>
      <w:r>
        <w:rPr>
          <w:rFonts w:hint="eastAsia" w:ascii="仿宋" w:hAnsi="仿宋" w:eastAsia="仿宋" w:cs="仿宋"/>
          <w:color w:val="auto"/>
          <w:sz w:val="21"/>
          <w:szCs w:val="21"/>
          <w:highlight w:val="none"/>
        </w:rPr>
        <w:t>，每天上午00:00至12:00 ，下午12:00至23:59（北京时间，线上获取法定节假日均可，线下获取文件法定节假日除外）</w:t>
      </w:r>
    </w:p>
    <w:p w14:paraId="46E46C8A">
      <w:pPr>
        <w:spacing w:line="360" w:lineRule="auto"/>
        <w:ind w:firstLine="422" w:firstLineChars="200"/>
        <w:rPr>
          <w:rFonts w:hint="eastAsia" w:ascii="仿宋" w:hAnsi="仿宋" w:eastAsia="仿宋" w:cs="仿宋"/>
          <w:color w:val="auto"/>
          <w:sz w:val="21"/>
          <w:szCs w:val="21"/>
          <w:highlight w:val="none"/>
        </w:rPr>
      </w:pPr>
      <w:r>
        <w:rPr>
          <w:rFonts w:hint="eastAsia" w:ascii="仿宋" w:hAnsi="仿宋" w:eastAsia="仿宋" w:cs="仿宋"/>
          <w:b/>
          <w:color w:val="auto"/>
          <w:sz w:val="21"/>
          <w:szCs w:val="21"/>
          <w:highlight w:val="none"/>
        </w:rPr>
        <w:t>地点（网址）：</w:t>
      </w:r>
      <w:r>
        <w:rPr>
          <w:rFonts w:hint="eastAsia" w:ascii="仿宋" w:hAnsi="仿宋" w:eastAsia="仿宋" w:cs="仿宋"/>
          <w:color w:val="auto"/>
          <w:sz w:val="21"/>
          <w:szCs w:val="21"/>
          <w:highlight w:val="none"/>
        </w:rPr>
        <w:t xml:space="preserve">政采云平台（https://www.zcygov.cn/） </w:t>
      </w:r>
    </w:p>
    <w:p w14:paraId="5A5BD12F">
      <w:pPr>
        <w:spacing w:line="360" w:lineRule="auto"/>
        <w:ind w:firstLine="422" w:firstLineChars="200"/>
        <w:rPr>
          <w:rFonts w:hint="eastAsia" w:ascii="仿宋" w:hAnsi="仿宋" w:eastAsia="仿宋" w:cs="仿宋"/>
          <w:color w:val="auto"/>
          <w:sz w:val="21"/>
          <w:szCs w:val="21"/>
          <w:highlight w:val="none"/>
        </w:rPr>
      </w:pPr>
      <w:r>
        <w:rPr>
          <w:rFonts w:hint="eastAsia" w:ascii="仿宋" w:hAnsi="仿宋" w:eastAsia="仿宋" w:cs="仿宋"/>
          <w:b/>
          <w:color w:val="auto"/>
          <w:sz w:val="21"/>
          <w:szCs w:val="21"/>
          <w:highlight w:val="none"/>
        </w:rPr>
        <w:t>方式：</w:t>
      </w:r>
      <w:r>
        <w:rPr>
          <w:rFonts w:hint="eastAsia" w:ascii="仿宋" w:hAnsi="仿宋" w:eastAsia="仿宋" w:cs="仿宋"/>
          <w:color w:val="auto"/>
          <w:sz w:val="21"/>
          <w:szCs w:val="21"/>
          <w:highlight w:val="none"/>
        </w:rPr>
        <w:t xml:space="preserve">供应商登录政采云平台https://www.zcygov.cn/在线申请获取采购文件（进入“项目采购”应用，在获取采购文件菜单中选择项目，申请获取采购文件）。 </w:t>
      </w:r>
    </w:p>
    <w:p w14:paraId="7E924C51">
      <w:pPr>
        <w:spacing w:line="360" w:lineRule="auto"/>
        <w:ind w:firstLine="422" w:firstLineChars="200"/>
        <w:rPr>
          <w:rFonts w:hint="eastAsia" w:ascii="仿宋" w:hAnsi="仿宋" w:eastAsia="仿宋" w:cs="仿宋"/>
          <w:color w:val="auto"/>
          <w:sz w:val="21"/>
          <w:szCs w:val="21"/>
          <w:highlight w:val="none"/>
        </w:rPr>
      </w:pPr>
      <w:r>
        <w:rPr>
          <w:rFonts w:hint="eastAsia" w:ascii="仿宋" w:hAnsi="仿宋" w:eastAsia="仿宋" w:cs="仿宋"/>
          <w:b/>
          <w:color w:val="auto"/>
          <w:sz w:val="21"/>
          <w:szCs w:val="21"/>
          <w:highlight w:val="none"/>
        </w:rPr>
        <w:t>售价（元）：</w:t>
      </w:r>
      <w:r>
        <w:rPr>
          <w:rFonts w:hint="eastAsia" w:ascii="仿宋" w:hAnsi="仿宋" w:eastAsia="仿宋" w:cs="仿宋"/>
          <w:color w:val="auto"/>
          <w:sz w:val="21"/>
          <w:szCs w:val="21"/>
          <w:highlight w:val="none"/>
        </w:rPr>
        <w:t xml:space="preserve">0 </w:t>
      </w:r>
      <w:r>
        <w:rPr>
          <w:rFonts w:hint="eastAsia" w:ascii="仿宋" w:hAnsi="仿宋" w:eastAsia="仿宋" w:cs="仿宋"/>
          <w:color w:val="auto"/>
          <w:sz w:val="21"/>
          <w:szCs w:val="21"/>
          <w:highlight w:val="none"/>
        </w:rPr>
        <w:tab/>
      </w:r>
    </w:p>
    <w:p w14:paraId="4DAE5105">
      <w:pPr>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四、提交投标文件截止时间、开标时间和地点</w:t>
      </w:r>
    </w:p>
    <w:p w14:paraId="7C92D8E3">
      <w:pPr>
        <w:spacing w:line="360" w:lineRule="auto"/>
        <w:ind w:firstLine="422" w:firstLineChars="200"/>
        <w:rPr>
          <w:rFonts w:hint="eastAsia" w:ascii="仿宋" w:hAnsi="仿宋" w:eastAsia="仿宋" w:cs="仿宋"/>
          <w:color w:val="auto"/>
          <w:sz w:val="21"/>
          <w:szCs w:val="21"/>
          <w:highlight w:val="none"/>
        </w:rPr>
      </w:pPr>
      <w:r>
        <w:rPr>
          <w:rFonts w:hint="eastAsia" w:ascii="仿宋" w:hAnsi="仿宋" w:eastAsia="仿宋" w:cs="仿宋"/>
          <w:b/>
          <w:color w:val="auto"/>
          <w:sz w:val="21"/>
          <w:szCs w:val="21"/>
          <w:highlight w:val="none"/>
        </w:rPr>
        <w:t>提交投标文件截止时间：</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eastAsia="zh-CN"/>
        </w:rPr>
        <w:t>2025年 7 月 23 日09点00分</w:t>
      </w:r>
      <w:r>
        <w:rPr>
          <w:rFonts w:hint="eastAsia" w:ascii="仿宋" w:hAnsi="仿宋" w:eastAsia="仿宋" w:cs="仿宋"/>
          <w:color w:val="auto"/>
          <w:sz w:val="21"/>
          <w:szCs w:val="21"/>
          <w:highlight w:val="none"/>
          <w:u w:val="single"/>
        </w:rPr>
        <w:t>00秒</w:t>
      </w:r>
      <w:r>
        <w:rPr>
          <w:rFonts w:hint="eastAsia" w:ascii="仿宋" w:hAnsi="仿宋" w:eastAsia="仿宋" w:cs="仿宋"/>
          <w:color w:val="auto"/>
          <w:sz w:val="21"/>
          <w:szCs w:val="21"/>
          <w:highlight w:val="none"/>
        </w:rPr>
        <w:t>（北京时间）</w:t>
      </w:r>
    </w:p>
    <w:p w14:paraId="6E87C56C">
      <w:pPr>
        <w:spacing w:line="360" w:lineRule="auto"/>
        <w:ind w:firstLine="422" w:firstLineChars="200"/>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投标地点（网址）：</w:t>
      </w:r>
      <w:r>
        <w:rPr>
          <w:rFonts w:hint="eastAsia" w:ascii="仿宋" w:hAnsi="仿宋" w:eastAsia="仿宋" w:cs="仿宋"/>
          <w:color w:val="auto"/>
          <w:sz w:val="21"/>
          <w:szCs w:val="21"/>
          <w:highlight w:val="none"/>
        </w:rPr>
        <w:t xml:space="preserve">政采云平台（https://www.zcygov.cn/） </w:t>
      </w:r>
    </w:p>
    <w:p w14:paraId="6A9EEBA3">
      <w:pPr>
        <w:spacing w:line="360" w:lineRule="auto"/>
        <w:ind w:firstLine="422" w:firstLineChars="200"/>
        <w:rPr>
          <w:rFonts w:hint="eastAsia" w:ascii="仿宋" w:hAnsi="仿宋" w:eastAsia="仿宋" w:cs="仿宋"/>
          <w:bCs/>
          <w:color w:val="auto"/>
          <w:sz w:val="21"/>
          <w:szCs w:val="21"/>
          <w:highlight w:val="none"/>
          <w:u w:val="single"/>
        </w:rPr>
      </w:pPr>
      <w:r>
        <w:rPr>
          <w:rFonts w:hint="eastAsia" w:ascii="仿宋" w:hAnsi="仿宋" w:eastAsia="仿宋" w:cs="仿宋"/>
          <w:b/>
          <w:color w:val="auto"/>
          <w:sz w:val="21"/>
          <w:szCs w:val="21"/>
          <w:highlight w:val="none"/>
        </w:rPr>
        <w:t>开标时间：</w:t>
      </w:r>
      <w:r>
        <w:rPr>
          <w:rFonts w:hint="eastAsia" w:ascii="仿宋" w:hAnsi="仿宋" w:eastAsia="仿宋" w:cs="仿宋"/>
          <w:color w:val="auto"/>
          <w:sz w:val="21"/>
          <w:szCs w:val="21"/>
          <w:highlight w:val="none"/>
          <w:u w:val="single"/>
          <w:lang w:eastAsia="zh-CN"/>
        </w:rPr>
        <w:t>2025年 7 月 23 日09点00分</w:t>
      </w:r>
      <w:r>
        <w:rPr>
          <w:rFonts w:hint="eastAsia" w:ascii="仿宋" w:hAnsi="仿宋" w:eastAsia="仿宋" w:cs="仿宋"/>
          <w:color w:val="auto"/>
          <w:sz w:val="21"/>
          <w:szCs w:val="21"/>
          <w:highlight w:val="none"/>
          <w:u w:val="single"/>
        </w:rPr>
        <w:t>00秒</w:t>
      </w:r>
    </w:p>
    <w:p w14:paraId="09925EF7">
      <w:pPr>
        <w:spacing w:line="360" w:lineRule="auto"/>
        <w:ind w:firstLine="422" w:firstLineChars="200"/>
        <w:rPr>
          <w:rFonts w:hint="eastAsia" w:ascii="仿宋" w:hAnsi="仿宋" w:eastAsia="仿宋" w:cs="仿宋"/>
          <w:color w:val="auto"/>
          <w:sz w:val="21"/>
          <w:szCs w:val="21"/>
          <w:highlight w:val="none"/>
        </w:rPr>
      </w:pPr>
      <w:r>
        <w:rPr>
          <w:rFonts w:hint="eastAsia" w:ascii="仿宋" w:hAnsi="仿宋" w:eastAsia="仿宋" w:cs="仿宋"/>
          <w:b/>
          <w:color w:val="auto"/>
          <w:sz w:val="21"/>
          <w:szCs w:val="21"/>
          <w:highlight w:val="none"/>
        </w:rPr>
        <w:t>开标地点（网址）：</w:t>
      </w:r>
      <w:r>
        <w:rPr>
          <w:rFonts w:hint="eastAsia" w:ascii="仿宋" w:hAnsi="仿宋" w:eastAsia="仿宋" w:cs="仿宋"/>
          <w:color w:val="auto"/>
          <w:sz w:val="21"/>
          <w:szCs w:val="21"/>
          <w:highlight w:val="none"/>
        </w:rPr>
        <w:t>政采云平台（https://www.zcygov.cn/）</w:t>
      </w:r>
    </w:p>
    <w:p w14:paraId="024EE82F">
      <w:pPr>
        <w:spacing w:line="360" w:lineRule="auto"/>
        <w:rPr>
          <w:rFonts w:hint="eastAsia" w:ascii="仿宋" w:hAnsi="仿宋" w:eastAsia="仿宋" w:cs="仿宋"/>
          <w:color w:val="auto"/>
          <w:sz w:val="21"/>
          <w:szCs w:val="21"/>
          <w:highlight w:val="none"/>
        </w:rPr>
      </w:pPr>
      <w:r>
        <w:rPr>
          <w:rFonts w:hint="eastAsia" w:ascii="仿宋" w:hAnsi="仿宋" w:eastAsia="仿宋" w:cs="仿宋"/>
          <w:b/>
          <w:color w:val="auto"/>
          <w:sz w:val="21"/>
          <w:szCs w:val="21"/>
          <w:highlight w:val="none"/>
        </w:rPr>
        <w:t xml:space="preserve">五、公告期限 </w:t>
      </w:r>
    </w:p>
    <w:p w14:paraId="1BCCC872">
      <w:pPr>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自本公告发布之日起5个工作日。</w:t>
      </w:r>
    </w:p>
    <w:p w14:paraId="5B57FDB0">
      <w:pPr>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六、其他补充事宜</w:t>
      </w:r>
    </w:p>
    <w:p w14:paraId="7CFE404D">
      <w:pPr>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1.《浙江省财政厅关于进一步发挥政府采购政策功能全力推动经济稳进提质的通知》 （浙财采监（2022）3号）、《浙江省财政厅关于进一步促进政府采购公平竞争打造最优营商环境的通知》（浙财采监（2021）22号））、《浙江省财政厅关于进一步加大政府采购支持中小企业力度助力扎实稳住经济的通知》 （浙财采监（2022）8号）已分别于2022年1月29日、2022年2月1日和2022年7月1日开始实施，此前有关规定与上述文件内容不一致的，按上述文件要求执行。</w:t>
      </w:r>
    </w:p>
    <w:p w14:paraId="780A8648">
      <w:pPr>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2.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w:t>
      </w:r>
    </w:p>
    <w:p w14:paraId="2146076C">
      <w:pPr>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供应商认为招标文件使自己的权益受到损害的，可以自获取招标文件之日或者招标文件公告期限届满之日（公告期限届满后获取招标文件的，以公告期限届满之日为准）起7个工作日内，以书面形式向采购人和采购代理机构提出质疑。质疑供应商对采购人、采购代理机构的答复不满意或者采购人、采购代理机构未在规定的时间内作出答复的，可以在答复期满后十五个工作日内向同级政府采购监督管理部门投诉。质疑函范本、投诉书范本请到浙江政府采购网下载专区下载。</w:t>
      </w:r>
    </w:p>
    <w:p w14:paraId="2746236E">
      <w:pPr>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4.其他事项：（1）需要落实的政府采购政策：包括节约资源、保护环境、支持创新、促进中小企业发展等。详见招标文件的第二部分总则。（2）电子招投标的说明：①电子招投标：本项目以数据电文形式，依托“政府采购云平台（www.zcygov.cn）”进行招投标活动，不接受纸质投标文件；②投标准备：注册账号--点击“商家入驻”，进行政府采购供应商资料填写；申领CA数字证书---申领流程详见“浙江政府采购网-下载专区-电子交易客户端-CA驱动和申领流程”；安装“政采云电子交易客户端”----前往“浙江政府采购网-下载专区-电子交易客户端”进行下载并安装；③招标文件的获取：使用账号登录或者使用CA登录政采云平台；进入“项目采购”应用，在获取采购文件菜单中选择项目，获取招标文件；④投标文件的制作：在“政采云电子交易客户端”中完成“填写基本信息”、“导入投标文件”、“标书关联”、“标书检查”、“电子签名”、“生成电子标书”等操作；⑤采购人、采购代理机构将依托政采云平台完成本项目的电子交易活动，平台不接受未按上述方式获取招标文件的供应商进行投标活动； ⑥对未按上述方式获取招标文件的供应商对该文件提出的质疑，采购人或采购代理机构将不予处理；⑦不提供招标文件纸质版；⑧投标文件的传输递交：投标人在投标截止时间前将加密的投标文件上传至政府采购云平台，还可以在投标截止时间前直接提交或者以邮政快递方式递交备份投标文件1份。备份投标文件的制作、存储、密封详见招标文件第二部分第15点—“备份投标文件”；⑨投标文件的解密：投标人按照平台提示和招标文件的规定在半小时内完成在线解密。通过“政府采购云平台”上传递交的投标文件无法按时解密，投标供应商递交了备份投标文件的，以备份投标文件为依据，否则视为投标文件撤回。通过“政府采购云平台”上传递交的投标文件已按时解密的，备份投标文件自动失效。投标人仅提交备份投标文件，未在电子交易平台传输递交投标文件的，投标无效；⑩具体操作指南：详见政采云平台“服务中心-帮助文档-项目采购-操作流程-电子招投标-政府采购项目电子交易管理操作指南-供应商”。（3）招标文件公告期限与招标公告的公告期限一致。</w:t>
      </w:r>
    </w:p>
    <w:p w14:paraId="05CA0ADE">
      <w:pPr>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七、对本次采购提出询问、质疑、投诉，请按以下方式联系</w:t>
      </w:r>
      <w:bookmarkStart w:id="538" w:name="_GoBack"/>
      <w:bookmarkEnd w:id="538"/>
    </w:p>
    <w:p w14:paraId="15EBD82A">
      <w:pPr>
        <w:spacing w:line="360" w:lineRule="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1.采购人信息</w:t>
      </w:r>
    </w:p>
    <w:p w14:paraId="5DB0B03E">
      <w:pPr>
        <w:spacing w:line="360" w:lineRule="auto"/>
        <w:ind w:firstLine="480"/>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rPr>
        <w:t>名</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称：</w:t>
      </w:r>
      <w:r>
        <w:rPr>
          <w:rFonts w:hint="eastAsia" w:ascii="仿宋" w:hAnsi="仿宋" w:eastAsia="仿宋" w:cs="仿宋"/>
          <w:color w:val="auto"/>
          <w:sz w:val="21"/>
          <w:szCs w:val="21"/>
          <w:highlight w:val="none"/>
          <w:lang w:eastAsia="zh-CN"/>
        </w:rPr>
        <w:t>杭州市公安局刑事侦查支队</w:t>
      </w:r>
    </w:p>
    <w:p w14:paraId="705F22A1">
      <w:pPr>
        <w:spacing w:line="360" w:lineRule="auto"/>
        <w:ind w:firstLine="480"/>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rPr>
        <w:t>地    址：</w:t>
      </w:r>
      <w:r>
        <w:rPr>
          <w:rFonts w:hint="eastAsia" w:ascii="仿宋" w:hAnsi="仿宋" w:eastAsia="仿宋" w:cs="仿宋"/>
          <w:color w:val="auto"/>
          <w:sz w:val="21"/>
          <w:szCs w:val="21"/>
          <w:highlight w:val="none"/>
          <w:lang w:eastAsia="zh-CN"/>
        </w:rPr>
        <w:t>杭州市婺江路169号</w:t>
      </w:r>
    </w:p>
    <w:p w14:paraId="458D881D">
      <w:pPr>
        <w:spacing w:line="360" w:lineRule="auto"/>
        <w:ind w:firstLine="48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项目联系人（询问）：王先生</w:t>
      </w:r>
    </w:p>
    <w:p w14:paraId="1E0213D0">
      <w:pPr>
        <w:spacing w:line="360" w:lineRule="auto"/>
        <w:ind w:firstLine="48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项目联系方式（询问）：13758226278</w:t>
      </w:r>
    </w:p>
    <w:p w14:paraId="5751FA73">
      <w:pPr>
        <w:spacing w:line="360" w:lineRule="auto"/>
        <w:ind w:firstLine="48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质疑联系人：李先生</w:t>
      </w:r>
    </w:p>
    <w:p w14:paraId="17270CCA">
      <w:pPr>
        <w:spacing w:line="360" w:lineRule="auto"/>
        <w:ind w:firstLine="48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质疑联系方式：0571-87282627   </w:t>
      </w:r>
    </w:p>
    <w:p w14:paraId="33E9404D">
      <w:pPr>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2.采购代理机构信息            </w:t>
      </w:r>
    </w:p>
    <w:p w14:paraId="5B24514E">
      <w:pPr>
        <w:spacing w:line="360" w:lineRule="auto"/>
        <w:ind w:firstLine="480"/>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rPr>
        <w:t>名    称：</w:t>
      </w:r>
      <w:r>
        <w:rPr>
          <w:rFonts w:hint="eastAsia" w:ascii="仿宋" w:hAnsi="仿宋" w:eastAsia="仿宋" w:cs="仿宋"/>
          <w:color w:val="auto"/>
          <w:sz w:val="21"/>
          <w:szCs w:val="21"/>
          <w:highlight w:val="none"/>
          <w:lang w:eastAsia="zh-CN"/>
        </w:rPr>
        <w:t>耀华建设管理有限公司</w:t>
      </w:r>
    </w:p>
    <w:p w14:paraId="48BC63BA">
      <w:pPr>
        <w:spacing w:line="360" w:lineRule="auto"/>
        <w:ind w:firstLine="480"/>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rPr>
        <w:t>地    址：</w:t>
      </w:r>
      <w:r>
        <w:rPr>
          <w:rFonts w:hint="eastAsia" w:ascii="仿宋" w:hAnsi="仿宋" w:eastAsia="仿宋" w:cs="仿宋"/>
          <w:color w:val="auto"/>
          <w:sz w:val="21"/>
          <w:szCs w:val="21"/>
          <w:highlight w:val="none"/>
          <w:lang w:eastAsia="zh-CN"/>
        </w:rPr>
        <w:t>杭州市拱墅区东新街道费家塘路588号8号楼208室</w:t>
      </w:r>
    </w:p>
    <w:p w14:paraId="3E4E856F">
      <w:pPr>
        <w:spacing w:line="360" w:lineRule="auto"/>
        <w:ind w:firstLine="480"/>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rPr>
        <w:t>项目联系人（询问）：张亮</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吴玲琪、姜伟靖</w:t>
      </w:r>
    </w:p>
    <w:p w14:paraId="65DC9ED8">
      <w:pPr>
        <w:spacing w:line="360" w:lineRule="auto"/>
        <w:ind w:firstLine="48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项目联系方式（询问）：</w:t>
      </w:r>
      <w:r>
        <w:rPr>
          <w:rFonts w:hint="eastAsia" w:ascii="仿宋" w:hAnsi="仿宋" w:eastAsia="仿宋" w:cs="仿宋"/>
          <w:color w:val="auto"/>
          <w:sz w:val="21"/>
          <w:szCs w:val="21"/>
          <w:highlight w:val="none"/>
          <w:lang w:val="en-US" w:eastAsia="zh-CN"/>
        </w:rPr>
        <w:t>15356672688、</w:t>
      </w:r>
      <w:r>
        <w:rPr>
          <w:rFonts w:hint="eastAsia" w:ascii="仿宋" w:hAnsi="仿宋" w:eastAsia="仿宋" w:cs="仿宋"/>
          <w:color w:val="auto"/>
          <w:sz w:val="21"/>
          <w:szCs w:val="21"/>
          <w:highlight w:val="none"/>
        </w:rPr>
        <w:t>0571-88801785</w:t>
      </w:r>
    </w:p>
    <w:p w14:paraId="54A7D2A0">
      <w:pPr>
        <w:spacing w:line="360" w:lineRule="auto"/>
        <w:ind w:firstLine="48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质疑联系人：吴女士</w:t>
      </w:r>
    </w:p>
    <w:p w14:paraId="14A6D2AB">
      <w:pPr>
        <w:spacing w:line="360" w:lineRule="auto"/>
        <w:ind w:firstLine="48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质疑联系方式：0571-87990912、13867429286</w:t>
      </w:r>
    </w:p>
    <w:p w14:paraId="2F180094">
      <w:pPr>
        <w:spacing w:line="360" w:lineRule="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3.同级政府采购监督管理部门            </w:t>
      </w:r>
    </w:p>
    <w:p w14:paraId="06CC6F5D">
      <w:pPr>
        <w:spacing w:line="360" w:lineRule="auto"/>
        <w:ind w:firstLine="48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名    称：杭州市财政局政府采购监管处 /浙江省政府采购行政裁决服务中心（杭州）</w:t>
      </w:r>
    </w:p>
    <w:p w14:paraId="3E040040">
      <w:pPr>
        <w:spacing w:line="360" w:lineRule="auto"/>
        <w:ind w:firstLine="48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地    址：</w:t>
      </w:r>
      <w:r>
        <w:rPr>
          <w:rFonts w:hint="eastAsia" w:ascii="仿宋" w:hAnsi="仿宋" w:eastAsia="仿宋" w:cs="仿宋"/>
          <w:color w:val="auto"/>
          <w:sz w:val="21"/>
          <w:szCs w:val="21"/>
          <w:highlight w:val="none"/>
          <w:lang w:eastAsia="zh-CN"/>
        </w:rPr>
        <w:t>杭州市上城区清泰街549号城建综合大楼11楼</w:t>
      </w:r>
      <w:r>
        <w:rPr>
          <w:rFonts w:hint="eastAsia" w:ascii="仿宋" w:hAnsi="仿宋" w:eastAsia="仿宋" w:cs="仿宋"/>
          <w:color w:val="auto"/>
          <w:sz w:val="21"/>
          <w:szCs w:val="21"/>
          <w:highlight w:val="none"/>
        </w:rPr>
        <w:t xml:space="preserve">（快递仅限ems或顺丰）     </w:t>
      </w:r>
    </w:p>
    <w:p w14:paraId="08EF7D04">
      <w:pPr>
        <w:spacing w:line="360" w:lineRule="auto"/>
        <w:ind w:firstLine="48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传    真： /</w:t>
      </w:r>
    </w:p>
    <w:p w14:paraId="62DD7693">
      <w:pPr>
        <w:spacing w:line="360" w:lineRule="auto"/>
        <w:ind w:firstLine="48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联系人 ：朱女士、王女士</w:t>
      </w:r>
    </w:p>
    <w:p w14:paraId="47B1C550">
      <w:pPr>
        <w:spacing w:line="360" w:lineRule="auto"/>
        <w:ind w:firstLine="48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rPr>
        <w:t>监督投诉电话：0571-8</w:t>
      </w:r>
      <w:r>
        <w:rPr>
          <w:rFonts w:hint="eastAsia" w:ascii="仿宋" w:hAnsi="仿宋" w:eastAsia="仿宋" w:cs="仿宋"/>
          <w:color w:val="auto"/>
          <w:sz w:val="21"/>
          <w:szCs w:val="21"/>
          <w:highlight w:val="none"/>
          <w:lang w:val="en-US" w:eastAsia="zh-CN"/>
        </w:rPr>
        <w:t>7227671,0571-87800218</w:t>
      </w:r>
    </w:p>
    <w:p w14:paraId="1491FB5E">
      <w:pPr>
        <w:spacing w:line="360" w:lineRule="auto"/>
        <w:ind w:firstLine="48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政策咨询</w:t>
      </w:r>
      <w:r>
        <w:rPr>
          <w:rFonts w:hint="eastAsia" w:ascii="仿宋" w:hAnsi="仿宋" w:eastAsia="仿宋" w:cs="仿宋"/>
          <w:color w:val="auto"/>
          <w:sz w:val="21"/>
          <w:szCs w:val="21"/>
          <w:highlight w:val="none"/>
          <w:lang w:val="en-US" w:eastAsia="zh-CN"/>
        </w:rPr>
        <w:t>电话</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lang w:eastAsia="zh-CN"/>
        </w:rPr>
        <w:t>沈先生、陈先生，电话：</w:t>
      </w:r>
      <w:r>
        <w:rPr>
          <w:rFonts w:hint="eastAsia" w:ascii="仿宋" w:hAnsi="仿宋" w:eastAsia="仿宋" w:cs="仿宋"/>
          <w:color w:val="auto"/>
          <w:sz w:val="21"/>
          <w:szCs w:val="21"/>
          <w:highlight w:val="none"/>
          <w:lang w:val="en-US" w:eastAsia="zh-CN"/>
        </w:rPr>
        <w:t>0571-89580457、0571-89580460</w:t>
      </w:r>
    </w:p>
    <w:p w14:paraId="4CF9A965">
      <w:pPr>
        <w:spacing w:line="360" w:lineRule="auto"/>
        <w:ind w:firstLine="480"/>
        <w:rPr>
          <w:rFonts w:hint="eastAsia" w:ascii="仿宋" w:hAnsi="仿宋" w:eastAsia="仿宋" w:cs="仿宋"/>
          <w:color w:val="auto"/>
          <w:sz w:val="21"/>
          <w:szCs w:val="21"/>
          <w:highlight w:val="none"/>
        </w:rPr>
      </w:pPr>
    </w:p>
    <w:p w14:paraId="243473B2">
      <w:pPr>
        <w:spacing w:line="360" w:lineRule="auto"/>
        <w:ind w:firstLine="48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若对项目采购电子交易系统操作有疑问，可登录政采云（https://www.zcygov.cn/），点击右侧咨询小采，获取采小蜜智能服务管家帮助，或拨打政采云服务热线95763获取热线服务帮助。</w:t>
      </w:r>
    </w:p>
    <w:p w14:paraId="4CBACE00">
      <w:pPr>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CA问题联系电话（人工）：汇信CA 400-888-4636；天谷CA 400-087-8198。</w:t>
      </w:r>
    </w:p>
    <w:p w14:paraId="135562A5">
      <w:pPr>
        <w:widowControl/>
        <w:adjustRightInd/>
        <w:jc w:val="left"/>
        <w:rPr>
          <w:rFonts w:hint="eastAsia" w:ascii="仿宋" w:hAnsi="仿宋" w:eastAsia="仿宋" w:cs="仿宋"/>
          <w:b/>
          <w:color w:val="auto"/>
          <w:sz w:val="36"/>
          <w:szCs w:val="20"/>
          <w:highlight w:val="none"/>
        </w:rPr>
      </w:pPr>
      <w:r>
        <w:rPr>
          <w:rFonts w:hint="eastAsia" w:ascii="仿宋" w:hAnsi="仿宋" w:eastAsia="仿宋" w:cs="仿宋"/>
          <w:b/>
          <w:color w:val="auto"/>
          <w:sz w:val="36"/>
          <w:szCs w:val="20"/>
          <w:highlight w:val="none"/>
        </w:rPr>
        <w:br w:type="page"/>
      </w:r>
    </w:p>
    <w:p w14:paraId="713EF09D">
      <w:pPr>
        <w:adjustRightInd/>
        <w:spacing w:line="360" w:lineRule="auto"/>
        <w:jc w:val="center"/>
        <w:outlineLvl w:val="0"/>
        <w:rPr>
          <w:rFonts w:hint="eastAsia" w:ascii="仿宋" w:hAnsi="仿宋" w:eastAsia="仿宋" w:cs="仿宋"/>
          <w:b/>
          <w:color w:val="auto"/>
          <w:sz w:val="36"/>
          <w:szCs w:val="20"/>
          <w:highlight w:val="none"/>
        </w:rPr>
      </w:pPr>
      <w:r>
        <w:rPr>
          <w:rFonts w:hint="eastAsia" w:ascii="仿宋" w:hAnsi="仿宋" w:eastAsia="仿宋" w:cs="仿宋"/>
          <w:b/>
          <w:color w:val="auto"/>
          <w:sz w:val="36"/>
          <w:szCs w:val="20"/>
          <w:highlight w:val="none"/>
        </w:rPr>
        <w:t>第二部分</w:t>
      </w:r>
      <w:bookmarkEnd w:id="8"/>
      <w:r>
        <w:rPr>
          <w:rFonts w:hint="eastAsia" w:ascii="仿宋" w:hAnsi="仿宋" w:eastAsia="仿宋" w:cs="仿宋"/>
          <w:b/>
          <w:color w:val="auto"/>
          <w:sz w:val="36"/>
          <w:szCs w:val="20"/>
          <w:highlight w:val="none"/>
        </w:rPr>
        <w:t xml:space="preserve"> 投标人须知</w:t>
      </w:r>
      <w:bookmarkEnd w:id="9"/>
    </w:p>
    <w:p w14:paraId="2BE3AACC">
      <w:pPr>
        <w:adjustRightInd/>
        <w:spacing w:line="360" w:lineRule="auto"/>
        <w:ind w:firstLine="3845" w:firstLineChars="1197"/>
        <w:outlineLvl w:val="0"/>
        <w:rPr>
          <w:rFonts w:hint="eastAsia" w:ascii="仿宋" w:hAnsi="仿宋" w:eastAsia="仿宋" w:cs="仿宋"/>
          <w:b/>
          <w:color w:val="auto"/>
          <w:sz w:val="32"/>
          <w:szCs w:val="20"/>
          <w:highlight w:val="none"/>
        </w:rPr>
      </w:pPr>
      <w:r>
        <w:rPr>
          <w:rFonts w:hint="eastAsia" w:ascii="仿宋" w:hAnsi="仿宋" w:eastAsia="仿宋" w:cs="仿宋"/>
          <w:b/>
          <w:color w:val="auto"/>
          <w:sz w:val="32"/>
          <w:szCs w:val="20"/>
          <w:highlight w:val="none"/>
        </w:rPr>
        <w:t>前附表</w:t>
      </w:r>
    </w:p>
    <w:tbl>
      <w:tblPr>
        <w:tblStyle w:val="80"/>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666"/>
        <w:gridCol w:w="1960"/>
        <w:gridCol w:w="6495"/>
      </w:tblGrid>
      <w:tr w14:paraId="45C78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39" w:hRule="atLeast"/>
        </w:trPr>
        <w:tc>
          <w:tcPr>
            <w:tcW w:w="365" w:type="pct"/>
            <w:vAlign w:val="center"/>
          </w:tcPr>
          <w:p w14:paraId="0FA3ED44">
            <w:pPr>
              <w:keepNext w:val="0"/>
              <w:keepLines w:val="0"/>
              <w:pageBreakBefore w:val="0"/>
              <w:widowControl w:val="0"/>
              <w:kinsoku/>
              <w:wordWrap/>
              <w:overflowPunct/>
              <w:topLinePunct w:val="0"/>
              <w:bidi w:val="0"/>
              <w:adjustRightInd w:val="0"/>
              <w:snapToGrid/>
              <w:spacing w:line="360" w:lineRule="auto"/>
              <w:jc w:val="center"/>
              <w:textAlignment w:val="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序号</w:t>
            </w:r>
          </w:p>
        </w:tc>
        <w:tc>
          <w:tcPr>
            <w:tcW w:w="1074" w:type="pct"/>
            <w:vAlign w:val="center"/>
          </w:tcPr>
          <w:p w14:paraId="043DE3C4">
            <w:pPr>
              <w:keepNext w:val="0"/>
              <w:keepLines w:val="0"/>
              <w:pageBreakBefore w:val="0"/>
              <w:widowControl w:val="0"/>
              <w:kinsoku/>
              <w:wordWrap/>
              <w:overflowPunct/>
              <w:topLinePunct w:val="0"/>
              <w:bidi w:val="0"/>
              <w:adjustRightInd w:val="0"/>
              <w:snapToGrid/>
              <w:spacing w:line="360" w:lineRule="auto"/>
              <w:jc w:val="center"/>
              <w:textAlignment w:val="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事项</w:t>
            </w:r>
          </w:p>
        </w:tc>
        <w:tc>
          <w:tcPr>
            <w:tcW w:w="3559" w:type="pct"/>
            <w:vAlign w:val="center"/>
          </w:tcPr>
          <w:p w14:paraId="014E3041">
            <w:pPr>
              <w:keepNext w:val="0"/>
              <w:keepLines w:val="0"/>
              <w:pageBreakBefore w:val="0"/>
              <w:widowControl w:val="0"/>
              <w:kinsoku/>
              <w:wordWrap/>
              <w:overflowPunct/>
              <w:topLinePunct w:val="0"/>
              <w:bidi w:val="0"/>
              <w:adjustRightInd w:val="0"/>
              <w:snapToGrid/>
              <w:spacing w:line="360" w:lineRule="auto"/>
              <w:jc w:val="center"/>
              <w:textAlignment w:val="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本项目的特别规定</w:t>
            </w:r>
          </w:p>
        </w:tc>
      </w:tr>
      <w:tr w14:paraId="0028B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39" w:hRule="atLeast"/>
        </w:trPr>
        <w:tc>
          <w:tcPr>
            <w:tcW w:w="365" w:type="pct"/>
            <w:vAlign w:val="center"/>
          </w:tcPr>
          <w:p w14:paraId="3D5B30CE">
            <w:pPr>
              <w:keepNext w:val="0"/>
              <w:keepLines w:val="0"/>
              <w:pageBreakBefore w:val="0"/>
              <w:widowControl w:val="0"/>
              <w:kinsoku/>
              <w:wordWrap/>
              <w:overflowPunct/>
              <w:topLinePunct w:val="0"/>
              <w:bidi w:val="0"/>
              <w:adjustRightInd w:val="0"/>
              <w:snapToGrid/>
              <w:spacing w:line="360" w:lineRule="auto"/>
              <w:jc w:val="center"/>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p>
        </w:tc>
        <w:tc>
          <w:tcPr>
            <w:tcW w:w="1074" w:type="pct"/>
            <w:vAlign w:val="center"/>
          </w:tcPr>
          <w:p w14:paraId="6421E043">
            <w:pPr>
              <w:keepNext w:val="0"/>
              <w:keepLines w:val="0"/>
              <w:pageBreakBefore w:val="0"/>
              <w:widowControl w:val="0"/>
              <w:kinsoku/>
              <w:wordWrap/>
              <w:overflowPunct/>
              <w:topLinePunct w:val="0"/>
              <w:bidi w:val="0"/>
              <w:adjustRightInd w:val="0"/>
              <w:snapToGrid/>
              <w:spacing w:line="360" w:lineRule="auto"/>
              <w:jc w:val="center"/>
              <w:textAlignment w:val="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项目属性</w:t>
            </w:r>
          </w:p>
        </w:tc>
        <w:tc>
          <w:tcPr>
            <w:tcW w:w="3559" w:type="pct"/>
            <w:vAlign w:val="center"/>
          </w:tcPr>
          <w:p w14:paraId="5E82199C">
            <w:pPr>
              <w:keepNext w:val="0"/>
              <w:keepLines w:val="0"/>
              <w:pageBreakBefore w:val="0"/>
              <w:widowControl w:val="0"/>
              <w:kinsoku/>
              <w:wordWrap/>
              <w:overflowPunct/>
              <w:topLinePunct w:val="0"/>
              <w:bidi w:val="0"/>
              <w:adjustRightInd w:val="0"/>
              <w:snapToGrid/>
              <w:spacing w:line="360" w:lineRule="auto"/>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服务类。</w:t>
            </w:r>
          </w:p>
        </w:tc>
      </w:tr>
      <w:tr w14:paraId="0A53E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352" w:hRule="atLeast"/>
        </w:trPr>
        <w:tc>
          <w:tcPr>
            <w:tcW w:w="365" w:type="pct"/>
            <w:vAlign w:val="center"/>
          </w:tcPr>
          <w:p w14:paraId="756AA33A">
            <w:pPr>
              <w:keepNext w:val="0"/>
              <w:keepLines w:val="0"/>
              <w:pageBreakBefore w:val="0"/>
              <w:widowControl w:val="0"/>
              <w:kinsoku/>
              <w:wordWrap/>
              <w:overflowPunct/>
              <w:topLinePunct w:val="0"/>
              <w:bidi w:val="0"/>
              <w:adjustRightInd w:val="0"/>
              <w:snapToGrid/>
              <w:spacing w:line="360" w:lineRule="auto"/>
              <w:jc w:val="center"/>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w:t>
            </w:r>
          </w:p>
        </w:tc>
        <w:tc>
          <w:tcPr>
            <w:tcW w:w="1074" w:type="pct"/>
            <w:vAlign w:val="center"/>
          </w:tcPr>
          <w:p w14:paraId="27F12A9F">
            <w:pPr>
              <w:keepNext w:val="0"/>
              <w:keepLines w:val="0"/>
              <w:pageBreakBefore w:val="0"/>
              <w:widowControl w:val="0"/>
              <w:kinsoku/>
              <w:wordWrap/>
              <w:overflowPunct/>
              <w:topLinePunct w:val="0"/>
              <w:bidi w:val="0"/>
              <w:adjustRightInd w:val="0"/>
              <w:snapToGrid/>
              <w:spacing w:line="360" w:lineRule="auto"/>
              <w:jc w:val="center"/>
              <w:textAlignment w:val="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采购标的及其对应的中小企业划分标准所属行业</w:t>
            </w:r>
          </w:p>
        </w:tc>
        <w:tc>
          <w:tcPr>
            <w:tcW w:w="3559" w:type="pct"/>
            <w:vAlign w:val="center"/>
          </w:tcPr>
          <w:p w14:paraId="386194FF">
            <w:pPr>
              <w:keepNext w:val="0"/>
              <w:keepLines w:val="0"/>
              <w:pageBreakBefore w:val="0"/>
              <w:widowControl w:val="0"/>
              <w:kinsoku/>
              <w:wordWrap/>
              <w:overflowPunct/>
              <w:topLinePunct w:val="0"/>
              <w:bidi w:val="0"/>
              <w:adjustRightInd w:val="0"/>
              <w:snapToGrid/>
              <w:spacing w:line="360" w:lineRule="auto"/>
              <w:textAlignment w:val="auto"/>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（1）标的：</w:t>
            </w:r>
            <w:r>
              <w:rPr>
                <w:rFonts w:hint="eastAsia" w:ascii="仿宋" w:hAnsi="仿宋" w:eastAsia="仿宋" w:cs="仿宋"/>
                <w:color w:val="auto"/>
                <w:kern w:val="0"/>
                <w:sz w:val="21"/>
                <w:szCs w:val="21"/>
                <w:highlight w:val="none"/>
                <w:u w:val="single"/>
                <w:lang w:val="en-US" w:eastAsia="zh-CN"/>
              </w:rPr>
              <w:t xml:space="preserve"> </w:t>
            </w:r>
            <w:bookmarkStart w:id="11" w:name="_Hlk152859722"/>
            <w:r>
              <w:rPr>
                <w:rFonts w:hint="eastAsia" w:ascii="仿宋" w:hAnsi="仿宋" w:eastAsia="仿宋" w:cs="仿宋"/>
                <w:b/>
                <w:color w:val="auto"/>
                <w:kern w:val="0"/>
                <w:szCs w:val="21"/>
                <w:highlight w:val="none"/>
                <w:u w:val="single"/>
              </w:rPr>
              <w:t>案件侦查打击服务、大数据智能查控服务、资金智能查控服务、涉网诈骗预感探测数据服务、涉网新型案件行为分析服务、新型涉网案件智勘联侦分析服务</w:t>
            </w:r>
            <w:bookmarkEnd w:id="11"/>
            <w:r>
              <w:rPr>
                <w:rFonts w:hint="eastAsia" w:ascii="仿宋" w:hAnsi="仿宋" w:eastAsia="仿宋" w:cs="仿宋"/>
                <w:color w:val="auto"/>
                <w:kern w:val="0"/>
                <w:sz w:val="21"/>
                <w:szCs w:val="21"/>
                <w:highlight w:val="none"/>
                <w:u w:val="single"/>
                <w:lang w:val="en-US" w:eastAsia="zh-CN"/>
              </w:rPr>
              <w:t xml:space="preserve"> </w:t>
            </w:r>
            <w:r>
              <w:rPr>
                <w:rFonts w:hint="eastAsia" w:ascii="仿宋" w:hAnsi="仿宋" w:eastAsia="仿宋" w:cs="仿宋"/>
                <w:color w:val="auto"/>
                <w:kern w:val="0"/>
                <w:sz w:val="21"/>
                <w:szCs w:val="21"/>
                <w:highlight w:val="none"/>
              </w:rPr>
              <w:t>，属于</w:t>
            </w:r>
            <w:r>
              <w:rPr>
                <w:rFonts w:hint="eastAsia" w:ascii="仿宋" w:hAnsi="仿宋" w:eastAsia="仿宋" w:cs="仿宋"/>
                <w:color w:val="auto"/>
                <w:kern w:val="0"/>
                <w:sz w:val="21"/>
                <w:szCs w:val="21"/>
                <w:highlight w:val="none"/>
                <w:u w:val="single"/>
                <w:lang w:val="en-US" w:eastAsia="zh-CN"/>
              </w:rPr>
              <w:t xml:space="preserve"> </w:t>
            </w:r>
            <w:r>
              <w:rPr>
                <w:rFonts w:hint="eastAsia" w:ascii="仿宋" w:hAnsi="仿宋" w:eastAsia="仿宋" w:cs="仿宋"/>
                <w:b/>
                <w:bCs/>
                <w:color w:val="auto"/>
                <w:kern w:val="0"/>
                <w:sz w:val="21"/>
                <w:szCs w:val="21"/>
                <w:highlight w:val="none"/>
                <w:u w:val="single"/>
                <w:lang w:val="en-US" w:eastAsia="zh-CN"/>
              </w:rPr>
              <w:t>(十二）软件和信息技术服务业</w:t>
            </w:r>
            <w:r>
              <w:rPr>
                <w:rFonts w:hint="eastAsia" w:ascii="仿宋" w:hAnsi="仿宋" w:eastAsia="仿宋" w:cs="仿宋"/>
                <w:color w:val="auto"/>
                <w:kern w:val="0"/>
                <w:sz w:val="21"/>
                <w:szCs w:val="21"/>
                <w:highlight w:val="none"/>
                <w:u w:val="single"/>
                <w:lang w:val="en-US" w:eastAsia="zh-CN"/>
              </w:rPr>
              <w:t xml:space="preserve"> </w:t>
            </w:r>
            <w:r>
              <w:rPr>
                <w:rFonts w:hint="eastAsia" w:ascii="仿宋" w:hAnsi="仿宋" w:eastAsia="仿宋" w:cs="仿宋"/>
                <w:color w:val="auto"/>
                <w:kern w:val="0"/>
                <w:sz w:val="21"/>
                <w:szCs w:val="21"/>
                <w:highlight w:val="none"/>
                <w:u w:val="none"/>
                <w:lang w:val="en-US" w:eastAsia="zh-CN"/>
              </w:rPr>
              <w:t>行业</w:t>
            </w:r>
            <w:r>
              <w:rPr>
                <w:rFonts w:hint="eastAsia" w:ascii="仿宋" w:hAnsi="仿宋" w:eastAsia="仿宋" w:cs="仿宋"/>
                <w:color w:val="auto"/>
                <w:kern w:val="0"/>
                <w:sz w:val="21"/>
                <w:szCs w:val="21"/>
                <w:highlight w:val="none"/>
              </w:rPr>
              <w:t>；</w:t>
            </w:r>
          </w:p>
          <w:p w14:paraId="371A9278">
            <w:pPr>
              <w:pStyle w:val="30"/>
              <w:keepNext w:val="0"/>
              <w:keepLines w:val="0"/>
              <w:pageBreakBefore w:val="0"/>
              <w:widowControl w:val="0"/>
              <w:kinsoku/>
              <w:wordWrap/>
              <w:overflowPunct/>
              <w:topLinePunct w:val="0"/>
              <w:bidi w:val="0"/>
              <w:adjustRightInd w:val="0"/>
              <w:snapToGrid/>
              <w:textAlignment w:val="auto"/>
              <w:rPr>
                <w:rFonts w:hint="eastAsia" w:ascii="仿宋" w:hAnsi="仿宋" w:eastAsia="仿宋" w:cs="仿宋"/>
                <w:color w:val="auto"/>
                <w:kern w:val="0"/>
                <w:sz w:val="21"/>
                <w:szCs w:val="21"/>
                <w:highlight w:val="none"/>
                <w:u w:val="single"/>
                <w:lang w:val="en-US" w:eastAsia="zh-CN"/>
              </w:rPr>
            </w:pPr>
            <w:r>
              <w:rPr>
                <w:rFonts w:hint="eastAsia" w:ascii="仿宋" w:hAnsi="仿宋" w:eastAsia="仿宋" w:cs="仿宋"/>
                <w:color w:val="auto"/>
                <w:kern w:val="0"/>
                <w:sz w:val="21"/>
                <w:szCs w:val="21"/>
                <w:highlight w:val="none"/>
                <w:u w:val="single"/>
                <w:lang w:val="en-US" w:eastAsia="zh-CN"/>
              </w:rPr>
              <w:t>根据《关于印发中小企业划型标准规定的通知》（工信部联企业〔2011〕300号）第四条规定：(十二）软件和信息技术服务业。从业人员300人以下或营业收入10000万元以下的为中小微型企业。其中，</w:t>
            </w:r>
          </w:p>
          <w:p w14:paraId="00DB9AEF">
            <w:pPr>
              <w:pStyle w:val="30"/>
              <w:keepNext w:val="0"/>
              <w:keepLines w:val="0"/>
              <w:pageBreakBefore w:val="0"/>
              <w:widowControl w:val="0"/>
              <w:kinsoku/>
              <w:wordWrap/>
              <w:overflowPunct/>
              <w:topLinePunct w:val="0"/>
              <w:bidi w:val="0"/>
              <w:adjustRightInd w:val="0"/>
              <w:snapToGrid/>
              <w:textAlignment w:val="auto"/>
              <w:rPr>
                <w:rFonts w:hint="eastAsia" w:ascii="仿宋" w:hAnsi="仿宋" w:eastAsia="仿宋" w:cs="仿宋"/>
                <w:color w:val="auto"/>
                <w:kern w:val="0"/>
                <w:sz w:val="21"/>
                <w:szCs w:val="21"/>
                <w:highlight w:val="none"/>
                <w:u w:val="single"/>
                <w:lang w:val="en-US" w:eastAsia="zh-CN"/>
              </w:rPr>
            </w:pPr>
            <w:r>
              <w:rPr>
                <w:rFonts w:hint="eastAsia" w:ascii="仿宋" w:hAnsi="仿宋" w:eastAsia="仿宋" w:cs="仿宋"/>
                <w:color w:val="auto"/>
                <w:kern w:val="0"/>
                <w:sz w:val="21"/>
                <w:szCs w:val="21"/>
                <w:highlight w:val="none"/>
                <w:u w:val="single"/>
                <w:lang w:val="en-US" w:eastAsia="zh-CN"/>
              </w:rPr>
              <w:t>从业人员100人及以上，</w:t>
            </w:r>
            <w:r>
              <w:rPr>
                <w:rFonts w:hint="eastAsia" w:ascii="仿宋" w:hAnsi="仿宋" w:eastAsia="仿宋" w:cs="仿宋"/>
                <w:b/>
                <w:bCs/>
                <w:color w:val="auto"/>
                <w:kern w:val="0"/>
                <w:sz w:val="21"/>
                <w:szCs w:val="21"/>
                <w:highlight w:val="none"/>
                <w:u w:val="single"/>
                <w:lang w:val="en-US" w:eastAsia="zh-CN"/>
              </w:rPr>
              <w:t>且</w:t>
            </w:r>
            <w:r>
              <w:rPr>
                <w:rFonts w:hint="eastAsia" w:ascii="仿宋" w:hAnsi="仿宋" w:eastAsia="仿宋" w:cs="仿宋"/>
                <w:color w:val="auto"/>
                <w:kern w:val="0"/>
                <w:sz w:val="21"/>
                <w:szCs w:val="21"/>
                <w:highlight w:val="none"/>
                <w:u w:val="single"/>
                <w:lang w:val="en-US" w:eastAsia="zh-CN"/>
              </w:rPr>
              <w:t>营业收入1000万元及以上的为中型企业；</w:t>
            </w:r>
          </w:p>
          <w:p w14:paraId="33E41322">
            <w:pPr>
              <w:pStyle w:val="30"/>
              <w:keepNext w:val="0"/>
              <w:keepLines w:val="0"/>
              <w:pageBreakBefore w:val="0"/>
              <w:widowControl w:val="0"/>
              <w:kinsoku/>
              <w:wordWrap/>
              <w:overflowPunct/>
              <w:topLinePunct w:val="0"/>
              <w:bidi w:val="0"/>
              <w:adjustRightInd w:val="0"/>
              <w:snapToGrid/>
              <w:textAlignment w:val="auto"/>
              <w:rPr>
                <w:rFonts w:hint="eastAsia" w:ascii="仿宋" w:hAnsi="仿宋" w:eastAsia="仿宋" w:cs="仿宋"/>
                <w:color w:val="auto"/>
                <w:kern w:val="0"/>
                <w:sz w:val="21"/>
                <w:szCs w:val="21"/>
                <w:highlight w:val="none"/>
                <w:u w:val="single"/>
                <w:lang w:val="en-US" w:eastAsia="zh-CN"/>
              </w:rPr>
            </w:pPr>
            <w:r>
              <w:rPr>
                <w:rFonts w:hint="eastAsia" w:ascii="仿宋" w:hAnsi="仿宋" w:eastAsia="仿宋" w:cs="仿宋"/>
                <w:color w:val="auto"/>
                <w:kern w:val="0"/>
                <w:sz w:val="21"/>
                <w:szCs w:val="21"/>
                <w:highlight w:val="none"/>
                <w:u w:val="single"/>
                <w:lang w:val="en-US" w:eastAsia="zh-CN"/>
              </w:rPr>
              <w:t>从业人员10人及以上，</w:t>
            </w:r>
            <w:r>
              <w:rPr>
                <w:rFonts w:hint="eastAsia" w:ascii="仿宋" w:hAnsi="仿宋" w:eastAsia="仿宋" w:cs="仿宋"/>
                <w:b/>
                <w:bCs/>
                <w:color w:val="auto"/>
                <w:kern w:val="0"/>
                <w:sz w:val="21"/>
                <w:szCs w:val="21"/>
                <w:highlight w:val="none"/>
                <w:u w:val="single"/>
                <w:lang w:val="en-US" w:eastAsia="zh-CN"/>
              </w:rPr>
              <w:t>且</w:t>
            </w:r>
            <w:r>
              <w:rPr>
                <w:rFonts w:hint="eastAsia" w:ascii="仿宋" w:hAnsi="仿宋" w:eastAsia="仿宋" w:cs="仿宋"/>
                <w:color w:val="auto"/>
                <w:kern w:val="0"/>
                <w:sz w:val="21"/>
                <w:szCs w:val="21"/>
                <w:highlight w:val="none"/>
                <w:u w:val="single"/>
                <w:lang w:val="en-US" w:eastAsia="zh-CN"/>
              </w:rPr>
              <w:t>营业收入50万元及以上的为小型企业；</w:t>
            </w:r>
          </w:p>
          <w:p w14:paraId="038F9CC9">
            <w:pPr>
              <w:pStyle w:val="30"/>
              <w:keepNext w:val="0"/>
              <w:keepLines w:val="0"/>
              <w:pageBreakBefore w:val="0"/>
              <w:widowControl w:val="0"/>
              <w:kinsoku/>
              <w:wordWrap/>
              <w:overflowPunct/>
              <w:topLinePunct w:val="0"/>
              <w:bidi w:val="0"/>
              <w:adjustRightInd w:val="0"/>
              <w:snapToGrid/>
              <w:textAlignment w:val="auto"/>
              <w:rPr>
                <w:rFonts w:hint="eastAsia" w:ascii="仿宋" w:hAnsi="仿宋" w:eastAsia="仿宋" w:cs="仿宋"/>
                <w:color w:val="auto"/>
                <w:sz w:val="21"/>
                <w:szCs w:val="21"/>
                <w:highlight w:val="none"/>
                <w:lang w:val="en-US"/>
              </w:rPr>
            </w:pPr>
            <w:r>
              <w:rPr>
                <w:rFonts w:hint="eastAsia" w:ascii="仿宋" w:hAnsi="仿宋" w:eastAsia="仿宋" w:cs="仿宋"/>
                <w:color w:val="auto"/>
                <w:kern w:val="0"/>
                <w:sz w:val="21"/>
                <w:szCs w:val="21"/>
                <w:highlight w:val="none"/>
                <w:u w:val="single"/>
                <w:lang w:val="en-US" w:eastAsia="zh-CN"/>
              </w:rPr>
              <w:t>从业人员10人以下</w:t>
            </w:r>
            <w:r>
              <w:rPr>
                <w:rFonts w:hint="eastAsia" w:ascii="仿宋" w:hAnsi="仿宋" w:eastAsia="仿宋" w:cs="仿宋"/>
                <w:b/>
                <w:bCs/>
                <w:color w:val="auto"/>
                <w:kern w:val="0"/>
                <w:sz w:val="21"/>
                <w:szCs w:val="21"/>
                <w:highlight w:val="none"/>
                <w:u w:val="single"/>
                <w:lang w:val="en-US" w:eastAsia="zh-CN"/>
              </w:rPr>
              <w:t>或</w:t>
            </w:r>
            <w:r>
              <w:rPr>
                <w:rFonts w:hint="eastAsia" w:ascii="仿宋" w:hAnsi="仿宋" w:eastAsia="仿宋" w:cs="仿宋"/>
                <w:color w:val="auto"/>
                <w:kern w:val="0"/>
                <w:sz w:val="21"/>
                <w:szCs w:val="21"/>
                <w:highlight w:val="none"/>
                <w:u w:val="single"/>
                <w:lang w:val="en-US" w:eastAsia="zh-CN"/>
              </w:rPr>
              <w:t>营业收入50万元以下的为微型企业。</w:t>
            </w:r>
          </w:p>
        </w:tc>
      </w:tr>
      <w:tr w14:paraId="3A1F3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0" w:hRule="atLeast"/>
        </w:trPr>
        <w:tc>
          <w:tcPr>
            <w:tcW w:w="365" w:type="pct"/>
            <w:vAlign w:val="center"/>
          </w:tcPr>
          <w:p w14:paraId="52743947">
            <w:pPr>
              <w:keepNext w:val="0"/>
              <w:keepLines w:val="0"/>
              <w:pageBreakBefore w:val="0"/>
              <w:widowControl w:val="0"/>
              <w:kinsoku/>
              <w:wordWrap/>
              <w:overflowPunct/>
              <w:topLinePunct w:val="0"/>
              <w:bidi w:val="0"/>
              <w:adjustRightInd w:val="0"/>
              <w:snapToGrid/>
              <w:spacing w:line="360" w:lineRule="auto"/>
              <w:jc w:val="center"/>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w:t>
            </w:r>
          </w:p>
        </w:tc>
        <w:tc>
          <w:tcPr>
            <w:tcW w:w="1074" w:type="pct"/>
            <w:vAlign w:val="center"/>
          </w:tcPr>
          <w:p w14:paraId="2E1348FF">
            <w:pPr>
              <w:keepNext w:val="0"/>
              <w:keepLines w:val="0"/>
              <w:pageBreakBefore w:val="0"/>
              <w:widowControl w:val="0"/>
              <w:kinsoku/>
              <w:wordWrap/>
              <w:overflowPunct/>
              <w:topLinePunct w:val="0"/>
              <w:bidi w:val="0"/>
              <w:adjustRightInd w:val="0"/>
              <w:snapToGrid/>
              <w:spacing w:line="360" w:lineRule="auto"/>
              <w:jc w:val="center"/>
              <w:textAlignment w:val="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是否允许采购进口产品</w:t>
            </w:r>
          </w:p>
        </w:tc>
        <w:tc>
          <w:tcPr>
            <w:tcW w:w="3559" w:type="pct"/>
            <w:vAlign w:val="center"/>
          </w:tcPr>
          <w:p w14:paraId="2CCB9E8C">
            <w:pPr>
              <w:keepNext w:val="0"/>
              <w:keepLines w:val="0"/>
              <w:pageBreakBefore w:val="0"/>
              <w:widowControl w:val="0"/>
              <w:kinsoku/>
              <w:wordWrap/>
              <w:overflowPunct/>
              <w:topLinePunct w:val="0"/>
              <w:bidi w:val="0"/>
              <w:adjustRightInd w:val="0"/>
              <w:snapToGrid/>
              <w:spacing w:line="360" w:lineRule="auto"/>
              <w:textAlignment w:val="auto"/>
              <w:rPr>
                <w:rFonts w:hint="eastAsia" w:ascii="仿宋" w:hAnsi="仿宋" w:eastAsia="仿宋" w:cs="仿宋"/>
                <w:color w:val="auto"/>
                <w:kern w:val="0"/>
                <w:sz w:val="21"/>
                <w:szCs w:val="21"/>
                <w:highlight w:val="none"/>
              </w:rPr>
            </w:pPr>
            <w:sdt>
              <w:sdtPr>
                <w:rPr>
                  <w:rFonts w:hint="eastAsia" w:ascii="仿宋" w:hAnsi="仿宋" w:eastAsia="仿宋" w:cs="仿宋"/>
                  <w:color w:val="auto"/>
                  <w:kern w:val="0"/>
                  <w:sz w:val="21"/>
                  <w:szCs w:val="21"/>
                  <w:highlight w:val="none"/>
                </w:rPr>
                <w:id w:val="-1828425707"/>
              </w:sdtPr>
              <w:sdtEndPr>
                <w:rPr>
                  <w:rFonts w:hint="eastAsia" w:ascii="仿宋" w:hAnsi="仿宋" w:eastAsia="仿宋" w:cs="仿宋"/>
                  <w:color w:val="auto"/>
                  <w:kern w:val="0"/>
                  <w:sz w:val="21"/>
                  <w:szCs w:val="21"/>
                  <w:highlight w:val="none"/>
                </w:rPr>
              </w:sdtEndPr>
              <w:sdtContent>
                <w:r>
                  <w:rPr>
                    <w:rFonts w:hint="eastAsia" w:ascii="仿宋" w:hAnsi="仿宋" w:eastAsia="仿宋" w:cs="仿宋"/>
                    <w:color w:val="auto"/>
                    <w:kern w:val="0"/>
                    <w:sz w:val="21"/>
                    <w:szCs w:val="21"/>
                    <w:highlight w:val="none"/>
                  </w:rPr>
                  <w:sym w:font="Wingdings" w:char="00FE"/>
                </w:r>
              </w:sdtContent>
            </w:sdt>
            <w:r>
              <w:rPr>
                <w:rFonts w:hint="eastAsia" w:ascii="仿宋" w:hAnsi="仿宋" w:eastAsia="仿宋" w:cs="仿宋"/>
                <w:color w:val="auto"/>
                <w:kern w:val="0"/>
                <w:sz w:val="21"/>
                <w:szCs w:val="21"/>
                <w:highlight w:val="none"/>
              </w:rPr>
              <w:t>本项目不允许采购进口产品。</w:t>
            </w:r>
          </w:p>
          <w:p w14:paraId="33FA0E9E">
            <w:pPr>
              <w:keepNext w:val="0"/>
              <w:keepLines w:val="0"/>
              <w:pageBreakBefore w:val="0"/>
              <w:widowControl w:val="0"/>
              <w:kinsoku/>
              <w:wordWrap/>
              <w:overflowPunct/>
              <w:topLinePunct w:val="0"/>
              <w:bidi w:val="0"/>
              <w:adjustRightInd w:val="0"/>
              <w:snapToGrid/>
              <w:spacing w:line="360" w:lineRule="auto"/>
              <w:textAlignment w:val="auto"/>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rPr>
              <w:t>☐可以就采购进口产品。</w:t>
            </w:r>
          </w:p>
        </w:tc>
      </w:tr>
      <w:tr w14:paraId="6589D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87" w:hRule="atLeast"/>
        </w:trPr>
        <w:tc>
          <w:tcPr>
            <w:tcW w:w="365" w:type="pct"/>
            <w:vAlign w:val="center"/>
          </w:tcPr>
          <w:p w14:paraId="14CB7787">
            <w:pPr>
              <w:keepNext w:val="0"/>
              <w:keepLines w:val="0"/>
              <w:pageBreakBefore w:val="0"/>
              <w:widowControl w:val="0"/>
              <w:kinsoku/>
              <w:wordWrap/>
              <w:overflowPunct/>
              <w:topLinePunct w:val="0"/>
              <w:bidi w:val="0"/>
              <w:adjustRightInd w:val="0"/>
              <w:snapToGrid/>
              <w:spacing w:line="360" w:lineRule="auto"/>
              <w:jc w:val="center"/>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4</w:t>
            </w:r>
          </w:p>
        </w:tc>
        <w:tc>
          <w:tcPr>
            <w:tcW w:w="1074" w:type="pct"/>
            <w:vAlign w:val="center"/>
          </w:tcPr>
          <w:p w14:paraId="7A69A253">
            <w:pPr>
              <w:keepNext w:val="0"/>
              <w:keepLines w:val="0"/>
              <w:pageBreakBefore w:val="0"/>
              <w:widowControl w:val="0"/>
              <w:kinsoku/>
              <w:wordWrap/>
              <w:overflowPunct/>
              <w:topLinePunct w:val="0"/>
              <w:bidi w:val="0"/>
              <w:adjustRightInd w:val="0"/>
              <w:snapToGrid/>
              <w:spacing w:line="360" w:lineRule="auto"/>
              <w:ind w:firstLine="422" w:firstLineChars="200"/>
              <w:textAlignment w:val="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分包</w:t>
            </w:r>
          </w:p>
        </w:tc>
        <w:tc>
          <w:tcPr>
            <w:tcW w:w="3559" w:type="pct"/>
            <w:vAlign w:val="center"/>
          </w:tcPr>
          <w:p w14:paraId="7DBF4449">
            <w:pPr>
              <w:keepNext w:val="0"/>
              <w:keepLines w:val="0"/>
              <w:pageBreakBefore w:val="0"/>
              <w:widowControl w:val="0"/>
              <w:kinsoku/>
              <w:wordWrap/>
              <w:overflowPunct/>
              <w:topLinePunct w:val="0"/>
              <w:bidi w:val="0"/>
              <w:adjustRightInd w:val="0"/>
              <w:snapToGrid/>
              <w:spacing w:line="360" w:lineRule="auto"/>
              <w:textAlignment w:val="auto"/>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rPr>
              <w:sym w:font="Wingdings" w:char="F0FE"/>
            </w:r>
            <w:r>
              <w:rPr>
                <w:rFonts w:hint="eastAsia" w:ascii="仿宋" w:hAnsi="仿宋" w:eastAsia="仿宋" w:cs="仿宋"/>
                <w:color w:val="auto"/>
                <w:kern w:val="0"/>
                <w:sz w:val="21"/>
                <w:szCs w:val="21"/>
                <w:highlight w:val="none"/>
              </w:rPr>
              <w:t>A</w:t>
            </w:r>
            <w:r>
              <w:rPr>
                <w:rFonts w:hint="eastAsia" w:ascii="仿宋" w:hAnsi="仿宋" w:eastAsia="仿宋" w:cs="仿宋"/>
                <w:color w:val="auto"/>
                <w:sz w:val="21"/>
                <w:szCs w:val="21"/>
                <w:highlight w:val="none"/>
              </w:rPr>
              <w:t>同意将非主体、非关键性的</w:t>
            </w:r>
            <w:r>
              <w:rPr>
                <w:rFonts w:hint="eastAsia" w:ascii="仿宋" w:hAnsi="仿宋" w:eastAsia="仿宋" w:cs="仿宋"/>
                <w:color w:val="auto"/>
                <w:kern w:val="0"/>
                <w:sz w:val="21"/>
                <w:szCs w:val="21"/>
                <w:highlight w:val="none"/>
                <w:u w:val="single"/>
                <w:lang w:val="en-US" w:eastAsia="zh-CN"/>
              </w:rPr>
              <w:t xml:space="preserve"> </w:t>
            </w:r>
            <w:r>
              <w:rPr>
                <w:rFonts w:hint="eastAsia" w:ascii="仿宋" w:hAnsi="仿宋" w:eastAsia="仿宋" w:cs="仿宋"/>
                <w:b/>
                <w:bCs/>
                <w:color w:val="auto"/>
                <w:kern w:val="0"/>
                <w:sz w:val="21"/>
                <w:szCs w:val="21"/>
                <w:highlight w:val="none"/>
                <w:u w:val="single"/>
                <w:lang w:val="en-US" w:eastAsia="zh-CN"/>
              </w:rPr>
              <w:t xml:space="preserve"> 大数据智能查控服务、资金智能查控服务、新型涉网案件智勘联侦分析服务</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rPr>
              <w:t>工作分包。</w:t>
            </w:r>
          </w:p>
          <w:p w14:paraId="11550087">
            <w:pPr>
              <w:keepNext w:val="0"/>
              <w:keepLines w:val="0"/>
              <w:pageBreakBefore w:val="0"/>
              <w:widowControl w:val="0"/>
              <w:kinsoku/>
              <w:wordWrap/>
              <w:overflowPunct/>
              <w:topLinePunct w:val="0"/>
              <w:bidi w:val="0"/>
              <w:adjustRightInd w:val="0"/>
              <w:snapToGrid/>
              <w:spacing w:line="360" w:lineRule="auto"/>
              <w:textAlignment w:val="auto"/>
              <w:rPr>
                <w:rFonts w:hint="eastAsia" w:ascii="仿宋" w:hAnsi="仿宋" w:eastAsia="仿宋" w:cs="仿宋"/>
                <w:color w:val="auto"/>
                <w:sz w:val="21"/>
                <w:szCs w:val="21"/>
                <w:highlight w:val="none"/>
              </w:rPr>
            </w:pPr>
            <w:sdt>
              <w:sdtPr>
                <w:rPr>
                  <w:rFonts w:hint="eastAsia" w:ascii="仿宋" w:hAnsi="仿宋" w:eastAsia="仿宋" w:cs="仿宋"/>
                  <w:color w:val="auto"/>
                  <w:kern w:val="0"/>
                  <w:sz w:val="21"/>
                  <w:szCs w:val="21"/>
                  <w:highlight w:val="none"/>
                </w:rPr>
                <w:id w:val="-52852824"/>
              </w:sdtPr>
              <w:sdtEndPr>
                <w:rPr>
                  <w:rFonts w:hint="eastAsia" w:ascii="仿宋" w:hAnsi="仿宋" w:eastAsia="仿宋" w:cs="仿宋"/>
                  <w:color w:val="auto"/>
                  <w:kern w:val="0"/>
                  <w:sz w:val="21"/>
                  <w:szCs w:val="21"/>
                  <w:highlight w:val="none"/>
                </w:rPr>
              </w:sdtEndPr>
              <w:sdtContent>
                <w:r>
                  <w:rPr>
                    <w:rFonts w:hint="eastAsia" w:ascii="仿宋" w:hAnsi="仿宋" w:eastAsia="仿宋" w:cs="仿宋"/>
                    <w:color w:val="auto"/>
                    <w:kern w:val="0"/>
                    <w:sz w:val="21"/>
                    <w:szCs w:val="21"/>
                    <w:highlight w:val="none"/>
                  </w:rPr>
                  <w:t>☐</w:t>
                </w:r>
              </w:sdtContent>
            </w:sdt>
            <w:sdt>
              <w:sdtPr>
                <w:rPr>
                  <w:rFonts w:hint="eastAsia" w:ascii="仿宋" w:hAnsi="仿宋" w:eastAsia="仿宋" w:cs="仿宋"/>
                  <w:color w:val="auto"/>
                  <w:kern w:val="0"/>
                  <w:sz w:val="21"/>
                  <w:szCs w:val="21"/>
                  <w:highlight w:val="none"/>
                </w:rPr>
                <w:id w:val="-1276331357"/>
                <w:showingPlcHdr/>
              </w:sdtPr>
              <w:sdtEndPr>
                <w:rPr>
                  <w:rFonts w:hint="eastAsia" w:ascii="仿宋" w:hAnsi="仿宋" w:eastAsia="仿宋" w:cs="仿宋"/>
                  <w:color w:val="auto"/>
                  <w:kern w:val="0"/>
                  <w:sz w:val="21"/>
                  <w:szCs w:val="21"/>
                  <w:highlight w:val="none"/>
                </w:rPr>
              </w:sdtEndPr>
              <w:sdtContent/>
            </w:sdt>
            <w:r>
              <w:rPr>
                <w:rFonts w:hint="eastAsia" w:ascii="仿宋" w:hAnsi="仿宋" w:eastAsia="仿宋" w:cs="仿宋"/>
                <w:color w:val="auto"/>
                <w:kern w:val="0"/>
                <w:sz w:val="21"/>
                <w:szCs w:val="21"/>
                <w:highlight w:val="none"/>
              </w:rPr>
              <w:t xml:space="preserve"> B</w:t>
            </w:r>
            <w:r>
              <w:rPr>
                <w:rFonts w:hint="eastAsia" w:ascii="仿宋" w:hAnsi="仿宋" w:eastAsia="仿宋" w:cs="仿宋"/>
                <w:color w:val="auto"/>
                <w:sz w:val="21"/>
                <w:szCs w:val="21"/>
                <w:highlight w:val="none"/>
              </w:rPr>
              <w:t>不同意分包。</w:t>
            </w:r>
          </w:p>
          <w:p w14:paraId="2C77BFB9">
            <w:pPr>
              <w:keepNext w:val="0"/>
              <w:keepLines w:val="0"/>
              <w:pageBreakBefore w:val="0"/>
              <w:widowControl w:val="0"/>
              <w:kinsoku/>
              <w:wordWrap/>
              <w:overflowPunct/>
              <w:topLinePunct w:val="0"/>
              <w:bidi w:val="0"/>
              <w:adjustRightInd w:val="0"/>
              <w:snapToGrid/>
              <w:spacing w:line="360" w:lineRule="auto"/>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注：不得限制大中型企业向小微企业合理分包。</w:t>
            </w:r>
          </w:p>
        </w:tc>
      </w:tr>
      <w:tr w14:paraId="4E405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0" w:hRule="atLeast"/>
        </w:trPr>
        <w:tc>
          <w:tcPr>
            <w:tcW w:w="365" w:type="pct"/>
            <w:vAlign w:val="center"/>
          </w:tcPr>
          <w:p w14:paraId="6A2AD2DC">
            <w:pPr>
              <w:keepNext w:val="0"/>
              <w:keepLines w:val="0"/>
              <w:pageBreakBefore w:val="0"/>
              <w:widowControl w:val="0"/>
              <w:kinsoku/>
              <w:wordWrap/>
              <w:overflowPunct/>
              <w:topLinePunct w:val="0"/>
              <w:bidi w:val="0"/>
              <w:adjustRightInd w:val="0"/>
              <w:snapToGrid/>
              <w:spacing w:line="360" w:lineRule="auto"/>
              <w:jc w:val="center"/>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w:t>
            </w:r>
          </w:p>
        </w:tc>
        <w:tc>
          <w:tcPr>
            <w:tcW w:w="1074" w:type="pct"/>
            <w:vAlign w:val="center"/>
          </w:tcPr>
          <w:p w14:paraId="5CB95AC5">
            <w:pPr>
              <w:keepNext w:val="0"/>
              <w:keepLines w:val="0"/>
              <w:pageBreakBefore w:val="0"/>
              <w:widowControl w:val="0"/>
              <w:kinsoku/>
              <w:wordWrap/>
              <w:overflowPunct/>
              <w:topLinePunct w:val="0"/>
              <w:bidi w:val="0"/>
              <w:adjustRightInd w:val="0"/>
              <w:snapToGrid/>
              <w:spacing w:line="360" w:lineRule="auto"/>
              <w:jc w:val="center"/>
              <w:textAlignment w:val="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开标前答疑会或现场考察</w:t>
            </w:r>
          </w:p>
        </w:tc>
        <w:tc>
          <w:tcPr>
            <w:tcW w:w="3559" w:type="pct"/>
            <w:vAlign w:val="center"/>
          </w:tcPr>
          <w:p w14:paraId="4F740428">
            <w:pPr>
              <w:keepNext w:val="0"/>
              <w:keepLines w:val="0"/>
              <w:pageBreakBefore w:val="0"/>
              <w:widowControl w:val="0"/>
              <w:kinsoku/>
              <w:wordWrap/>
              <w:overflowPunct/>
              <w:topLinePunct w:val="0"/>
              <w:bidi w:val="0"/>
              <w:adjustRightInd w:val="0"/>
              <w:snapToGrid/>
              <w:spacing w:line="360" w:lineRule="auto"/>
              <w:textAlignment w:val="auto"/>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rPr>
              <w:sym w:font="Wingdings" w:char="F0FE"/>
            </w:r>
            <w:sdt>
              <w:sdtPr>
                <w:rPr>
                  <w:rFonts w:hint="eastAsia" w:ascii="仿宋" w:hAnsi="仿宋" w:eastAsia="仿宋" w:cs="仿宋"/>
                  <w:color w:val="auto"/>
                  <w:kern w:val="0"/>
                  <w:sz w:val="21"/>
                  <w:szCs w:val="21"/>
                  <w:highlight w:val="none"/>
                </w:rPr>
                <w:id w:val="-212966419"/>
                <w:showingPlcHdr/>
              </w:sdtPr>
              <w:sdtEndPr>
                <w:rPr>
                  <w:rFonts w:hint="eastAsia" w:ascii="仿宋" w:hAnsi="仿宋" w:eastAsia="仿宋" w:cs="仿宋"/>
                  <w:color w:val="auto"/>
                  <w:kern w:val="0"/>
                  <w:sz w:val="21"/>
                  <w:szCs w:val="21"/>
                  <w:highlight w:val="none"/>
                </w:rPr>
              </w:sdtEndPr>
              <w:sdtContent/>
            </w:sdt>
            <w:r>
              <w:rPr>
                <w:rFonts w:hint="eastAsia" w:ascii="仿宋" w:hAnsi="仿宋" w:eastAsia="仿宋" w:cs="仿宋"/>
                <w:color w:val="auto"/>
                <w:kern w:val="0"/>
                <w:sz w:val="21"/>
                <w:szCs w:val="21"/>
                <w:highlight w:val="none"/>
              </w:rPr>
              <w:t>A</w:t>
            </w:r>
            <w:r>
              <w:rPr>
                <w:rFonts w:hint="eastAsia" w:ascii="仿宋" w:hAnsi="仿宋" w:eastAsia="仿宋" w:cs="仿宋"/>
                <w:color w:val="auto"/>
                <w:sz w:val="21"/>
                <w:szCs w:val="21"/>
                <w:highlight w:val="none"/>
              </w:rPr>
              <w:t>不组织。</w:t>
            </w:r>
          </w:p>
          <w:p w14:paraId="65EEDA17">
            <w:pPr>
              <w:keepNext w:val="0"/>
              <w:keepLines w:val="0"/>
              <w:pageBreakBefore w:val="0"/>
              <w:widowControl w:val="0"/>
              <w:kinsoku/>
              <w:wordWrap/>
              <w:overflowPunct/>
              <w:topLinePunct w:val="0"/>
              <w:bidi w:val="0"/>
              <w:adjustRightInd w:val="0"/>
              <w:snapToGrid/>
              <w:spacing w:line="360" w:lineRule="auto"/>
              <w:textAlignment w:val="auto"/>
              <w:rPr>
                <w:rFonts w:hint="eastAsia" w:ascii="仿宋" w:hAnsi="仿宋" w:eastAsia="仿宋" w:cs="仿宋"/>
                <w:color w:val="auto"/>
                <w:sz w:val="21"/>
                <w:szCs w:val="21"/>
                <w:highlight w:val="none"/>
              </w:rPr>
            </w:pPr>
            <w:r>
              <w:rPr>
                <w:rFonts w:hint="eastAsia" w:ascii="仿宋" w:hAnsi="仿宋" w:eastAsia="仿宋" w:cs="仿宋"/>
                <w:color w:val="auto"/>
                <w:kern w:val="0"/>
                <w:szCs w:val="21"/>
                <w:highlight w:val="none"/>
              </w:rPr>
              <w:t>☐B组织，</w:t>
            </w:r>
            <w:r>
              <w:rPr>
                <w:rFonts w:hint="eastAsia" w:ascii="仿宋" w:hAnsi="仿宋" w:eastAsia="仿宋" w:cs="仿宋"/>
                <w:color w:val="auto"/>
                <w:szCs w:val="21"/>
                <w:highlight w:val="none"/>
              </w:rPr>
              <w:t>时间：</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,地点：</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，联系人：</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，联系方式：</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 xml:space="preserve">。 </w:t>
            </w:r>
          </w:p>
          <w:p w14:paraId="43B96E54">
            <w:pPr>
              <w:pStyle w:val="97"/>
              <w:ind w:firstLine="0" w:firstLineChars="0"/>
              <w:rPr>
                <w:rFonts w:hint="eastAsia"/>
                <w:color w:val="auto"/>
                <w:highlight w:val="none"/>
              </w:rPr>
            </w:pPr>
            <w:r>
              <w:rPr>
                <w:rFonts w:hint="eastAsia" w:ascii="仿宋" w:hAnsi="仿宋" w:eastAsia="仿宋" w:cs="仿宋"/>
                <w:color w:val="auto"/>
                <w:kern w:val="0"/>
                <w:szCs w:val="21"/>
                <w:highlight w:val="none"/>
                <w:lang w:val="en-US" w:eastAsia="zh-CN"/>
              </w:rPr>
              <w:t>☐C不统一组织，供应商在获取采购文件后，自行至项目现场考察。地点：</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kern w:val="0"/>
                <w:szCs w:val="21"/>
                <w:highlight w:val="none"/>
                <w:lang w:val="en-US" w:eastAsia="zh-CN"/>
              </w:rPr>
              <w:t>，联系人：</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kern w:val="0"/>
                <w:szCs w:val="21"/>
                <w:highlight w:val="none"/>
                <w:lang w:val="en-US" w:eastAsia="zh-CN"/>
              </w:rPr>
              <w:t>，联系方式：</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kern w:val="0"/>
                <w:szCs w:val="21"/>
                <w:highlight w:val="none"/>
                <w:lang w:val="en-US" w:eastAsia="zh-CN"/>
              </w:rPr>
              <w:t>。</w:t>
            </w:r>
          </w:p>
        </w:tc>
      </w:tr>
      <w:tr w14:paraId="09D74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0" w:hRule="atLeast"/>
        </w:trPr>
        <w:tc>
          <w:tcPr>
            <w:tcW w:w="365" w:type="pct"/>
            <w:vAlign w:val="center"/>
          </w:tcPr>
          <w:p w14:paraId="2CD5305B">
            <w:pPr>
              <w:keepNext w:val="0"/>
              <w:keepLines w:val="0"/>
              <w:pageBreakBefore w:val="0"/>
              <w:widowControl w:val="0"/>
              <w:kinsoku/>
              <w:wordWrap/>
              <w:overflowPunct/>
              <w:topLinePunct w:val="0"/>
              <w:bidi w:val="0"/>
              <w:adjustRightInd w:val="0"/>
              <w:snapToGrid/>
              <w:spacing w:line="360" w:lineRule="auto"/>
              <w:jc w:val="center"/>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6</w:t>
            </w:r>
          </w:p>
        </w:tc>
        <w:tc>
          <w:tcPr>
            <w:tcW w:w="1074" w:type="pct"/>
            <w:vAlign w:val="center"/>
          </w:tcPr>
          <w:p w14:paraId="096719F5">
            <w:pPr>
              <w:keepNext w:val="0"/>
              <w:keepLines w:val="0"/>
              <w:pageBreakBefore w:val="0"/>
              <w:widowControl w:val="0"/>
              <w:kinsoku/>
              <w:wordWrap/>
              <w:overflowPunct/>
              <w:topLinePunct w:val="0"/>
              <w:bidi w:val="0"/>
              <w:adjustRightInd w:val="0"/>
              <w:snapToGrid/>
              <w:spacing w:line="360" w:lineRule="auto"/>
              <w:jc w:val="center"/>
              <w:textAlignment w:val="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样品提供</w:t>
            </w:r>
          </w:p>
        </w:tc>
        <w:tc>
          <w:tcPr>
            <w:tcW w:w="3559" w:type="pct"/>
            <w:vAlign w:val="center"/>
          </w:tcPr>
          <w:p w14:paraId="545A178D">
            <w:pPr>
              <w:keepNext w:val="0"/>
              <w:keepLines w:val="0"/>
              <w:pageBreakBefore w:val="0"/>
              <w:widowControl w:val="0"/>
              <w:kinsoku/>
              <w:wordWrap/>
              <w:overflowPunct/>
              <w:topLinePunct w:val="0"/>
              <w:bidi w:val="0"/>
              <w:adjustRightInd w:val="0"/>
              <w:snapToGrid/>
              <w:spacing w:line="360" w:lineRule="auto"/>
              <w:textAlignment w:val="auto"/>
              <w:rPr>
                <w:rFonts w:hint="eastAsia" w:ascii="仿宋" w:hAnsi="仿宋" w:eastAsia="仿宋" w:cs="仿宋"/>
                <w:color w:val="auto"/>
                <w:sz w:val="21"/>
                <w:szCs w:val="21"/>
                <w:highlight w:val="none"/>
              </w:rPr>
            </w:pPr>
            <w:sdt>
              <w:sdtPr>
                <w:rPr>
                  <w:rFonts w:hint="eastAsia" w:ascii="仿宋" w:hAnsi="仿宋" w:eastAsia="仿宋" w:cs="仿宋"/>
                  <w:color w:val="auto"/>
                  <w:kern w:val="0"/>
                  <w:sz w:val="21"/>
                  <w:szCs w:val="21"/>
                  <w:highlight w:val="none"/>
                </w:rPr>
                <w:id w:val="-1639946486"/>
              </w:sdtPr>
              <w:sdtEndPr>
                <w:rPr>
                  <w:rFonts w:hint="eastAsia" w:ascii="仿宋" w:hAnsi="仿宋" w:eastAsia="仿宋" w:cs="仿宋"/>
                  <w:color w:val="auto"/>
                  <w:kern w:val="0"/>
                  <w:sz w:val="21"/>
                  <w:szCs w:val="21"/>
                  <w:highlight w:val="none"/>
                </w:rPr>
              </w:sdtEndPr>
              <w:sdtContent>
                <w:r>
                  <w:rPr>
                    <w:rFonts w:hint="eastAsia" w:ascii="仿宋" w:hAnsi="仿宋" w:eastAsia="仿宋" w:cs="仿宋"/>
                    <w:color w:val="auto"/>
                    <w:kern w:val="0"/>
                    <w:sz w:val="21"/>
                    <w:szCs w:val="21"/>
                    <w:highlight w:val="none"/>
                  </w:rPr>
                  <w:sym w:font="Wingdings" w:char="F0FE"/>
                </w:r>
              </w:sdtContent>
            </w:sdt>
            <w:r>
              <w:rPr>
                <w:rFonts w:hint="eastAsia" w:ascii="仿宋" w:hAnsi="仿宋" w:eastAsia="仿宋" w:cs="仿宋"/>
                <w:color w:val="auto"/>
                <w:kern w:val="0"/>
                <w:sz w:val="21"/>
                <w:szCs w:val="21"/>
                <w:highlight w:val="none"/>
              </w:rPr>
              <w:t>A</w:t>
            </w:r>
            <w:r>
              <w:rPr>
                <w:rFonts w:hint="eastAsia" w:ascii="仿宋" w:hAnsi="仿宋" w:eastAsia="仿宋" w:cs="仿宋"/>
                <w:color w:val="auto"/>
                <w:sz w:val="21"/>
                <w:szCs w:val="21"/>
                <w:highlight w:val="none"/>
              </w:rPr>
              <w:t>不要求提供。</w:t>
            </w:r>
          </w:p>
          <w:p w14:paraId="7D42D5A0">
            <w:pPr>
              <w:keepNext w:val="0"/>
              <w:keepLines w:val="0"/>
              <w:pageBreakBefore w:val="0"/>
              <w:widowControl w:val="0"/>
              <w:kinsoku/>
              <w:wordWrap/>
              <w:overflowPunct/>
              <w:topLinePunct w:val="0"/>
              <w:bidi w:val="0"/>
              <w:adjustRightInd w:val="0"/>
              <w:snapToGrid/>
              <w:spacing w:line="360" w:lineRule="auto"/>
              <w:textAlignment w:val="auto"/>
              <w:rPr>
                <w:rFonts w:hint="eastAsia" w:ascii="仿宋" w:hAnsi="仿宋" w:eastAsia="仿宋" w:cs="仿宋"/>
                <w:color w:val="auto"/>
                <w:kern w:val="0"/>
                <w:sz w:val="21"/>
                <w:szCs w:val="21"/>
                <w:highlight w:val="none"/>
              </w:rPr>
            </w:pPr>
            <w:sdt>
              <w:sdtPr>
                <w:rPr>
                  <w:rFonts w:hint="eastAsia" w:ascii="仿宋" w:hAnsi="仿宋" w:eastAsia="仿宋" w:cs="仿宋"/>
                  <w:color w:val="auto"/>
                  <w:kern w:val="0"/>
                  <w:sz w:val="21"/>
                  <w:szCs w:val="21"/>
                  <w:highlight w:val="none"/>
                </w:rPr>
                <w:id w:val="1026831988"/>
              </w:sdtPr>
              <w:sdtEndPr>
                <w:rPr>
                  <w:rFonts w:hint="eastAsia" w:ascii="仿宋" w:hAnsi="仿宋" w:eastAsia="仿宋" w:cs="仿宋"/>
                  <w:color w:val="auto"/>
                  <w:kern w:val="0"/>
                  <w:sz w:val="21"/>
                  <w:szCs w:val="21"/>
                  <w:highlight w:val="none"/>
                </w:rPr>
              </w:sdtEndPr>
              <w:sdtContent>
                <w:r>
                  <w:rPr>
                    <w:rFonts w:hint="eastAsia" w:ascii="仿宋" w:hAnsi="仿宋" w:eastAsia="仿宋" w:cs="仿宋"/>
                    <w:color w:val="auto"/>
                    <w:kern w:val="0"/>
                    <w:sz w:val="21"/>
                    <w:szCs w:val="21"/>
                    <w:highlight w:val="none"/>
                  </w:rPr>
                  <w:t>☐</w:t>
                </w:r>
              </w:sdtContent>
            </w:sdt>
            <w:r>
              <w:rPr>
                <w:rFonts w:hint="eastAsia" w:ascii="仿宋" w:hAnsi="仿宋" w:eastAsia="仿宋" w:cs="仿宋"/>
                <w:color w:val="auto"/>
                <w:kern w:val="0"/>
                <w:sz w:val="21"/>
                <w:szCs w:val="21"/>
                <w:highlight w:val="none"/>
              </w:rPr>
              <w:t>B要求提供，</w:t>
            </w:r>
          </w:p>
          <w:p w14:paraId="0E2FB471">
            <w:pPr>
              <w:keepNext w:val="0"/>
              <w:keepLines w:val="0"/>
              <w:pageBreakBefore w:val="0"/>
              <w:widowControl w:val="0"/>
              <w:kinsoku/>
              <w:wordWrap/>
              <w:overflowPunct/>
              <w:topLinePunct w:val="0"/>
              <w:bidi w:val="0"/>
              <w:adjustRightInd w:val="0"/>
              <w:snapToGrid/>
              <w:spacing w:line="360" w:lineRule="auto"/>
              <w:textAlignment w:val="auto"/>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w:t>
            </w:r>
            <w:r>
              <w:rPr>
                <w:rFonts w:hint="eastAsia" w:ascii="仿宋" w:hAnsi="仿宋" w:eastAsia="仿宋" w:cs="仿宋"/>
                <w:snapToGrid w:val="0"/>
                <w:color w:val="auto"/>
                <w:kern w:val="28"/>
                <w:sz w:val="21"/>
                <w:szCs w:val="21"/>
                <w:highlight w:val="none"/>
              </w:rPr>
              <w:t>样品：</w:t>
            </w:r>
            <w:r>
              <w:rPr>
                <w:rFonts w:hint="eastAsia" w:ascii="仿宋" w:hAnsi="仿宋" w:eastAsia="仿宋" w:cs="仿宋"/>
                <w:snapToGrid w:val="0"/>
                <w:color w:val="auto"/>
                <w:kern w:val="28"/>
                <w:sz w:val="21"/>
                <w:szCs w:val="21"/>
                <w:highlight w:val="none"/>
                <w:u w:val="single"/>
                <w:lang w:val="en-US" w:eastAsia="zh-CN"/>
              </w:rPr>
              <w:t xml:space="preserve">             </w:t>
            </w:r>
            <w:r>
              <w:rPr>
                <w:rFonts w:hint="eastAsia" w:ascii="仿宋" w:hAnsi="仿宋" w:eastAsia="仿宋" w:cs="仿宋"/>
                <w:color w:val="auto"/>
                <w:kern w:val="0"/>
                <w:sz w:val="21"/>
                <w:szCs w:val="21"/>
                <w:highlight w:val="none"/>
              </w:rPr>
              <w:t>；</w:t>
            </w:r>
          </w:p>
          <w:p w14:paraId="275E384B">
            <w:pPr>
              <w:keepNext w:val="0"/>
              <w:keepLines w:val="0"/>
              <w:pageBreakBefore w:val="0"/>
              <w:widowControl w:val="0"/>
              <w:kinsoku/>
              <w:wordWrap/>
              <w:overflowPunct/>
              <w:topLinePunct w:val="0"/>
              <w:bidi w:val="0"/>
              <w:adjustRightInd w:val="0"/>
              <w:snapToGrid/>
              <w:spacing w:line="360" w:lineRule="auto"/>
              <w:textAlignment w:val="auto"/>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（2）</w:t>
            </w:r>
            <w:r>
              <w:rPr>
                <w:rFonts w:hint="eastAsia" w:ascii="仿宋" w:hAnsi="仿宋" w:eastAsia="仿宋" w:cs="仿宋"/>
                <w:snapToGrid w:val="0"/>
                <w:color w:val="auto"/>
                <w:kern w:val="28"/>
                <w:sz w:val="21"/>
                <w:szCs w:val="21"/>
                <w:highlight w:val="none"/>
              </w:rPr>
              <w:t>样品制作的标准和要求：</w:t>
            </w:r>
            <w:r>
              <w:rPr>
                <w:rFonts w:hint="eastAsia" w:ascii="仿宋" w:hAnsi="仿宋" w:eastAsia="仿宋" w:cs="仿宋"/>
                <w:snapToGrid w:val="0"/>
                <w:color w:val="auto"/>
                <w:kern w:val="28"/>
                <w:sz w:val="21"/>
                <w:szCs w:val="21"/>
                <w:highlight w:val="none"/>
                <w:u w:val="single"/>
                <w:lang w:val="en-US" w:eastAsia="zh-CN"/>
              </w:rPr>
              <w:t xml:space="preserve">            </w:t>
            </w:r>
            <w:r>
              <w:rPr>
                <w:rFonts w:hint="eastAsia" w:ascii="仿宋" w:hAnsi="仿宋" w:eastAsia="仿宋" w:cs="仿宋"/>
                <w:color w:val="auto"/>
                <w:kern w:val="0"/>
                <w:sz w:val="21"/>
                <w:szCs w:val="21"/>
                <w:highlight w:val="none"/>
              </w:rPr>
              <w:t>；</w:t>
            </w:r>
          </w:p>
          <w:p w14:paraId="45DC290A">
            <w:pPr>
              <w:keepNext w:val="0"/>
              <w:keepLines w:val="0"/>
              <w:pageBreakBefore w:val="0"/>
              <w:widowControl w:val="0"/>
              <w:kinsoku/>
              <w:wordWrap/>
              <w:overflowPunct/>
              <w:topLinePunct w:val="0"/>
              <w:bidi w:val="0"/>
              <w:adjustRightInd w:val="0"/>
              <w:snapToGrid/>
              <w:spacing w:line="360" w:lineRule="auto"/>
              <w:textAlignment w:val="auto"/>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（3）样品的评审方法以及评审标准</w:t>
            </w:r>
            <w:r>
              <w:rPr>
                <w:rFonts w:hint="eastAsia" w:ascii="仿宋" w:hAnsi="仿宋" w:eastAsia="仿宋" w:cs="仿宋"/>
                <w:snapToGrid w:val="0"/>
                <w:color w:val="auto"/>
                <w:kern w:val="28"/>
                <w:sz w:val="21"/>
                <w:szCs w:val="21"/>
                <w:highlight w:val="none"/>
              </w:rPr>
              <w:t>：详见</w:t>
            </w:r>
            <w:r>
              <w:rPr>
                <w:rFonts w:hint="eastAsia" w:ascii="仿宋" w:hAnsi="仿宋" w:eastAsia="仿宋" w:cs="仿宋"/>
                <w:color w:val="auto"/>
                <w:sz w:val="21"/>
                <w:szCs w:val="21"/>
                <w:highlight w:val="none"/>
                <w:u w:val="single"/>
              </w:rPr>
              <w:t>评标办法</w:t>
            </w:r>
            <w:r>
              <w:rPr>
                <w:rFonts w:hint="eastAsia" w:ascii="仿宋" w:hAnsi="仿宋" w:eastAsia="仿宋" w:cs="仿宋"/>
                <w:color w:val="auto"/>
                <w:kern w:val="0"/>
                <w:sz w:val="21"/>
                <w:szCs w:val="21"/>
                <w:highlight w:val="none"/>
              </w:rPr>
              <w:t>；</w:t>
            </w:r>
          </w:p>
          <w:p w14:paraId="1EB811B3">
            <w:pPr>
              <w:keepNext w:val="0"/>
              <w:keepLines w:val="0"/>
              <w:pageBreakBefore w:val="0"/>
              <w:widowControl w:val="0"/>
              <w:kinsoku/>
              <w:wordWrap/>
              <w:overflowPunct/>
              <w:topLinePunct w:val="0"/>
              <w:bidi w:val="0"/>
              <w:adjustRightInd w:val="0"/>
              <w:snapToGrid/>
              <w:spacing w:line="360" w:lineRule="auto"/>
              <w:textAlignment w:val="auto"/>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（4）是否需要随样品提交检测报告：</w:t>
            </w:r>
            <w:sdt>
              <w:sdtPr>
                <w:rPr>
                  <w:rFonts w:hint="eastAsia" w:ascii="仿宋" w:hAnsi="仿宋" w:eastAsia="仿宋" w:cs="仿宋"/>
                  <w:color w:val="auto"/>
                  <w:kern w:val="0"/>
                  <w:sz w:val="21"/>
                  <w:szCs w:val="21"/>
                  <w:highlight w:val="none"/>
                </w:rPr>
                <w:id w:val="1303421454"/>
              </w:sdtPr>
              <w:sdtEndPr>
                <w:rPr>
                  <w:rFonts w:hint="eastAsia" w:ascii="仿宋" w:hAnsi="仿宋" w:eastAsia="仿宋" w:cs="仿宋"/>
                  <w:color w:val="auto"/>
                  <w:kern w:val="0"/>
                  <w:sz w:val="21"/>
                  <w:szCs w:val="21"/>
                  <w:highlight w:val="none"/>
                </w:rPr>
              </w:sdtEndPr>
              <w:sdtContent>
                <w:r>
                  <w:rPr>
                    <w:rFonts w:hint="eastAsia" w:ascii="仿宋" w:hAnsi="仿宋" w:eastAsia="仿宋" w:cs="仿宋"/>
                    <w:color w:val="auto"/>
                    <w:kern w:val="0"/>
                    <w:sz w:val="21"/>
                    <w:szCs w:val="21"/>
                    <w:highlight w:val="none"/>
                  </w:rPr>
                  <w:t>☐</w:t>
                </w:r>
              </w:sdtContent>
            </w:sdt>
            <w:r>
              <w:rPr>
                <w:rFonts w:hint="eastAsia" w:ascii="仿宋" w:hAnsi="仿宋" w:eastAsia="仿宋" w:cs="仿宋"/>
                <w:color w:val="auto"/>
                <w:kern w:val="0"/>
                <w:sz w:val="21"/>
                <w:szCs w:val="21"/>
                <w:highlight w:val="none"/>
              </w:rPr>
              <w:t>否；</w:t>
            </w:r>
            <w:sdt>
              <w:sdtPr>
                <w:rPr>
                  <w:rFonts w:hint="eastAsia" w:ascii="仿宋" w:hAnsi="仿宋" w:eastAsia="仿宋" w:cs="仿宋"/>
                  <w:color w:val="auto"/>
                  <w:kern w:val="0"/>
                  <w:sz w:val="21"/>
                  <w:szCs w:val="21"/>
                  <w:highlight w:val="none"/>
                </w:rPr>
                <w:id w:val="1621728433"/>
              </w:sdtPr>
              <w:sdtEndPr>
                <w:rPr>
                  <w:rFonts w:hint="eastAsia" w:ascii="仿宋" w:hAnsi="仿宋" w:eastAsia="仿宋" w:cs="仿宋"/>
                  <w:color w:val="auto"/>
                  <w:kern w:val="0"/>
                  <w:sz w:val="21"/>
                  <w:szCs w:val="21"/>
                  <w:highlight w:val="none"/>
                </w:rPr>
              </w:sdtEndPr>
              <w:sdtContent>
                <w:r>
                  <w:rPr>
                    <w:rFonts w:hint="eastAsia" w:ascii="仿宋" w:hAnsi="仿宋" w:eastAsia="仿宋" w:cs="仿宋"/>
                    <w:color w:val="auto"/>
                    <w:kern w:val="0"/>
                    <w:sz w:val="21"/>
                    <w:szCs w:val="21"/>
                    <w:highlight w:val="none"/>
                  </w:rPr>
                  <w:t>☐</w:t>
                </w:r>
              </w:sdtContent>
            </w:sdt>
            <w:r>
              <w:rPr>
                <w:rFonts w:hint="eastAsia" w:ascii="仿宋" w:hAnsi="仿宋" w:eastAsia="仿宋" w:cs="仿宋"/>
                <w:color w:val="auto"/>
                <w:kern w:val="0"/>
                <w:sz w:val="21"/>
                <w:szCs w:val="21"/>
                <w:highlight w:val="none"/>
              </w:rPr>
              <w:t>是，检测机构的要求</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kern w:val="0"/>
                <w:sz w:val="21"/>
                <w:szCs w:val="21"/>
                <w:highlight w:val="none"/>
              </w:rPr>
              <w:t>；检测内容</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kern w:val="0"/>
                <w:sz w:val="21"/>
                <w:szCs w:val="21"/>
                <w:highlight w:val="none"/>
              </w:rPr>
              <w:t>。</w:t>
            </w:r>
          </w:p>
          <w:p w14:paraId="29BE4DBA">
            <w:pPr>
              <w:keepNext w:val="0"/>
              <w:keepLines w:val="0"/>
              <w:pageBreakBefore w:val="0"/>
              <w:widowControl w:val="0"/>
              <w:kinsoku/>
              <w:wordWrap/>
              <w:overflowPunct/>
              <w:topLinePunct w:val="0"/>
              <w:bidi w:val="0"/>
              <w:adjustRightInd w:val="0"/>
              <w:snapToGrid/>
              <w:spacing w:line="360" w:lineRule="auto"/>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（5）提供样品的时间：</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kern w:val="0"/>
                <w:sz w:val="21"/>
                <w:szCs w:val="21"/>
                <w:highlight w:val="none"/>
              </w:rPr>
              <w:t>；地点：</w:t>
            </w:r>
            <w:r>
              <w:rPr>
                <w:rFonts w:hint="eastAsia" w:ascii="仿宋" w:hAnsi="仿宋" w:eastAsia="仿宋" w:cs="仿宋"/>
                <w:color w:val="auto"/>
                <w:kern w:val="0"/>
                <w:sz w:val="21"/>
                <w:szCs w:val="21"/>
                <w:highlight w:val="none"/>
                <w:u w:val="single"/>
                <w:lang w:val="en-US" w:eastAsia="zh-CN"/>
              </w:rPr>
              <w:t xml:space="preserve">   </w:t>
            </w:r>
            <w:r>
              <w:rPr>
                <w:rFonts w:hint="eastAsia" w:ascii="仿宋" w:hAnsi="仿宋" w:eastAsia="仿宋" w:cs="仿宋"/>
                <w:color w:val="auto"/>
                <w:kern w:val="0"/>
                <w:sz w:val="21"/>
                <w:szCs w:val="21"/>
                <w:highlight w:val="none"/>
              </w:rPr>
              <w:t>；联系人</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rPr>
              <w:t>，</w:t>
            </w:r>
            <w:r>
              <w:rPr>
                <w:rFonts w:hint="eastAsia" w:ascii="仿宋" w:hAnsi="仿宋" w:eastAsia="仿宋" w:cs="仿宋"/>
                <w:color w:val="auto"/>
                <w:kern w:val="28"/>
                <w:sz w:val="21"/>
                <w:szCs w:val="21"/>
                <w:highlight w:val="none"/>
              </w:rPr>
              <w:t>联系电话：</w:t>
            </w:r>
            <w:r>
              <w:rPr>
                <w:rFonts w:hint="eastAsia" w:ascii="仿宋" w:hAnsi="仿宋" w:eastAsia="仿宋" w:cs="仿宋"/>
                <w:color w:val="auto"/>
                <w:kern w:val="28"/>
                <w:sz w:val="21"/>
                <w:szCs w:val="21"/>
                <w:highlight w:val="none"/>
                <w:u w:val="single"/>
                <w:lang w:val="en-US" w:eastAsia="zh-CN"/>
              </w:rPr>
              <w:t xml:space="preserve">  </w:t>
            </w:r>
            <w:r>
              <w:rPr>
                <w:rFonts w:hint="eastAsia" w:ascii="仿宋" w:hAnsi="仿宋" w:eastAsia="仿宋" w:cs="仿宋"/>
                <w:color w:val="auto"/>
                <w:sz w:val="21"/>
                <w:szCs w:val="21"/>
                <w:highlight w:val="none"/>
              </w:rPr>
              <w:t>。请投标人在上述时间内提供样品并按规定位置安装完毕。超过截止时间的，采购人或采购代理机构将不予接收，并将清场并封闭样品现场。</w:t>
            </w:r>
          </w:p>
          <w:p w14:paraId="1BD72E6A">
            <w:pPr>
              <w:keepNext w:val="0"/>
              <w:keepLines w:val="0"/>
              <w:pageBreakBefore w:val="0"/>
              <w:widowControl w:val="0"/>
              <w:kinsoku/>
              <w:wordWrap/>
              <w:overflowPunct/>
              <w:topLinePunct w:val="0"/>
              <w:bidi w:val="0"/>
              <w:adjustRightInd w:val="0"/>
              <w:snapToGrid/>
              <w:spacing w:line="360" w:lineRule="auto"/>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(6)采购活动结束后，对于未中标人提供的样品，采购人、采购代理机构将通知未中标人在规定的时间内取回，逾期未取回的，采购人、采购代理机构不负保管义务；对于中标人提供的样品，采购人将进行保管、封存，并作为履约验收的参考。</w:t>
            </w:r>
          </w:p>
          <w:p w14:paraId="673F400F">
            <w:pPr>
              <w:keepNext w:val="0"/>
              <w:keepLines w:val="0"/>
              <w:pageBreakBefore w:val="0"/>
              <w:widowControl w:val="0"/>
              <w:kinsoku/>
              <w:wordWrap/>
              <w:overflowPunct/>
              <w:topLinePunct w:val="0"/>
              <w:bidi w:val="0"/>
              <w:adjustRightInd w:val="0"/>
              <w:snapToGrid/>
              <w:spacing w:line="360" w:lineRule="auto"/>
              <w:textAlignment w:val="auto"/>
              <w:rPr>
                <w:rFonts w:hint="eastAsia" w:ascii="仿宋" w:hAnsi="仿宋" w:eastAsia="仿宋" w:cs="仿宋"/>
                <w:b/>
                <w:color w:val="auto"/>
                <w:sz w:val="21"/>
                <w:szCs w:val="21"/>
                <w:highlight w:val="none"/>
              </w:rPr>
            </w:pPr>
            <w:r>
              <w:rPr>
                <w:rFonts w:hint="eastAsia" w:ascii="仿宋" w:hAnsi="仿宋" w:eastAsia="仿宋" w:cs="仿宋"/>
                <w:color w:val="auto"/>
                <w:sz w:val="21"/>
                <w:szCs w:val="21"/>
                <w:highlight w:val="none"/>
              </w:rPr>
              <w:t>（7）制作、运输、安装和保管样品所发生的一切费用由投标人自理。</w:t>
            </w:r>
          </w:p>
        </w:tc>
      </w:tr>
      <w:tr w14:paraId="2D68B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0" w:hRule="atLeast"/>
        </w:trPr>
        <w:tc>
          <w:tcPr>
            <w:tcW w:w="365" w:type="pct"/>
            <w:vAlign w:val="center"/>
          </w:tcPr>
          <w:p w14:paraId="226320CB">
            <w:pPr>
              <w:keepNext w:val="0"/>
              <w:keepLines w:val="0"/>
              <w:pageBreakBefore w:val="0"/>
              <w:widowControl w:val="0"/>
              <w:kinsoku/>
              <w:wordWrap/>
              <w:overflowPunct/>
              <w:topLinePunct w:val="0"/>
              <w:bidi w:val="0"/>
              <w:adjustRightInd w:val="0"/>
              <w:snapToGrid/>
              <w:spacing w:line="360" w:lineRule="auto"/>
              <w:jc w:val="center"/>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7</w:t>
            </w:r>
          </w:p>
        </w:tc>
        <w:tc>
          <w:tcPr>
            <w:tcW w:w="1960" w:type="dxa"/>
            <w:vAlign w:val="center"/>
          </w:tcPr>
          <w:p w14:paraId="4B6B8EF5">
            <w:pPr>
              <w:keepNext w:val="0"/>
              <w:keepLines w:val="0"/>
              <w:pageBreakBefore w:val="0"/>
              <w:widowControl w:val="0"/>
              <w:kinsoku/>
              <w:wordWrap/>
              <w:overflowPunct/>
              <w:topLinePunct w:val="0"/>
              <w:bidi w:val="0"/>
              <w:adjustRightInd w:val="0"/>
              <w:snapToGrid/>
              <w:spacing w:line="360" w:lineRule="auto"/>
              <w:jc w:val="center"/>
              <w:textAlignment w:val="auto"/>
              <w:rPr>
                <w:rFonts w:hint="eastAsia" w:ascii="仿宋" w:hAnsi="仿宋" w:eastAsia="仿宋" w:cs="仿宋"/>
                <w:bCs/>
                <w:color w:val="auto"/>
                <w:sz w:val="21"/>
                <w:szCs w:val="21"/>
                <w:highlight w:val="none"/>
              </w:rPr>
            </w:pPr>
            <w:r>
              <w:rPr>
                <w:rFonts w:hint="eastAsia" w:ascii="仿宋" w:hAnsi="仿宋" w:eastAsia="仿宋" w:cs="仿宋"/>
                <w:b/>
                <w:color w:val="auto"/>
                <w:sz w:val="21"/>
                <w:szCs w:val="21"/>
                <w:highlight w:val="none"/>
              </w:rPr>
              <w:t>方案讲解演示</w:t>
            </w:r>
          </w:p>
        </w:tc>
        <w:tc>
          <w:tcPr>
            <w:tcW w:w="6495" w:type="dxa"/>
            <w:vAlign w:val="center"/>
          </w:tcPr>
          <w:p w14:paraId="7908B192">
            <w:pPr>
              <w:keepNext w:val="0"/>
              <w:keepLines w:val="0"/>
              <w:pageBreakBefore w:val="0"/>
              <w:widowControl w:val="0"/>
              <w:kinsoku/>
              <w:wordWrap/>
              <w:overflowPunct/>
              <w:topLinePunct w:val="0"/>
              <w:bidi w:val="0"/>
              <w:adjustRightInd w:val="0"/>
              <w:snapToGrid/>
              <w:spacing w:line="360" w:lineRule="auto"/>
              <w:textAlignment w:val="auto"/>
              <w:rPr>
                <w:rFonts w:hint="eastAsia" w:ascii="仿宋" w:hAnsi="仿宋" w:eastAsia="仿宋" w:cs="仿宋"/>
                <w:color w:val="auto"/>
                <w:sz w:val="21"/>
                <w:szCs w:val="21"/>
                <w:highlight w:val="none"/>
              </w:rPr>
            </w:pPr>
            <w:sdt>
              <w:sdtPr>
                <w:rPr>
                  <w:rFonts w:hint="eastAsia" w:ascii="仿宋" w:hAnsi="仿宋" w:eastAsia="仿宋" w:cs="仿宋"/>
                  <w:color w:val="auto"/>
                  <w:kern w:val="0"/>
                  <w:sz w:val="21"/>
                  <w:szCs w:val="21"/>
                  <w:highlight w:val="none"/>
                </w:rPr>
                <w:id w:val="147483465"/>
              </w:sdtPr>
              <w:sdtEndPr>
                <w:rPr>
                  <w:rFonts w:hint="eastAsia" w:ascii="仿宋" w:hAnsi="仿宋" w:eastAsia="仿宋" w:cs="仿宋"/>
                  <w:color w:val="auto"/>
                  <w:kern w:val="0"/>
                  <w:sz w:val="21"/>
                  <w:szCs w:val="21"/>
                  <w:highlight w:val="none"/>
                </w:rPr>
              </w:sdtEndPr>
              <w:sdtContent>
                <w:sdt>
                  <w:sdtPr>
                    <w:rPr>
                      <w:rFonts w:hint="eastAsia" w:ascii="仿宋" w:hAnsi="仿宋" w:eastAsia="仿宋" w:cs="仿宋"/>
                      <w:color w:val="auto"/>
                      <w:kern w:val="0"/>
                      <w:sz w:val="21"/>
                      <w:szCs w:val="21"/>
                      <w:highlight w:val="none"/>
                    </w:rPr>
                    <w:id w:val="147472966"/>
                  </w:sdtPr>
                  <w:sdtEndPr>
                    <w:rPr>
                      <w:rFonts w:hint="eastAsia" w:ascii="仿宋" w:hAnsi="仿宋" w:eastAsia="仿宋" w:cs="仿宋"/>
                      <w:color w:val="auto"/>
                      <w:kern w:val="0"/>
                      <w:sz w:val="21"/>
                      <w:szCs w:val="21"/>
                      <w:highlight w:val="none"/>
                    </w:rPr>
                  </w:sdtEndPr>
                  <w:sdtContent>
                    <w:r>
                      <w:rPr>
                        <w:rFonts w:hint="eastAsia" w:ascii="仿宋" w:hAnsi="仿宋" w:eastAsia="仿宋" w:cs="仿宋"/>
                        <w:color w:val="auto"/>
                        <w:kern w:val="0"/>
                        <w:sz w:val="21"/>
                        <w:szCs w:val="21"/>
                        <w:highlight w:val="none"/>
                      </w:rPr>
                      <w:sym w:font="Wingdings" w:char="F0FE"/>
                    </w:r>
                  </w:sdtContent>
                </w:sdt>
              </w:sdtContent>
            </w:sdt>
            <w:r>
              <w:rPr>
                <w:rFonts w:hint="eastAsia" w:ascii="仿宋" w:hAnsi="仿宋" w:eastAsia="仿宋" w:cs="仿宋"/>
                <w:color w:val="auto"/>
                <w:kern w:val="0"/>
                <w:sz w:val="21"/>
                <w:szCs w:val="21"/>
                <w:highlight w:val="none"/>
              </w:rPr>
              <w:t>A</w:t>
            </w:r>
            <w:r>
              <w:rPr>
                <w:rFonts w:hint="eastAsia" w:ascii="仿宋" w:hAnsi="仿宋" w:eastAsia="仿宋" w:cs="仿宋"/>
                <w:color w:val="auto"/>
                <w:sz w:val="21"/>
                <w:szCs w:val="21"/>
                <w:highlight w:val="none"/>
              </w:rPr>
              <w:t>不组织。</w:t>
            </w:r>
          </w:p>
          <w:p w14:paraId="10C45798">
            <w:pPr>
              <w:keepNext w:val="0"/>
              <w:keepLines w:val="0"/>
              <w:pageBreakBefore w:val="0"/>
              <w:widowControl w:val="0"/>
              <w:kinsoku/>
              <w:wordWrap/>
              <w:overflowPunct/>
              <w:topLinePunct w:val="0"/>
              <w:bidi w:val="0"/>
              <w:adjustRightInd w:val="0"/>
              <w:snapToGrid/>
              <w:spacing w:line="360" w:lineRule="auto"/>
              <w:textAlignment w:val="auto"/>
              <w:rPr>
                <w:rFonts w:hint="eastAsia" w:ascii="仿宋" w:hAnsi="仿宋" w:eastAsia="仿宋" w:cs="仿宋"/>
                <w:color w:val="auto"/>
                <w:kern w:val="0"/>
                <w:sz w:val="21"/>
                <w:szCs w:val="21"/>
                <w:highlight w:val="none"/>
              </w:rPr>
            </w:pPr>
            <w:sdt>
              <w:sdtPr>
                <w:rPr>
                  <w:rFonts w:hint="eastAsia" w:ascii="仿宋" w:hAnsi="仿宋" w:eastAsia="仿宋" w:cs="仿宋"/>
                  <w:color w:val="auto"/>
                  <w:kern w:val="0"/>
                  <w:sz w:val="21"/>
                  <w:szCs w:val="21"/>
                  <w:highlight w:val="none"/>
                </w:rPr>
                <w:id w:val="147461325"/>
              </w:sdtPr>
              <w:sdtEndPr>
                <w:rPr>
                  <w:rFonts w:hint="eastAsia" w:ascii="仿宋" w:hAnsi="仿宋" w:eastAsia="仿宋" w:cs="仿宋"/>
                  <w:color w:val="auto"/>
                  <w:kern w:val="0"/>
                  <w:sz w:val="21"/>
                  <w:szCs w:val="21"/>
                  <w:highlight w:val="none"/>
                </w:rPr>
              </w:sdtEndPr>
              <w:sdtContent>
                <w:r>
                  <w:rPr>
                    <w:rFonts w:hint="eastAsia" w:ascii="仿宋" w:hAnsi="仿宋" w:eastAsia="仿宋" w:cs="仿宋"/>
                    <w:color w:val="auto"/>
                    <w:kern w:val="0"/>
                    <w:sz w:val="21"/>
                    <w:szCs w:val="21"/>
                    <w:highlight w:val="none"/>
                  </w:rPr>
                  <w:t>☐</w:t>
                </w:r>
              </w:sdtContent>
            </w:sdt>
            <w:r>
              <w:rPr>
                <w:rFonts w:hint="eastAsia" w:ascii="仿宋" w:hAnsi="仿宋" w:eastAsia="仿宋" w:cs="仿宋"/>
                <w:color w:val="auto"/>
                <w:kern w:val="0"/>
                <w:sz w:val="21"/>
                <w:szCs w:val="21"/>
                <w:highlight w:val="none"/>
              </w:rPr>
              <w:t>B组织。</w:t>
            </w:r>
          </w:p>
          <w:p w14:paraId="67569AEB">
            <w:pPr>
              <w:keepNext w:val="0"/>
              <w:keepLines w:val="0"/>
              <w:pageBreakBefore w:val="0"/>
              <w:widowControl w:val="0"/>
              <w:kinsoku/>
              <w:wordWrap/>
              <w:overflowPunct/>
              <w:topLinePunct w:val="0"/>
              <w:bidi w:val="0"/>
              <w:adjustRightInd w:val="0"/>
              <w:snapToGrid/>
              <w:spacing w:line="360" w:lineRule="auto"/>
              <w:textAlignment w:val="auto"/>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（1）在评标时安排每个投标人进行方案讲解演示。每个投标人时间不超过</w:t>
            </w:r>
            <w:r>
              <w:rPr>
                <w:rFonts w:hint="eastAsia" w:ascii="仿宋" w:hAnsi="仿宋" w:eastAsia="仿宋" w:cs="仿宋"/>
                <w:color w:val="auto"/>
                <w:kern w:val="0"/>
                <w:sz w:val="21"/>
                <w:szCs w:val="21"/>
                <w:highlight w:val="none"/>
                <w:u w:val="single"/>
              </w:rPr>
              <w:t>20（编制时可根据项目情况进行调整）</w:t>
            </w:r>
            <w:r>
              <w:rPr>
                <w:rFonts w:hint="eastAsia" w:ascii="仿宋" w:hAnsi="仿宋" w:eastAsia="仿宋" w:cs="仿宋"/>
                <w:color w:val="auto"/>
                <w:kern w:val="0"/>
                <w:sz w:val="21"/>
                <w:szCs w:val="21"/>
                <w:highlight w:val="none"/>
              </w:rPr>
              <w:t>分钟，讲解次序以投标文件解密时间先后次序为准，讲解演示人员不超过</w:t>
            </w:r>
            <w:r>
              <w:rPr>
                <w:rFonts w:hint="eastAsia" w:ascii="仿宋" w:hAnsi="仿宋" w:eastAsia="仿宋" w:cs="仿宋"/>
                <w:color w:val="auto"/>
                <w:kern w:val="0"/>
                <w:sz w:val="21"/>
                <w:szCs w:val="21"/>
                <w:highlight w:val="none"/>
                <w:u w:val="single"/>
              </w:rPr>
              <w:t>3（编制时可根据项目情况进行调整）</w:t>
            </w:r>
            <w:r>
              <w:rPr>
                <w:rFonts w:hint="eastAsia" w:ascii="仿宋" w:hAnsi="仿宋" w:eastAsia="仿宋" w:cs="仿宋"/>
                <w:color w:val="auto"/>
                <w:kern w:val="0"/>
                <w:sz w:val="21"/>
                <w:szCs w:val="21"/>
                <w:highlight w:val="none"/>
              </w:rPr>
              <w:t>人。讲解演示结束后按要求解答评标委员会提问。</w:t>
            </w:r>
          </w:p>
          <w:p w14:paraId="7245A393">
            <w:pPr>
              <w:keepNext w:val="0"/>
              <w:keepLines w:val="0"/>
              <w:pageBreakBefore w:val="0"/>
              <w:widowControl w:val="0"/>
              <w:kinsoku/>
              <w:wordWrap/>
              <w:overflowPunct/>
              <w:topLinePunct w:val="0"/>
              <w:bidi w:val="0"/>
              <w:adjustRightInd w:val="0"/>
              <w:snapToGrid/>
              <w:spacing w:line="360" w:lineRule="auto"/>
              <w:textAlignment w:val="auto"/>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（2）方案讲解演示可选择以下其中一种方式：</w:t>
            </w:r>
          </w:p>
          <w:p w14:paraId="37D4C763">
            <w:pPr>
              <w:keepNext w:val="0"/>
              <w:keepLines w:val="0"/>
              <w:pageBreakBefore w:val="0"/>
              <w:widowControl w:val="0"/>
              <w:kinsoku/>
              <w:wordWrap/>
              <w:overflowPunct/>
              <w:topLinePunct w:val="0"/>
              <w:bidi w:val="0"/>
              <w:adjustRightInd w:val="0"/>
              <w:snapToGrid/>
              <w:spacing w:line="360" w:lineRule="auto"/>
              <w:textAlignment w:val="auto"/>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方式一：政采云平台在线讲解演示。政采云平台在线讲解需投标人根据政采云平台操作要求做好准备工作，提前完善软硬件配置环境。</w:t>
            </w:r>
          </w:p>
          <w:p w14:paraId="009FDC9C">
            <w:pPr>
              <w:keepNext w:val="0"/>
              <w:keepLines w:val="0"/>
              <w:pageBreakBefore w:val="0"/>
              <w:widowControl w:val="0"/>
              <w:kinsoku/>
              <w:wordWrap/>
              <w:overflowPunct/>
              <w:topLinePunct w:val="0"/>
              <w:bidi w:val="0"/>
              <w:adjustRightInd w:val="0"/>
              <w:snapToGrid/>
              <w:spacing w:line="360" w:lineRule="auto"/>
              <w:textAlignment w:val="auto"/>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方式二：交易中心现场讲解演示。现场讲解地点为</w:t>
            </w:r>
            <w:r>
              <w:rPr>
                <w:rFonts w:hint="eastAsia" w:ascii="仿宋" w:hAnsi="仿宋" w:eastAsia="仿宋" w:cs="仿宋"/>
                <w:color w:val="auto"/>
                <w:kern w:val="0"/>
                <w:sz w:val="21"/>
                <w:szCs w:val="21"/>
                <w:highlight w:val="none"/>
                <w:u w:val="single"/>
                <w:lang w:val="en-US" w:eastAsia="zh-CN"/>
              </w:rPr>
              <w:t xml:space="preserve">            </w:t>
            </w:r>
            <w:r>
              <w:rPr>
                <w:rFonts w:hint="eastAsia" w:ascii="仿宋" w:hAnsi="仿宋" w:eastAsia="仿宋" w:cs="仿宋"/>
                <w:color w:val="auto"/>
                <w:kern w:val="0"/>
                <w:sz w:val="21"/>
                <w:szCs w:val="21"/>
                <w:highlight w:val="none"/>
              </w:rPr>
              <w:t>，讲解演示所用电脑等设备由投标人自备。现场讲解演示人员进场时提供讲解人员名单（加盖公章或授权代表签名）及身份证明，否则不得讲解演示。</w:t>
            </w:r>
          </w:p>
          <w:p w14:paraId="532D560D">
            <w:pPr>
              <w:keepNext w:val="0"/>
              <w:keepLines w:val="0"/>
              <w:pageBreakBefore w:val="0"/>
              <w:widowControl w:val="0"/>
              <w:kinsoku/>
              <w:wordWrap/>
              <w:overflowPunct/>
              <w:topLinePunct w:val="0"/>
              <w:bidi w:val="0"/>
              <w:adjustRightInd w:val="0"/>
              <w:snapToGrid/>
              <w:spacing w:line="360" w:lineRule="auto"/>
              <w:textAlignment w:val="auto"/>
              <w:rPr>
                <w:rFonts w:hint="eastAsia" w:ascii="仿宋" w:hAnsi="仿宋" w:eastAsia="仿宋" w:cs="仿宋"/>
                <w:b/>
                <w:color w:val="auto"/>
                <w:kern w:val="0"/>
                <w:sz w:val="21"/>
                <w:szCs w:val="21"/>
                <w:highlight w:val="none"/>
                <w:lang w:val="zh-CN"/>
              </w:rPr>
            </w:pPr>
            <w:r>
              <w:rPr>
                <w:rFonts w:hint="eastAsia" w:ascii="仿宋" w:hAnsi="仿宋" w:eastAsia="仿宋" w:cs="仿宋"/>
                <w:color w:val="auto"/>
                <w:kern w:val="0"/>
                <w:sz w:val="21"/>
                <w:szCs w:val="21"/>
                <w:highlight w:val="none"/>
              </w:rPr>
              <w:t>注：因投标人自身原因导致无法演示或者演示效果不理想的，责任自负。因平台原因导致本项目方案讲解演示环节无法顺利开展，按照《浙江省政府采购项目电子交易管理暂行办法》相关规定执行。</w:t>
            </w:r>
          </w:p>
        </w:tc>
      </w:tr>
      <w:tr w14:paraId="4D0B5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0" w:hRule="atLeast"/>
        </w:trPr>
        <w:tc>
          <w:tcPr>
            <w:tcW w:w="365" w:type="pct"/>
            <w:vMerge w:val="restart"/>
            <w:vAlign w:val="center"/>
          </w:tcPr>
          <w:p w14:paraId="4D31C276">
            <w:pPr>
              <w:keepNext w:val="0"/>
              <w:keepLines w:val="0"/>
              <w:pageBreakBefore w:val="0"/>
              <w:widowControl w:val="0"/>
              <w:kinsoku/>
              <w:wordWrap/>
              <w:overflowPunct/>
              <w:topLinePunct w:val="0"/>
              <w:bidi w:val="0"/>
              <w:adjustRightInd w:val="0"/>
              <w:snapToGrid/>
              <w:spacing w:line="360" w:lineRule="auto"/>
              <w:jc w:val="center"/>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8</w:t>
            </w:r>
          </w:p>
        </w:tc>
        <w:tc>
          <w:tcPr>
            <w:tcW w:w="1074" w:type="pct"/>
            <w:vMerge w:val="restart"/>
            <w:vAlign w:val="center"/>
          </w:tcPr>
          <w:p w14:paraId="2BFFAB1A">
            <w:pPr>
              <w:keepNext w:val="0"/>
              <w:keepLines w:val="0"/>
              <w:pageBreakBefore w:val="0"/>
              <w:widowControl w:val="0"/>
              <w:kinsoku/>
              <w:wordWrap/>
              <w:overflowPunct/>
              <w:topLinePunct w:val="0"/>
              <w:bidi w:val="0"/>
              <w:adjustRightInd w:val="0"/>
              <w:snapToGrid/>
              <w:spacing w:line="360" w:lineRule="auto"/>
              <w:jc w:val="center"/>
              <w:textAlignment w:val="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投标人应当提供的资格、资信证明文件</w:t>
            </w:r>
          </w:p>
        </w:tc>
        <w:tc>
          <w:tcPr>
            <w:tcW w:w="3559" w:type="pct"/>
            <w:vAlign w:val="center"/>
          </w:tcPr>
          <w:p w14:paraId="4255F486">
            <w:pPr>
              <w:keepNext w:val="0"/>
              <w:keepLines w:val="0"/>
              <w:pageBreakBefore w:val="0"/>
              <w:widowControl w:val="0"/>
              <w:kinsoku/>
              <w:wordWrap/>
              <w:overflowPunct/>
              <w:topLinePunct w:val="0"/>
              <w:bidi w:val="0"/>
              <w:adjustRightInd w:val="0"/>
              <w:snapToGrid/>
              <w:spacing w:line="360" w:lineRule="auto"/>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（1）资格证明文件：见招标文件第二部分11.1。</w:t>
            </w:r>
          </w:p>
          <w:p w14:paraId="6EF6F647">
            <w:pPr>
              <w:keepNext w:val="0"/>
              <w:keepLines w:val="0"/>
              <w:pageBreakBefore w:val="0"/>
              <w:widowControl w:val="0"/>
              <w:kinsoku/>
              <w:wordWrap/>
              <w:overflowPunct/>
              <w:topLinePunct w:val="0"/>
              <w:bidi w:val="0"/>
              <w:adjustRightInd w:val="0"/>
              <w:snapToGrid/>
              <w:spacing w:line="360" w:lineRule="auto"/>
              <w:textAlignment w:val="auto"/>
              <w:rPr>
                <w:rFonts w:hint="eastAsia" w:ascii="仿宋" w:hAnsi="仿宋" w:eastAsia="仿宋" w:cs="仿宋"/>
                <w:snapToGrid w:val="0"/>
                <w:color w:val="auto"/>
                <w:kern w:val="0"/>
                <w:sz w:val="21"/>
                <w:szCs w:val="21"/>
                <w:highlight w:val="none"/>
              </w:rPr>
            </w:pPr>
            <w:r>
              <w:rPr>
                <w:rFonts w:hint="eastAsia" w:ascii="仿宋" w:hAnsi="仿宋" w:eastAsia="仿宋" w:cs="仿宋"/>
                <w:color w:val="auto"/>
                <w:kern w:val="0"/>
                <w:sz w:val="21"/>
                <w:szCs w:val="21"/>
                <w:highlight w:val="none"/>
                <w:lang w:val="zh-CN"/>
              </w:rPr>
              <w:t>投标人未提供有效的资格证明文件的，视为投标人不具备招标文件中规定的资格要求，投标无效。</w:t>
            </w:r>
          </w:p>
        </w:tc>
      </w:tr>
      <w:tr w14:paraId="5407F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0" w:hRule="atLeast"/>
        </w:trPr>
        <w:tc>
          <w:tcPr>
            <w:tcW w:w="365" w:type="pct"/>
            <w:vMerge w:val="continue"/>
            <w:vAlign w:val="center"/>
          </w:tcPr>
          <w:p w14:paraId="4A44A4D8">
            <w:pPr>
              <w:keepNext w:val="0"/>
              <w:keepLines w:val="0"/>
              <w:pageBreakBefore w:val="0"/>
              <w:widowControl w:val="0"/>
              <w:kinsoku/>
              <w:wordWrap/>
              <w:overflowPunct/>
              <w:topLinePunct w:val="0"/>
              <w:bidi w:val="0"/>
              <w:adjustRightInd w:val="0"/>
              <w:snapToGrid/>
              <w:spacing w:line="360" w:lineRule="auto"/>
              <w:jc w:val="center"/>
              <w:textAlignment w:val="auto"/>
              <w:rPr>
                <w:rFonts w:hint="eastAsia" w:ascii="仿宋" w:hAnsi="仿宋" w:eastAsia="仿宋" w:cs="仿宋"/>
                <w:color w:val="auto"/>
                <w:sz w:val="21"/>
                <w:szCs w:val="21"/>
                <w:highlight w:val="none"/>
              </w:rPr>
            </w:pPr>
          </w:p>
        </w:tc>
        <w:tc>
          <w:tcPr>
            <w:tcW w:w="1074" w:type="pct"/>
            <w:vMerge w:val="continue"/>
            <w:vAlign w:val="center"/>
          </w:tcPr>
          <w:p w14:paraId="21840203">
            <w:pPr>
              <w:keepNext w:val="0"/>
              <w:keepLines w:val="0"/>
              <w:pageBreakBefore w:val="0"/>
              <w:widowControl w:val="0"/>
              <w:kinsoku/>
              <w:wordWrap/>
              <w:overflowPunct/>
              <w:topLinePunct w:val="0"/>
              <w:bidi w:val="0"/>
              <w:adjustRightInd w:val="0"/>
              <w:snapToGrid/>
              <w:spacing w:line="360" w:lineRule="auto"/>
              <w:jc w:val="center"/>
              <w:textAlignment w:val="auto"/>
              <w:rPr>
                <w:rFonts w:hint="eastAsia" w:ascii="仿宋" w:hAnsi="仿宋" w:eastAsia="仿宋" w:cs="仿宋"/>
                <w:b/>
                <w:color w:val="auto"/>
                <w:sz w:val="21"/>
                <w:szCs w:val="21"/>
                <w:highlight w:val="none"/>
              </w:rPr>
            </w:pPr>
          </w:p>
        </w:tc>
        <w:tc>
          <w:tcPr>
            <w:tcW w:w="3559" w:type="pct"/>
            <w:vAlign w:val="center"/>
          </w:tcPr>
          <w:p w14:paraId="18BDE063">
            <w:pPr>
              <w:keepNext w:val="0"/>
              <w:keepLines w:val="0"/>
              <w:pageBreakBefore w:val="0"/>
              <w:widowControl w:val="0"/>
              <w:kinsoku/>
              <w:wordWrap/>
              <w:overflowPunct/>
              <w:topLinePunct w:val="0"/>
              <w:bidi w:val="0"/>
              <w:adjustRightInd w:val="0"/>
              <w:snapToGrid/>
              <w:spacing w:line="360" w:lineRule="auto"/>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（2）资信证明文件：根据招标文件第四部分评标标准提供。</w:t>
            </w:r>
          </w:p>
        </w:tc>
      </w:tr>
      <w:tr w14:paraId="50B8D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0" w:hRule="atLeast"/>
        </w:trPr>
        <w:tc>
          <w:tcPr>
            <w:tcW w:w="365" w:type="pct"/>
            <w:vAlign w:val="center"/>
          </w:tcPr>
          <w:p w14:paraId="7B58415B">
            <w:pPr>
              <w:keepNext w:val="0"/>
              <w:keepLines w:val="0"/>
              <w:pageBreakBefore w:val="0"/>
              <w:widowControl w:val="0"/>
              <w:kinsoku/>
              <w:wordWrap/>
              <w:overflowPunct/>
              <w:topLinePunct w:val="0"/>
              <w:bidi w:val="0"/>
              <w:adjustRightInd w:val="0"/>
              <w:snapToGrid/>
              <w:spacing w:line="360" w:lineRule="auto"/>
              <w:jc w:val="center"/>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9</w:t>
            </w:r>
          </w:p>
        </w:tc>
        <w:tc>
          <w:tcPr>
            <w:tcW w:w="1074" w:type="pct"/>
            <w:vAlign w:val="center"/>
          </w:tcPr>
          <w:p w14:paraId="558CC5B1">
            <w:pPr>
              <w:keepNext w:val="0"/>
              <w:keepLines w:val="0"/>
              <w:pageBreakBefore w:val="0"/>
              <w:widowControl w:val="0"/>
              <w:kinsoku/>
              <w:wordWrap/>
              <w:overflowPunct/>
              <w:topLinePunct w:val="0"/>
              <w:bidi w:val="0"/>
              <w:adjustRightInd w:val="0"/>
              <w:snapToGrid/>
              <w:spacing w:line="360" w:lineRule="auto"/>
              <w:jc w:val="center"/>
              <w:textAlignment w:val="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节能产品、环境标志产品</w:t>
            </w:r>
          </w:p>
        </w:tc>
        <w:tc>
          <w:tcPr>
            <w:tcW w:w="3559" w:type="pct"/>
            <w:shd w:val="clear" w:color="auto" w:fill="auto"/>
            <w:vAlign w:val="center"/>
          </w:tcPr>
          <w:p w14:paraId="3BFE49E4">
            <w:pPr>
              <w:snapToGrid w:val="0"/>
              <w:spacing w:line="360" w:lineRule="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采购人拟采购的产品属于品目清单范围的，采购人及其委托的采购代理机构将依据国家确定的认证机构出具的、处于有效期之内的节能产品、环境标志产品认证证书，对获得证书的产品实施政府优先采购或强制采购。</w:t>
            </w:r>
          </w:p>
          <w:p w14:paraId="35189B51">
            <w:pPr>
              <w:snapToGrid w:val="0"/>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lang w:eastAsia="zh-CN"/>
              </w:rPr>
              <w:t>强制采购节能采购。产品：</w:t>
            </w:r>
            <w:r>
              <w:rPr>
                <w:rFonts w:hint="eastAsia" w:ascii="仿宋" w:hAnsi="仿宋" w:eastAsia="仿宋" w:cs="仿宋"/>
                <w:color w:val="auto"/>
                <w:sz w:val="21"/>
                <w:szCs w:val="21"/>
                <w:highlight w:val="none"/>
                <w:u w:val="single"/>
                <w:lang w:val="en-US" w:eastAsia="zh-CN"/>
              </w:rPr>
              <w:t xml:space="preserve">      </w:t>
            </w:r>
          </w:p>
          <w:p w14:paraId="4887748B">
            <w:pPr>
              <w:snapToGrid w:val="0"/>
              <w:spacing w:line="360" w:lineRule="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eastAsia="zh-CN"/>
              </w:rPr>
              <w:t>□优先采购节能产品。产品：</w:t>
            </w:r>
            <w:r>
              <w:rPr>
                <w:rFonts w:hint="eastAsia" w:ascii="仿宋" w:hAnsi="仿宋" w:eastAsia="仿宋" w:cs="仿宋"/>
                <w:color w:val="auto"/>
                <w:sz w:val="21"/>
                <w:szCs w:val="21"/>
                <w:highlight w:val="none"/>
                <w:u w:val="single"/>
                <w:lang w:val="en-US" w:eastAsia="zh-CN"/>
              </w:rPr>
              <w:t xml:space="preserve">      </w:t>
            </w:r>
          </w:p>
          <w:p w14:paraId="04FEADF6">
            <w:pPr>
              <w:snapToGrid w:val="0"/>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□优先采购环保产品。产品：</w:t>
            </w:r>
            <w:r>
              <w:rPr>
                <w:rFonts w:hint="eastAsia" w:ascii="仿宋" w:hAnsi="仿宋" w:eastAsia="仿宋" w:cs="仿宋"/>
                <w:color w:val="auto"/>
                <w:sz w:val="21"/>
                <w:szCs w:val="21"/>
                <w:highlight w:val="none"/>
                <w:u w:val="single"/>
                <w:lang w:val="en-US" w:eastAsia="zh-CN"/>
              </w:rPr>
              <w:t xml:space="preserve">      </w:t>
            </w:r>
          </w:p>
          <w:p w14:paraId="6D7B6345">
            <w:pPr>
              <w:snapToGrid w:val="0"/>
              <w:spacing w:line="360" w:lineRule="auto"/>
              <w:rPr>
                <w:rFonts w:hint="eastAsia" w:ascii="仿宋" w:hAnsi="仿宋" w:eastAsia="仿宋" w:cs="仿宋"/>
                <w:color w:val="auto"/>
                <w:kern w:val="2"/>
                <w:sz w:val="21"/>
                <w:szCs w:val="21"/>
                <w:highlight w:val="none"/>
                <w:lang w:val="en-US" w:eastAsia="zh-CN" w:bidi="ar-SA"/>
              </w:rPr>
            </w:pPr>
            <w:r>
              <w:rPr>
                <w:rFonts w:hint="eastAsia" w:ascii="仿宋" w:hAnsi="仿宋" w:eastAsia="仿宋" w:cs="仿宋"/>
                <w:color w:val="auto"/>
                <w:sz w:val="21"/>
                <w:szCs w:val="21"/>
                <w:highlight w:val="none"/>
                <w:lang w:eastAsia="zh-CN"/>
              </w:rPr>
              <w:t>☑无</w:t>
            </w:r>
          </w:p>
        </w:tc>
      </w:tr>
      <w:tr w14:paraId="2039A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0" w:hRule="atLeast"/>
        </w:trPr>
        <w:tc>
          <w:tcPr>
            <w:tcW w:w="365" w:type="pct"/>
            <w:vAlign w:val="center"/>
          </w:tcPr>
          <w:p w14:paraId="300999F7">
            <w:pPr>
              <w:keepNext w:val="0"/>
              <w:keepLines w:val="0"/>
              <w:pageBreakBefore w:val="0"/>
              <w:widowControl w:val="0"/>
              <w:kinsoku/>
              <w:wordWrap/>
              <w:overflowPunct/>
              <w:topLinePunct w:val="0"/>
              <w:bidi w:val="0"/>
              <w:adjustRightInd w:val="0"/>
              <w:snapToGrid/>
              <w:spacing w:line="360" w:lineRule="auto"/>
              <w:jc w:val="center"/>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10</w:t>
            </w:r>
          </w:p>
        </w:tc>
        <w:tc>
          <w:tcPr>
            <w:tcW w:w="1074" w:type="pct"/>
            <w:vAlign w:val="center"/>
          </w:tcPr>
          <w:p w14:paraId="1AB93D50">
            <w:pPr>
              <w:keepNext w:val="0"/>
              <w:keepLines w:val="0"/>
              <w:pageBreakBefore w:val="0"/>
              <w:widowControl w:val="0"/>
              <w:kinsoku/>
              <w:wordWrap/>
              <w:overflowPunct/>
              <w:topLinePunct w:val="0"/>
              <w:bidi w:val="0"/>
              <w:adjustRightInd w:val="0"/>
              <w:snapToGrid/>
              <w:spacing w:line="360" w:lineRule="auto"/>
              <w:jc w:val="center"/>
              <w:textAlignment w:val="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报价要求</w:t>
            </w:r>
          </w:p>
        </w:tc>
        <w:tc>
          <w:tcPr>
            <w:tcW w:w="3559" w:type="pct"/>
            <w:vAlign w:val="center"/>
          </w:tcPr>
          <w:p w14:paraId="7220DEAB">
            <w:pPr>
              <w:keepNext w:val="0"/>
              <w:keepLines w:val="0"/>
              <w:pageBreakBefore w:val="0"/>
              <w:widowControl w:val="0"/>
              <w:kinsoku/>
              <w:wordWrap/>
              <w:overflowPunct/>
              <w:topLinePunct w:val="0"/>
              <w:bidi w:val="0"/>
              <w:adjustRightInd w:val="0"/>
              <w:snapToGrid/>
              <w:spacing w:line="360" w:lineRule="auto"/>
              <w:jc w:val="left"/>
              <w:textAlignment w:val="auto"/>
              <w:rPr>
                <w:rFonts w:hint="eastAsia" w:ascii="仿宋" w:hAnsi="仿宋" w:eastAsia="仿宋" w:cs="仿宋"/>
                <w:b/>
                <w:color w:val="auto"/>
                <w:kern w:val="0"/>
                <w:sz w:val="21"/>
                <w:szCs w:val="21"/>
                <w:highlight w:val="none"/>
                <w:lang w:val="zh-CN"/>
              </w:rPr>
            </w:pPr>
            <w:r>
              <w:rPr>
                <w:rFonts w:hint="eastAsia" w:ascii="仿宋" w:hAnsi="仿宋" w:eastAsia="仿宋" w:cs="仿宋"/>
                <w:color w:val="auto"/>
                <w:kern w:val="0"/>
                <w:sz w:val="21"/>
                <w:szCs w:val="21"/>
                <w:highlight w:val="none"/>
                <w:lang w:val="zh-CN"/>
              </w:rPr>
              <w:t>有关本项目实施所需的所有费用（含税费）均计入报价，</w:t>
            </w:r>
            <w:r>
              <w:rPr>
                <w:rFonts w:hint="eastAsia" w:ascii="仿宋" w:hAnsi="仿宋" w:eastAsia="仿宋" w:cs="仿宋"/>
                <w:color w:val="auto"/>
                <w:kern w:val="0"/>
                <w:sz w:val="21"/>
                <w:szCs w:val="21"/>
                <w:highlight w:val="none"/>
                <w:u w:val="single"/>
                <w:lang w:val="zh-CN"/>
              </w:rPr>
              <w:t>包含为完成本项目可能发生的分析报告费、人员（工资、加班费、奖金、津贴及《劳动合同法》各类社会保险、人员的交通费、食宿费、办公费等）、税金等为完成本项目各项服务可能发生的全部费用均计入。</w:t>
            </w:r>
            <w:r>
              <w:rPr>
                <w:rFonts w:hint="eastAsia" w:ascii="仿宋" w:hAnsi="仿宋" w:eastAsia="仿宋" w:cs="仿宋"/>
                <w:b/>
                <w:bCs/>
                <w:color w:val="auto"/>
                <w:kern w:val="0"/>
                <w:sz w:val="21"/>
                <w:szCs w:val="21"/>
                <w:highlight w:val="none"/>
                <w:lang w:val="zh-CN"/>
              </w:rPr>
              <w:t>投标文件</w:t>
            </w:r>
            <w:r>
              <w:rPr>
                <w:rFonts w:hint="eastAsia" w:ascii="仿宋" w:hAnsi="仿宋" w:eastAsia="仿宋" w:cs="仿宋"/>
                <w:b/>
                <w:bCs/>
                <w:color w:val="auto"/>
                <w:sz w:val="21"/>
                <w:szCs w:val="21"/>
                <w:highlight w:val="none"/>
              </w:rPr>
              <w:t>开标一览表（报价表）是报价的唯一载体，如投标人在政府采购云平台填写的投标报价与投标文件报价文件中开标一览表（报价表）不一致的，以报价文件中开标一览表（报价表）为准。</w:t>
            </w:r>
            <w:r>
              <w:rPr>
                <w:rFonts w:hint="eastAsia" w:ascii="仿宋" w:hAnsi="仿宋" w:eastAsia="仿宋" w:cs="仿宋"/>
                <w:color w:val="auto"/>
                <w:kern w:val="0"/>
                <w:sz w:val="21"/>
                <w:szCs w:val="21"/>
                <w:highlight w:val="none"/>
                <w:lang w:val="zh-CN"/>
              </w:rPr>
              <w:t>投标文件中价格全部采用人民币报价。招标文件未列明，而投标人认为必需的费用也需列入报价。</w:t>
            </w:r>
            <w:r>
              <w:rPr>
                <w:rFonts w:hint="eastAsia" w:ascii="仿宋" w:hAnsi="仿宋" w:eastAsia="仿宋" w:cs="仿宋"/>
                <w:b/>
                <w:color w:val="auto"/>
                <w:kern w:val="0"/>
                <w:sz w:val="21"/>
                <w:szCs w:val="21"/>
                <w:highlight w:val="none"/>
                <w:lang w:val="zh-CN"/>
              </w:rPr>
              <w:t>提醒：验收时检测费用由采购人承担，不包含在投标总价中。</w:t>
            </w:r>
          </w:p>
          <w:p w14:paraId="4892C2F2">
            <w:pPr>
              <w:keepNext w:val="0"/>
              <w:keepLines w:val="0"/>
              <w:pageBreakBefore w:val="0"/>
              <w:widowControl w:val="0"/>
              <w:kinsoku/>
              <w:wordWrap/>
              <w:overflowPunct/>
              <w:topLinePunct w:val="0"/>
              <w:bidi w:val="0"/>
              <w:adjustRightInd w:val="0"/>
              <w:snapToGrid/>
              <w:spacing w:line="360" w:lineRule="auto"/>
              <w:jc w:val="left"/>
              <w:textAlignment w:val="auto"/>
              <w:rPr>
                <w:rFonts w:hint="eastAsia" w:ascii="仿宋" w:hAnsi="仿宋" w:eastAsia="仿宋" w:cs="仿宋"/>
                <w:b/>
                <w:color w:val="auto"/>
                <w:kern w:val="0"/>
                <w:sz w:val="21"/>
                <w:szCs w:val="21"/>
                <w:highlight w:val="none"/>
                <w:lang w:val="zh-CN"/>
              </w:rPr>
            </w:pPr>
            <w:r>
              <w:rPr>
                <w:rFonts w:hint="eastAsia" w:ascii="仿宋" w:hAnsi="仿宋" w:eastAsia="仿宋" w:cs="仿宋"/>
                <w:b/>
                <w:color w:val="auto"/>
                <w:kern w:val="0"/>
                <w:sz w:val="21"/>
                <w:szCs w:val="21"/>
                <w:highlight w:val="none"/>
                <w:lang w:val="zh-CN"/>
              </w:rPr>
              <w:t>投标报价出现下列情形的，投标无效：</w:t>
            </w:r>
          </w:p>
          <w:p w14:paraId="03FBE9C2">
            <w:pPr>
              <w:keepNext w:val="0"/>
              <w:keepLines w:val="0"/>
              <w:pageBreakBefore w:val="0"/>
              <w:widowControl w:val="0"/>
              <w:kinsoku/>
              <w:wordWrap/>
              <w:overflowPunct/>
              <w:topLinePunct w:val="0"/>
              <w:bidi w:val="0"/>
              <w:adjustRightInd w:val="0"/>
              <w:snapToGrid/>
              <w:spacing w:line="360" w:lineRule="auto"/>
              <w:ind w:firstLine="211" w:firstLineChars="100"/>
              <w:jc w:val="left"/>
              <w:textAlignment w:val="auto"/>
              <w:rPr>
                <w:rFonts w:hint="eastAsia" w:ascii="仿宋" w:hAnsi="仿宋" w:eastAsia="仿宋" w:cs="仿宋"/>
                <w:b/>
                <w:color w:val="auto"/>
                <w:kern w:val="0"/>
                <w:sz w:val="21"/>
                <w:szCs w:val="21"/>
                <w:highlight w:val="none"/>
                <w:lang w:val="zh-CN"/>
              </w:rPr>
            </w:pPr>
            <w:r>
              <w:rPr>
                <w:rFonts w:hint="eastAsia" w:ascii="仿宋" w:hAnsi="仿宋" w:eastAsia="仿宋" w:cs="仿宋"/>
                <w:b/>
                <w:color w:val="auto"/>
                <w:kern w:val="0"/>
                <w:sz w:val="21"/>
                <w:szCs w:val="21"/>
                <w:highlight w:val="none"/>
                <w:lang w:val="zh-CN"/>
              </w:rPr>
              <w:t>投标文件出现不是唯一的、有选择性投标报价的；</w:t>
            </w:r>
          </w:p>
          <w:p w14:paraId="6E24322E">
            <w:pPr>
              <w:keepNext w:val="0"/>
              <w:keepLines w:val="0"/>
              <w:pageBreakBefore w:val="0"/>
              <w:widowControl w:val="0"/>
              <w:kinsoku/>
              <w:wordWrap/>
              <w:overflowPunct/>
              <w:topLinePunct w:val="0"/>
              <w:bidi w:val="0"/>
              <w:adjustRightInd w:val="0"/>
              <w:snapToGrid/>
              <w:spacing w:line="360" w:lineRule="auto"/>
              <w:ind w:firstLine="211" w:firstLineChars="100"/>
              <w:jc w:val="left"/>
              <w:textAlignment w:val="auto"/>
              <w:rPr>
                <w:rFonts w:hint="eastAsia" w:ascii="仿宋" w:hAnsi="仿宋" w:eastAsia="仿宋" w:cs="仿宋"/>
                <w:color w:val="auto"/>
                <w:kern w:val="0"/>
                <w:sz w:val="21"/>
                <w:szCs w:val="21"/>
                <w:highlight w:val="none"/>
                <w:lang w:val="zh-CN"/>
              </w:rPr>
            </w:pPr>
            <w:r>
              <w:rPr>
                <w:rFonts w:hint="eastAsia" w:ascii="仿宋" w:hAnsi="仿宋" w:eastAsia="仿宋" w:cs="仿宋"/>
                <w:b/>
                <w:color w:val="auto"/>
                <w:kern w:val="0"/>
                <w:sz w:val="21"/>
                <w:szCs w:val="21"/>
                <w:highlight w:val="none"/>
                <w:lang w:val="zh-CN"/>
              </w:rPr>
              <w:t>投标报价超过招标文件中规定的预算金额或者最高限价的;</w:t>
            </w:r>
          </w:p>
          <w:p w14:paraId="23990A1D">
            <w:pPr>
              <w:keepNext w:val="0"/>
              <w:keepLines w:val="0"/>
              <w:pageBreakBefore w:val="0"/>
              <w:widowControl w:val="0"/>
              <w:kinsoku/>
              <w:wordWrap/>
              <w:overflowPunct/>
              <w:topLinePunct w:val="0"/>
              <w:autoSpaceDE w:val="0"/>
              <w:autoSpaceDN w:val="0"/>
              <w:bidi w:val="0"/>
              <w:adjustRightInd w:val="0"/>
              <w:snapToGrid/>
              <w:spacing w:line="360" w:lineRule="auto"/>
              <w:ind w:firstLine="211" w:firstLineChars="100"/>
              <w:jc w:val="left"/>
              <w:textAlignment w:val="auto"/>
              <w:rPr>
                <w:rFonts w:hint="eastAsia" w:ascii="仿宋" w:hAnsi="仿宋" w:eastAsia="仿宋" w:cs="仿宋"/>
                <w:b/>
                <w:color w:val="auto"/>
                <w:sz w:val="21"/>
                <w:szCs w:val="21"/>
                <w:highlight w:val="none"/>
              </w:rPr>
            </w:pPr>
            <w:r>
              <w:rPr>
                <w:rFonts w:hint="eastAsia" w:ascii="仿宋" w:hAnsi="仿宋" w:eastAsia="仿宋" w:cs="仿宋"/>
                <w:b/>
                <w:color w:val="auto"/>
                <w:kern w:val="0"/>
                <w:sz w:val="21"/>
                <w:szCs w:val="21"/>
                <w:highlight w:val="none"/>
              </w:rPr>
              <w:t>报价明显低于其他通过符合性审查投标人的报价，有可能影响产品质量或者不能诚信履约的，未能按要求提供书面说明或者提交相关证明材料证明其报价合理性的</w:t>
            </w:r>
            <w:r>
              <w:rPr>
                <w:rFonts w:hint="eastAsia" w:ascii="仿宋" w:hAnsi="仿宋" w:eastAsia="仿宋" w:cs="仿宋"/>
                <w:b/>
                <w:color w:val="auto"/>
                <w:kern w:val="0"/>
                <w:sz w:val="21"/>
                <w:szCs w:val="21"/>
                <w:highlight w:val="none"/>
                <w:lang w:val="zh-CN"/>
              </w:rPr>
              <w:t>;</w:t>
            </w:r>
          </w:p>
          <w:p w14:paraId="1727C506">
            <w:pPr>
              <w:keepNext w:val="0"/>
              <w:keepLines w:val="0"/>
              <w:pageBreakBefore w:val="0"/>
              <w:widowControl w:val="0"/>
              <w:kinsoku/>
              <w:wordWrap/>
              <w:overflowPunct/>
              <w:topLinePunct w:val="0"/>
              <w:bidi w:val="0"/>
              <w:adjustRightInd w:val="0"/>
              <w:snapToGrid/>
              <w:spacing w:line="360" w:lineRule="auto"/>
              <w:ind w:firstLine="211" w:firstLineChars="100"/>
              <w:textAlignment w:val="auto"/>
              <w:rPr>
                <w:rFonts w:hint="eastAsia" w:ascii="仿宋" w:hAnsi="仿宋" w:eastAsia="仿宋" w:cs="仿宋"/>
                <w:color w:val="auto"/>
                <w:sz w:val="21"/>
                <w:szCs w:val="21"/>
                <w:highlight w:val="none"/>
              </w:rPr>
            </w:pPr>
            <w:r>
              <w:rPr>
                <w:rFonts w:hint="eastAsia" w:ascii="仿宋" w:hAnsi="仿宋" w:eastAsia="仿宋" w:cs="仿宋"/>
                <w:b/>
                <w:color w:val="auto"/>
                <w:kern w:val="0"/>
                <w:sz w:val="21"/>
                <w:szCs w:val="21"/>
                <w:highlight w:val="none"/>
              </w:rPr>
              <w:t>投标人对根据修正原则修正后的报价不确认的</w:t>
            </w:r>
            <w:r>
              <w:rPr>
                <w:rFonts w:hint="eastAsia" w:ascii="仿宋" w:hAnsi="仿宋" w:eastAsia="仿宋" w:cs="仿宋"/>
                <w:b/>
                <w:color w:val="auto"/>
                <w:sz w:val="21"/>
                <w:szCs w:val="21"/>
                <w:highlight w:val="none"/>
              </w:rPr>
              <w:t>。</w:t>
            </w:r>
          </w:p>
        </w:tc>
      </w:tr>
      <w:tr w14:paraId="684E1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0" w:hRule="atLeast"/>
        </w:trPr>
        <w:tc>
          <w:tcPr>
            <w:tcW w:w="365" w:type="pct"/>
            <w:vAlign w:val="center"/>
          </w:tcPr>
          <w:p w14:paraId="44CB9B7A">
            <w:pPr>
              <w:keepNext w:val="0"/>
              <w:keepLines w:val="0"/>
              <w:pageBreakBefore w:val="0"/>
              <w:widowControl w:val="0"/>
              <w:kinsoku/>
              <w:wordWrap/>
              <w:overflowPunct/>
              <w:topLinePunct w:val="0"/>
              <w:bidi w:val="0"/>
              <w:adjustRightInd w:val="0"/>
              <w:snapToGrid/>
              <w:spacing w:line="360" w:lineRule="auto"/>
              <w:jc w:val="center"/>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11</w:t>
            </w:r>
          </w:p>
        </w:tc>
        <w:tc>
          <w:tcPr>
            <w:tcW w:w="1074" w:type="pct"/>
            <w:vAlign w:val="center"/>
          </w:tcPr>
          <w:p w14:paraId="1F8457DE">
            <w:pPr>
              <w:keepNext w:val="0"/>
              <w:keepLines w:val="0"/>
              <w:pageBreakBefore w:val="0"/>
              <w:widowControl w:val="0"/>
              <w:kinsoku/>
              <w:wordWrap/>
              <w:overflowPunct/>
              <w:topLinePunct w:val="0"/>
              <w:bidi w:val="0"/>
              <w:adjustRightInd w:val="0"/>
              <w:snapToGrid/>
              <w:spacing w:line="360" w:lineRule="auto"/>
              <w:jc w:val="center"/>
              <w:textAlignment w:val="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中小企业信用融资</w:t>
            </w:r>
          </w:p>
        </w:tc>
        <w:tc>
          <w:tcPr>
            <w:tcW w:w="3559" w:type="pct"/>
            <w:vAlign w:val="center"/>
          </w:tcPr>
          <w:p w14:paraId="67EBF0DC">
            <w:pPr>
              <w:keepNext w:val="0"/>
              <w:keepLines w:val="0"/>
              <w:pageBreakBefore w:val="0"/>
              <w:widowControl w:val="0"/>
              <w:kinsoku/>
              <w:wordWrap/>
              <w:overflowPunct/>
              <w:topLinePunct w:val="0"/>
              <w:bidi w:val="0"/>
              <w:adjustRightInd w:val="0"/>
              <w:snapToGrid/>
              <w:spacing w:line="360" w:lineRule="auto"/>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snapToGrid w:val="0"/>
                <w:color w:val="auto"/>
                <w:kern w:val="28"/>
                <w:sz w:val="21"/>
                <w:szCs w:val="21"/>
                <w:highlight w:val="none"/>
              </w:rPr>
              <w:t>供应商中标后也可在“政采云”平台申请政采贷：操作路径：登录政采云平台 - 金融服务中心 -【融资服务】，可在热门申请中选择产品直接申请，也可点击云智贷匹配适合产品进行申请，或者在可申请项目中根据该项目进行申请。</w:t>
            </w:r>
          </w:p>
        </w:tc>
      </w:tr>
      <w:tr w14:paraId="46CA0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0" w:hRule="atLeast"/>
        </w:trPr>
        <w:tc>
          <w:tcPr>
            <w:tcW w:w="365" w:type="pct"/>
            <w:vAlign w:val="center"/>
          </w:tcPr>
          <w:p w14:paraId="1B58AD17">
            <w:pPr>
              <w:keepNext w:val="0"/>
              <w:keepLines w:val="0"/>
              <w:pageBreakBefore w:val="0"/>
              <w:widowControl w:val="0"/>
              <w:kinsoku/>
              <w:wordWrap/>
              <w:overflowPunct/>
              <w:topLinePunct w:val="0"/>
              <w:bidi w:val="0"/>
              <w:adjustRightInd w:val="0"/>
              <w:snapToGrid/>
              <w:spacing w:line="360" w:lineRule="auto"/>
              <w:jc w:val="center"/>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12</w:t>
            </w:r>
          </w:p>
        </w:tc>
        <w:tc>
          <w:tcPr>
            <w:tcW w:w="1074" w:type="pct"/>
            <w:vAlign w:val="center"/>
          </w:tcPr>
          <w:p w14:paraId="313C7A40">
            <w:pPr>
              <w:keepNext w:val="0"/>
              <w:keepLines w:val="0"/>
              <w:pageBreakBefore w:val="0"/>
              <w:widowControl w:val="0"/>
              <w:kinsoku/>
              <w:wordWrap/>
              <w:overflowPunct/>
              <w:topLinePunct w:val="0"/>
              <w:bidi w:val="0"/>
              <w:adjustRightInd w:val="0"/>
              <w:snapToGrid/>
              <w:spacing w:line="360" w:lineRule="auto"/>
              <w:jc w:val="center"/>
              <w:textAlignment w:val="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 xml:space="preserve">备份投标文件送达地点和签收人员 </w:t>
            </w:r>
          </w:p>
        </w:tc>
        <w:tc>
          <w:tcPr>
            <w:tcW w:w="3559" w:type="pct"/>
            <w:vAlign w:val="center"/>
          </w:tcPr>
          <w:p w14:paraId="6C3E2660">
            <w:pPr>
              <w:pStyle w:val="41"/>
              <w:keepNext w:val="0"/>
              <w:keepLines w:val="0"/>
              <w:pageBreakBefore w:val="0"/>
              <w:widowControl w:val="0"/>
              <w:kinsoku/>
              <w:wordWrap/>
              <w:overflowPunct/>
              <w:topLinePunct w:val="0"/>
              <w:bidi w:val="0"/>
              <w:adjustRightInd w:val="0"/>
              <w:snapToGrid/>
              <w:spacing w:line="360" w:lineRule="auto"/>
              <w:textAlignment w:val="auto"/>
              <w:rPr>
                <w:rFonts w:hint="eastAsia" w:ascii="仿宋" w:hAnsi="仿宋" w:eastAsia="仿宋" w:cs="仿宋"/>
                <w:color w:val="auto"/>
                <w:kern w:val="28"/>
                <w:sz w:val="21"/>
                <w:szCs w:val="21"/>
                <w:highlight w:val="none"/>
              </w:rPr>
            </w:pPr>
            <w:r>
              <w:rPr>
                <w:rFonts w:hint="eastAsia" w:ascii="仿宋" w:hAnsi="仿宋" w:eastAsia="仿宋" w:cs="仿宋"/>
                <w:color w:val="auto"/>
                <w:kern w:val="28"/>
                <w:sz w:val="21"/>
                <w:szCs w:val="21"/>
                <w:highlight w:val="none"/>
              </w:rPr>
              <w:t>备份投标文件送达地点：</w:t>
            </w:r>
            <w:r>
              <w:rPr>
                <w:rFonts w:hint="eastAsia" w:ascii="仿宋" w:hAnsi="仿宋" w:eastAsia="仿宋" w:cs="仿宋"/>
                <w:color w:val="auto"/>
                <w:sz w:val="21"/>
                <w:szCs w:val="21"/>
                <w:highlight w:val="none"/>
                <w:u w:val="single"/>
                <w:lang w:eastAsia="zh-CN"/>
              </w:rPr>
              <w:t>杭州市拱墅区东新街道费家塘路588号8号楼208室</w:t>
            </w:r>
            <w:r>
              <w:rPr>
                <w:rFonts w:hint="eastAsia" w:ascii="仿宋" w:hAnsi="仿宋" w:eastAsia="仿宋" w:cs="仿宋"/>
                <w:color w:val="auto"/>
                <w:kern w:val="28"/>
                <w:sz w:val="21"/>
                <w:szCs w:val="21"/>
                <w:highlight w:val="none"/>
              </w:rPr>
              <w:t>；备份投标文件签收人员联系电话：</w:t>
            </w:r>
            <w:r>
              <w:rPr>
                <w:rFonts w:hint="eastAsia" w:ascii="仿宋" w:hAnsi="仿宋" w:eastAsia="仿宋" w:cs="仿宋"/>
                <w:color w:val="auto"/>
                <w:sz w:val="21"/>
                <w:szCs w:val="21"/>
                <w:highlight w:val="none"/>
                <w:u w:val="single"/>
                <w:lang w:val="en-US" w:eastAsia="zh-CN"/>
              </w:rPr>
              <w:t>张亮、15356672688</w:t>
            </w:r>
            <w:r>
              <w:rPr>
                <w:rFonts w:hint="eastAsia" w:ascii="仿宋" w:hAnsi="仿宋" w:eastAsia="仿宋" w:cs="仿宋"/>
                <w:color w:val="auto"/>
                <w:sz w:val="21"/>
                <w:szCs w:val="21"/>
                <w:highlight w:val="none"/>
              </w:rPr>
              <w:t>。</w:t>
            </w:r>
            <w:r>
              <w:rPr>
                <w:rFonts w:hint="eastAsia" w:ascii="仿宋" w:hAnsi="仿宋" w:eastAsia="仿宋" w:cs="仿宋"/>
                <w:b/>
                <w:color w:val="auto"/>
                <w:sz w:val="21"/>
                <w:szCs w:val="21"/>
                <w:highlight w:val="none"/>
              </w:rPr>
              <w:t>采购人、采购代理机构不强制或变相强制投标人提交备份投标文件。</w:t>
            </w:r>
          </w:p>
        </w:tc>
      </w:tr>
      <w:tr w14:paraId="0EE91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0" w:hRule="atLeast"/>
        </w:trPr>
        <w:tc>
          <w:tcPr>
            <w:tcW w:w="365" w:type="pct"/>
            <w:vMerge w:val="restart"/>
            <w:shd w:val="clear" w:color="auto" w:fill="auto"/>
            <w:vAlign w:val="center"/>
          </w:tcPr>
          <w:p w14:paraId="715228F1">
            <w:pPr>
              <w:keepNext w:val="0"/>
              <w:keepLines w:val="0"/>
              <w:pageBreakBefore w:val="0"/>
              <w:widowControl w:val="0"/>
              <w:kinsoku/>
              <w:wordWrap/>
              <w:overflowPunct/>
              <w:topLinePunct w:val="0"/>
              <w:bidi w:val="0"/>
              <w:adjustRightInd w:val="0"/>
              <w:snapToGrid/>
              <w:spacing w:line="360" w:lineRule="auto"/>
              <w:jc w:val="center"/>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13</w:t>
            </w:r>
          </w:p>
        </w:tc>
        <w:tc>
          <w:tcPr>
            <w:tcW w:w="1074" w:type="pct"/>
            <w:vMerge w:val="restart"/>
            <w:vAlign w:val="center"/>
          </w:tcPr>
          <w:p w14:paraId="58CCD285">
            <w:pPr>
              <w:keepNext w:val="0"/>
              <w:keepLines w:val="0"/>
              <w:pageBreakBefore w:val="0"/>
              <w:widowControl w:val="0"/>
              <w:kinsoku/>
              <w:wordWrap/>
              <w:overflowPunct/>
              <w:topLinePunct w:val="0"/>
              <w:bidi w:val="0"/>
              <w:adjustRightInd w:val="0"/>
              <w:snapToGrid/>
              <w:spacing w:line="360" w:lineRule="auto"/>
              <w:jc w:val="center"/>
              <w:textAlignment w:val="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特别说明</w:t>
            </w:r>
          </w:p>
        </w:tc>
        <w:tc>
          <w:tcPr>
            <w:tcW w:w="3559" w:type="pct"/>
            <w:vAlign w:val="center"/>
          </w:tcPr>
          <w:p w14:paraId="58D76F3C">
            <w:pPr>
              <w:keepNext w:val="0"/>
              <w:keepLines w:val="0"/>
              <w:pageBreakBefore w:val="0"/>
              <w:widowControl w:val="0"/>
              <w:kinsoku/>
              <w:wordWrap/>
              <w:overflowPunct/>
              <w:topLinePunct w:val="0"/>
              <w:bidi w:val="0"/>
              <w:adjustRightInd w:val="0"/>
              <w:snapToGrid/>
              <w:spacing w:line="360" w:lineRule="auto"/>
              <w:textAlignment w:val="auto"/>
              <w:rPr>
                <w:rFonts w:hint="eastAsia" w:ascii="仿宋" w:hAnsi="仿宋" w:eastAsia="仿宋" w:cs="仿宋"/>
                <w:snapToGrid w:val="0"/>
                <w:color w:val="auto"/>
                <w:kern w:val="28"/>
                <w:sz w:val="21"/>
                <w:szCs w:val="21"/>
                <w:highlight w:val="none"/>
              </w:rPr>
            </w:pPr>
            <w:r>
              <w:rPr>
                <w:rFonts w:hint="eastAsia" w:ascii="仿宋" w:hAnsi="仿宋" w:eastAsia="仿宋" w:cs="仿宋"/>
                <w:snapToGrid w:val="0"/>
                <w:color w:val="auto"/>
                <w:kern w:val="28"/>
                <w:sz w:val="21"/>
                <w:szCs w:val="21"/>
                <w:highlight w:val="none"/>
              </w:rPr>
              <w:t>联合体投标的，联合体各方分别提供与联合体协议中规定的分工内容相应的业绩证明材料，业绩数量以提供材料较少的一方为准。</w:t>
            </w:r>
          </w:p>
        </w:tc>
      </w:tr>
      <w:tr w14:paraId="201B5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0" w:hRule="atLeast"/>
        </w:trPr>
        <w:tc>
          <w:tcPr>
            <w:tcW w:w="365" w:type="pct"/>
            <w:vMerge w:val="continue"/>
            <w:shd w:val="clear" w:color="auto" w:fill="auto"/>
            <w:vAlign w:val="center"/>
          </w:tcPr>
          <w:p w14:paraId="2D4FEDDE">
            <w:pPr>
              <w:keepNext w:val="0"/>
              <w:keepLines w:val="0"/>
              <w:pageBreakBefore w:val="0"/>
              <w:widowControl w:val="0"/>
              <w:kinsoku/>
              <w:wordWrap/>
              <w:overflowPunct/>
              <w:topLinePunct w:val="0"/>
              <w:bidi w:val="0"/>
              <w:adjustRightInd w:val="0"/>
              <w:snapToGrid/>
              <w:spacing w:line="360" w:lineRule="auto"/>
              <w:jc w:val="center"/>
              <w:textAlignment w:val="auto"/>
              <w:rPr>
                <w:rFonts w:hint="eastAsia" w:ascii="仿宋" w:hAnsi="仿宋" w:eastAsia="仿宋" w:cs="仿宋"/>
                <w:color w:val="auto"/>
                <w:kern w:val="2"/>
                <w:sz w:val="21"/>
                <w:szCs w:val="21"/>
                <w:highlight w:val="none"/>
                <w:lang w:val="en-US" w:eastAsia="zh-CN" w:bidi="ar-SA"/>
              </w:rPr>
            </w:pPr>
          </w:p>
        </w:tc>
        <w:tc>
          <w:tcPr>
            <w:tcW w:w="1074" w:type="pct"/>
            <w:vMerge w:val="continue"/>
            <w:vAlign w:val="center"/>
          </w:tcPr>
          <w:p w14:paraId="783A3CBF">
            <w:pPr>
              <w:keepNext w:val="0"/>
              <w:keepLines w:val="0"/>
              <w:pageBreakBefore w:val="0"/>
              <w:widowControl w:val="0"/>
              <w:kinsoku/>
              <w:wordWrap/>
              <w:overflowPunct/>
              <w:topLinePunct w:val="0"/>
              <w:bidi w:val="0"/>
              <w:adjustRightInd w:val="0"/>
              <w:snapToGrid/>
              <w:spacing w:line="360" w:lineRule="auto"/>
              <w:jc w:val="center"/>
              <w:textAlignment w:val="auto"/>
              <w:rPr>
                <w:rFonts w:hint="eastAsia" w:ascii="仿宋" w:hAnsi="仿宋" w:eastAsia="仿宋" w:cs="仿宋"/>
                <w:b/>
                <w:color w:val="auto"/>
                <w:sz w:val="21"/>
                <w:szCs w:val="21"/>
                <w:highlight w:val="none"/>
              </w:rPr>
            </w:pPr>
          </w:p>
        </w:tc>
        <w:tc>
          <w:tcPr>
            <w:tcW w:w="3559" w:type="pct"/>
            <w:vAlign w:val="center"/>
          </w:tcPr>
          <w:p w14:paraId="6BF433BB">
            <w:pPr>
              <w:keepNext w:val="0"/>
              <w:keepLines w:val="0"/>
              <w:pageBreakBefore w:val="0"/>
              <w:widowControl w:val="0"/>
              <w:kinsoku/>
              <w:wordWrap/>
              <w:overflowPunct/>
              <w:topLinePunct w:val="0"/>
              <w:bidi w:val="0"/>
              <w:adjustRightInd w:val="0"/>
              <w:snapToGrid/>
              <w:spacing w:line="360" w:lineRule="auto"/>
              <w:textAlignment w:val="auto"/>
              <w:rPr>
                <w:rFonts w:hint="eastAsia" w:ascii="仿宋" w:hAnsi="仿宋" w:eastAsia="仿宋" w:cs="仿宋"/>
                <w:snapToGrid w:val="0"/>
                <w:color w:val="auto"/>
                <w:kern w:val="28"/>
                <w:sz w:val="21"/>
                <w:szCs w:val="21"/>
                <w:highlight w:val="none"/>
              </w:rPr>
            </w:pPr>
            <w:sdt>
              <w:sdtPr>
                <w:rPr>
                  <w:rFonts w:hint="eastAsia" w:ascii="仿宋" w:hAnsi="仿宋" w:eastAsia="仿宋" w:cs="仿宋"/>
                  <w:color w:val="auto"/>
                  <w:kern w:val="0"/>
                  <w:sz w:val="21"/>
                  <w:szCs w:val="21"/>
                  <w:highlight w:val="none"/>
                </w:rPr>
                <w:id w:val="-1816336663"/>
              </w:sdtPr>
              <w:sdtEndPr>
                <w:rPr>
                  <w:rFonts w:hint="eastAsia" w:ascii="仿宋" w:hAnsi="仿宋" w:eastAsia="仿宋" w:cs="仿宋"/>
                  <w:color w:val="auto"/>
                  <w:kern w:val="0"/>
                  <w:sz w:val="21"/>
                  <w:szCs w:val="21"/>
                  <w:highlight w:val="none"/>
                </w:rPr>
              </w:sdtEndPr>
              <w:sdtContent>
                <w:r>
                  <w:rPr>
                    <w:rFonts w:hint="eastAsia" w:ascii="仿宋" w:hAnsi="仿宋" w:eastAsia="仿宋" w:cs="仿宋"/>
                    <w:color w:val="auto"/>
                    <w:kern w:val="0"/>
                    <w:sz w:val="21"/>
                    <w:szCs w:val="21"/>
                    <w:highlight w:val="none"/>
                  </w:rPr>
                  <w:t>☐</w:t>
                </w:r>
              </w:sdtContent>
            </w:sdt>
            <w:r>
              <w:rPr>
                <w:rFonts w:hint="eastAsia" w:ascii="仿宋" w:hAnsi="仿宋" w:eastAsia="仿宋" w:cs="仿宋"/>
                <w:snapToGrid w:val="0"/>
                <w:color w:val="auto"/>
                <w:kern w:val="28"/>
                <w:sz w:val="21"/>
                <w:szCs w:val="21"/>
                <w:highlight w:val="none"/>
              </w:rPr>
              <w:t>联合体投标的，联合体各方均需按招标文件第四部分评标标准要求提供资信证明文件，否则视为不符合相关要求。</w:t>
            </w:r>
          </w:p>
          <w:p w14:paraId="7AE82A8D">
            <w:pPr>
              <w:keepNext w:val="0"/>
              <w:keepLines w:val="0"/>
              <w:pageBreakBefore w:val="0"/>
              <w:widowControl w:val="0"/>
              <w:kinsoku/>
              <w:wordWrap/>
              <w:overflowPunct/>
              <w:topLinePunct w:val="0"/>
              <w:bidi w:val="0"/>
              <w:adjustRightInd w:val="0"/>
              <w:snapToGrid/>
              <w:spacing w:line="360" w:lineRule="auto"/>
              <w:textAlignment w:val="auto"/>
              <w:rPr>
                <w:rFonts w:hint="eastAsia" w:ascii="仿宋" w:hAnsi="仿宋" w:eastAsia="仿宋" w:cs="仿宋"/>
                <w:snapToGrid w:val="0"/>
                <w:color w:val="auto"/>
                <w:kern w:val="28"/>
                <w:sz w:val="21"/>
                <w:szCs w:val="21"/>
                <w:highlight w:val="none"/>
              </w:rPr>
            </w:pPr>
            <w:sdt>
              <w:sdtPr>
                <w:rPr>
                  <w:rFonts w:hint="eastAsia" w:ascii="仿宋" w:hAnsi="仿宋" w:eastAsia="仿宋" w:cs="仿宋"/>
                  <w:color w:val="auto"/>
                  <w:kern w:val="0"/>
                  <w:sz w:val="21"/>
                  <w:szCs w:val="21"/>
                  <w:highlight w:val="none"/>
                </w:rPr>
                <w:id w:val="-232311894"/>
              </w:sdtPr>
              <w:sdtEndPr>
                <w:rPr>
                  <w:rFonts w:hint="eastAsia" w:ascii="仿宋" w:hAnsi="仿宋" w:eastAsia="仿宋" w:cs="仿宋"/>
                  <w:color w:val="auto"/>
                  <w:kern w:val="0"/>
                  <w:sz w:val="21"/>
                  <w:szCs w:val="21"/>
                  <w:highlight w:val="none"/>
                </w:rPr>
              </w:sdtEndPr>
              <w:sdtContent>
                <w:r>
                  <w:rPr>
                    <w:rFonts w:hint="eastAsia" w:ascii="仿宋" w:hAnsi="仿宋" w:eastAsia="仿宋" w:cs="仿宋"/>
                    <w:color w:val="auto"/>
                    <w:kern w:val="0"/>
                    <w:sz w:val="21"/>
                    <w:szCs w:val="21"/>
                    <w:highlight w:val="none"/>
                  </w:rPr>
                  <w:sym w:font="Wingdings" w:char="F0FE"/>
                </w:r>
              </w:sdtContent>
            </w:sdt>
            <w:r>
              <w:rPr>
                <w:rFonts w:hint="eastAsia" w:ascii="仿宋" w:hAnsi="仿宋" w:eastAsia="仿宋" w:cs="仿宋"/>
                <w:snapToGrid w:val="0"/>
                <w:color w:val="auto"/>
                <w:kern w:val="28"/>
                <w:sz w:val="21"/>
                <w:szCs w:val="21"/>
                <w:highlight w:val="none"/>
              </w:rPr>
              <w:t>联合体投标的，联合体中有一方或者联合体成员根据分工按招标文件第四部分评标标准要求提供资信证明文件的，视为符合了相关要求。</w:t>
            </w:r>
          </w:p>
        </w:tc>
      </w:tr>
      <w:tr w14:paraId="0993A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25" w:hRule="atLeast"/>
        </w:trPr>
        <w:tc>
          <w:tcPr>
            <w:tcW w:w="365" w:type="pct"/>
            <w:vMerge w:val="continue"/>
            <w:vAlign w:val="center"/>
          </w:tcPr>
          <w:p w14:paraId="2E7A142B">
            <w:pPr>
              <w:keepNext w:val="0"/>
              <w:keepLines w:val="0"/>
              <w:pageBreakBefore w:val="0"/>
              <w:widowControl w:val="0"/>
              <w:kinsoku/>
              <w:wordWrap/>
              <w:overflowPunct/>
              <w:topLinePunct w:val="0"/>
              <w:bidi w:val="0"/>
              <w:adjustRightInd w:val="0"/>
              <w:snapToGrid/>
              <w:spacing w:line="360" w:lineRule="auto"/>
              <w:jc w:val="center"/>
              <w:textAlignment w:val="auto"/>
              <w:rPr>
                <w:rFonts w:hint="eastAsia" w:ascii="仿宋" w:hAnsi="仿宋" w:eastAsia="仿宋" w:cs="仿宋"/>
                <w:color w:val="auto"/>
                <w:sz w:val="21"/>
                <w:szCs w:val="21"/>
                <w:highlight w:val="none"/>
              </w:rPr>
            </w:pPr>
          </w:p>
        </w:tc>
        <w:tc>
          <w:tcPr>
            <w:tcW w:w="1074" w:type="pct"/>
            <w:vMerge w:val="continue"/>
            <w:vAlign w:val="center"/>
          </w:tcPr>
          <w:p w14:paraId="179A1E5C">
            <w:pPr>
              <w:keepNext w:val="0"/>
              <w:keepLines w:val="0"/>
              <w:pageBreakBefore w:val="0"/>
              <w:widowControl w:val="0"/>
              <w:kinsoku/>
              <w:wordWrap/>
              <w:overflowPunct/>
              <w:topLinePunct w:val="0"/>
              <w:bidi w:val="0"/>
              <w:adjustRightInd w:val="0"/>
              <w:snapToGrid/>
              <w:spacing w:line="360" w:lineRule="auto"/>
              <w:jc w:val="center"/>
              <w:textAlignment w:val="auto"/>
              <w:rPr>
                <w:rFonts w:hint="eastAsia" w:ascii="仿宋" w:hAnsi="仿宋" w:eastAsia="仿宋" w:cs="仿宋"/>
                <w:b/>
                <w:color w:val="auto"/>
                <w:sz w:val="21"/>
                <w:szCs w:val="21"/>
                <w:highlight w:val="none"/>
              </w:rPr>
            </w:pPr>
          </w:p>
        </w:tc>
        <w:tc>
          <w:tcPr>
            <w:tcW w:w="3559" w:type="pct"/>
            <w:shd w:val="clear" w:color="auto" w:fill="auto"/>
            <w:vAlign w:val="center"/>
          </w:tcPr>
          <w:p w14:paraId="4FAF91FA">
            <w:pPr>
              <w:keepNext w:val="0"/>
              <w:keepLines w:val="0"/>
              <w:pageBreakBefore w:val="0"/>
              <w:widowControl w:val="0"/>
              <w:kinsoku/>
              <w:wordWrap/>
              <w:overflowPunct/>
              <w:topLinePunct w:val="0"/>
              <w:bidi w:val="0"/>
              <w:adjustRightInd w:val="0"/>
              <w:snapToGrid/>
              <w:spacing w:line="360" w:lineRule="auto"/>
              <w:textAlignment w:val="auto"/>
              <w:rPr>
                <w:rFonts w:hint="eastAsia" w:ascii="仿宋" w:hAnsi="仿宋" w:eastAsia="仿宋" w:cs="仿宋"/>
                <w:color w:val="auto"/>
                <w:kern w:val="0"/>
                <w:sz w:val="21"/>
                <w:szCs w:val="21"/>
                <w:highlight w:val="none"/>
                <w:lang w:val="en-US" w:eastAsia="zh-CN" w:bidi="ar-SA"/>
              </w:rPr>
            </w:pPr>
            <w:r>
              <w:rPr>
                <w:rFonts w:hint="eastAsia" w:ascii="仿宋" w:hAnsi="仿宋" w:eastAsia="仿宋" w:cs="仿宋"/>
                <w:color w:val="auto"/>
                <w:kern w:val="0"/>
                <w:sz w:val="21"/>
                <w:szCs w:val="21"/>
                <w:highlight w:val="none"/>
              </w:rPr>
              <w:t>招标文件第四部分评审因素对应的要求及第五部分采购合同的内容视为采购需求的一部分。</w:t>
            </w:r>
          </w:p>
        </w:tc>
      </w:tr>
      <w:tr w14:paraId="6C10E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15" w:hRule="atLeast"/>
        </w:trPr>
        <w:tc>
          <w:tcPr>
            <w:tcW w:w="365" w:type="pct"/>
            <w:vAlign w:val="center"/>
          </w:tcPr>
          <w:p w14:paraId="60799E9B">
            <w:pPr>
              <w:snapToGrid w:val="0"/>
              <w:spacing w:line="360" w:lineRule="auto"/>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Cs w:val="21"/>
                <w:highlight w:val="none"/>
              </w:rPr>
              <w:t>1</w:t>
            </w:r>
            <w:r>
              <w:rPr>
                <w:rFonts w:hint="eastAsia" w:ascii="仿宋" w:hAnsi="仿宋" w:eastAsia="仿宋" w:cs="仿宋"/>
                <w:color w:val="auto"/>
                <w:szCs w:val="21"/>
                <w:highlight w:val="none"/>
                <w:lang w:val="en-US" w:eastAsia="zh-CN"/>
              </w:rPr>
              <w:t>4</w:t>
            </w:r>
          </w:p>
        </w:tc>
        <w:tc>
          <w:tcPr>
            <w:tcW w:w="1074" w:type="pct"/>
            <w:vAlign w:val="center"/>
          </w:tcPr>
          <w:p w14:paraId="3EDF6775">
            <w:pPr>
              <w:snapToGrid w:val="0"/>
              <w:spacing w:line="360" w:lineRule="auto"/>
              <w:jc w:val="center"/>
              <w:rPr>
                <w:rFonts w:hint="eastAsia" w:ascii="仿宋" w:hAnsi="仿宋" w:eastAsia="仿宋" w:cs="仿宋"/>
                <w:b/>
                <w:color w:val="auto"/>
                <w:sz w:val="21"/>
                <w:szCs w:val="21"/>
                <w:highlight w:val="none"/>
              </w:rPr>
            </w:pPr>
            <w:r>
              <w:rPr>
                <w:rFonts w:hint="eastAsia" w:ascii="仿宋" w:hAnsi="仿宋" w:eastAsia="仿宋" w:cs="仿宋"/>
                <w:b/>
                <w:color w:val="auto"/>
                <w:szCs w:val="21"/>
                <w:highlight w:val="none"/>
                <w:lang w:val="en-US" w:eastAsia="zh-CN"/>
              </w:rPr>
              <w:t>中标</w:t>
            </w:r>
            <w:r>
              <w:rPr>
                <w:rFonts w:hint="eastAsia" w:ascii="仿宋" w:hAnsi="仿宋" w:eastAsia="仿宋" w:cs="仿宋"/>
                <w:b/>
                <w:color w:val="auto"/>
                <w:szCs w:val="21"/>
                <w:highlight w:val="none"/>
                <w:lang w:val="en" w:eastAsia="zh-CN"/>
              </w:rPr>
              <w:t>候选人数量</w:t>
            </w:r>
          </w:p>
        </w:tc>
        <w:tc>
          <w:tcPr>
            <w:tcW w:w="3559" w:type="pct"/>
            <w:shd w:val="clear" w:color="auto" w:fill="auto"/>
            <w:vAlign w:val="center"/>
          </w:tcPr>
          <w:p w14:paraId="7AEA7C2E">
            <w:pPr>
              <w:keepNext w:val="0"/>
              <w:keepLines w:val="0"/>
              <w:pageBreakBefore w:val="0"/>
              <w:widowControl w:val="0"/>
              <w:kinsoku/>
              <w:wordWrap/>
              <w:overflowPunct/>
              <w:topLinePunct w:val="0"/>
              <w:bidi w:val="0"/>
              <w:adjustRightInd w:val="0"/>
              <w:snapToGrid/>
              <w:spacing w:line="360" w:lineRule="auto"/>
              <w:textAlignment w:val="auto"/>
              <w:rPr>
                <w:rFonts w:hint="eastAsia" w:ascii="仿宋" w:hAnsi="仿宋" w:eastAsia="仿宋" w:cs="仿宋"/>
                <w:color w:val="auto"/>
                <w:kern w:val="0"/>
                <w:sz w:val="21"/>
                <w:szCs w:val="21"/>
                <w:highlight w:val="none"/>
                <w:lang w:eastAsia="zh-CN"/>
              </w:rPr>
            </w:pPr>
            <w:r>
              <w:rPr>
                <w:rFonts w:hint="eastAsia" w:ascii="仿宋" w:hAnsi="仿宋" w:eastAsia="仿宋" w:cs="仿宋"/>
                <w:color w:val="auto"/>
                <w:kern w:val="0"/>
                <w:sz w:val="21"/>
                <w:szCs w:val="21"/>
                <w:highlight w:val="none"/>
                <w:lang w:val="en" w:eastAsia="zh-CN"/>
              </w:rPr>
              <w:t>本项目推荐的中标候选人数量</w:t>
            </w:r>
            <w:r>
              <w:rPr>
                <w:rFonts w:hint="eastAsia" w:ascii="仿宋" w:hAnsi="仿宋" w:eastAsia="仿宋" w:cs="仿宋"/>
                <w:color w:val="auto"/>
                <w:kern w:val="0"/>
                <w:sz w:val="21"/>
                <w:szCs w:val="21"/>
                <w:highlight w:val="none"/>
                <w:lang w:eastAsia="zh-CN"/>
              </w:rPr>
              <w:t>：</w:t>
            </w:r>
            <w:r>
              <w:rPr>
                <w:rFonts w:hint="eastAsia" w:ascii="仿宋" w:hAnsi="仿宋" w:eastAsia="仿宋" w:cs="仿宋"/>
                <w:color w:val="auto"/>
                <w:kern w:val="0"/>
                <w:sz w:val="21"/>
                <w:szCs w:val="21"/>
                <w:highlight w:val="none"/>
                <w:u w:val="single"/>
                <w:lang w:val="en-US" w:eastAsia="zh-CN"/>
              </w:rPr>
              <w:t xml:space="preserve">  </w:t>
            </w:r>
            <w:r>
              <w:rPr>
                <w:rFonts w:hint="eastAsia" w:ascii="仿宋" w:hAnsi="仿宋" w:eastAsia="仿宋" w:cs="仿宋"/>
                <w:b/>
                <w:bCs/>
                <w:color w:val="auto"/>
                <w:kern w:val="0"/>
                <w:sz w:val="21"/>
                <w:szCs w:val="21"/>
                <w:highlight w:val="none"/>
                <w:u w:val="single"/>
                <w:lang w:val="en-US" w:eastAsia="zh-CN"/>
              </w:rPr>
              <w:t xml:space="preserve">1 </w:t>
            </w:r>
            <w:r>
              <w:rPr>
                <w:rFonts w:hint="eastAsia" w:ascii="仿宋" w:hAnsi="仿宋" w:eastAsia="仿宋" w:cs="仿宋"/>
                <w:color w:val="auto"/>
                <w:kern w:val="0"/>
                <w:sz w:val="21"/>
                <w:szCs w:val="21"/>
                <w:highlight w:val="none"/>
                <w:u w:val="single"/>
                <w:lang w:val="en-US" w:eastAsia="zh-CN"/>
              </w:rPr>
              <w:t xml:space="preserve"> </w:t>
            </w:r>
            <w:r>
              <w:rPr>
                <w:rFonts w:hint="eastAsia" w:ascii="仿宋" w:hAnsi="仿宋" w:eastAsia="仿宋" w:cs="仿宋"/>
                <w:color w:val="auto"/>
                <w:kern w:val="0"/>
                <w:sz w:val="21"/>
                <w:szCs w:val="21"/>
                <w:highlight w:val="none"/>
                <w:lang w:eastAsia="zh-CN"/>
              </w:rPr>
              <w:t>。</w:t>
            </w:r>
          </w:p>
        </w:tc>
      </w:tr>
      <w:tr w14:paraId="3EA46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0" w:hRule="atLeast"/>
        </w:trPr>
        <w:tc>
          <w:tcPr>
            <w:tcW w:w="365" w:type="pct"/>
            <w:vAlign w:val="center"/>
          </w:tcPr>
          <w:p w14:paraId="354A05B6">
            <w:pPr>
              <w:snapToGrid w:val="0"/>
              <w:spacing w:line="360" w:lineRule="auto"/>
              <w:jc w:val="center"/>
              <w:rPr>
                <w:rFonts w:hint="default" w:ascii="仿宋" w:hAnsi="仿宋" w:eastAsia="仿宋" w:cs="仿宋"/>
                <w:color w:val="auto"/>
                <w:szCs w:val="21"/>
                <w:highlight w:val="none"/>
                <w:lang w:val="en-US" w:eastAsia="zh-CN"/>
              </w:rPr>
            </w:pPr>
            <w:r>
              <w:rPr>
                <w:rFonts w:hint="eastAsia" w:ascii="仿宋" w:hAnsi="仿宋" w:eastAsia="仿宋" w:cs="仿宋"/>
                <w:color w:val="auto"/>
                <w:szCs w:val="21"/>
                <w:highlight w:val="none"/>
                <w:lang w:val="en-US" w:eastAsia="zh-CN"/>
              </w:rPr>
              <w:t>15</w:t>
            </w:r>
          </w:p>
        </w:tc>
        <w:tc>
          <w:tcPr>
            <w:tcW w:w="1074" w:type="pct"/>
            <w:shd w:val="clear" w:color="auto" w:fill="auto"/>
            <w:vAlign w:val="center"/>
          </w:tcPr>
          <w:p w14:paraId="7AB04F97">
            <w:pPr>
              <w:keepNext w:val="0"/>
              <w:keepLines w:val="0"/>
              <w:pageBreakBefore w:val="0"/>
              <w:widowControl w:val="0"/>
              <w:kinsoku/>
              <w:wordWrap/>
              <w:overflowPunct/>
              <w:topLinePunct w:val="0"/>
              <w:bidi w:val="0"/>
              <w:adjustRightInd w:val="0"/>
              <w:snapToGrid/>
              <w:spacing w:line="360" w:lineRule="auto"/>
              <w:jc w:val="center"/>
              <w:textAlignment w:val="auto"/>
              <w:rPr>
                <w:rFonts w:hint="eastAsia" w:ascii="仿宋" w:hAnsi="仿宋" w:eastAsia="仿宋" w:cs="仿宋"/>
                <w:b/>
                <w:color w:val="auto"/>
                <w:kern w:val="2"/>
                <w:sz w:val="21"/>
                <w:szCs w:val="21"/>
                <w:highlight w:val="none"/>
                <w:lang w:val="en-US" w:eastAsia="zh-CN" w:bidi="ar-SA"/>
              </w:rPr>
            </w:pPr>
            <w:r>
              <w:rPr>
                <w:rFonts w:hint="eastAsia" w:ascii="仿宋" w:hAnsi="仿宋" w:eastAsia="仿宋" w:cs="仿宋"/>
                <w:b/>
                <w:color w:val="auto"/>
                <w:sz w:val="21"/>
                <w:szCs w:val="21"/>
                <w:highlight w:val="none"/>
              </w:rPr>
              <w:t>代理费</w:t>
            </w:r>
          </w:p>
        </w:tc>
        <w:tc>
          <w:tcPr>
            <w:tcW w:w="3559" w:type="pct"/>
            <w:shd w:val="clear" w:color="auto" w:fill="auto"/>
            <w:vAlign w:val="center"/>
          </w:tcPr>
          <w:p w14:paraId="68313AF9">
            <w:pPr>
              <w:keepNext w:val="0"/>
              <w:keepLines w:val="0"/>
              <w:pageBreakBefore w:val="0"/>
              <w:widowControl w:val="0"/>
              <w:kinsoku/>
              <w:wordWrap/>
              <w:overflowPunct/>
              <w:topLinePunct w:val="0"/>
              <w:bidi w:val="0"/>
              <w:adjustRightInd w:val="0"/>
              <w:snapToGrid/>
              <w:spacing w:line="360" w:lineRule="auto"/>
              <w:textAlignment w:val="auto"/>
              <w:rPr>
                <w:rFonts w:hint="eastAsia" w:ascii="仿宋" w:hAnsi="仿宋" w:eastAsia="仿宋" w:cs="仿宋"/>
                <w:snapToGrid w:val="0"/>
                <w:color w:val="auto"/>
                <w:kern w:val="28"/>
                <w:sz w:val="21"/>
                <w:szCs w:val="21"/>
                <w:highlight w:val="none"/>
              </w:rPr>
            </w:pPr>
            <w:r>
              <w:rPr>
                <w:rFonts w:hint="eastAsia" w:ascii="仿宋" w:hAnsi="仿宋" w:eastAsia="仿宋" w:cs="仿宋"/>
                <w:snapToGrid w:val="0"/>
                <w:color w:val="auto"/>
                <w:kern w:val="28"/>
                <w:sz w:val="21"/>
                <w:szCs w:val="21"/>
                <w:highlight w:val="none"/>
              </w:rPr>
              <w:t>本项目的采购代理服务费由中标人支付。计费标准：</w:t>
            </w:r>
          </w:p>
          <w:p w14:paraId="521E4154">
            <w:pPr>
              <w:keepNext w:val="0"/>
              <w:keepLines w:val="0"/>
              <w:pageBreakBefore w:val="0"/>
              <w:widowControl w:val="0"/>
              <w:kinsoku/>
              <w:wordWrap/>
              <w:overflowPunct/>
              <w:topLinePunct w:val="0"/>
              <w:bidi w:val="0"/>
              <w:adjustRightInd w:val="0"/>
              <w:snapToGrid/>
              <w:spacing w:line="360" w:lineRule="auto"/>
              <w:textAlignment w:val="auto"/>
              <w:rPr>
                <w:rFonts w:hint="eastAsia" w:ascii="仿宋" w:hAnsi="仿宋" w:eastAsia="仿宋" w:cs="仿宋"/>
                <w:snapToGrid w:val="0"/>
                <w:color w:val="auto"/>
                <w:kern w:val="28"/>
                <w:sz w:val="21"/>
                <w:szCs w:val="21"/>
                <w:highlight w:val="none"/>
              </w:rPr>
            </w:pPr>
            <w:r>
              <w:rPr>
                <w:rFonts w:hint="eastAsia" w:ascii="仿宋" w:hAnsi="仿宋" w:eastAsia="仿宋" w:cs="仿宋"/>
                <w:snapToGrid w:val="0"/>
                <w:color w:val="auto"/>
                <w:kern w:val="28"/>
                <w:sz w:val="21"/>
                <w:szCs w:val="21"/>
                <w:highlight w:val="none"/>
              </w:rPr>
              <w:t>以中标通知书中确定的中标总金额作为收费的计算基数，按照《关于杭州市招标代理服务收费管理有关问题的通知》(杭价费[2003]148号)文件规定的相应项目收费标准下浮30%取费。</w:t>
            </w:r>
          </w:p>
          <w:p w14:paraId="43BD99F3">
            <w:pPr>
              <w:keepNext w:val="0"/>
              <w:keepLines w:val="0"/>
              <w:pageBreakBefore w:val="0"/>
              <w:widowControl w:val="0"/>
              <w:kinsoku/>
              <w:wordWrap/>
              <w:overflowPunct/>
              <w:topLinePunct w:val="0"/>
              <w:bidi w:val="0"/>
              <w:adjustRightInd w:val="0"/>
              <w:snapToGrid/>
              <w:spacing w:line="360" w:lineRule="auto"/>
              <w:textAlignment w:val="auto"/>
              <w:rPr>
                <w:rFonts w:hint="eastAsia" w:ascii="仿宋" w:hAnsi="仿宋" w:eastAsia="仿宋" w:cs="仿宋"/>
                <w:color w:val="auto"/>
                <w:kern w:val="28"/>
                <w:sz w:val="21"/>
                <w:szCs w:val="21"/>
                <w:highlight w:val="none"/>
                <w:lang w:val="en" w:eastAsia="zh-CN" w:bidi="ar-SA"/>
              </w:rPr>
            </w:pPr>
            <w:r>
              <w:rPr>
                <w:rFonts w:hint="eastAsia" w:ascii="仿宋" w:hAnsi="仿宋" w:eastAsia="仿宋" w:cs="仿宋"/>
                <w:snapToGrid w:val="0"/>
                <w:color w:val="auto"/>
                <w:kern w:val="28"/>
                <w:sz w:val="21"/>
                <w:szCs w:val="21"/>
                <w:highlight w:val="none"/>
              </w:rPr>
              <w:t>结算方式及时间为：在领取中标通知书时由中标人一次性向采购代理机构付清。</w:t>
            </w:r>
          </w:p>
        </w:tc>
      </w:tr>
    </w:tbl>
    <w:p w14:paraId="3C630789">
      <w:pPr>
        <w:keepNext w:val="0"/>
        <w:keepLines w:val="0"/>
        <w:pageBreakBefore w:val="0"/>
        <w:widowControl w:val="0"/>
        <w:kinsoku/>
        <w:wordWrap/>
        <w:overflowPunct/>
        <w:topLinePunct w:val="0"/>
        <w:autoSpaceDE/>
        <w:autoSpaceDN/>
        <w:bidi w:val="0"/>
        <w:snapToGrid w:val="0"/>
        <w:spacing w:line="360" w:lineRule="auto"/>
        <w:jc w:val="center"/>
        <w:textAlignment w:val="auto"/>
        <w:outlineLvl w:val="9"/>
        <w:rPr>
          <w:rFonts w:hint="eastAsia" w:ascii="仿宋" w:hAnsi="仿宋" w:eastAsia="仿宋" w:cs="仿宋"/>
          <w:b/>
          <w:color w:val="auto"/>
          <w:sz w:val="32"/>
          <w:szCs w:val="20"/>
          <w:highlight w:val="none"/>
        </w:rPr>
      </w:pPr>
    </w:p>
    <w:bookmarkEnd w:id="10"/>
    <w:p w14:paraId="6F263A30">
      <w:pPr>
        <w:rPr>
          <w:rFonts w:hint="eastAsia" w:ascii="仿宋" w:hAnsi="仿宋" w:eastAsia="仿宋" w:cs="仿宋"/>
          <w:b/>
          <w:color w:val="auto"/>
          <w:sz w:val="32"/>
          <w:szCs w:val="20"/>
          <w:highlight w:val="none"/>
        </w:rPr>
      </w:pPr>
      <w:bookmarkStart w:id="12" w:name="_Toc164416483"/>
      <w:bookmarkStart w:id="13" w:name="第三部分"/>
      <w:r>
        <w:rPr>
          <w:rFonts w:hint="eastAsia" w:ascii="仿宋" w:hAnsi="仿宋" w:eastAsia="仿宋" w:cs="仿宋"/>
          <w:b/>
          <w:color w:val="auto"/>
          <w:sz w:val="32"/>
          <w:szCs w:val="20"/>
          <w:highlight w:val="none"/>
        </w:rPr>
        <w:br w:type="page"/>
      </w:r>
    </w:p>
    <w:p w14:paraId="669EF91F">
      <w:pPr>
        <w:rPr>
          <w:rFonts w:hint="eastAsia"/>
          <w:color w:val="auto"/>
          <w:highlight w:val="none"/>
        </w:rPr>
      </w:pPr>
    </w:p>
    <w:p w14:paraId="101D333D">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outlineLvl w:val="0"/>
        <w:rPr>
          <w:rFonts w:hint="eastAsia" w:ascii="仿宋" w:hAnsi="仿宋" w:eastAsia="仿宋" w:cs="仿宋"/>
          <w:b/>
          <w:color w:val="auto"/>
          <w:sz w:val="32"/>
          <w:szCs w:val="20"/>
          <w:highlight w:val="none"/>
        </w:rPr>
      </w:pPr>
      <w:r>
        <w:rPr>
          <w:rFonts w:hint="eastAsia" w:ascii="仿宋" w:hAnsi="仿宋" w:eastAsia="仿宋" w:cs="仿宋"/>
          <w:b/>
          <w:color w:val="auto"/>
          <w:sz w:val="32"/>
          <w:szCs w:val="20"/>
          <w:highlight w:val="none"/>
        </w:rPr>
        <w:t>一、总则</w:t>
      </w:r>
    </w:p>
    <w:p w14:paraId="2B85E928">
      <w:pPr>
        <w:keepNext w:val="0"/>
        <w:keepLines w:val="0"/>
        <w:pageBreakBefore w:val="0"/>
        <w:widowControl w:val="0"/>
        <w:kinsoku/>
        <w:wordWrap/>
        <w:overflowPunct/>
        <w:topLinePunct w:val="0"/>
        <w:autoSpaceDE/>
        <w:autoSpaceDN/>
        <w:bidi w:val="0"/>
        <w:snapToGrid w:val="0"/>
        <w:spacing w:line="360" w:lineRule="auto"/>
        <w:ind w:firstLine="316" w:firstLineChars="150"/>
        <w:jc w:val="left"/>
        <w:textAlignment w:val="auto"/>
        <w:outlineLvl w:val="9"/>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1. 适用范围</w:t>
      </w:r>
    </w:p>
    <w:p w14:paraId="0C1E21D6">
      <w:pPr>
        <w:keepNext w:val="0"/>
        <w:keepLines w:val="0"/>
        <w:pageBreakBefore w:val="0"/>
        <w:widowControl w:val="0"/>
        <w:kinsoku/>
        <w:wordWrap/>
        <w:overflowPunct/>
        <w:topLinePunct w:val="0"/>
        <w:autoSpaceDE/>
        <w:autoSpaceDN/>
        <w:bidi w:val="0"/>
        <w:snapToGrid w:val="0"/>
        <w:spacing w:line="360" w:lineRule="auto"/>
        <w:ind w:firstLine="420" w:firstLineChars="200"/>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本招标文件适用于该项目的招标、投标、开标、资格审查及信用信息查询、评标、定标、合同、验收等行为（法律、法规另有规定的，从其规定）。</w:t>
      </w:r>
    </w:p>
    <w:p w14:paraId="03F7B69F">
      <w:pPr>
        <w:keepNext w:val="0"/>
        <w:keepLines w:val="0"/>
        <w:pageBreakBefore w:val="0"/>
        <w:widowControl w:val="0"/>
        <w:kinsoku/>
        <w:wordWrap/>
        <w:overflowPunct/>
        <w:topLinePunct w:val="0"/>
        <w:autoSpaceDE/>
        <w:autoSpaceDN/>
        <w:bidi w:val="0"/>
        <w:adjustRightInd/>
        <w:spacing w:line="360" w:lineRule="auto"/>
        <w:textAlignment w:val="auto"/>
        <w:outlineLvl w:val="9"/>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 xml:space="preserve">   2.定义</w:t>
      </w:r>
    </w:p>
    <w:p w14:paraId="0405C840">
      <w:pPr>
        <w:keepNext w:val="0"/>
        <w:keepLines w:val="0"/>
        <w:pageBreakBefore w:val="0"/>
        <w:widowControl w:val="0"/>
        <w:kinsoku/>
        <w:wordWrap/>
        <w:overflowPunct/>
        <w:topLinePunct w:val="0"/>
        <w:autoSpaceDE/>
        <w:autoSpaceDN/>
        <w:bidi w:val="0"/>
        <w:spacing w:line="360" w:lineRule="auto"/>
        <w:ind w:firstLine="420" w:firstLineChars="2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2.1 “采购人”系指招标公告中载明的本项目的采购人。</w:t>
      </w:r>
    </w:p>
    <w:p w14:paraId="5D4DD3F3">
      <w:pPr>
        <w:keepNext w:val="0"/>
        <w:keepLines w:val="0"/>
        <w:pageBreakBefore w:val="0"/>
        <w:widowControl w:val="0"/>
        <w:kinsoku/>
        <w:wordWrap/>
        <w:overflowPunct/>
        <w:topLinePunct w:val="0"/>
        <w:autoSpaceDE/>
        <w:autoSpaceDN/>
        <w:bidi w:val="0"/>
        <w:spacing w:line="360" w:lineRule="auto"/>
        <w:ind w:firstLine="420" w:firstLineChars="2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2.2 “采购代理机构”系指招标公告中载明的本项目的采购代理机构。</w:t>
      </w:r>
    </w:p>
    <w:p w14:paraId="42FC0833">
      <w:pPr>
        <w:keepNext w:val="0"/>
        <w:keepLines w:val="0"/>
        <w:pageBreakBefore w:val="0"/>
        <w:widowControl w:val="0"/>
        <w:kinsoku/>
        <w:wordWrap/>
        <w:overflowPunct/>
        <w:topLinePunct w:val="0"/>
        <w:autoSpaceDE/>
        <w:autoSpaceDN/>
        <w:bidi w:val="0"/>
        <w:spacing w:line="360" w:lineRule="auto"/>
        <w:ind w:firstLine="420" w:firstLineChars="2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2.3 “投标人”系指响应招标、参加投标竞争的法人、其他组织或者自然人。</w:t>
      </w:r>
    </w:p>
    <w:p w14:paraId="1243553E">
      <w:pPr>
        <w:keepNext w:val="0"/>
        <w:keepLines w:val="0"/>
        <w:pageBreakBefore w:val="0"/>
        <w:widowControl w:val="0"/>
        <w:kinsoku/>
        <w:wordWrap/>
        <w:overflowPunct/>
        <w:topLinePunct w:val="0"/>
        <w:autoSpaceDE/>
        <w:autoSpaceDN/>
        <w:bidi w:val="0"/>
        <w:spacing w:line="360" w:lineRule="auto"/>
        <w:ind w:firstLine="420" w:firstLineChars="2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2.4 “负责人”系指法人企业的法定负责人，或其他组织为法律、行政法规规定代表单位行使职权的主要负责人，或自然人本人。</w:t>
      </w:r>
    </w:p>
    <w:p w14:paraId="0CE1D1A8">
      <w:pPr>
        <w:keepNext w:val="0"/>
        <w:keepLines w:val="0"/>
        <w:pageBreakBefore w:val="0"/>
        <w:widowControl w:val="0"/>
        <w:kinsoku/>
        <w:wordWrap/>
        <w:overflowPunct/>
        <w:topLinePunct w:val="0"/>
        <w:autoSpaceDE/>
        <w:autoSpaceDN/>
        <w:bidi w:val="0"/>
        <w:spacing w:line="360" w:lineRule="auto"/>
        <w:ind w:firstLine="420" w:firstLineChars="2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2.5“电子签名”系指数据电文中以电子形式所含、所附用于识别签名人身份并表明签名人认可其中内容的数据；“公章”系指单位法定名称章。因特殊原因需要使用冠以法定名称的业务专用章的，投标时须提供《业务专用章使用说明函》（附件4）。</w:t>
      </w:r>
    </w:p>
    <w:p w14:paraId="760EF7E2">
      <w:pPr>
        <w:keepNext w:val="0"/>
        <w:keepLines w:val="0"/>
        <w:pageBreakBefore w:val="0"/>
        <w:widowControl w:val="0"/>
        <w:kinsoku/>
        <w:wordWrap/>
        <w:overflowPunct/>
        <w:topLinePunct w:val="0"/>
        <w:autoSpaceDE/>
        <w:autoSpaceDN/>
        <w:bidi w:val="0"/>
        <w:spacing w:line="360" w:lineRule="auto"/>
        <w:ind w:firstLine="420" w:firstLineChars="2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2.6“电子交易平台”系指本项目政府采购活动所依托的政府采购云平台（https://www.zcygov.cn/）。</w:t>
      </w:r>
    </w:p>
    <w:p w14:paraId="4E94A11C">
      <w:pPr>
        <w:keepNext w:val="0"/>
        <w:keepLines w:val="0"/>
        <w:pageBreakBefore w:val="0"/>
        <w:widowControl w:val="0"/>
        <w:kinsoku/>
        <w:wordWrap/>
        <w:overflowPunct/>
        <w:topLinePunct w:val="0"/>
        <w:autoSpaceDE/>
        <w:autoSpaceDN/>
        <w:bidi w:val="0"/>
        <w:spacing w:line="360" w:lineRule="auto"/>
        <w:ind w:firstLine="420" w:firstLineChars="2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2.7 “▲” 系指实质性要求条款，“</w:t>
      </w:r>
      <w:sdt>
        <w:sdtPr>
          <w:rPr>
            <w:rFonts w:hint="eastAsia" w:ascii="仿宋" w:hAnsi="仿宋" w:eastAsia="仿宋" w:cs="仿宋"/>
            <w:color w:val="auto"/>
            <w:kern w:val="0"/>
            <w:sz w:val="21"/>
            <w:szCs w:val="21"/>
            <w:highlight w:val="none"/>
          </w:rPr>
          <w:id w:val="1972777846"/>
        </w:sdtPr>
        <w:sdtEndPr>
          <w:rPr>
            <w:rFonts w:hint="eastAsia" w:ascii="仿宋" w:hAnsi="仿宋" w:eastAsia="仿宋" w:cs="仿宋"/>
            <w:color w:val="auto"/>
            <w:kern w:val="0"/>
            <w:sz w:val="21"/>
            <w:szCs w:val="21"/>
            <w:highlight w:val="none"/>
          </w:rPr>
        </w:sdtEndPr>
        <w:sdtContent>
          <w:r>
            <w:rPr>
              <w:rFonts w:hint="eastAsia" w:ascii="仿宋" w:hAnsi="仿宋" w:eastAsia="仿宋" w:cs="仿宋"/>
              <w:color w:val="auto"/>
              <w:kern w:val="0"/>
              <w:sz w:val="21"/>
              <w:szCs w:val="21"/>
              <w:highlight w:val="none"/>
            </w:rPr>
            <w:sym w:font="Wingdings" w:char="F0FE"/>
          </w:r>
        </w:sdtContent>
      </w:sdt>
      <w:r>
        <w:rPr>
          <w:rFonts w:hint="eastAsia" w:ascii="仿宋" w:hAnsi="仿宋" w:eastAsia="仿宋" w:cs="仿宋"/>
          <w:color w:val="auto"/>
          <w:sz w:val="21"/>
          <w:szCs w:val="21"/>
          <w:highlight w:val="none"/>
        </w:rPr>
        <w:t>” 系指适用本项目的要求，“</w:t>
      </w:r>
      <w:sdt>
        <w:sdtPr>
          <w:rPr>
            <w:rFonts w:hint="eastAsia" w:ascii="仿宋" w:hAnsi="仿宋" w:eastAsia="仿宋" w:cs="仿宋"/>
            <w:color w:val="auto"/>
            <w:kern w:val="0"/>
            <w:sz w:val="21"/>
            <w:szCs w:val="21"/>
            <w:highlight w:val="none"/>
          </w:rPr>
          <w:id w:val="404888855"/>
        </w:sdtPr>
        <w:sdtEndPr>
          <w:rPr>
            <w:rFonts w:hint="eastAsia" w:ascii="仿宋" w:hAnsi="仿宋" w:eastAsia="仿宋" w:cs="仿宋"/>
            <w:color w:val="auto"/>
            <w:kern w:val="0"/>
            <w:sz w:val="21"/>
            <w:szCs w:val="21"/>
            <w:highlight w:val="none"/>
          </w:rPr>
        </w:sdtEndPr>
        <w:sdtContent>
          <w:r>
            <w:rPr>
              <w:rFonts w:hint="eastAsia" w:ascii="仿宋" w:hAnsi="仿宋" w:eastAsia="仿宋" w:cs="仿宋"/>
              <w:color w:val="auto"/>
              <w:kern w:val="0"/>
              <w:sz w:val="21"/>
              <w:szCs w:val="21"/>
              <w:highlight w:val="none"/>
            </w:rPr>
            <w:t>☐</w:t>
          </w:r>
        </w:sdtContent>
      </w:sdt>
      <w:r>
        <w:rPr>
          <w:rFonts w:hint="eastAsia" w:ascii="仿宋" w:hAnsi="仿宋" w:eastAsia="仿宋" w:cs="仿宋"/>
          <w:color w:val="auto"/>
          <w:sz w:val="21"/>
          <w:szCs w:val="21"/>
          <w:highlight w:val="none"/>
        </w:rPr>
        <w:t>” 系指不适用本项目的要求。</w:t>
      </w:r>
    </w:p>
    <w:p w14:paraId="51DFE0E4">
      <w:pPr>
        <w:spacing w:line="360" w:lineRule="auto"/>
        <w:ind w:firstLine="211" w:firstLineChars="100"/>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3.采购项目需要落实的政府采购政策</w:t>
      </w:r>
    </w:p>
    <w:p w14:paraId="6C7A3BD9">
      <w:pPr>
        <w:spacing w:line="360" w:lineRule="auto"/>
        <w:ind w:firstLine="210" w:firstLineChars="1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3.1 本项目原则上采购本国生产的货物、工程和服务，不允许采购进口产品。除非采购人采购进口产品，已经在采购活动开始前向财政部门提出申请并获得财政部门审核同意，且在采购需求中明确规定可以采购进口产品（但如果因信息不对称等原因，仍有满足需求的国内产品要求参与采购竞争的，采购人、采购代理机构不会对其加以限制，仍将按照公平竞争原则实施采购）；</w:t>
      </w:r>
      <w:r>
        <w:rPr>
          <w:rFonts w:hint="eastAsia" w:ascii="仿宋" w:hAnsi="仿宋" w:eastAsia="仿宋" w:cs="仿宋"/>
          <w:color w:val="auto"/>
          <w:kern w:val="0"/>
          <w:sz w:val="21"/>
          <w:szCs w:val="21"/>
          <w:highlight w:val="none"/>
        </w:rPr>
        <w:t>优先采购向我国企业转让技术、与我国企业签订消化吸收再创新方案的供应商的进口产品</w:t>
      </w:r>
      <w:r>
        <w:rPr>
          <w:rFonts w:hint="eastAsia" w:ascii="仿宋" w:hAnsi="仿宋" w:eastAsia="仿宋" w:cs="仿宋"/>
          <w:color w:val="auto"/>
          <w:sz w:val="21"/>
          <w:szCs w:val="21"/>
          <w:highlight w:val="none"/>
        </w:rPr>
        <w:t>。</w:t>
      </w:r>
    </w:p>
    <w:p w14:paraId="2966FA22">
      <w:pPr>
        <w:spacing w:line="360" w:lineRule="auto"/>
        <w:ind w:firstLine="210" w:firstLineChars="1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3.2 支持绿色发展</w:t>
      </w:r>
    </w:p>
    <w:p w14:paraId="57909843">
      <w:pPr>
        <w:spacing w:line="360" w:lineRule="auto"/>
        <w:ind w:firstLine="420" w:firstLineChars="200"/>
        <w:rPr>
          <w:rFonts w:hint="eastAsia" w:ascii="仿宋" w:hAnsi="仿宋" w:eastAsia="仿宋" w:cs="仿宋"/>
          <w:b/>
          <w:color w:val="auto"/>
          <w:sz w:val="21"/>
          <w:szCs w:val="21"/>
          <w:highlight w:val="none"/>
        </w:rPr>
      </w:pPr>
      <w:r>
        <w:rPr>
          <w:rFonts w:hint="eastAsia" w:ascii="仿宋" w:hAnsi="仿宋" w:eastAsia="仿宋" w:cs="仿宋"/>
          <w:color w:val="auto"/>
          <w:sz w:val="21"/>
          <w:szCs w:val="21"/>
          <w:highlight w:val="none"/>
        </w:rPr>
        <w:t>3.2.1采购人拟采购的产品属于品目清单范围的，采购人及其委托的采购代理机构将依据国家确定的认证机构出具的、处于有效期之内的节能产品、环境标志产品认证证书，对获得证书的产品实施政府优先采购或强制采购。投标人须按招标文件要求提供相关产品认证证书。</w:t>
      </w:r>
      <w:r>
        <w:rPr>
          <w:rFonts w:hint="eastAsia" w:ascii="仿宋" w:hAnsi="仿宋" w:eastAsia="仿宋" w:cs="仿宋"/>
          <w:b/>
          <w:color w:val="auto"/>
          <w:sz w:val="21"/>
          <w:szCs w:val="21"/>
          <w:highlight w:val="none"/>
        </w:rPr>
        <w:t>▲采购人拟采购的产品属于政府强制采购的节能产品品目清单范围的，投标人相应的投标产品未获得国家确定的认证机构出具的、处于有效期之内的节能产品认证证书的，投标无效。</w:t>
      </w:r>
    </w:p>
    <w:p w14:paraId="72622BED">
      <w:pPr>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3.2.2 修缮、装修类项目采购建材的，采购人应将绿色建筑和绿色建材性能、指标等作为实质性条件纳入招标文件和合同。</w:t>
      </w:r>
    </w:p>
    <w:p w14:paraId="1592CC29">
      <w:pPr>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3.2.3为助力打好污染防治攻坚战，推广使用绿色包装，政府采购货物、工程和服务项目中涉及商品包装和快递包装的，供应商提供产品及相关快递服务的具体包装要求要参考《商品包装政府采购需求标准（试行）》、《快递包装政府采购需求标准（试行）》。鼓励采购单位优先采购秸秆环保板材等资源综合利用产品。鼓励采购单位优先采购绿色物流配送服务、提供新能源交通工具的租赁服务。</w:t>
      </w:r>
    </w:p>
    <w:p w14:paraId="69AC988E">
      <w:pPr>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3.2.4 鼓励供应商在参加政府采购过程中开展绿色设计、选择绿色材料、打造绿色制造工艺、开展绿色运输、做好废弃产品回收处理，实现产品全周期的绿色环保。鼓励采购单位对其提高预付款比例、免收履约保证金。</w:t>
      </w:r>
    </w:p>
    <w:p w14:paraId="764A5A2D">
      <w:pPr>
        <w:spacing w:line="360" w:lineRule="auto"/>
        <w:ind w:firstLine="210" w:firstLineChars="1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3.3支持中小企业发展</w:t>
      </w:r>
    </w:p>
    <w:p w14:paraId="612879A1">
      <w:pPr>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3.3.1中小企业，是指在中华人民共和国境内依法设立，依据国务院批准的中小企业划分标准确定的中型企业、小型企业和微型企业，但与大企业的负责人为同一人，或者与大企业存在直接控股、管理关系的除外。</w:t>
      </w:r>
    </w:p>
    <w:p w14:paraId="3925F766">
      <w:pPr>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符合中小企业划分标准的个体工商户，在政府采购活动中视同中小企业。</w:t>
      </w:r>
    </w:p>
    <w:p w14:paraId="24E58786">
      <w:pPr>
        <w:widowControl/>
        <w:spacing w:line="360" w:lineRule="auto"/>
        <w:ind w:firstLine="420" w:firstLineChars="200"/>
        <w:jc w:val="left"/>
        <w:rPr>
          <w:rFonts w:hint="eastAsia" w:ascii="仿宋" w:hAnsi="仿宋" w:eastAsia="仿宋" w:cs="仿宋"/>
          <w:color w:val="auto"/>
          <w:kern w:val="0"/>
          <w:sz w:val="21"/>
          <w:szCs w:val="21"/>
          <w:highlight w:val="none"/>
        </w:rPr>
      </w:pPr>
      <w:r>
        <w:rPr>
          <w:rFonts w:hint="eastAsia" w:ascii="仿宋" w:hAnsi="仿宋" w:eastAsia="仿宋" w:cs="仿宋"/>
          <w:bCs/>
          <w:color w:val="auto"/>
          <w:sz w:val="21"/>
          <w:szCs w:val="21"/>
          <w:highlight w:val="none"/>
        </w:rPr>
        <w:t>3.3.2</w:t>
      </w:r>
      <w:r>
        <w:rPr>
          <w:rFonts w:hint="eastAsia" w:ascii="仿宋" w:hAnsi="仿宋" w:eastAsia="仿宋" w:cs="仿宋"/>
          <w:color w:val="auto"/>
          <w:kern w:val="0"/>
          <w:sz w:val="21"/>
          <w:szCs w:val="21"/>
          <w:highlight w:val="none"/>
        </w:rPr>
        <w:t>在政府采购活动中，投标人提供的货物、工程或者服务符合下列情形的，享受中小企业扶持政策：在服务采购项目中，服务由中小企业承接，即提供服务的人员为中小企业依照《中华人民共和国劳动合同法》订立劳动合同的从业人员。</w:t>
      </w:r>
    </w:p>
    <w:p w14:paraId="1FBD339F">
      <w:pPr>
        <w:widowControl/>
        <w:spacing w:line="360" w:lineRule="auto"/>
        <w:ind w:firstLine="420" w:firstLineChars="200"/>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以联合体形式参加政府采购活动，联合体各方均为中小企业的，联合体视同中小企业。其中，联合体各方均为小微企业的，联合体视同小微企业。</w:t>
      </w:r>
    </w:p>
    <w:p w14:paraId="42B1ABBF">
      <w:pPr>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3.3.3对于未预留份额专门面向中小企业的政府采购服务项目，以及预留份额政府采购服务项目中的非预留部分标项，对小型和微型企业的投标报价</w:t>
      </w:r>
      <w:r>
        <w:rPr>
          <w:rFonts w:hint="eastAsia" w:ascii="仿宋" w:hAnsi="仿宋" w:eastAsia="仿宋" w:cs="仿宋"/>
          <w:color w:val="auto"/>
          <w:sz w:val="21"/>
          <w:szCs w:val="21"/>
          <w:highlight w:val="none"/>
        </w:rPr>
        <w:t>给予20%的扣除</w:t>
      </w:r>
      <w:r>
        <w:rPr>
          <w:rFonts w:hint="eastAsia" w:ascii="仿宋" w:hAnsi="仿宋" w:eastAsia="仿宋" w:cs="仿宋"/>
          <w:color w:val="auto"/>
          <w:sz w:val="21"/>
          <w:szCs w:val="21"/>
          <w:highlight w:val="none"/>
        </w:rPr>
        <w:t>，用扣除后的价格参与评审。接受大中型企业与小微企业组成联合体或者允许大中型企业向一家或者多家小微企业分包的政府采购服务项目，对于联合协议或者分包意向协议约定小微企业的合同份额占到合同总金额30%以上的，对联合体或者大中型企业的报价</w:t>
      </w:r>
      <w:r>
        <w:rPr>
          <w:rFonts w:hint="eastAsia" w:ascii="仿宋" w:hAnsi="仿宋" w:eastAsia="仿宋" w:cs="仿宋"/>
          <w:color w:val="auto"/>
          <w:sz w:val="21"/>
          <w:szCs w:val="21"/>
          <w:highlight w:val="none"/>
        </w:rPr>
        <w:t>给予6%的扣除</w:t>
      </w:r>
      <w:r>
        <w:rPr>
          <w:rFonts w:hint="eastAsia" w:ascii="仿宋" w:hAnsi="仿宋" w:eastAsia="仿宋" w:cs="仿宋"/>
          <w:color w:val="auto"/>
          <w:sz w:val="21"/>
          <w:szCs w:val="21"/>
          <w:highlight w:val="none"/>
        </w:rPr>
        <w:t>，用扣除后的价格参加评审。组成联合体或者接受分包的小微企业与联合体内其他企业、分包企业之间存在直接控股、管理关系的，不享受价格扣除优惠政策。</w:t>
      </w:r>
    </w:p>
    <w:p w14:paraId="0E8A3C16">
      <w:pPr>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3.3.4符合《关于促进残疾人就业政府采购政策的通知》（财库〔2017〕141号）规定的条件并提供《残疾人福利性单位声明函》（附件1）的残疾人福利性单位视同小型、微型企业；</w:t>
      </w:r>
    </w:p>
    <w:p w14:paraId="2AF3D93C">
      <w:pPr>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3.3.5符合《关于政府采购支持监狱企业发展有关问题的通知》（财库[2014]68号）规定的监狱企业并提供由省级以上监狱管理局、戒毒管理局（含新疆生产建设兵团）出具的属于监狱企业证明文件的，视同为小型、微型企业。</w:t>
      </w:r>
    </w:p>
    <w:p w14:paraId="5303967C">
      <w:pPr>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3.3.6</w:t>
      </w:r>
      <w:r>
        <w:rPr>
          <w:rFonts w:hint="eastAsia" w:ascii="仿宋" w:hAnsi="仿宋" w:eastAsia="仿宋" w:cs="仿宋"/>
          <w:color w:val="auto"/>
          <w:sz w:val="21"/>
          <w:szCs w:val="21"/>
          <w:highlight w:val="none"/>
          <w:lang w:val="en" w:eastAsia="zh-CN"/>
        </w:rPr>
        <w:t>可享受中小企业扶持政策的投标人应按照招标文件格式要求提供《中小企业声明函》，《中小企业声明函》填写企业类型错误，导致该企业享受本不能享受的中小企业扶持政策，投标无效并依法承担法律责任</w:t>
      </w:r>
      <w:r>
        <w:rPr>
          <w:rFonts w:hint="eastAsia" w:ascii="仿宋" w:hAnsi="仿宋" w:eastAsia="仿宋" w:cs="仿宋"/>
          <w:color w:val="auto"/>
          <w:sz w:val="21"/>
          <w:szCs w:val="21"/>
          <w:highlight w:val="none"/>
        </w:rPr>
        <w:t>。</w:t>
      </w:r>
    </w:p>
    <w:p w14:paraId="48B0110F">
      <w:pPr>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3.3.7中小企业享受扶持政策获得政府采购合同的，小微企业不得将合同分包给大中型企业，中型企业不得将合同分包给大型企业。</w:t>
      </w:r>
    </w:p>
    <w:p w14:paraId="11BD8606">
      <w:pPr>
        <w:spacing w:line="360" w:lineRule="auto"/>
        <w:ind w:firstLine="210" w:firstLineChars="1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3.4</w:t>
      </w:r>
      <w:r>
        <w:rPr>
          <w:rFonts w:hint="eastAsia" w:ascii="仿宋" w:hAnsi="仿宋" w:eastAsia="仿宋" w:cs="仿宋"/>
          <w:bCs/>
          <w:color w:val="auto"/>
          <w:sz w:val="21"/>
          <w:szCs w:val="21"/>
          <w:highlight w:val="none"/>
        </w:rPr>
        <w:t>支持创新发展</w:t>
      </w:r>
    </w:p>
    <w:p w14:paraId="27966DCB">
      <w:pPr>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3.4.1 </w:t>
      </w:r>
      <w:r>
        <w:rPr>
          <w:rFonts w:hint="eastAsia" w:ascii="仿宋" w:hAnsi="仿宋" w:eastAsia="仿宋" w:cs="仿宋"/>
          <w:color w:val="auto"/>
          <w:sz w:val="21"/>
          <w:szCs w:val="21"/>
          <w:highlight w:val="none"/>
          <w:lang w:eastAsia="zh-CN"/>
        </w:rPr>
        <w:t>首台套、“制造精品”、“专精特新”等创新产品按规定享受政府采购支持政策</w:t>
      </w:r>
      <w:r>
        <w:rPr>
          <w:rFonts w:hint="eastAsia" w:ascii="仿宋" w:hAnsi="仿宋" w:eastAsia="仿宋" w:cs="仿宋"/>
          <w:color w:val="auto"/>
          <w:sz w:val="21"/>
          <w:szCs w:val="21"/>
          <w:highlight w:val="none"/>
        </w:rPr>
        <w:t>。</w:t>
      </w:r>
    </w:p>
    <w:p w14:paraId="06938270">
      <w:pPr>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3.4.</w:t>
      </w:r>
      <w:r>
        <w:rPr>
          <w:rFonts w:hint="eastAsia" w:ascii="仿宋" w:hAnsi="仿宋" w:eastAsia="仿宋" w:cs="仿宋"/>
          <w:color w:val="auto"/>
          <w:sz w:val="21"/>
          <w:szCs w:val="21"/>
          <w:highlight w:val="none"/>
          <w:lang w:val="en-US" w:eastAsia="zh-CN"/>
        </w:rPr>
        <w:t>2</w:t>
      </w:r>
      <w:r>
        <w:rPr>
          <w:rFonts w:hint="eastAsia" w:ascii="仿宋" w:hAnsi="仿宋" w:eastAsia="仿宋" w:cs="仿宋"/>
          <w:color w:val="auto"/>
          <w:sz w:val="21"/>
          <w:szCs w:val="21"/>
          <w:highlight w:val="none"/>
        </w:rPr>
        <w:t xml:space="preserve"> 采购人应当贯彻落实知识产权保护相关法律法规，应当采购使用正版软件。</w:t>
      </w:r>
    </w:p>
    <w:p w14:paraId="3188DC61">
      <w:pPr>
        <w:spacing w:line="360" w:lineRule="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3.5平等对待内外资企业和符合条件的破产重整企业</w:t>
      </w:r>
    </w:p>
    <w:p w14:paraId="6926F956">
      <w:pPr>
        <w:spacing w:line="360" w:lineRule="auto"/>
        <w:ind w:firstLine="210" w:firstLineChars="100"/>
        <w:rPr>
          <w:rFonts w:hint="eastAsia" w:ascii="仿宋" w:hAnsi="仿宋" w:eastAsia="仿宋" w:cs="仿宋"/>
          <w:b/>
          <w:color w:val="auto"/>
          <w:sz w:val="21"/>
          <w:szCs w:val="21"/>
          <w:highlight w:val="none"/>
        </w:rPr>
      </w:pPr>
      <w:r>
        <w:rPr>
          <w:rFonts w:hint="eastAsia" w:ascii="仿宋" w:hAnsi="仿宋" w:eastAsia="仿宋" w:cs="仿宋"/>
          <w:color w:val="auto"/>
          <w:sz w:val="21"/>
          <w:szCs w:val="21"/>
          <w:highlight w:val="none"/>
        </w:rPr>
        <w:t>平等对待内外资企业和符合条件的破产重整企业，切实保障企业公平竞争，平等维护企业的合法利益。</w:t>
      </w:r>
      <w:r>
        <w:rPr>
          <w:rFonts w:hint="eastAsia" w:ascii="仿宋" w:hAnsi="仿宋" w:eastAsia="仿宋" w:cs="仿宋"/>
          <w:color w:val="auto"/>
          <w:sz w:val="21"/>
          <w:szCs w:val="21"/>
          <w:highlight w:val="none"/>
        </w:rPr>
        <w:cr/>
      </w:r>
      <w:r>
        <w:rPr>
          <w:rFonts w:hint="eastAsia" w:ascii="仿宋" w:hAnsi="仿宋" w:eastAsia="仿宋" w:cs="仿宋"/>
          <w:b/>
          <w:color w:val="auto"/>
          <w:sz w:val="21"/>
          <w:szCs w:val="21"/>
          <w:highlight w:val="none"/>
        </w:rPr>
        <w:t>4. 询问、质疑、投诉、补偿救济</w:t>
      </w:r>
    </w:p>
    <w:p w14:paraId="47197460">
      <w:pPr>
        <w:autoSpaceDE w:val="0"/>
        <w:autoSpaceDN w:val="0"/>
        <w:spacing w:line="360" w:lineRule="auto"/>
        <w:ind w:firstLine="420" w:firstLineChars="200"/>
        <w:jc w:val="left"/>
        <w:rPr>
          <w:rFonts w:hint="eastAsia" w:ascii="仿宋" w:hAnsi="仿宋" w:eastAsia="仿宋" w:cs="仿宋"/>
          <w:color w:val="auto"/>
          <w:kern w:val="0"/>
          <w:sz w:val="21"/>
          <w:szCs w:val="21"/>
          <w:highlight w:val="none"/>
          <w:lang w:val="zh-CN"/>
        </w:rPr>
      </w:pPr>
      <w:r>
        <w:rPr>
          <w:rFonts w:hint="eastAsia" w:ascii="仿宋" w:hAnsi="仿宋" w:eastAsia="仿宋" w:cs="仿宋"/>
          <w:color w:val="auto"/>
          <w:kern w:val="0"/>
          <w:sz w:val="21"/>
          <w:szCs w:val="21"/>
          <w:highlight w:val="none"/>
          <w:lang w:val="zh-CN"/>
        </w:rPr>
        <w:t>4.1在线询问、质疑、投诉。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w:t>
      </w:r>
    </w:p>
    <w:p w14:paraId="01038457">
      <w:pPr>
        <w:autoSpaceDE w:val="0"/>
        <w:autoSpaceDN w:val="0"/>
        <w:spacing w:line="360" w:lineRule="auto"/>
        <w:ind w:firstLine="420" w:firstLineChars="200"/>
        <w:jc w:val="left"/>
        <w:rPr>
          <w:rFonts w:hint="eastAsia" w:ascii="仿宋" w:hAnsi="仿宋" w:eastAsia="仿宋" w:cs="仿宋"/>
          <w:color w:val="auto"/>
          <w:kern w:val="0"/>
          <w:sz w:val="21"/>
          <w:szCs w:val="21"/>
          <w:highlight w:val="none"/>
          <w:lang w:val="zh-CN"/>
        </w:rPr>
      </w:pPr>
      <w:r>
        <w:rPr>
          <w:rFonts w:hint="eastAsia" w:ascii="仿宋" w:hAnsi="仿宋" w:eastAsia="仿宋" w:cs="仿宋"/>
          <w:color w:val="auto"/>
          <w:kern w:val="0"/>
          <w:sz w:val="21"/>
          <w:szCs w:val="21"/>
          <w:highlight w:val="none"/>
          <w:lang w:val="zh-CN"/>
        </w:rPr>
        <w:t>4.2供应商询问</w:t>
      </w:r>
    </w:p>
    <w:p w14:paraId="7B041DBF">
      <w:pPr>
        <w:autoSpaceDE w:val="0"/>
        <w:autoSpaceDN w:val="0"/>
        <w:spacing w:line="360" w:lineRule="auto"/>
        <w:ind w:firstLine="420" w:firstLineChars="200"/>
        <w:jc w:val="left"/>
        <w:rPr>
          <w:rFonts w:hint="eastAsia" w:ascii="仿宋" w:hAnsi="仿宋" w:eastAsia="仿宋" w:cs="仿宋"/>
          <w:color w:val="auto"/>
          <w:kern w:val="0"/>
          <w:sz w:val="21"/>
          <w:szCs w:val="21"/>
          <w:highlight w:val="none"/>
          <w:lang w:val="zh-CN"/>
        </w:rPr>
      </w:pPr>
      <w:r>
        <w:rPr>
          <w:rFonts w:hint="eastAsia" w:ascii="仿宋" w:hAnsi="仿宋" w:eastAsia="仿宋" w:cs="仿宋"/>
          <w:color w:val="auto"/>
          <w:kern w:val="0"/>
          <w:sz w:val="21"/>
          <w:szCs w:val="21"/>
          <w:highlight w:val="none"/>
          <w:lang w:val="zh-CN"/>
        </w:rPr>
        <w:t>供应商对政府采购活动事项有疑问的，可以提出询问，采购人或者采购代理机构应当在3个工作日内对供应商依法提出的询问作出答复，但答复的内容不得涉及商业秘密。供应商提出的询问超出采购人对采购代理机构委托授权范围的，采购代理机构应当告知供应商向采购人提出。</w:t>
      </w:r>
    </w:p>
    <w:p w14:paraId="45CD9849">
      <w:pPr>
        <w:autoSpaceDE w:val="0"/>
        <w:autoSpaceDN w:val="0"/>
        <w:spacing w:line="360" w:lineRule="auto"/>
        <w:ind w:firstLine="210" w:firstLineChars="100"/>
        <w:jc w:val="left"/>
        <w:rPr>
          <w:rFonts w:hint="eastAsia" w:ascii="仿宋" w:hAnsi="仿宋" w:eastAsia="仿宋" w:cs="仿宋"/>
          <w:color w:val="auto"/>
          <w:kern w:val="0"/>
          <w:sz w:val="21"/>
          <w:szCs w:val="21"/>
          <w:highlight w:val="none"/>
          <w:lang w:val="zh-CN"/>
        </w:rPr>
      </w:pPr>
      <w:r>
        <w:rPr>
          <w:rFonts w:hint="eastAsia" w:ascii="仿宋" w:hAnsi="仿宋" w:eastAsia="仿宋" w:cs="仿宋"/>
          <w:color w:val="auto"/>
          <w:kern w:val="0"/>
          <w:sz w:val="21"/>
          <w:szCs w:val="21"/>
          <w:highlight w:val="none"/>
          <w:lang w:val="zh-CN"/>
        </w:rPr>
        <w:t>4.3供应商质疑</w:t>
      </w:r>
    </w:p>
    <w:p w14:paraId="737E8A6A">
      <w:pPr>
        <w:pStyle w:val="41"/>
        <w:spacing w:line="360" w:lineRule="auto"/>
        <w:ind w:firstLine="420" w:firstLineChars="200"/>
        <w:rPr>
          <w:rFonts w:hint="eastAsia" w:ascii="仿宋" w:hAnsi="仿宋" w:eastAsia="仿宋" w:cs="仿宋"/>
          <w:color w:val="auto"/>
          <w:sz w:val="21"/>
          <w:szCs w:val="18"/>
          <w:highlight w:val="none"/>
        </w:rPr>
      </w:pPr>
      <w:r>
        <w:rPr>
          <w:rFonts w:hint="eastAsia" w:ascii="仿宋" w:hAnsi="仿宋" w:eastAsia="仿宋" w:cs="仿宋"/>
          <w:color w:val="auto"/>
          <w:kern w:val="0"/>
          <w:sz w:val="21"/>
          <w:szCs w:val="18"/>
          <w:highlight w:val="none"/>
          <w:lang w:val="zh-CN"/>
        </w:rPr>
        <w:t>4.3</w:t>
      </w:r>
      <w:r>
        <w:rPr>
          <w:rFonts w:hint="eastAsia" w:ascii="仿宋" w:hAnsi="仿宋" w:eastAsia="仿宋" w:cs="仿宋"/>
          <w:color w:val="auto"/>
          <w:sz w:val="21"/>
          <w:szCs w:val="18"/>
          <w:highlight w:val="none"/>
        </w:rPr>
        <w:t>.1提出质疑的供应商应当是参与所质疑项目采购活动的供应商。潜在供应商已依法获取其可质疑的招标文件的，可以对该文件提出质疑。</w:t>
      </w:r>
    </w:p>
    <w:p w14:paraId="4318C5CC">
      <w:pPr>
        <w:pStyle w:val="41"/>
        <w:spacing w:line="360" w:lineRule="auto"/>
        <w:ind w:firstLine="420" w:firstLineChars="200"/>
        <w:rPr>
          <w:rFonts w:hint="eastAsia" w:ascii="仿宋" w:hAnsi="仿宋" w:eastAsia="仿宋" w:cs="仿宋"/>
          <w:color w:val="auto"/>
          <w:sz w:val="21"/>
          <w:szCs w:val="18"/>
          <w:highlight w:val="none"/>
        </w:rPr>
      </w:pPr>
      <w:r>
        <w:rPr>
          <w:rFonts w:hint="eastAsia" w:ascii="仿宋" w:hAnsi="仿宋" w:eastAsia="仿宋" w:cs="仿宋"/>
          <w:color w:val="auto"/>
          <w:kern w:val="0"/>
          <w:sz w:val="21"/>
          <w:szCs w:val="18"/>
          <w:highlight w:val="none"/>
          <w:lang w:val="zh-CN"/>
        </w:rPr>
        <w:t>4.3</w:t>
      </w:r>
      <w:r>
        <w:rPr>
          <w:rFonts w:hint="eastAsia" w:ascii="仿宋" w:hAnsi="仿宋" w:eastAsia="仿宋" w:cs="仿宋"/>
          <w:color w:val="auto"/>
          <w:sz w:val="21"/>
          <w:szCs w:val="18"/>
          <w:highlight w:val="none"/>
        </w:rPr>
        <w:t>.2供应商认为招标文件、采购过程和中标结果使自己的权益受到损害的，可以在知道或者应知其权益受到损害之日起七个工作日内，以书面形式向采购代理机构提出质疑，否则，采购代理机构不予受理：</w:t>
      </w:r>
    </w:p>
    <w:p w14:paraId="3AC207E7">
      <w:pPr>
        <w:pStyle w:val="6"/>
        <w:spacing w:line="360" w:lineRule="auto"/>
        <w:ind w:firstLine="420" w:firstLineChars="200"/>
        <w:rPr>
          <w:rFonts w:hint="eastAsia" w:ascii="仿宋" w:hAnsi="仿宋" w:eastAsia="仿宋" w:cs="仿宋"/>
          <w:snapToGrid/>
          <w:color w:val="auto"/>
          <w:kern w:val="2"/>
          <w:sz w:val="21"/>
          <w:szCs w:val="16"/>
          <w:highlight w:val="none"/>
        </w:rPr>
      </w:pPr>
      <w:r>
        <w:rPr>
          <w:rFonts w:hint="eastAsia" w:ascii="仿宋" w:hAnsi="仿宋" w:eastAsia="仿宋" w:cs="仿宋"/>
          <w:snapToGrid/>
          <w:color w:val="auto"/>
          <w:kern w:val="2"/>
          <w:sz w:val="21"/>
          <w:szCs w:val="16"/>
          <w:highlight w:val="none"/>
        </w:rPr>
        <w:t>4.3.2.1对招标文件提出质疑的，质疑期限为供应商获得招标文件之日或者招标文件公告期限届满之日起计算。</w:t>
      </w:r>
    </w:p>
    <w:p w14:paraId="70AEF800">
      <w:pPr>
        <w:pStyle w:val="41"/>
        <w:spacing w:line="360" w:lineRule="auto"/>
        <w:ind w:left="479" w:leftChars="228"/>
        <w:rPr>
          <w:rFonts w:hint="eastAsia" w:ascii="仿宋" w:hAnsi="仿宋" w:eastAsia="仿宋" w:cs="仿宋"/>
          <w:color w:val="auto"/>
          <w:sz w:val="21"/>
          <w:szCs w:val="18"/>
          <w:highlight w:val="none"/>
        </w:rPr>
      </w:pPr>
      <w:r>
        <w:rPr>
          <w:rFonts w:hint="eastAsia" w:ascii="仿宋" w:hAnsi="仿宋" w:eastAsia="仿宋" w:cs="仿宋"/>
          <w:color w:val="auto"/>
          <w:sz w:val="21"/>
          <w:szCs w:val="18"/>
          <w:highlight w:val="none"/>
        </w:rPr>
        <w:t>4.3.2.2对采购过程提出质疑的，质疑期限为各采购程序环节结束之日起计算。</w:t>
      </w:r>
    </w:p>
    <w:p w14:paraId="0F8A9E58">
      <w:pPr>
        <w:pStyle w:val="41"/>
        <w:spacing w:line="360" w:lineRule="auto"/>
        <w:ind w:left="479" w:leftChars="228"/>
        <w:rPr>
          <w:rFonts w:hint="eastAsia" w:ascii="仿宋" w:hAnsi="仿宋" w:eastAsia="仿宋" w:cs="仿宋"/>
          <w:color w:val="auto"/>
          <w:sz w:val="21"/>
          <w:szCs w:val="18"/>
          <w:highlight w:val="none"/>
        </w:rPr>
      </w:pPr>
      <w:r>
        <w:rPr>
          <w:rFonts w:hint="eastAsia" w:ascii="仿宋" w:hAnsi="仿宋" w:eastAsia="仿宋" w:cs="仿宋"/>
          <w:color w:val="auto"/>
          <w:sz w:val="21"/>
          <w:szCs w:val="18"/>
          <w:highlight w:val="none"/>
        </w:rPr>
        <w:t>4.3.2.3对采购结果提出质疑的，质疑期限自采购结果公告期限届满之日起计算。</w:t>
      </w:r>
    </w:p>
    <w:p w14:paraId="22AB129F">
      <w:pPr>
        <w:pStyle w:val="41"/>
        <w:spacing w:line="360" w:lineRule="auto"/>
        <w:ind w:firstLine="420" w:firstLineChars="200"/>
        <w:rPr>
          <w:rFonts w:hint="eastAsia" w:ascii="仿宋" w:hAnsi="仿宋" w:eastAsia="仿宋" w:cs="仿宋"/>
          <w:color w:val="auto"/>
          <w:kern w:val="0"/>
          <w:sz w:val="21"/>
          <w:szCs w:val="18"/>
          <w:highlight w:val="none"/>
          <w:lang w:val="zh-CN"/>
        </w:rPr>
      </w:pPr>
      <w:r>
        <w:rPr>
          <w:rFonts w:hint="eastAsia" w:ascii="仿宋" w:hAnsi="仿宋" w:eastAsia="仿宋" w:cs="仿宋"/>
          <w:color w:val="auto"/>
          <w:kern w:val="0"/>
          <w:sz w:val="21"/>
          <w:szCs w:val="18"/>
          <w:highlight w:val="none"/>
          <w:lang w:val="zh-CN"/>
        </w:rPr>
        <w:t>4.3.3</w:t>
      </w:r>
      <w:r>
        <w:rPr>
          <w:rFonts w:hint="eastAsia" w:ascii="仿宋" w:hAnsi="仿宋" w:eastAsia="仿宋" w:cs="仿宋"/>
          <w:color w:val="auto"/>
          <w:sz w:val="21"/>
          <w:szCs w:val="18"/>
          <w:highlight w:val="none"/>
        </w:rPr>
        <w:t>供应商提出质疑应当提交质疑函和必要的证明材料。质疑函应当包括下列内容：</w:t>
      </w:r>
    </w:p>
    <w:p w14:paraId="5269E3C0">
      <w:pPr>
        <w:pStyle w:val="41"/>
        <w:spacing w:line="360" w:lineRule="auto"/>
        <w:ind w:firstLine="420" w:firstLineChars="200"/>
        <w:rPr>
          <w:rFonts w:hint="eastAsia" w:ascii="仿宋" w:hAnsi="仿宋" w:eastAsia="仿宋" w:cs="仿宋"/>
          <w:color w:val="auto"/>
          <w:kern w:val="0"/>
          <w:sz w:val="21"/>
          <w:szCs w:val="18"/>
          <w:highlight w:val="none"/>
          <w:lang w:val="zh-CN"/>
        </w:rPr>
      </w:pPr>
      <w:r>
        <w:rPr>
          <w:rFonts w:hint="eastAsia" w:ascii="仿宋" w:hAnsi="仿宋" w:eastAsia="仿宋" w:cs="仿宋"/>
          <w:color w:val="auto"/>
          <w:kern w:val="0"/>
          <w:sz w:val="21"/>
          <w:szCs w:val="18"/>
          <w:highlight w:val="none"/>
          <w:lang w:val="zh-CN"/>
        </w:rPr>
        <w:t>　　4.3.3.1供应商的姓名或者名称、地址、邮编、联系人及联系电话；</w:t>
      </w:r>
    </w:p>
    <w:p w14:paraId="2A9AE7AE">
      <w:pPr>
        <w:pStyle w:val="41"/>
        <w:spacing w:line="360" w:lineRule="auto"/>
        <w:ind w:firstLine="420" w:firstLineChars="200"/>
        <w:rPr>
          <w:rFonts w:hint="eastAsia" w:ascii="仿宋" w:hAnsi="仿宋" w:eastAsia="仿宋" w:cs="仿宋"/>
          <w:color w:val="auto"/>
          <w:kern w:val="0"/>
          <w:sz w:val="21"/>
          <w:szCs w:val="18"/>
          <w:highlight w:val="none"/>
          <w:lang w:val="zh-CN"/>
        </w:rPr>
      </w:pPr>
      <w:r>
        <w:rPr>
          <w:rFonts w:hint="eastAsia" w:ascii="仿宋" w:hAnsi="仿宋" w:eastAsia="仿宋" w:cs="仿宋"/>
          <w:color w:val="auto"/>
          <w:kern w:val="0"/>
          <w:sz w:val="21"/>
          <w:szCs w:val="18"/>
          <w:highlight w:val="none"/>
          <w:lang w:val="zh-CN"/>
        </w:rPr>
        <w:t>　　4.3.3.2质疑项目的名称、编号；</w:t>
      </w:r>
    </w:p>
    <w:p w14:paraId="7242187D">
      <w:pPr>
        <w:pStyle w:val="41"/>
        <w:spacing w:line="360" w:lineRule="auto"/>
        <w:ind w:firstLine="420" w:firstLineChars="200"/>
        <w:rPr>
          <w:rFonts w:hint="eastAsia" w:ascii="仿宋" w:hAnsi="仿宋" w:eastAsia="仿宋" w:cs="仿宋"/>
          <w:color w:val="auto"/>
          <w:kern w:val="0"/>
          <w:sz w:val="21"/>
          <w:szCs w:val="18"/>
          <w:highlight w:val="none"/>
          <w:lang w:val="zh-CN"/>
        </w:rPr>
      </w:pPr>
      <w:r>
        <w:rPr>
          <w:rFonts w:hint="eastAsia" w:ascii="仿宋" w:hAnsi="仿宋" w:eastAsia="仿宋" w:cs="仿宋"/>
          <w:color w:val="auto"/>
          <w:kern w:val="0"/>
          <w:sz w:val="21"/>
          <w:szCs w:val="18"/>
          <w:highlight w:val="none"/>
          <w:lang w:val="zh-CN"/>
        </w:rPr>
        <w:t>　　4.3.3.3具体、明确的质疑事项和与质疑事项相关的请求；</w:t>
      </w:r>
    </w:p>
    <w:p w14:paraId="582799E0">
      <w:pPr>
        <w:pStyle w:val="41"/>
        <w:spacing w:line="360" w:lineRule="auto"/>
        <w:ind w:firstLine="420" w:firstLineChars="200"/>
        <w:rPr>
          <w:rFonts w:hint="eastAsia" w:ascii="仿宋" w:hAnsi="仿宋" w:eastAsia="仿宋" w:cs="仿宋"/>
          <w:color w:val="auto"/>
          <w:kern w:val="0"/>
          <w:sz w:val="21"/>
          <w:szCs w:val="18"/>
          <w:highlight w:val="none"/>
          <w:lang w:val="zh-CN"/>
        </w:rPr>
      </w:pPr>
      <w:r>
        <w:rPr>
          <w:rFonts w:hint="eastAsia" w:ascii="仿宋" w:hAnsi="仿宋" w:eastAsia="仿宋" w:cs="仿宋"/>
          <w:color w:val="auto"/>
          <w:kern w:val="0"/>
          <w:sz w:val="21"/>
          <w:szCs w:val="18"/>
          <w:highlight w:val="none"/>
          <w:lang w:val="zh-CN"/>
        </w:rPr>
        <w:t>　　4.3.3.4事实依据；</w:t>
      </w:r>
    </w:p>
    <w:p w14:paraId="60BD056C">
      <w:pPr>
        <w:pStyle w:val="41"/>
        <w:spacing w:line="360" w:lineRule="auto"/>
        <w:ind w:firstLine="420" w:firstLineChars="200"/>
        <w:rPr>
          <w:rFonts w:hint="eastAsia" w:ascii="仿宋" w:hAnsi="仿宋" w:eastAsia="仿宋" w:cs="仿宋"/>
          <w:color w:val="auto"/>
          <w:kern w:val="0"/>
          <w:sz w:val="21"/>
          <w:szCs w:val="18"/>
          <w:highlight w:val="none"/>
          <w:lang w:val="zh-CN"/>
        </w:rPr>
      </w:pPr>
      <w:r>
        <w:rPr>
          <w:rFonts w:hint="eastAsia" w:ascii="仿宋" w:hAnsi="仿宋" w:eastAsia="仿宋" w:cs="仿宋"/>
          <w:color w:val="auto"/>
          <w:kern w:val="0"/>
          <w:sz w:val="21"/>
          <w:szCs w:val="18"/>
          <w:highlight w:val="none"/>
          <w:lang w:val="zh-CN"/>
        </w:rPr>
        <w:t>　　4.3.3.5必要的法律依据；</w:t>
      </w:r>
    </w:p>
    <w:p w14:paraId="2217F507">
      <w:pPr>
        <w:pStyle w:val="41"/>
        <w:spacing w:line="360" w:lineRule="auto"/>
        <w:ind w:firstLine="840" w:firstLineChars="400"/>
        <w:rPr>
          <w:rFonts w:hint="eastAsia" w:ascii="仿宋" w:hAnsi="仿宋" w:eastAsia="仿宋" w:cs="仿宋"/>
          <w:color w:val="auto"/>
          <w:kern w:val="0"/>
          <w:sz w:val="21"/>
          <w:szCs w:val="18"/>
          <w:highlight w:val="none"/>
          <w:lang w:val="zh-CN"/>
        </w:rPr>
      </w:pPr>
      <w:r>
        <w:rPr>
          <w:rFonts w:hint="eastAsia" w:ascii="仿宋" w:hAnsi="仿宋" w:eastAsia="仿宋" w:cs="仿宋"/>
          <w:color w:val="auto"/>
          <w:kern w:val="0"/>
          <w:sz w:val="21"/>
          <w:szCs w:val="18"/>
          <w:highlight w:val="none"/>
          <w:lang w:val="zh-CN"/>
        </w:rPr>
        <w:t>4.3.3.6提出质疑的日期。</w:t>
      </w:r>
    </w:p>
    <w:p w14:paraId="02904D12">
      <w:pPr>
        <w:pStyle w:val="905"/>
        <w:shd w:val="clear" w:color="auto" w:fill="FFFFFF"/>
        <w:snapToGrid w:val="0"/>
        <w:spacing w:after="240" w:afterAutospacing="0" w:line="360" w:lineRule="auto"/>
        <w:ind w:firstLine="400"/>
        <w:contextualSpacing/>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供应商提交的质疑函需一式三份。供应商为自然人的，应当由本人签字；供应商为法人或者其他组织的，应当由法定代表人、主要负责人，或者其授权代表签字或者盖章，并加盖公章。</w:t>
      </w:r>
    </w:p>
    <w:p w14:paraId="1C07D8AF">
      <w:pPr>
        <w:pStyle w:val="905"/>
        <w:shd w:val="clear" w:color="auto" w:fill="FFFFFF"/>
        <w:snapToGrid w:val="0"/>
        <w:spacing w:after="240" w:afterAutospacing="0" w:line="360" w:lineRule="auto"/>
        <w:ind w:firstLine="400"/>
        <w:contextualSpacing/>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质疑函范本及制作说明详见附件2。</w:t>
      </w:r>
    </w:p>
    <w:p w14:paraId="0E313850">
      <w:pPr>
        <w:pStyle w:val="905"/>
        <w:shd w:val="clear" w:color="auto" w:fill="FFFFFF"/>
        <w:snapToGrid w:val="0"/>
        <w:spacing w:after="240" w:afterAutospacing="0" w:line="360" w:lineRule="auto"/>
        <w:ind w:firstLine="400"/>
        <w:contextualSpacing/>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4.3.4对同一采购程序环节的质疑，供应商须在法定质疑期内一次性提出。</w:t>
      </w:r>
    </w:p>
    <w:p w14:paraId="6D103236">
      <w:pPr>
        <w:pStyle w:val="905"/>
        <w:shd w:val="clear" w:color="auto" w:fill="FFFFFF"/>
        <w:snapToGrid w:val="0"/>
        <w:spacing w:after="240" w:afterAutospacing="0" w:line="360" w:lineRule="auto"/>
        <w:ind w:firstLine="400"/>
        <w:contextualSpacing/>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zh-CN"/>
        </w:rPr>
        <w:t>4.3</w:t>
      </w:r>
      <w:r>
        <w:rPr>
          <w:rFonts w:hint="eastAsia" w:ascii="仿宋" w:hAnsi="仿宋" w:eastAsia="仿宋" w:cs="仿宋"/>
          <w:color w:val="auto"/>
          <w:sz w:val="21"/>
          <w:szCs w:val="21"/>
          <w:highlight w:val="none"/>
        </w:rPr>
        <w:t>.5采购代理机构应当在收到供应商的书面质疑后七个工作日内作出答复，并以书面形式通知质疑供应商和其他与质疑处理结果有利害关系的政府采购当事人，但答复的内容不得涉及商业秘密。根据《杭州市财政局关于进一步加强政府采购信息公开优化营商环境的通知》（杭财采监〔2021〕17号）,采购代理机构在质疑回复后5个工作日内，在浙江政府采购网的“其他公告”栏目公开质疑答复，答复内容应当完整。质疑函作为附件上传。</w:t>
      </w:r>
    </w:p>
    <w:p w14:paraId="24D01BB5">
      <w:pPr>
        <w:pStyle w:val="905"/>
        <w:shd w:val="clear" w:color="auto" w:fill="FFFFFF"/>
        <w:snapToGrid w:val="0"/>
        <w:spacing w:after="240" w:afterAutospacing="0" w:line="360" w:lineRule="auto"/>
        <w:ind w:firstLine="400"/>
        <w:contextualSpacing/>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zh-CN"/>
        </w:rPr>
        <w:t>4.3</w:t>
      </w:r>
      <w:r>
        <w:rPr>
          <w:rFonts w:hint="eastAsia" w:ascii="仿宋" w:hAnsi="仿宋" w:eastAsia="仿宋" w:cs="仿宋"/>
          <w:color w:val="auto"/>
          <w:sz w:val="21"/>
          <w:szCs w:val="21"/>
          <w:highlight w:val="none"/>
        </w:rPr>
        <w:t>.6询问或者质疑事项可能影响采购结果的，采购人应当暂停签订合同，已经签订合同的，应当中止履行合同。</w:t>
      </w:r>
    </w:p>
    <w:p w14:paraId="2A6692FE">
      <w:pPr>
        <w:pStyle w:val="905"/>
        <w:shd w:val="clear" w:color="auto" w:fill="FFFFFF"/>
        <w:snapToGrid w:val="0"/>
        <w:spacing w:after="240" w:afterAutospacing="0" w:line="360" w:lineRule="auto"/>
        <w:ind w:firstLine="420" w:firstLineChars="200"/>
        <w:contextualSpacing/>
        <w:rPr>
          <w:rFonts w:hint="eastAsia" w:ascii="仿宋" w:hAnsi="仿宋" w:eastAsia="仿宋" w:cs="仿宋"/>
          <w:color w:val="auto"/>
          <w:sz w:val="21"/>
          <w:szCs w:val="21"/>
          <w:highlight w:val="none"/>
          <w:lang w:val="zh-CN"/>
        </w:rPr>
      </w:pPr>
      <w:r>
        <w:rPr>
          <w:rFonts w:hint="eastAsia" w:ascii="仿宋" w:hAnsi="仿宋" w:eastAsia="仿宋" w:cs="仿宋"/>
          <w:color w:val="auto"/>
          <w:sz w:val="21"/>
          <w:szCs w:val="21"/>
          <w:highlight w:val="none"/>
          <w:lang w:val="zh-CN"/>
        </w:rPr>
        <w:t>4.4供应商投诉</w:t>
      </w:r>
    </w:p>
    <w:p w14:paraId="5F582BEE">
      <w:pPr>
        <w:pStyle w:val="905"/>
        <w:shd w:val="clear" w:color="auto" w:fill="FFFFFF"/>
        <w:snapToGrid w:val="0"/>
        <w:spacing w:after="240" w:afterAutospacing="0" w:line="360" w:lineRule="auto"/>
        <w:ind w:firstLine="400"/>
        <w:contextualSpacing/>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4.4.1质疑供应商对采购人、采购代理机构的答复不满意或者采购人、采购代理机构未在规定的时间内作出答复的，可以在答复期满后十五个工作日内向同级政府采购监督管理部门提出投诉。</w:t>
      </w:r>
    </w:p>
    <w:p w14:paraId="2081136D">
      <w:pPr>
        <w:pStyle w:val="905"/>
        <w:shd w:val="clear" w:color="auto" w:fill="FFFFFF"/>
        <w:snapToGrid w:val="0"/>
        <w:spacing w:after="240" w:afterAutospacing="0" w:line="360" w:lineRule="auto"/>
        <w:ind w:firstLine="400"/>
        <w:contextualSpacing/>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4.4.</w:t>
      </w:r>
      <w:r>
        <w:rPr>
          <w:rFonts w:hint="eastAsia" w:ascii="仿宋" w:hAnsi="仿宋" w:eastAsia="仿宋" w:cs="仿宋"/>
          <w:color w:val="auto"/>
          <w:sz w:val="21"/>
          <w:szCs w:val="21"/>
          <w:highlight w:val="none"/>
          <w:lang w:val="zh-CN"/>
        </w:rPr>
        <w:t>2</w:t>
      </w:r>
      <w:r>
        <w:rPr>
          <w:rFonts w:hint="eastAsia" w:ascii="仿宋" w:hAnsi="仿宋" w:eastAsia="仿宋" w:cs="仿宋"/>
          <w:color w:val="auto"/>
          <w:sz w:val="21"/>
          <w:szCs w:val="21"/>
          <w:highlight w:val="none"/>
        </w:rPr>
        <w:t>供应商投诉的事项不得超出已质疑事项的范围，基于质疑答复内容提出的投诉事项除外。</w:t>
      </w:r>
    </w:p>
    <w:p w14:paraId="1DB31605">
      <w:pPr>
        <w:pStyle w:val="905"/>
        <w:shd w:val="clear" w:color="auto" w:fill="FFFFFF"/>
        <w:snapToGrid w:val="0"/>
        <w:spacing w:after="240" w:afterAutospacing="0" w:line="360" w:lineRule="auto"/>
        <w:ind w:firstLine="400"/>
        <w:contextualSpacing/>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4.4.3供应商投诉应当有明确的请求和必要的证明材料。</w:t>
      </w:r>
    </w:p>
    <w:p w14:paraId="53D340D4">
      <w:pPr>
        <w:pStyle w:val="905"/>
        <w:shd w:val="clear" w:color="auto" w:fill="FFFFFF"/>
        <w:snapToGrid w:val="0"/>
        <w:spacing w:after="240" w:afterAutospacing="0" w:line="360" w:lineRule="auto"/>
        <w:ind w:firstLine="400"/>
        <w:contextualSpacing/>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4.4.4以联合体形式参加政府采购活动的，其投诉应当由组成联合体的所有供应商共同提出。</w:t>
      </w:r>
    </w:p>
    <w:p w14:paraId="700A975D">
      <w:pPr>
        <w:pStyle w:val="905"/>
        <w:shd w:val="clear" w:color="auto" w:fill="FFFFFF"/>
        <w:snapToGrid w:val="0"/>
        <w:spacing w:after="240" w:afterAutospacing="0" w:line="360" w:lineRule="auto"/>
        <w:ind w:firstLine="400"/>
        <w:contextualSpacing/>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4.4.5根据政府采购行政裁决省市区三级联动试点工作安排，杭州市本级</w:t>
      </w:r>
      <w:r>
        <w:rPr>
          <w:rFonts w:hint="eastAsia" w:ascii="仿宋" w:hAnsi="仿宋" w:eastAsia="仿宋" w:cs="仿宋"/>
          <w:color w:val="auto"/>
          <w:sz w:val="21"/>
          <w:szCs w:val="21"/>
          <w:highlight w:val="none"/>
          <w:lang w:eastAsia="zh-CN"/>
        </w:rPr>
        <w:t>及各区、县（市）</w:t>
      </w:r>
      <w:r>
        <w:rPr>
          <w:rFonts w:hint="eastAsia" w:ascii="仿宋" w:hAnsi="仿宋" w:eastAsia="仿宋" w:cs="仿宋"/>
          <w:color w:val="auto"/>
          <w:sz w:val="21"/>
          <w:szCs w:val="21"/>
          <w:highlight w:val="none"/>
        </w:rPr>
        <w:t>政府采购项目投诉材料可寄送至浙江省政府采购行政裁决服务中心（杭州），地址：</w:t>
      </w:r>
      <w:r>
        <w:rPr>
          <w:rFonts w:hint="eastAsia" w:ascii="仿宋" w:hAnsi="仿宋" w:eastAsia="仿宋" w:cs="仿宋"/>
          <w:color w:val="auto"/>
          <w:sz w:val="21"/>
          <w:szCs w:val="21"/>
          <w:highlight w:val="none"/>
          <w:lang w:eastAsia="zh-CN"/>
        </w:rPr>
        <w:t>杭州市上城区清泰街549号城建综合大楼11楼</w:t>
      </w:r>
      <w:r>
        <w:rPr>
          <w:rFonts w:hint="eastAsia" w:ascii="仿宋" w:hAnsi="仿宋" w:eastAsia="仿宋" w:cs="仿宋"/>
          <w:color w:val="auto"/>
          <w:sz w:val="21"/>
          <w:szCs w:val="21"/>
          <w:highlight w:val="none"/>
        </w:rPr>
        <w:t>（快递仅限ems或顺丰）</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收件人：朱女士、王女士，电话：0571-8</w:t>
      </w:r>
      <w:r>
        <w:rPr>
          <w:rFonts w:hint="eastAsia" w:ascii="仿宋" w:hAnsi="仿宋" w:eastAsia="仿宋" w:cs="仿宋"/>
          <w:color w:val="auto"/>
          <w:sz w:val="21"/>
          <w:szCs w:val="21"/>
          <w:highlight w:val="none"/>
          <w:lang w:val="en-US" w:eastAsia="zh-CN"/>
        </w:rPr>
        <w:t>7227671,0571-87800218</w:t>
      </w:r>
      <w:r>
        <w:rPr>
          <w:rFonts w:hint="eastAsia" w:ascii="仿宋" w:hAnsi="仿宋" w:eastAsia="仿宋" w:cs="仿宋"/>
          <w:color w:val="auto"/>
          <w:sz w:val="21"/>
          <w:szCs w:val="21"/>
          <w:highlight w:val="none"/>
        </w:rPr>
        <w:t>。</w:t>
      </w:r>
    </w:p>
    <w:p w14:paraId="322D3E39">
      <w:pPr>
        <w:pStyle w:val="905"/>
        <w:shd w:val="clear" w:color="auto" w:fill="FFFFFF"/>
        <w:snapToGrid w:val="0"/>
        <w:spacing w:after="240" w:afterAutospacing="0" w:line="360" w:lineRule="auto"/>
        <w:ind w:firstLine="400"/>
        <w:contextualSpacing/>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4.5 补偿救济</w:t>
      </w:r>
    </w:p>
    <w:p w14:paraId="00B495BA">
      <w:pPr>
        <w:pStyle w:val="905"/>
        <w:shd w:val="clear" w:color="auto" w:fill="FFFFFF"/>
        <w:snapToGrid w:val="0"/>
        <w:spacing w:after="240" w:afterAutospacing="0" w:line="360" w:lineRule="auto"/>
        <w:ind w:firstLine="400"/>
        <w:contextualSpacing/>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采购人因政策变化、规划调整而不履行政府采购合同的，供应商可依据《杭州市涉企补偿救济实施办法（试行）》向采购人提起补偿申请。</w:t>
      </w:r>
    </w:p>
    <w:p w14:paraId="79B8F8D8">
      <w:pPr>
        <w:pStyle w:val="905"/>
        <w:shd w:val="clear" w:color="auto" w:fill="FFFFFF"/>
        <w:snapToGrid w:val="0"/>
        <w:spacing w:after="240" w:afterAutospacing="0" w:line="360" w:lineRule="auto"/>
        <w:ind w:firstLine="400"/>
        <w:contextualSpacing/>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投诉书范本及制作说明详见附件3。</w:t>
      </w:r>
    </w:p>
    <w:p w14:paraId="4E7826C0">
      <w:pPr>
        <w:pStyle w:val="148"/>
        <w:snapToGrid w:val="0"/>
        <w:spacing w:before="0"/>
        <w:ind w:firstLine="360"/>
        <w:rPr>
          <w:rFonts w:hint="eastAsia" w:ascii="仿宋" w:hAnsi="仿宋" w:eastAsia="仿宋" w:cs="仿宋"/>
          <w:color w:val="auto"/>
          <w:sz w:val="15"/>
          <w:szCs w:val="15"/>
          <w:highlight w:val="none"/>
        </w:rPr>
      </w:pPr>
    </w:p>
    <w:p w14:paraId="3AA8CE6A">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outlineLvl w:val="0"/>
        <w:rPr>
          <w:rFonts w:hint="eastAsia" w:ascii="仿宋" w:hAnsi="仿宋" w:eastAsia="仿宋" w:cs="仿宋"/>
          <w:b/>
          <w:color w:val="auto"/>
          <w:sz w:val="32"/>
          <w:szCs w:val="20"/>
          <w:highlight w:val="none"/>
        </w:rPr>
      </w:pPr>
      <w:r>
        <w:rPr>
          <w:rFonts w:hint="eastAsia" w:ascii="仿宋" w:hAnsi="仿宋" w:eastAsia="仿宋" w:cs="仿宋"/>
          <w:b/>
          <w:color w:val="auto"/>
          <w:sz w:val="32"/>
          <w:szCs w:val="20"/>
          <w:highlight w:val="none"/>
        </w:rPr>
        <w:t>二、招标文件的构成、澄清、修改</w:t>
      </w:r>
    </w:p>
    <w:p w14:paraId="2890E406">
      <w:pPr>
        <w:pStyle w:val="41"/>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5．招标文件的构成</w:t>
      </w:r>
    </w:p>
    <w:p w14:paraId="1D139B27">
      <w:pPr>
        <w:pStyle w:val="41"/>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5.1 招标文件包括下列文件及附件：</w:t>
      </w:r>
    </w:p>
    <w:p w14:paraId="368F1EAE">
      <w:pPr>
        <w:pStyle w:val="41"/>
        <w:tabs>
          <w:tab w:val="left" w:pos="840"/>
        </w:tabs>
        <w:spacing w:line="360" w:lineRule="auto"/>
        <w:ind w:firstLine="840" w:firstLineChars="4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5.1.1招标公告；</w:t>
      </w:r>
    </w:p>
    <w:p w14:paraId="20060A1E">
      <w:pPr>
        <w:pStyle w:val="41"/>
        <w:tabs>
          <w:tab w:val="left" w:pos="840"/>
        </w:tabs>
        <w:spacing w:line="360" w:lineRule="auto"/>
        <w:ind w:firstLine="840" w:firstLineChars="4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5.1.2投标人须知；</w:t>
      </w:r>
    </w:p>
    <w:p w14:paraId="07A0978A">
      <w:pPr>
        <w:pStyle w:val="41"/>
        <w:tabs>
          <w:tab w:val="left" w:pos="840"/>
        </w:tabs>
        <w:spacing w:line="360" w:lineRule="auto"/>
        <w:ind w:firstLine="840" w:firstLineChars="4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5.1.3采购需求；</w:t>
      </w:r>
    </w:p>
    <w:p w14:paraId="68EA65BC">
      <w:pPr>
        <w:pStyle w:val="41"/>
        <w:tabs>
          <w:tab w:val="left" w:pos="840"/>
        </w:tabs>
        <w:spacing w:line="360" w:lineRule="auto"/>
        <w:ind w:firstLine="840" w:firstLineChars="4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5.1.4评标办法；</w:t>
      </w:r>
    </w:p>
    <w:p w14:paraId="33C0BE0E">
      <w:pPr>
        <w:pStyle w:val="41"/>
        <w:tabs>
          <w:tab w:val="left" w:pos="840"/>
        </w:tabs>
        <w:spacing w:line="360" w:lineRule="auto"/>
        <w:ind w:firstLine="840" w:firstLineChars="4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5.1.5拟签订的合同文本；</w:t>
      </w:r>
    </w:p>
    <w:p w14:paraId="563BC308">
      <w:pPr>
        <w:pStyle w:val="41"/>
        <w:tabs>
          <w:tab w:val="left" w:pos="840"/>
        </w:tabs>
        <w:spacing w:line="360" w:lineRule="auto"/>
        <w:ind w:firstLine="840" w:firstLineChars="400"/>
        <w:rPr>
          <w:rFonts w:hint="eastAsia" w:ascii="仿宋" w:hAnsi="仿宋" w:eastAsia="仿宋" w:cs="仿宋"/>
          <w:color w:val="auto"/>
          <w:sz w:val="21"/>
          <w:szCs w:val="21"/>
          <w:highlight w:val="none"/>
        </w:rPr>
      </w:pPr>
      <w:r>
        <w:rPr>
          <w:rFonts w:hint="eastAsia" w:ascii="仿宋" w:hAnsi="仿宋" w:eastAsia="仿宋" w:cs="仿宋"/>
          <w:color w:val="auto"/>
          <w:sz w:val="21"/>
          <w:szCs w:val="18"/>
          <w:highlight w:val="none"/>
        </w:rPr>
        <w:t>5.1.6</w:t>
      </w:r>
      <w:r>
        <w:rPr>
          <w:rFonts w:hint="eastAsia" w:ascii="仿宋" w:hAnsi="仿宋" w:eastAsia="仿宋" w:cs="仿宋"/>
          <w:color w:val="auto"/>
          <w:sz w:val="21"/>
          <w:szCs w:val="21"/>
          <w:highlight w:val="none"/>
        </w:rPr>
        <w:t>应提交的有关格式范例。</w:t>
      </w:r>
    </w:p>
    <w:p w14:paraId="721B8BCB">
      <w:pPr>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5.2与本项目有关的</w:t>
      </w:r>
      <w:r>
        <w:rPr>
          <w:rFonts w:hint="eastAsia" w:ascii="仿宋" w:hAnsi="仿宋" w:eastAsia="仿宋" w:cs="仿宋"/>
          <w:bCs/>
          <w:color w:val="auto"/>
          <w:sz w:val="21"/>
          <w:szCs w:val="21"/>
          <w:highlight w:val="none"/>
        </w:rPr>
        <w:t>澄清或者修改的内容为招标文件的组成部分</w:t>
      </w:r>
      <w:r>
        <w:rPr>
          <w:rFonts w:hint="eastAsia" w:ascii="仿宋" w:hAnsi="仿宋" w:eastAsia="仿宋" w:cs="仿宋"/>
          <w:color w:val="auto"/>
          <w:sz w:val="21"/>
          <w:szCs w:val="21"/>
          <w:highlight w:val="none"/>
        </w:rPr>
        <w:t>。</w:t>
      </w:r>
    </w:p>
    <w:p w14:paraId="52AE6223">
      <w:pPr>
        <w:pStyle w:val="41"/>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6. 招标文件的澄清、修改</w:t>
      </w:r>
    </w:p>
    <w:p w14:paraId="60BE85D4">
      <w:pPr>
        <w:pStyle w:val="148"/>
        <w:snapToGrid w:val="0"/>
        <w:spacing w:before="0"/>
        <w:ind w:firstLine="480"/>
        <w:rPr>
          <w:rFonts w:hint="eastAsia" w:ascii="仿宋" w:hAnsi="仿宋" w:eastAsia="仿宋" w:cs="仿宋"/>
          <w:color w:val="auto"/>
          <w:sz w:val="21"/>
          <w:szCs w:val="16"/>
          <w:highlight w:val="none"/>
        </w:rPr>
      </w:pPr>
      <w:r>
        <w:rPr>
          <w:rFonts w:hint="eastAsia" w:ascii="仿宋" w:hAnsi="仿宋" w:eastAsia="仿宋" w:cs="仿宋"/>
          <w:color w:val="auto"/>
          <w:sz w:val="21"/>
          <w:szCs w:val="16"/>
          <w:highlight w:val="none"/>
        </w:rPr>
        <w:t>6.1已获取招标文件的潜在投标人，若有问题需要澄清，应于投标截止时间前，以书面形式向采购代理机构提出。</w:t>
      </w:r>
    </w:p>
    <w:p w14:paraId="1B714CC6">
      <w:pPr>
        <w:pStyle w:val="148"/>
        <w:snapToGrid w:val="0"/>
        <w:spacing w:before="0"/>
        <w:ind w:firstLine="480"/>
        <w:rPr>
          <w:rFonts w:hint="eastAsia" w:ascii="仿宋" w:hAnsi="仿宋" w:eastAsia="仿宋" w:cs="仿宋"/>
          <w:color w:val="auto"/>
          <w:sz w:val="21"/>
          <w:szCs w:val="16"/>
          <w:highlight w:val="none"/>
        </w:rPr>
      </w:pPr>
      <w:r>
        <w:rPr>
          <w:rFonts w:hint="eastAsia" w:ascii="仿宋" w:hAnsi="仿宋" w:eastAsia="仿宋" w:cs="仿宋"/>
          <w:color w:val="auto"/>
          <w:sz w:val="21"/>
          <w:szCs w:val="16"/>
          <w:highlight w:val="none"/>
        </w:rPr>
        <w:t>6.2 采购代理机构对招标文件进行澄清或修改的，将同时通过电子交易平台通知已获取招标文件的潜在投标人。依法应当公告的，将按规定公告，同时视情况延长投标截止时间和开标时间。该澄清或者修改的内容为招标文件的组成部分。</w:t>
      </w:r>
    </w:p>
    <w:p w14:paraId="41B7443F">
      <w:pPr>
        <w:pStyle w:val="30"/>
        <w:rPr>
          <w:rFonts w:hint="eastAsia" w:ascii="仿宋" w:hAnsi="仿宋" w:eastAsia="仿宋" w:cs="仿宋"/>
          <w:color w:val="auto"/>
          <w:sz w:val="15"/>
          <w:szCs w:val="15"/>
          <w:highlight w:val="none"/>
          <w:lang w:val="en-US"/>
        </w:rPr>
      </w:pPr>
    </w:p>
    <w:p w14:paraId="3C4E26A7">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outlineLvl w:val="0"/>
        <w:rPr>
          <w:rFonts w:hint="eastAsia" w:ascii="仿宋" w:hAnsi="仿宋" w:eastAsia="仿宋" w:cs="仿宋"/>
          <w:b/>
          <w:color w:val="auto"/>
          <w:sz w:val="32"/>
          <w:szCs w:val="20"/>
          <w:highlight w:val="none"/>
        </w:rPr>
      </w:pPr>
      <w:r>
        <w:rPr>
          <w:rFonts w:hint="eastAsia" w:ascii="仿宋" w:hAnsi="仿宋" w:eastAsia="仿宋" w:cs="仿宋"/>
          <w:b/>
          <w:color w:val="auto"/>
          <w:sz w:val="32"/>
          <w:szCs w:val="20"/>
          <w:highlight w:val="none"/>
        </w:rPr>
        <w:t>三、投标</w:t>
      </w:r>
    </w:p>
    <w:p w14:paraId="5594A56C">
      <w:pPr>
        <w:pStyle w:val="41"/>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7. 招标文件的获取</w:t>
      </w:r>
    </w:p>
    <w:p w14:paraId="37059D8F">
      <w:pPr>
        <w:spacing w:line="360" w:lineRule="auto"/>
        <w:ind w:firstLine="420" w:firstLineChars="200"/>
        <w:rPr>
          <w:rFonts w:hint="eastAsia" w:ascii="仿宋" w:hAnsi="仿宋" w:eastAsia="仿宋" w:cs="仿宋"/>
          <w:snapToGrid w:val="0"/>
          <w:color w:val="auto"/>
          <w:kern w:val="28"/>
          <w:sz w:val="21"/>
          <w:szCs w:val="21"/>
          <w:highlight w:val="none"/>
        </w:rPr>
      </w:pPr>
      <w:r>
        <w:rPr>
          <w:rFonts w:hint="eastAsia" w:ascii="仿宋" w:hAnsi="仿宋" w:eastAsia="仿宋" w:cs="仿宋"/>
          <w:snapToGrid w:val="0"/>
          <w:color w:val="auto"/>
          <w:kern w:val="28"/>
          <w:sz w:val="21"/>
          <w:szCs w:val="21"/>
          <w:highlight w:val="none"/>
        </w:rPr>
        <w:t>详见招标公告中获取招标文件的时间期限、地点、方式及招标文件售价。</w:t>
      </w:r>
    </w:p>
    <w:p w14:paraId="18191C15">
      <w:pPr>
        <w:pStyle w:val="41"/>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8.开标前答疑会或现场考察</w:t>
      </w:r>
    </w:p>
    <w:p w14:paraId="33B795F5">
      <w:pPr>
        <w:pStyle w:val="41"/>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采购人组织潜在投标人现场考察或者召开开标前答疑会的，潜在投标人按第二部分投标人须知前附表的规定参加现场考察或者开标前答疑会。</w:t>
      </w:r>
    </w:p>
    <w:p w14:paraId="0E9A380C">
      <w:pPr>
        <w:pStyle w:val="41"/>
        <w:spacing w:line="360" w:lineRule="auto"/>
        <w:rPr>
          <w:rFonts w:hint="eastAsia" w:ascii="仿宋" w:hAnsi="仿宋" w:eastAsia="仿宋" w:cs="仿宋"/>
          <w:b/>
          <w:color w:val="auto"/>
          <w:sz w:val="18"/>
          <w:szCs w:val="21"/>
          <w:highlight w:val="none"/>
        </w:rPr>
      </w:pPr>
      <w:r>
        <w:rPr>
          <w:rFonts w:hint="eastAsia" w:ascii="仿宋" w:hAnsi="仿宋" w:eastAsia="仿宋" w:cs="仿宋"/>
          <w:b/>
          <w:color w:val="auto"/>
          <w:kern w:val="28"/>
          <w:sz w:val="21"/>
          <w:szCs w:val="21"/>
          <w:highlight w:val="none"/>
        </w:rPr>
        <w:t>9.投标保证金</w:t>
      </w:r>
    </w:p>
    <w:p w14:paraId="5652A381">
      <w:pPr>
        <w:pStyle w:val="6"/>
        <w:spacing w:line="360" w:lineRule="auto"/>
        <w:ind w:firstLine="411" w:firstLineChars="196"/>
        <w:rPr>
          <w:rFonts w:hint="eastAsia" w:ascii="仿宋" w:hAnsi="仿宋" w:eastAsia="仿宋" w:cs="仿宋"/>
          <w:color w:val="auto"/>
          <w:sz w:val="21"/>
          <w:szCs w:val="16"/>
          <w:highlight w:val="none"/>
        </w:rPr>
      </w:pPr>
      <w:r>
        <w:rPr>
          <w:rFonts w:hint="eastAsia" w:ascii="仿宋" w:hAnsi="仿宋" w:eastAsia="仿宋" w:cs="仿宋"/>
          <w:color w:val="auto"/>
          <w:sz w:val="21"/>
          <w:szCs w:val="16"/>
          <w:highlight w:val="none"/>
        </w:rPr>
        <w:t>本项目不需缴纳投标保证金。</w:t>
      </w:r>
    </w:p>
    <w:p w14:paraId="4FFC91FD">
      <w:pPr>
        <w:pStyle w:val="41"/>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10. 投标文件的语言</w:t>
      </w:r>
    </w:p>
    <w:p w14:paraId="7735D18C">
      <w:pPr>
        <w:autoSpaceDE w:val="0"/>
        <w:autoSpaceDN w:val="0"/>
        <w:spacing w:line="360" w:lineRule="auto"/>
        <w:ind w:firstLine="420" w:firstLineChars="200"/>
        <w:rPr>
          <w:rFonts w:hint="eastAsia" w:ascii="仿宋" w:hAnsi="仿宋" w:eastAsia="仿宋" w:cs="仿宋"/>
          <w:color w:val="auto"/>
          <w:sz w:val="21"/>
          <w:szCs w:val="21"/>
          <w:highlight w:val="none"/>
          <w:lang w:val="zh-CN"/>
        </w:rPr>
      </w:pPr>
      <w:r>
        <w:rPr>
          <w:rFonts w:hint="eastAsia" w:ascii="仿宋" w:hAnsi="仿宋" w:eastAsia="仿宋" w:cs="仿宋"/>
          <w:color w:val="auto"/>
          <w:sz w:val="21"/>
          <w:szCs w:val="21"/>
          <w:highlight w:val="none"/>
        </w:rPr>
        <w:t>投标文件及投标人与采购有关的来往通知、函件和文件均应使用中文。</w:t>
      </w:r>
    </w:p>
    <w:p w14:paraId="2D8A7318">
      <w:pPr>
        <w:pStyle w:val="41"/>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11. 投标文件的组成</w:t>
      </w:r>
    </w:p>
    <w:p w14:paraId="1072B681">
      <w:pPr>
        <w:snapToGrid w:val="0"/>
        <w:spacing w:line="360" w:lineRule="auto"/>
        <w:ind w:firstLine="422" w:firstLineChars="200"/>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11.1资格文件：</w:t>
      </w:r>
    </w:p>
    <w:p w14:paraId="6847E325">
      <w:pPr>
        <w:snapToGrid w:val="0"/>
        <w:spacing w:line="360" w:lineRule="auto"/>
        <w:ind w:firstLine="840" w:firstLineChars="4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11.1.1符合参加政府采购活动应当具备的一般条件的承诺函；</w:t>
      </w:r>
    </w:p>
    <w:p w14:paraId="1358201B">
      <w:pPr>
        <w:snapToGrid w:val="0"/>
        <w:spacing w:line="360" w:lineRule="auto"/>
        <w:ind w:firstLine="840" w:firstLineChars="4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11.1.2</w:t>
      </w:r>
      <w:r>
        <w:rPr>
          <w:rFonts w:hint="eastAsia" w:ascii="仿宋" w:hAnsi="仿宋" w:eastAsia="仿宋" w:cs="仿宋"/>
          <w:snapToGrid w:val="0"/>
          <w:color w:val="auto"/>
          <w:kern w:val="28"/>
          <w:sz w:val="21"/>
          <w:szCs w:val="16"/>
          <w:highlight w:val="none"/>
        </w:rPr>
        <w:t>联合协议（如果有)；</w:t>
      </w:r>
    </w:p>
    <w:p w14:paraId="4DEE12ED">
      <w:pPr>
        <w:snapToGrid w:val="0"/>
        <w:spacing w:line="360" w:lineRule="auto"/>
        <w:ind w:firstLine="840" w:firstLineChars="4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11.1.3落实政府采购政策需满足的资格要求</w:t>
      </w:r>
      <w:r>
        <w:rPr>
          <w:rFonts w:hint="eastAsia" w:ascii="仿宋" w:hAnsi="仿宋" w:eastAsia="仿宋" w:cs="仿宋"/>
          <w:snapToGrid w:val="0"/>
          <w:color w:val="auto"/>
          <w:kern w:val="28"/>
          <w:sz w:val="21"/>
          <w:szCs w:val="16"/>
          <w:highlight w:val="none"/>
        </w:rPr>
        <w:t>（</w:t>
      </w:r>
      <w:r>
        <w:rPr>
          <w:rFonts w:hint="eastAsia" w:ascii="仿宋" w:hAnsi="仿宋" w:eastAsia="仿宋" w:cs="仿宋"/>
          <w:b/>
          <w:bCs/>
          <w:snapToGrid w:val="0"/>
          <w:color w:val="auto"/>
          <w:kern w:val="28"/>
          <w:sz w:val="21"/>
          <w:szCs w:val="16"/>
          <w:highlight w:val="none"/>
          <w:lang w:val="en-US" w:eastAsia="zh-CN"/>
        </w:rPr>
        <w:t>中小企业声明函、分包意向协议（如有）</w:t>
      </w:r>
      <w:r>
        <w:rPr>
          <w:rFonts w:hint="eastAsia" w:ascii="仿宋" w:hAnsi="仿宋" w:eastAsia="仿宋" w:cs="仿宋"/>
          <w:snapToGrid w:val="0"/>
          <w:color w:val="auto"/>
          <w:kern w:val="28"/>
          <w:sz w:val="21"/>
          <w:szCs w:val="16"/>
          <w:highlight w:val="none"/>
        </w:rPr>
        <w:t>)</w:t>
      </w:r>
      <w:r>
        <w:rPr>
          <w:rFonts w:hint="eastAsia" w:ascii="仿宋" w:hAnsi="仿宋" w:eastAsia="仿宋" w:cs="仿宋"/>
          <w:color w:val="auto"/>
          <w:sz w:val="21"/>
          <w:szCs w:val="21"/>
          <w:highlight w:val="none"/>
        </w:rPr>
        <w:t>；</w:t>
      </w:r>
    </w:p>
    <w:p w14:paraId="6327767A">
      <w:pPr>
        <w:snapToGrid w:val="0"/>
        <w:spacing w:line="360" w:lineRule="auto"/>
        <w:ind w:firstLine="840" w:firstLineChars="4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11.1.4本项目的特定资格要求</w:t>
      </w:r>
      <w:r>
        <w:rPr>
          <w:rFonts w:hint="eastAsia" w:ascii="仿宋" w:hAnsi="仿宋" w:eastAsia="仿宋" w:cs="仿宋"/>
          <w:snapToGrid w:val="0"/>
          <w:color w:val="auto"/>
          <w:kern w:val="28"/>
          <w:sz w:val="21"/>
          <w:szCs w:val="16"/>
          <w:highlight w:val="none"/>
        </w:rPr>
        <w:t>（如果有)</w:t>
      </w:r>
      <w:r>
        <w:rPr>
          <w:rFonts w:hint="eastAsia" w:ascii="仿宋" w:hAnsi="仿宋" w:eastAsia="仿宋" w:cs="仿宋"/>
          <w:color w:val="auto"/>
          <w:sz w:val="21"/>
          <w:szCs w:val="21"/>
          <w:highlight w:val="none"/>
        </w:rPr>
        <w:t>。</w:t>
      </w:r>
    </w:p>
    <w:p w14:paraId="6F181676">
      <w:pPr>
        <w:snapToGrid w:val="0"/>
        <w:spacing w:line="360" w:lineRule="auto"/>
        <w:ind w:firstLine="422" w:firstLineChars="200"/>
        <w:rPr>
          <w:rFonts w:hint="eastAsia" w:ascii="仿宋" w:hAnsi="仿宋" w:eastAsia="仿宋" w:cs="仿宋"/>
          <w:b/>
          <w:bCs/>
          <w:color w:val="auto"/>
          <w:sz w:val="21"/>
          <w:szCs w:val="21"/>
          <w:highlight w:val="none"/>
          <w:lang w:val="zh-CN"/>
        </w:rPr>
      </w:pPr>
      <w:r>
        <w:rPr>
          <w:rFonts w:hint="eastAsia" w:ascii="仿宋" w:hAnsi="仿宋" w:eastAsia="仿宋" w:cs="仿宋"/>
          <w:b/>
          <w:bCs/>
          <w:color w:val="auto"/>
          <w:sz w:val="21"/>
          <w:szCs w:val="21"/>
          <w:highlight w:val="none"/>
          <w:lang w:val="zh-CN"/>
        </w:rPr>
        <w:t>11.</w:t>
      </w:r>
      <w:r>
        <w:rPr>
          <w:rFonts w:hint="eastAsia" w:ascii="仿宋" w:hAnsi="仿宋" w:eastAsia="仿宋" w:cs="仿宋"/>
          <w:b/>
          <w:bCs/>
          <w:color w:val="auto"/>
          <w:sz w:val="21"/>
          <w:szCs w:val="21"/>
          <w:highlight w:val="none"/>
        </w:rPr>
        <w:t>2商务技术</w:t>
      </w:r>
      <w:r>
        <w:rPr>
          <w:rFonts w:hint="eastAsia" w:ascii="仿宋" w:hAnsi="仿宋" w:eastAsia="仿宋" w:cs="仿宋"/>
          <w:b/>
          <w:bCs/>
          <w:color w:val="auto"/>
          <w:sz w:val="21"/>
          <w:szCs w:val="21"/>
          <w:highlight w:val="none"/>
          <w:lang w:val="zh-CN"/>
        </w:rPr>
        <w:t>文件：</w:t>
      </w:r>
    </w:p>
    <w:p w14:paraId="3842DB95">
      <w:pPr>
        <w:snapToGrid w:val="0"/>
        <w:spacing w:line="360" w:lineRule="auto"/>
        <w:ind w:firstLine="840" w:firstLineChars="4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11.2.1投标函；</w:t>
      </w:r>
    </w:p>
    <w:p w14:paraId="6CC8CB5C">
      <w:pPr>
        <w:snapToGrid w:val="0"/>
        <w:spacing w:line="360" w:lineRule="auto"/>
        <w:ind w:firstLine="840" w:firstLineChars="4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11.2.2授权委托书或法定代表人（单位负责人、自然人本人）身份证明；</w:t>
      </w:r>
    </w:p>
    <w:p w14:paraId="3FE9C1E4">
      <w:pPr>
        <w:snapToGrid w:val="0"/>
        <w:spacing w:line="360" w:lineRule="auto"/>
        <w:ind w:firstLine="840" w:firstLineChars="4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11.2.3分包意向协议</w:t>
      </w:r>
      <w:r>
        <w:rPr>
          <w:rFonts w:hint="eastAsia" w:ascii="仿宋" w:hAnsi="仿宋" w:eastAsia="仿宋" w:cs="仿宋"/>
          <w:snapToGrid w:val="0"/>
          <w:color w:val="auto"/>
          <w:kern w:val="28"/>
          <w:sz w:val="21"/>
          <w:szCs w:val="16"/>
          <w:highlight w:val="none"/>
        </w:rPr>
        <w:t>（如果有)</w:t>
      </w:r>
      <w:r>
        <w:rPr>
          <w:rFonts w:hint="eastAsia" w:ascii="仿宋" w:hAnsi="仿宋" w:eastAsia="仿宋" w:cs="仿宋"/>
          <w:color w:val="auto"/>
          <w:sz w:val="21"/>
          <w:szCs w:val="21"/>
          <w:highlight w:val="none"/>
        </w:rPr>
        <w:t>；</w:t>
      </w:r>
    </w:p>
    <w:p w14:paraId="13C40347">
      <w:pPr>
        <w:snapToGrid w:val="0"/>
        <w:spacing w:line="360" w:lineRule="auto"/>
        <w:ind w:firstLine="840" w:firstLineChars="4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11.2.4符合性审查资料；</w:t>
      </w:r>
    </w:p>
    <w:p w14:paraId="4D0CCA73">
      <w:pPr>
        <w:snapToGrid w:val="0"/>
        <w:spacing w:line="360" w:lineRule="auto"/>
        <w:ind w:left="420" w:leftChars="200"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11.2.5评标标准相应的商务技术资料；</w:t>
      </w:r>
    </w:p>
    <w:p w14:paraId="53AABB12">
      <w:pPr>
        <w:snapToGrid w:val="0"/>
        <w:spacing w:line="360" w:lineRule="auto"/>
        <w:ind w:left="420" w:leftChars="200"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11.2.6投标标的清单；</w:t>
      </w:r>
    </w:p>
    <w:p w14:paraId="5D9A4E1F">
      <w:pPr>
        <w:snapToGrid w:val="0"/>
        <w:spacing w:line="360" w:lineRule="auto"/>
        <w:ind w:firstLine="840" w:firstLineChars="4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11.2.7商务技术偏离表；</w:t>
      </w:r>
    </w:p>
    <w:p w14:paraId="0F3F2857">
      <w:pPr>
        <w:snapToGrid w:val="0"/>
        <w:spacing w:line="360" w:lineRule="auto"/>
        <w:ind w:firstLine="840" w:firstLineChars="400"/>
        <w:rPr>
          <w:rFonts w:hint="eastAsia" w:ascii="仿宋" w:hAnsi="仿宋" w:eastAsia="仿宋" w:cs="仿宋"/>
          <w:color w:val="auto"/>
          <w:sz w:val="21"/>
          <w:szCs w:val="21"/>
          <w:highlight w:val="none"/>
          <w:lang w:val="zh-CN"/>
        </w:rPr>
      </w:pPr>
      <w:r>
        <w:rPr>
          <w:rFonts w:hint="eastAsia" w:ascii="仿宋" w:hAnsi="仿宋" w:eastAsia="仿宋" w:cs="仿宋"/>
          <w:color w:val="auto"/>
          <w:sz w:val="21"/>
          <w:szCs w:val="21"/>
          <w:highlight w:val="none"/>
          <w:lang w:val="zh-CN"/>
        </w:rPr>
        <w:t>11.</w:t>
      </w:r>
      <w:r>
        <w:rPr>
          <w:rFonts w:hint="eastAsia" w:ascii="仿宋" w:hAnsi="仿宋" w:eastAsia="仿宋" w:cs="仿宋"/>
          <w:color w:val="auto"/>
          <w:sz w:val="21"/>
          <w:szCs w:val="21"/>
          <w:highlight w:val="none"/>
        </w:rPr>
        <w:t>2</w:t>
      </w:r>
      <w:r>
        <w:rPr>
          <w:rFonts w:hint="eastAsia" w:ascii="仿宋" w:hAnsi="仿宋" w:eastAsia="仿宋" w:cs="仿宋"/>
          <w:color w:val="auto"/>
          <w:sz w:val="21"/>
          <w:szCs w:val="21"/>
          <w:highlight w:val="none"/>
          <w:lang w:val="zh-CN"/>
        </w:rPr>
        <w:t>.</w:t>
      </w:r>
      <w:r>
        <w:rPr>
          <w:rFonts w:hint="eastAsia" w:ascii="仿宋" w:hAnsi="仿宋" w:eastAsia="仿宋" w:cs="仿宋"/>
          <w:color w:val="auto"/>
          <w:sz w:val="21"/>
          <w:szCs w:val="21"/>
          <w:highlight w:val="none"/>
        </w:rPr>
        <w:t>8</w:t>
      </w:r>
      <w:r>
        <w:rPr>
          <w:rFonts w:hint="eastAsia" w:ascii="仿宋" w:hAnsi="仿宋" w:eastAsia="仿宋" w:cs="仿宋"/>
          <w:color w:val="auto"/>
          <w:sz w:val="21"/>
          <w:szCs w:val="21"/>
          <w:highlight w:val="none"/>
          <w:lang w:val="zh-CN"/>
        </w:rPr>
        <w:t>政府采购供应商廉洁自律承诺书；</w:t>
      </w:r>
    </w:p>
    <w:p w14:paraId="7D16BC4E">
      <w:pPr>
        <w:snapToGrid w:val="0"/>
        <w:spacing w:line="360" w:lineRule="auto"/>
        <w:ind w:firstLine="422" w:firstLineChars="200"/>
        <w:rPr>
          <w:rFonts w:hint="eastAsia" w:ascii="仿宋" w:hAnsi="仿宋" w:eastAsia="仿宋" w:cs="仿宋"/>
          <w:b/>
          <w:bCs/>
          <w:color w:val="auto"/>
          <w:sz w:val="21"/>
          <w:szCs w:val="21"/>
          <w:highlight w:val="none"/>
          <w:u w:val="single"/>
          <w:lang w:val="zh-CN"/>
        </w:rPr>
      </w:pPr>
      <w:r>
        <w:rPr>
          <w:rFonts w:hint="eastAsia" w:ascii="仿宋" w:hAnsi="仿宋" w:eastAsia="仿宋" w:cs="仿宋"/>
          <w:b/>
          <w:bCs/>
          <w:color w:val="auto"/>
          <w:kern w:val="0"/>
          <w:sz w:val="21"/>
          <w:szCs w:val="21"/>
          <w:highlight w:val="none"/>
          <w:lang w:val="zh-CN"/>
        </w:rPr>
        <w:t>11.</w:t>
      </w:r>
      <w:r>
        <w:rPr>
          <w:rFonts w:hint="eastAsia" w:ascii="仿宋" w:hAnsi="仿宋" w:eastAsia="仿宋" w:cs="仿宋"/>
          <w:b/>
          <w:bCs/>
          <w:color w:val="auto"/>
          <w:kern w:val="0"/>
          <w:sz w:val="21"/>
          <w:szCs w:val="21"/>
          <w:highlight w:val="none"/>
        </w:rPr>
        <w:t>3</w:t>
      </w:r>
      <w:r>
        <w:rPr>
          <w:rFonts w:hint="eastAsia" w:ascii="仿宋" w:hAnsi="仿宋" w:eastAsia="仿宋" w:cs="仿宋"/>
          <w:b/>
          <w:bCs/>
          <w:color w:val="auto"/>
          <w:sz w:val="21"/>
          <w:szCs w:val="21"/>
          <w:highlight w:val="none"/>
        </w:rPr>
        <w:t>报价文件：</w:t>
      </w:r>
    </w:p>
    <w:p w14:paraId="23D91879">
      <w:pPr>
        <w:snapToGrid w:val="0"/>
        <w:spacing w:line="360" w:lineRule="auto"/>
        <w:ind w:firstLine="840" w:firstLineChars="4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11.3.1开标一览表（报价表）；</w:t>
      </w:r>
    </w:p>
    <w:p w14:paraId="22359D81">
      <w:pPr>
        <w:snapToGrid w:val="0"/>
        <w:spacing w:line="360" w:lineRule="auto"/>
        <w:ind w:firstLine="840" w:firstLineChars="4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rPr>
        <w:t>11.3.</w:t>
      </w:r>
      <w:r>
        <w:rPr>
          <w:rFonts w:hint="eastAsia" w:ascii="仿宋" w:hAnsi="仿宋" w:eastAsia="仿宋" w:cs="仿宋"/>
          <w:color w:val="auto"/>
          <w:sz w:val="21"/>
          <w:szCs w:val="21"/>
          <w:highlight w:val="none"/>
          <w:lang w:val="en-US" w:eastAsia="zh-CN"/>
        </w:rPr>
        <w:t>2</w:t>
      </w:r>
      <w:r>
        <w:rPr>
          <w:rFonts w:hint="eastAsia" w:ascii="仿宋" w:hAnsi="仿宋" w:eastAsia="仿宋" w:cs="仿宋"/>
          <w:color w:val="auto"/>
          <w:sz w:val="21"/>
          <w:szCs w:val="21"/>
          <w:highlight w:val="none"/>
          <w:lang w:val="en-US"/>
        </w:rPr>
        <w:t xml:space="preserve"> </w:t>
      </w:r>
      <w:r>
        <w:rPr>
          <w:rFonts w:hint="eastAsia" w:ascii="仿宋" w:hAnsi="仿宋" w:eastAsia="仿宋" w:cs="仿宋"/>
          <w:color w:val="auto"/>
          <w:sz w:val="21"/>
          <w:szCs w:val="21"/>
          <w:highlight w:val="none"/>
        </w:rPr>
        <w:t>报价情况说明（如供应商报价低于项目预算50%的，应当提交本文档，详细阐述不影响产品质量或者诚信履约的具体原因）；</w:t>
      </w:r>
    </w:p>
    <w:p w14:paraId="55A40638">
      <w:pPr>
        <w:spacing w:line="360" w:lineRule="auto"/>
        <w:ind w:firstLine="632" w:firstLineChars="300"/>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投标文件含有采购人不能接受的附加条件的，投标无效；</w:t>
      </w:r>
    </w:p>
    <w:p w14:paraId="75D4E7EA">
      <w:pPr>
        <w:spacing w:line="360" w:lineRule="auto"/>
        <w:ind w:firstLine="632" w:firstLineChars="300"/>
        <w:rPr>
          <w:rFonts w:hint="eastAsia" w:ascii="仿宋" w:hAnsi="仿宋" w:eastAsia="仿宋" w:cs="仿宋"/>
          <w:b/>
          <w:color w:val="auto"/>
          <w:sz w:val="21"/>
          <w:szCs w:val="18"/>
          <w:highlight w:val="none"/>
        </w:rPr>
      </w:pPr>
      <w:r>
        <w:rPr>
          <w:rFonts w:hint="eastAsia" w:ascii="仿宋" w:hAnsi="仿宋" w:eastAsia="仿宋" w:cs="仿宋"/>
          <w:b/>
          <w:color w:val="auto"/>
          <w:sz w:val="21"/>
          <w:szCs w:val="21"/>
          <w:highlight w:val="none"/>
        </w:rPr>
        <w:t>投标人提供虚假材料投标的，投标无效。</w:t>
      </w:r>
    </w:p>
    <w:p w14:paraId="1B1A1DB2">
      <w:pPr>
        <w:snapToGrid/>
        <w:spacing w:line="360" w:lineRule="auto"/>
        <w:ind w:firstLine="632" w:firstLineChars="300"/>
        <w:rPr>
          <w:rFonts w:hint="eastAsia" w:ascii="仿宋" w:hAnsi="仿宋" w:eastAsia="仿宋" w:cs="仿宋"/>
          <w:b/>
          <w:color w:val="auto"/>
          <w:szCs w:val="21"/>
          <w:highlight w:val="none"/>
        </w:rPr>
      </w:pPr>
      <w:r>
        <w:rPr>
          <w:rFonts w:hint="eastAsia" w:ascii="仿宋" w:hAnsi="仿宋" w:eastAsia="仿宋" w:cs="仿宋"/>
          <w:b/>
          <w:color w:val="auto"/>
          <w:szCs w:val="21"/>
          <w:highlight w:val="none"/>
          <w:lang w:val="en-US" w:eastAsia="zh-CN"/>
        </w:rPr>
        <w:t>投标人应对投标文件中材料的真实性、合法性负责。投标人可事先在公开官网查询、核对相关证书和报告内容，确保投标（响应）文件资料准确无误。</w:t>
      </w:r>
    </w:p>
    <w:p w14:paraId="2CC8FB39">
      <w:pPr>
        <w:snapToGrid w:val="0"/>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12</w:t>
      </w:r>
      <w:r>
        <w:rPr>
          <w:rFonts w:hint="eastAsia" w:ascii="仿宋" w:hAnsi="仿宋" w:eastAsia="仿宋" w:cs="仿宋"/>
          <w:b/>
          <w:color w:val="auto"/>
          <w:sz w:val="21"/>
          <w:szCs w:val="21"/>
          <w:highlight w:val="none"/>
          <w:lang w:val="zh-CN"/>
        </w:rPr>
        <w:t xml:space="preserve">. </w:t>
      </w:r>
      <w:r>
        <w:rPr>
          <w:rFonts w:hint="eastAsia" w:ascii="仿宋" w:hAnsi="仿宋" w:eastAsia="仿宋" w:cs="仿宋"/>
          <w:b/>
          <w:color w:val="auto"/>
          <w:sz w:val="21"/>
          <w:szCs w:val="21"/>
          <w:highlight w:val="none"/>
        </w:rPr>
        <w:t>投标文件的编制</w:t>
      </w:r>
    </w:p>
    <w:p w14:paraId="71E0EF75">
      <w:pPr>
        <w:spacing w:line="360" w:lineRule="auto"/>
        <w:ind w:firstLine="420" w:firstLineChars="200"/>
        <w:rPr>
          <w:rFonts w:hint="eastAsia" w:ascii="仿宋" w:hAnsi="仿宋" w:eastAsia="仿宋" w:cs="仿宋"/>
          <w:b/>
          <w:color w:val="auto"/>
          <w:sz w:val="21"/>
          <w:szCs w:val="21"/>
          <w:highlight w:val="none"/>
        </w:rPr>
      </w:pPr>
      <w:r>
        <w:rPr>
          <w:rFonts w:hint="eastAsia" w:ascii="仿宋" w:hAnsi="仿宋" w:eastAsia="仿宋" w:cs="仿宋"/>
          <w:color w:val="auto"/>
          <w:kern w:val="0"/>
          <w:sz w:val="21"/>
          <w:szCs w:val="21"/>
          <w:highlight w:val="none"/>
          <w:lang w:val="zh-CN"/>
        </w:rPr>
        <w:t>12.1投标文件分为资格文件、商务技术文件、报价文件三部分。各投标人在编制投标文件时请按照招标文件第六部分规定的格式进行，混乱的编排导致投标文件被误读或评标委员会查找不到有效文件是投标人的风险。</w:t>
      </w:r>
    </w:p>
    <w:p w14:paraId="1DAC8D82">
      <w:pPr>
        <w:spacing w:line="360" w:lineRule="auto"/>
        <w:ind w:firstLine="420" w:firstLineChars="200"/>
        <w:rPr>
          <w:rFonts w:hint="eastAsia" w:ascii="仿宋" w:hAnsi="仿宋" w:eastAsia="仿宋" w:cs="仿宋"/>
          <w:color w:val="auto"/>
          <w:kern w:val="0"/>
          <w:sz w:val="21"/>
          <w:szCs w:val="21"/>
          <w:highlight w:val="none"/>
          <w:lang w:val="zh-CN"/>
        </w:rPr>
      </w:pPr>
      <w:r>
        <w:rPr>
          <w:rFonts w:hint="eastAsia" w:ascii="仿宋" w:hAnsi="仿宋" w:eastAsia="仿宋" w:cs="仿宋"/>
          <w:color w:val="auto"/>
          <w:kern w:val="0"/>
          <w:sz w:val="21"/>
          <w:szCs w:val="21"/>
          <w:highlight w:val="none"/>
          <w:lang w:val="zh-CN"/>
        </w:rPr>
        <w:t>12.2投标人进行电子投标应安装客户端软件—“政采云电子交易客户端”，并按照招标文件和电子交易平台的要求编制并加密投标文件。投标人未按规定加密的投标文件，电子交易平台将拒收并提示。</w:t>
      </w:r>
    </w:p>
    <w:p w14:paraId="06C6C840">
      <w:pPr>
        <w:spacing w:line="360" w:lineRule="auto"/>
        <w:ind w:firstLine="420" w:firstLineChars="200"/>
        <w:rPr>
          <w:rFonts w:hint="eastAsia" w:ascii="仿宋" w:hAnsi="仿宋" w:eastAsia="仿宋" w:cs="仿宋"/>
          <w:color w:val="auto"/>
          <w:kern w:val="0"/>
          <w:sz w:val="21"/>
          <w:szCs w:val="21"/>
          <w:highlight w:val="none"/>
          <w:lang w:val="zh-CN"/>
        </w:rPr>
      </w:pPr>
      <w:r>
        <w:rPr>
          <w:rFonts w:hint="eastAsia" w:ascii="仿宋" w:hAnsi="仿宋" w:eastAsia="仿宋" w:cs="仿宋"/>
          <w:color w:val="auto"/>
          <w:kern w:val="0"/>
          <w:sz w:val="21"/>
          <w:szCs w:val="21"/>
          <w:highlight w:val="none"/>
          <w:lang w:val="zh-CN"/>
        </w:rPr>
        <w:t>12.3使用“政采云电子交易客户端”需要提前申领CA数字证书，申领流程请自行前往“浙江政府采购网-下载专区-电子交易客户端-CA驱动和申领流程”进行查阅。</w:t>
      </w:r>
    </w:p>
    <w:p w14:paraId="7426424A">
      <w:pPr>
        <w:snapToGrid w:val="0"/>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13.投标文件的签署、盖章</w:t>
      </w:r>
    </w:p>
    <w:p w14:paraId="6BCC323A">
      <w:pPr>
        <w:pStyle w:val="148"/>
        <w:snapToGrid w:val="0"/>
        <w:spacing w:before="0"/>
        <w:ind w:firstLine="480"/>
        <w:rPr>
          <w:rFonts w:hint="eastAsia" w:ascii="仿宋" w:hAnsi="仿宋" w:eastAsia="仿宋" w:cs="仿宋"/>
          <w:b/>
          <w:color w:val="auto"/>
          <w:sz w:val="21"/>
          <w:szCs w:val="16"/>
          <w:highlight w:val="none"/>
        </w:rPr>
      </w:pPr>
      <w:r>
        <w:rPr>
          <w:rFonts w:hint="eastAsia" w:ascii="仿宋" w:hAnsi="仿宋" w:eastAsia="仿宋" w:cs="仿宋"/>
          <w:color w:val="auto"/>
          <w:sz w:val="21"/>
          <w:szCs w:val="21"/>
          <w:highlight w:val="none"/>
        </w:rPr>
        <w:t>13.1投标文件按照招标文件第六部分格式要</w:t>
      </w:r>
      <w:r>
        <w:rPr>
          <w:rFonts w:hint="eastAsia" w:ascii="仿宋" w:hAnsi="仿宋" w:eastAsia="仿宋" w:cs="仿宋"/>
          <w:color w:val="auto"/>
          <w:sz w:val="21"/>
          <w:szCs w:val="16"/>
          <w:highlight w:val="none"/>
        </w:rPr>
        <w:t>求进行签署、盖章。</w:t>
      </w:r>
      <w:r>
        <w:rPr>
          <w:rFonts w:hint="eastAsia" w:ascii="仿宋" w:hAnsi="仿宋" w:eastAsia="仿宋" w:cs="仿宋"/>
          <w:b/>
          <w:color w:val="auto"/>
          <w:sz w:val="21"/>
          <w:szCs w:val="16"/>
          <w:highlight w:val="none"/>
        </w:rPr>
        <w:t>▲投标人的投标文件未按照招标文件要求签署、盖章的，其投标无效</w:t>
      </w:r>
      <w:r>
        <w:rPr>
          <w:rFonts w:hint="eastAsia" w:ascii="仿宋" w:hAnsi="仿宋" w:eastAsia="仿宋" w:cs="仿宋"/>
          <w:color w:val="auto"/>
          <w:sz w:val="21"/>
          <w:szCs w:val="21"/>
          <w:highlight w:val="none"/>
        </w:rPr>
        <w:t>。</w:t>
      </w:r>
    </w:p>
    <w:p w14:paraId="10AE56E3">
      <w:pPr>
        <w:pStyle w:val="148"/>
        <w:snapToGrid w:val="0"/>
        <w:spacing w:before="0"/>
        <w:ind w:firstLine="480"/>
        <w:rPr>
          <w:rFonts w:hint="eastAsia" w:ascii="仿宋" w:hAnsi="仿宋" w:eastAsia="仿宋" w:cs="仿宋"/>
          <w:color w:val="auto"/>
          <w:sz w:val="21"/>
          <w:szCs w:val="16"/>
          <w:highlight w:val="none"/>
        </w:rPr>
      </w:pPr>
      <w:r>
        <w:rPr>
          <w:rFonts w:hint="eastAsia" w:ascii="仿宋" w:hAnsi="仿宋" w:eastAsia="仿宋" w:cs="仿宋"/>
          <w:color w:val="auto"/>
          <w:sz w:val="21"/>
          <w:szCs w:val="16"/>
          <w:highlight w:val="none"/>
        </w:rPr>
        <w:t>13.2为确保网上操作合法、有效和安全，投标人应当在投标截止时间前完成在“政府采购云平台”的身份认证，确保在电子投标过程中能够对相关数据电文进行加密和使用电子签名。</w:t>
      </w:r>
    </w:p>
    <w:p w14:paraId="7077B0FB">
      <w:pPr>
        <w:pStyle w:val="148"/>
        <w:snapToGrid w:val="0"/>
        <w:spacing w:before="0"/>
        <w:ind w:firstLine="480"/>
        <w:rPr>
          <w:rFonts w:hint="eastAsia" w:ascii="仿宋" w:hAnsi="仿宋" w:eastAsia="仿宋" w:cs="仿宋"/>
          <w:color w:val="auto"/>
          <w:sz w:val="21"/>
          <w:szCs w:val="21"/>
          <w:highlight w:val="none"/>
        </w:rPr>
      </w:pPr>
      <w:r>
        <w:rPr>
          <w:rFonts w:hint="eastAsia" w:ascii="仿宋" w:hAnsi="仿宋" w:eastAsia="仿宋" w:cs="仿宋"/>
          <w:color w:val="auto"/>
          <w:sz w:val="21"/>
          <w:szCs w:val="16"/>
          <w:highlight w:val="none"/>
        </w:rPr>
        <w:t>13.3招标文件对投标文件签署、盖章的要求适用于电子签名。</w:t>
      </w:r>
    </w:p>
    <w:p w14:paraId="63EE4C56">
      <w:pPr>
        <w:pStyle w:val="148"/>
        <w:spacing w:before="0"/>
        <w:ind w:firstLine="0" w:firstLineChars="0"/>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14. 投标文件的提交、补充、修改、撤回</w:t>
      </w:r>
    </w:p>
    <w:p w14:paraId="4C847213">
      <w:pPr>
        <w:pStyle w:val="148"/>
        <w:ind w:firstLine="48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14.1 供应商应当在投标截止时间前完成投标文件的传输递交，并可以补充、修改或者撤回投标文件。补充或者修改投标文件的，应当先行撤回原文件，补充、修改后重新传输递交。投标截止时间前未完成传输的，视为撤回投标文件。投标截止时间后递交的投标文件，电子交易平台将拒收。</w:t>
      </w:r>
    </w:p>
    <w:p w14:paraId="04287F7B">
      <w:pPr>
        <w:pStyle w:val="148"/>
        <w:spacing w:before="0"/>
        <w:ind w:firstLine="48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14.2电子交易平台收到投标文件，将妥善保存并即时向供应商发出确认回执通知。在投标截止时间前，除供应商补充、修改或者撤回投标文件外，任何单位和个人不得解密或提取投标文件。</w:t>
      </w:r>
    </w:p>
    <w:p w14:paraId="4101E4BE">
      <w:pPr>
        <w:pStyle w:val="148"/>
        <w:spacing w:before="0"/>
        <w:ind w:firstLine="48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14.3采购人、采购代理机构可以视情况延长投标文件提交的截止时间。在上述情况下，采购代理机构与投标人以前在投标截止期方面的全部权利、责任和义务，将适用于延长至新的投标截止期。</w:t>
      </w:r>
    </w:p>
    <w:p w14:paraId="3750E580">
      <w:pPr>
        <w:pStyle w:val="41"/>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15.备份投标文件</w:t>
      </w:r>
    </w:p>
    <w:p w14:paraId="65C9A809">
      <w:pPr>
        <w:pStyle w:val="41"/>
        <w:spacing w:line="360" w:lineRule="auto"/>
        <w:ind w:firstLine="315" w:firstLineChars="150"/>
        <w:rPr>
          <w:rFonts w:hint="eastAsia" w:ascii="仿宋" w:hAnsi="仿宋" w:eastAsia="仿宋" w:cs="仿宋"/>
          <w:b/>
          <w:color w:val="auto"/>
          <w:sz w:val="21"/>
          <w:szCs w:val="21"/>
          <w:highlight w:val="none"/>
        </w:rPr>
      </w:pPr>
      <w:r>
        <w:rPr>
          <w:rFonts w:hint="eastAsia" w:ascii="仿宋" w:hAnsi="仿宋" w:eastAsia="仿宋" w:cs="仿宋"/>
          <w:color w:val="auto"/>
          <w:sz w:val="21"/>
          <w:szCs w:val="21"/>
          <w:highlight w:val="none"/>
        </w:rPr>
        <w:t xml:space="preserve"> 15.1投标人在电子交易平台传输递交投标文件后，还可以在投标截止时间前直接提交或者以邮政快递方式递交备份投标文件1份，</w:t>
      </w:r>
      <w:r>
        <w:rPr>
          <w:rFonts w:hint="eastAsia" w:ascii="仿宋" w:hAnsi="仿宋" w:eastAsia="仿宋" w:cs="仿宋"/>
          <w:b/>
          <w:color w:val="auto"/>
          <w:sz w:val="21"/>
          <w:szCs w:val="21"/>
          <w:highlight w:val="none"/>
        </w:rPr>
        <w:t>但采购人、采购代理机构不强制或变相强制投标人提交备份投标文件。</w:t>
      </w:r>
    </w:p>
    <w:p w14:paraId="395A9B44">
      <w:pPr>
        <w:pStyle w:val="41"/>
        <w:spacing w:line="360" w:lineRule="auto"/>
        <w:ind w:firstLine="420" w:firstLineChars="200"/>
        <w:rPr>
          <w:rFonts w:hint="eastAsia" w:ascii="仿宋" w:hAnsi="仿宋" w:eastAsia="仿宋" w:cs="仿宋"/>
          <w:b/>
          <w:color w:val="auto"/>
          <w:sz w:val="21"/>
          <w:szCs w:val="21"/>
          <w:highlight w:val="none"/>
        </w:rPr>
      </w:pPr>
      <w:r>
        <w:rPr>
          <w:rFonts w:hint="eastAsia" w:ascii="仿宋" w:hAnsi="仿宋" w:eastAsia="仿宋" w:cs="仿宋"/>
          <w:color w:val="auto"/>
          <w:sz w:val="21"/>
          <w:szCs w:val="21"/>
          <w:highlight w:val="none"/>
        </w:rPr>
        <w:t>15.2备份投标文件须在“政采云投标客户端”制作生成，并储存在</w:t>
      </w:r>
      <w:r>
        <w:rPr>
          <w:rFonts w:hint="eastAsia" w:ascii="仿宋" w:hAnsi="仿宋" w:eastAsia="仿宋" w:cs="仿宋"/>
          <w:color w:val="auto"/>
          <w:sz w:val="21"/>
          <w:szCs w:val="18"/>
          <w:highlight w:val="none"/>
        </w:rPr>
        <w:t>DVD光盘等存储介质</w:t>
      </w:r>
      <w:r>
        <w:rPr>
          <w:rFonts w:hint="eastAsia" w:ascii="仿宋" w:hAnsi="仿宋" w:eastAsia="仿宋" w:cs="仿宋"/>
          <w:color w:val="auto"/>
          <w:sz w:val="21"/>
          <w:szCs w:val="21"/>
          <w:highlight w:val="none"/>
        </w:rPr>
        <w:t>中。备份投标文件应当密封包装并在包装上加盖公章并注明投标项目名称，投标人名称(联合体投标的，包装物封面需注明联合体投标，并注明联合体成员各方的名称和联合协议中约定的牵头人的名称)。</w:t>
      </w:r>
      <w:r>
        <w:rPr>
          <w:rFonts w:hint="eastAsia" w:ascii="仿宋" w:hAnsi="仿宋" w:eastAsia="仿宋" w:cs="仿宋"/>
          <w:b/>
          <w:color w:val="auto"/>
          <w:sz w:val="21"/>
          <w:szCs w:val="18"/>
          <w:highlight w:val="none"/>
        </w:rPr>
        <w:t>不符合上述制作、</w:t>
      </w:r>
      <w:r>
        <w:rPr>
          <w:rFonts w:hint="eastAsia" w:ascii="仿宋" w:hAnsi="仿宋" w:eastAsia="仿宋" w:cs="仿宋"/>
          <w:b/>
          <w:color w:val="auto"/>
          <w:sz w:val="21"/>
          <w:szCs w:val="21"/>
          <w:highlight w:val="none"/>
        </w:rPr>
        <w:t>存储、密封规定的备份投标文件将被视为无效或者被拒绝接收。</w:t>
      </w:r>
    </w:p>
    <w:p w14:paraId="0C0E27DE">
      <w:pPr>
        <w:pStyle w:val="41"/>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15.3直接提交备份投标文件的，投标人应于投标截止时间前在招标公告中载明的开标地点将备份投标文件提交给采购代理机构，采购代理机构将拒绝接受逾期送达的备份投标文件。</w:t>
      </w:r>
    </w:p>
    <w:p w14:paraId="6C245CB2">
      <w:pPr>
        <w:pStyle w:val="41"/>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15.4以邮政快递方式递交备份投标文件的，投标人应先将备份投标文件按要求密封和标记，再进行邮政快递包装后邮寄。备份投标文件须在投标截止时间之前送达</w:t>
      </w:r>
      <w:r>
        <w:rPr>
          <w:rFonts w:hint="eastAsia" w:ascii="仿宋" w:hAnsi="仿宋" w:eastAsia="仿宋" w:cs="仿宋"/>
          <w:snapToGrid/>
          <w:color w:val="auto"/>
          <w:sz w:val="21"/>
          <w:szCs w:val="21"/>
          <w:highlight w:val="none"/>
        </w:rPr>
        <w:t>招标文件第二部分投标人须知前附表规定的备份投标文件送达地点；</w:t>
      </w:r>
      <w:r>
        <w:rPr>
          <w:rFonts w:hint="eastAsia" w:ascii="仿宋" w:hAnsi="仿宋" w:eastAsia="仿宋" w:cs="仿宋"/>
          <w:color w:val="auto"/>
          <w:sz w:val="21"/>
          <w:szCs w:val="21"/>
          <w:highlight w:val="none"/>
        </w:rPr>
        <w:t>送达时间以签收人签收时间为准。采购代理机构将拒绝接受逾期送达的备份投标文件。邮寄过程中，电子备份投标文件发生泄露、遗失、损坏或延期送达等情况的，由投标人自行负责。</w:t>
      </w:r>
    </w:p>
    <w:p w14:paraId="0B13F226">
      <w:pPr>
        <w:pStyle w:val="41"/>
        <w:spacing w:line="360" w:lineRule="auto"/>
        <w:ind w:firstLine="420" w:firstLineChars="199"/>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15.5投标人仅提交备份投标文件，未在电子交易平台传输递交投标文件的，投标无效。</w:t>
      </w:r>
    </w:p>
    <w:p w14:paraId="21BCEB64">
      <w:pPr>
        <w:pStyle w:val="148"/>
        <w:spacing w:before="0"/>
        <w:ind w:firstLine="0" w:firstLineChars="0"/>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16.投标文件的无效处理</w:t>
      </w:r>
    </w:p>
    <w:p w14:paraId="396CE881">
      <w:pPr>
        <w:pStyle w:val="31"/>
        <w:spacing w:line="360" w:lineRule="auto"/>
        <w:ind w:firstLine="315" w:firstLineChars="150"/>
        <w:rPr>
          <w:rFonts w:hint="eastAsia" w:ascii="仿宋" w:hAnsi="仿宋" w:eastAsia="仿宋" w:cs="仿宋"/>
          <w:color w:val="auto"/>
          <w:sz w:val="21"/>
          <w:szCs w:val="18"/>
          <w:highlight w:val="none"/>
          <w:lang w:eastAsia="zh-CN"/>
        </w:rPr>
      </w:pPr>
      <w:r>
        <w:rPr>
          <w:rFonts w:hint="eastAsia" w:ascii="仿宋" w:hAnsi="仿宋" w:eastAsia="仿宋" w:cs="仿宋"/>
          <w:color w:val="auto"/>
          <w:sz w:val="21"/>
          <w:szCs w:val="18"/>
          <w:highlight w:val="none"/>
        </w:rPr>
        <w:t>有招标文件第四部分4.2规定的情形之一的，投标无效</w:t>
      </w:r>
      <w:r>
        <w:rPr>
          <w:rFonts w:hint="eastAsia" w:ascii="仿宋" w:hAnsi="仿宋" w:eastAsia="仿宋" w:cs="仿宋"/>
          <w:color w:val="auto"/>
          <w:sz w:val="21"/>
          <w:szCs w:val="18"/>
          <w:highlight w:val="none"/>
          <w:lang w:eastAsia="zh-CN"/>
        </w:rPr>
        <w:t>。</w:t>
      </w:r>
    </w:p>
    <w:p w14:paraId="3EBEAD64">
      <w:pPr>
        <w:pStyle w:val="148"/>
        <w:spacing w:before="0"/>
        <w:ind w:firstLine="0" w:firstLineChars="0"/>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17.投标有效期</w:t>
      </w:r>
    </w:p>
    <w:p w14:paraId="2CAA10EC">
      <w:pPr>
        <w:spacing w:line="360" w:lineRule="auto"/>
        <w:ind w:firstLine="420" w:firstLineChars="200"/>
        <w:rPr>
          <w:rFonts w:hint="eastAsia" w:ascii="仿宋" w:hAnsi="仿宋" w:eastAsia="仿宋" w:cs="仿宋"/>
          <w:b/>
          <w:color w:val="auto"/>
          <w:sz w:val="21"/>
          <w:szCs w:val="18"/>
          <w:highlight w:val="none"/>
        </w:rPr>
      </w:pPr>
      <w:r>
        <w:rPr>
          <w:rFonts w:hint="eastAsia" w:ascii="仿宋" w:hAnsi="仿宋" w:eastAsia="仿宋" w:cs="仿宋"/>
          <w:color w:val="auto"/>
          <w:sz w:val="21"/>
          <w:szCs w:val="16"/>
          <w:highlight w:val="none"/>
        </w:rPr>
        <w:t>17.1投标有效期为从提交投标文件的截止之日起90天。▲</w:t>
      </w:r>
      <w:r>
        <w:rPr>
          <w:rFonts w:hint="eastAsia" w:ascii="仿宋" w:hAnsi="仿宋" w:eastAsia="仿宋" w:cs="仿宋"/>
          <w:b/>
          <w:color w:val="auto"/>
          <w:sz w:val="21"/>
          <w:szCs w:val="16"/>
          <w:highlight w:val="none"/>
        </w:rPr>
        <w:t>投标人的投标文件中承</w:t>
      </w:r>
      <w:r>
        <w:rPr>
          <w:rFonts w:hint="eastAsia" w:ascii="仿宋" w:hAnsi="仿宋" w:eastAsia="仿宋" w:cs="仿宋"/>
          <w:b/>
          <w:color w:val="auto"/>
          <w:sz w:val="21"/>
          <w:szCs w:val="18"/>
          <w:highlight w:val="none"/>
        </w:rPr>
        <w:t>诺的投标有效期少于招标文件中载明的投标有效期的，投标无效。</w:t>
      </w:r>
    </w:p>
    <w:p w14:paraId="55A6D9E7">
      <w:pPr>
        <w:pStyle w:val="148"/>
        <w:spacing w:before="0"/>
        <w:ind w:firstLine="480"/>
        <w:rPr>
          <w:rFonts w:hint="eastAsia" w:ascii="仿宋" w:hAnsi="仿宋" w:eastAsia="仿宋" w:cs="仿宋"/>
          <w:color w:val="auto"/>
          <w:sz w:val="21"/>
          <w:szCs w:val="16"/>
          <w:highlight w:val="none"/>
        </w:rPr>
      </w:pPr>
      <w:r>
        <w:rPr>
          <w:rFonts w:hint="eastAsia" w:ascii="仿宋" w:hAnsi="仿宋" w:eastAsia="仿宋" w:cs="仿宋"/>
          <w:color w:val="auto"/>
          <w:sz w:val="21"/>
          <w:szCs w:val="16"/>
          <w:highlight w:val="none"/>
        </w:rPr>
        <w:t>17.2投标文件合格投递后，自投标截止日期起，在投标有效期内有效。</w:t>
      </w:r>
    </w:p>
    <w:p w14:paraId="0B988E5C">
      <w:pPr>
        <w:pStyle w:val="148"/>
        <w:spacing w:before="0"/>
        <w:ind w:firstLine="480"/>
        <w:rPr>
          <w:rFonts w:hint="eastAsia" w:ascii="仿宋" w:hAnsi="仿宋" w:eastAsia="仿宋" w:cs="仿宋"/>
          <w:color w:val="auto"/>
          <w:sz w:val="21"/>
          <w:szCs w:val="16"/>
          <w:highlight w:val="none"/>
        </w:rPr>
      </w:pPr>
      <w:r>
        <w:rPr>
          <w:rFonts w:hint="eastAsia" w:ascii="仿宋" w:hAnsi="仿宋" w:eastAsia="仿宋" w:cs="仿宋"/>
          <w:color w:val="auto"/>
          <w:sz w:val="21"/>
          <w:szCs w:val="16"/>
          <w:highlight w:val="none"/>
        </w:rPr>
        <w:t>17.3在原定投标有效期满之前，如果出现特殊情况，采购代理机构可以以书面形式通知投标人延长投标有效期。投标人同意延长的，不得要求或被允许修改其投标文件，投标人拒绝延长的，其投标无效。</w:t>
      </w:r>
    </w:p>
    <w:p w14:paraId="04C49F2D">
      <w:pPr>
        <w:pStyle w:val="148"/>
        <w:spacing w:before="0"/>
        <w:ind w:firstLine="643"/>
        <w:rPr>
          <w:rFonts w:hint="eastAsia" w:ascii="仿宋" w:hAnsi="仿宋" w:eastAsia="仿宋" w:cs="仿宋"/>
          <w:b/>
          <w:color w:val="auto"/>
          <w:sz w:val="24"/>
          <w:szCs w:val="16"/>
          <w:highlight w:val="none"/>
        </w:rPr>
      </w:pPr>
    </w:p>
    <w:p w14:paraId="4245FA6C">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outlineLvl w:val="0"/>
        <w:rPr>
          <w:rFonts w:hint="eastAsia" w:ascii="仿宋" w:hAnsi="仿宋" w:eastAsia="仿宋" w:cs="仿宋"/>
          <w:b/>
          <w:color w:val="auto"/>
          <w:sz w:val="32"/>
          <w:szCs w:val="20"/>
          <w:highlight w:val="none"/>
        </w:rPr>
      </w:pPr>
      <w:r>
        <w:rPr>
          <w:rFonts w:hint="eastAsia" w:ascii="仿宋" w:hAnsi="仿宋" w:eastAsia="仿宋" w:cs="仿宋"/>
          <w:b/>
          <w:color w:val="auto"/>
          <w:sz w:val="32"/>
          <w:szCs w:val="20"/>
          <w:highlight w:val="none"/>
        </w:rPr>
        <w:t>四、开标、资格审查与信用信息查询</w:t>
      </w:r>
    </w:p>
    <w:p w14:paraId="0D774CD5">
      <w:pPr>
        <w:pStyle w:val="574"/>
        <w:spacing w:before="0" w:line="360" w:lineRule="auto"/>
        <w:ind w:left="0" w:firstLine="211" w:firstLineChars="100"/>
        <w:contextualSpacing/>
        <w:rPr>
          <w:rFonts w:hint="eastAsia" w:ascii="仿宋" w:hAnsi="仿宋" w:eastAsia="仿宋" w:cs="仿宋"/>
          <w:color w:val="auto"/>
          <w:sz w:val="21"/>
          <w:szCs w:val="16"/>
          <w:highlight w:val="none"/>
        </w:rPr>
      </w:pPr>
      <w:r>
        <w:rPr>
          <w:rFonts w:hint="eastAsia" w:ascii="仿宋" w:hAnsi="仿宋" w:eastAsia="仿宋" w:cs="仿宋"/>
          <w:b/>
          <w:color w:val="auto"/>
          <w:sz w:val="21"/>
          <w:szCs w:val="21"/>
          <w:highlight w:val="none"/>
        </w:rPr>
        <w:t>18.开标</w:t>
      </w:r>
    </w:p>
    <w:p w14:paraId="4881F67F">
      <w:pPr>
        <w:pStyle w:val="574"/>
        <w:spacing w:before="0" w:line="360" w:lineRule="auto"/>
        <w:ind w:left="0" w:firstLine="420" w:firstLineChars="200"/>
        <w:contextualSpacing/>
        <w:rPr>
          <w:rFonts w:hint="eastAsia" w:ascii="仿宋" w:hAnsi="仿宋" w:eastAsia="仿宋" w:cs="仿宋"/>
          <w:color w:val="auto"/>
          <w:sz w:val="21"/>
          <w:szCs w:val="16"/>
          <w:highlight w:val="none"/>
        </w:rPr>
      </w:pPr>
      <w:r>
        <w:rPr>
          <w:rFonts w:hint="eastAsia" w:ascii="仿宋" w:hAnsi="仿宋" w:eastAsia="仿宋" w:cs="仿宋"/>
          <w:color w:val="auto"/>
          <w:sz w:val="21"/>
          <w:szCs w:val="16"/>
          <w:highlight w:val="none"/>
        </w:rPr>
        <w:t>18.1采购代理机构按照招标文件规定的时间通过电子交易平台组织开标，所有投标人均应当准时在线参加。投标人不足3家的，不得开标。</w:t>
      </w:r>
    </w:p>
    <w:p w14:paraId="71AEDD55">
      <w:pPr>
        <w:pStyle w:val="574"/>
        <w:spacing w:before="0" w:line="360" w:lineRule="auto"/>
        <w:ind w:left="0" w:firstLine="210" w:firstLineChars="100"/>
        <w:contextualSpacing/>
        <w:rPr>
          <w:rFonts w:hint="eastAsia" w:ascii="仿宋" w:hAnsi="仿宋" w:eastAsia="仿宋" w:cs="仿宋"/>
          <w:color w:val="auto"/>
          <w:sz w:val="21"/>
          <w:szCs w:val="16"/>
          <w:highlight w:val="none"/>
        </w:rPr>
      </w:pPr>
      <w:r>
        <w:rPr>
          <w:rFonts w:hint="eastAsia" w:ascii="仿宋" w:hAnsi="仿宋" w:eastAsia="仿宋" w:cs="仿宋"/>
          <w:color w:val="auto"/>
          <w:sz w:val="21"/>
          <w:szCs w:val="16"/>
          <w:highlight w:val="none"/>
        </w:rPr>
        <w:t>　18.2开标时，电子交易平台按开标时间自动提取所有投标文件。采购代理机构依托电子交易平台发起开始解密指令，投标人按照平台提示和招标文件的规定在半小时内完成在线解密。</w:t>
      </w:r>
    </w:p>
    <w:p w14:paraId="0180F7F8">
      <w:pPr>
        <w:pStyle w:val="574"/>
        <w:spacing w:before="0" w:line="360" w:lineRule="auto"/>
        <w:ind w:left="0" w:firstLine="210" w:firstLineChars="100"/>
        <w:contextualSpacing/>
        <w:rPr>
          <w:rFonts w:hint="eastAsia" w:ascii="仿宋" w:hAnsi="仿宋" w:eastAsia="仿宋" w:cs="仿宋"/>
          <w:b/>
          <w:color w:val="auto"/>
          <w:sz w:val="21"/>
          <w:szCs w:val="16"/>
          <w:highlight w:val="none"/>
        </w:rPr>
      </w:pPr>
      <w:r>
        <w:rPr>
          <w:rFonts w:hint="eastAsia" w:ascii="仿宋" w:hAnsi="仿宋" w:eastAsia="仿宋" w:cs="仿宋"/>
          <w:color w:val="auto"/>
          <w:sz w:val="21"/>
          <w:szCs w:val="16"/>
          <w:highlight w:val="none"/>
        </w:rPr>
        <w:t>　18.3</w:t>
      </w:r>
      <w:r>
        <w:rPr>
          <w:rFonts w:hint="eastAsia" w:ascii="仿宋" w:hAnsi="仿宋" w:eastAsia="仿宋" w:cs="仿宋"/>
          <w:b/>
          <w:color w:val="auto"/>
          <w:sz w:val="21"/>
          <w:szCs w:val="16"/>
          <w:highlight w:val="none"/>
        </w:rPr>
        <w:t>投标文件未按时解密，投标人提供了备份投标文件的，以备份投标文件作为依据，否则视为投标文件撤回。投标文件已按时解密的，备份投标文件自动失效。</w:t>
      </w:r>
    </w:p>
    <w:p w14:paraId="08A578A6">
      <w:pPr>
        <w:widowControl/>
        <w:spacing w:before="100" w:beforeAutospacing="1" w:after="240" w:line="360" w:lineRule="auto"/>
        <w:jc w:val="left"/>
        <w:rPr>
          <w:rFonts w:hint="eastAsia" w:ascii="仿宋" w:hAnsi="仿宋" w:eastAsia="仿宋" w:cs="仿宋"/>
          <w:b/>
          <w:color w:val="auto"/>
          <w:sz w:val="21"/>
          <w:szCs w:val="16"/>
          <w:highlight w:val="none"/>
        </w:rPr>
      </w:pPr>
      <w:r>
        <w:rPr>
          <w:rFonts w:hint="eastAsia" w:ascii="仿宋" w:hAnsi="仿宋" w:eastAsia="仿宋" w:cs="仿宋"/>
          <w:b/>
          <w:color w:val="auto"/>
          <w:sz w:val="21"/>
          <w:szCs w:val="16"/>
          <w:highlight w:val="none"/>
        </w:rPr>
        <w:t>　19、资格审查</w:t>
      </w:r>
    </w:p>
    <w:p w14:paraId="66598CA1">
      <w:pPr>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rPr>
        <w:t>19.1</w:t>
      </w:r>
      <w:r>
        <w:rPr>
          <w:rFonts w:hint="eastAsia" w:ascii="仿宋" w:hAnsi="仿宋" w:eastAsia="仿宋" w:cs="仿宋"/>
          <w:color w:val="auto"/>
          <w:sz w:val="21"/>
          <w:szCs w:val="21"/>
          <w:highlight w:val="none"/>
        </w:rPr>
        <w:t>采购人或采购代理机构依据法律法规和招标文件的规定，对投标人的资格进行审查。</w:t>
      </w:r>
    </w:p>
    <w:p w14:paraId="0569BA2C">
      <w:pPr>
        <w:snapToGrid w:val="0"/>
        <w:spacing w:line="360" w:lineRule="auto"/>
        <w:ind w:firstLine="420" w:firstLineChars="20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19.2投标人未按照招标文件要求提供与资格条件相应的有效资格证明材料的，视为投标人不具备招标文件中规定的资格要求，其投标无效。</w:t>
      </w:r>
    </w:p>
    <w:p w14:paraId="53F3E207">
      <w:pPr>
        <w:snapToGrid w:val="0"/>
        <w:spacing w:line="360" w:lineRule="auto"/>
        <w:ind w:firstLine="420" w:firstLineChars="20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19.3对未通过资格审查的投标人，采购人或采购代理机构告知其未通过的原因。</w:t>
      </w:r>
    </w:p>
    <w:p w14:paraId="6C254F92">
      <w:pPr>
        <w:snapToGrid w:val="0"/>
        <w:spacing w:line="360" w:lineRule="auto"/>
        <w:ind w:firstLine="420" w:firstLineChars="20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19.4合格投标人不足3家的，不再评标。</w:t>
      </w:r>
    </w:p>
    <w:p w14:paraId="66A22D40">
      <w:pPr>
        <w:pStyle w:val="148"/>
        <w:spacing w:before="0"/>
        <w:ind w:firstLine="0" w:firstLineChars="0"/>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20、信用信息查询</w:t>
      </w:r>
    </w:p>
    <w:p w14:paraId="7E9604F2">
      <w:pPr>
        <w:pStyle w:val="148"/>
        <w:spacing w:before="0"/>
        <w:ind w:firstLine="495" w:firstLineChars="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20.1信用信息查询渠道及截止时间：采购代理机构将在资格审查时通过“信用中国”网站(www.creditchina.gov.cn)、中国政府采购网(www.ccgp.gov.cn)渠道查询投标人接受资格时的信用记录。</w:t>
      </w:r>
    </w:p>
    <w:p w14:paraId="332DB9BE">
      <w:pPr>
        <w:pStyle w:val="148"/>
        <w:spacing w:before="0"/>
        <w:ind w:firstLine="495" w:firstLineChars="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20.2信用信息查询记录和证据留存的具体方式：现场查询的投标人的信用记录、查询结果经确认后将与采购文件一起存档。</w:t>
      </w:r>
    </w:p>
    <w:p w14:paraId="1C7BCFB2">
      <w:pPr>
        <w:pStyle w:val="148"/>
        <w:spacing w:before="0"/>
        <w:ind w:firstLine="495" w:firstLineChars="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20.3信用信息的使用规则：经查询列入失信被执行人名单、重大税收违法案件当事人名单、政府采购严重违法失信行为记录名单的投标人将被拒绝参与政府采购活动。</w:t>
      </w:r>
    </w:p>
    <w:p w14:paraId="4C47C5EF">
      <w:pPr>
        <w:pStyle w:val="148"/>
        <w:spacing w:before="0"/>
        <w:ind w:firstLine="480"/>
        <w:rPr>
          <w:rFonts w:hint="eastAsia" w:ascii="仿宋" w:hAnsi="仿宋" w:eastAsia="仿宋" w:cs="仿宋"/>
          <w:color w:val="auto"/>
          <w:sz w:val="21"/>
          <w:szCs w:val="16"/>
          <w:highlight w:val="none"/>
        </w:rPr>
      </w:pPr>
      <w:r>
        <w:rPr>
          <w:rFonts w:hint="eastAsia" w:ascii="仿宋" w:hAnsi="仿宋" w:eastAsia="仿宋" w:cs="仿宋"/>
          <w:color w:val="auto"/>
          <w:kern w:val="0"/>
          <w:sz w:val="21"/>
          <w:szCs w:val="21"/>
          <w:highlight w:val="none"/>
        </w:rPr>
        <w:t>20.4联合体信用信息查询：两个以上的自然人、法人或者其他组织组成一个联合体，以一个供应商的身份共同参加政府采购活动的，应当对所有联合体成员进行信用记录查询，联合体成员存在不良信用记录的，视同联合体存在不良信用记录</w:t>
      </w:r>
      <w:r>
        <w:rPr>
          <w:rFonts w:hint="eastAsia" w:ascii="仿宋" w:hAnsi="仿宋" w:eastAsia="仿宋" w:cs="仿宋"/>
          <w:color w:val="auto"/>
          <w:sz w:val="21"/>
          <w:szCs w:val="16"/>
          <w:highlight w:val="none"/>
        </w:rPr>
        <w:t>。</w:t>
      </w:r>
    </w:p>
    <w:p w14:paraId="19A69621">
      <w:pPr>
        <w:pStyle w:val="148"/>
        <w:spacing w:before="0"/>
        <w:ind w:firstLine="0" w:firstLineChars="0"/>
        <w:rPr>
          <w:rFonts w:hint="eastAsia" w:ascii="仿宋" w:hAnsi="仿宋" w:eastAsia="仿宋" w:cs="仿宋"/>
          <w:color w:val="auto"/>
          <w:kern w:val="0"/>
          <w:sz w:val="21"/>
          <w:szCs w:val="21"/>
          <w:highlight w:val="none"/>
        </w:rPr>
      </w:pPr>
    </w:p>
    <w:p w14:paraId="6316A887">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outlineLvl w:val="0"/>
        <w:rPr>
          <w:rFonts w:hint="eastAsia" w:ascii="仿宋" w:hAnsi="仿宋" w:eastAsia="仿宋" w:cs="仿宋"/>
          <w:b/>
          <w:color w:val="auto"/>
          <w:sz w:val="32"/>
          <w:szCs w:val="20"/>
          <w:highlight w:val="none"/>
        </w:rPr>
      </w:pPr>
      <w:r>
        <w:rPr>
          <w:rFonts w:hint="eastAsia" w:ascii="仿宋" w:hAnsi="仿宋" w:eastAsia="仿宋" w:cs="仿宋"/>
          <w:b/>
          <w:color w:val="auto"/>
          <w:sz w:val="32"/>
          <w:szCs w:val="20"/>
          <w:highlight w:val="none"/>
        </w:rPr>
        <w:t>五、评标</w:t>
      </w:r>
    </w:p>
    <w:p w14:paraId="7B513FD1">
      <w:pPr>
        <w:spacing w:line="360" w:lineRule="auto"/>
        <w:rPr>
          <w:rFonts w:hint="eastAsia" w:ascii="仿宋" w:hAnsi="仿宋" w:eastAsia="仿宋" w:cs="仿宋"/>
          <w:b/>
          <w:color w:val="auto"/>
          <w:sz w:val="21"/>
          <w:szCs w:val="21"/>
          <w:highlight w:val="none"/>
        </w:rPr>
      </w:pPr>
      <w:bookmarkStart w:id="14" w:name="_Toc91899903"/>
      <w:r>
        <w:rPr>
          <w:rFonts w:hint="eastAsia" w:ascii="仿宋" w:hAnsi="仿宋" w:eastAsia="仿宋" w:cs="仿宋"/>
          <w:b/>
          <w:color w:val="auto"/>
          <w:sz w:val="21"/>
          <w:szCs w:val="21"/>
          <w:highlight w:val="none"/>
        </w:rPr>
        <w:t>21.</w:t>
      </w:r>
      <w:r>
        <w:rPr>
          <w:rFonts w:hint="eastAsia" w:ascii="仿宋" w:hAnsi="仿宋" w:eastAsia="仿宋" w:cs="仿宋"/>
          <w:color w:val="auto"/>
          <w:sz w:val="21"/>
          <w:szCs w:val="21"/>
          <w:highlight w:val="none"/>
        </w:rPr>
        <w:t>评标委员会【评标委员会由采购人代表和评审专家组成，</w:t>
      </w:r>
      <w:r>
        <w:rPr>
          <w:rFonts w:hint="eastAsia" w:ascii="仿宋" w:hAnsi="仿宋" w:eastAsia="仿宋" w:cs="仿宋"/>
          <w:color w:val="auto"/>
          <w:sz w:val="21"/>
          <w:szCs w:val="21"/>
          <w:highlight w:val="none"/>
        </w:rPr>
        <w:t>成员人数为</w:t>
      </w:r>
      <w:r>
        <w:rPr>
          <w:rFonts w:hint="eastAsia" w:ascii="仿宋" w:hAnsi="仿宋" w:eastAsia="仿宋" w:cs="仿宋"/>
          <w:color w:val="auto"/>
          <w:sz w:val="21"/>
          <w:szCs w:val="21"/>
          <w:highlight w:val="none"/>
          <w:lang w:val="en-US" w:eastAsia="zh-CN"/>
        </w:rPr>
        <w:t>5</w:t>
      </w:r>
      <w:r>
        <w:rPr>
          <w:rFonts w:hint="eastAsia" w:ascii="仿宋" w:hAnsi="仿宋" w:eastAsia="仿宋" w:cs="仿宋"/>
          <w:color w:val="auto"/>
          <w:sz w:val="21"/>
          <w:szCs w:val="21"/>
          <w:highlight w:val="none"/>
        </w:rPr>
        <w:t>人（采购人代表</w:t>
      </w:r>
      <w:r>
        <w:rPr>
          <w:rFonts w:hint="eastAsia" w:ascii="仿宋" w:hAnsi="仿宋" w:eastAsia="仿宋" w:cs="仿宋"/>
          <w:color w:val="auto"/>
          <w:sz w:val="21"/>
          <w:szCs w:val="21"/>
          <w:highlight w:val="none"/>
          <w:lang w:val="en-US" w:eastAsia="zh-CN"/>
        </w:rPr>
        <w:t>1</w:t>
      </w:r>
      <w:r>
        <w:rPr>
          <w:rFonts w:hint="eastAsia" w:ascii="仿宋" w:hAnsi="仿宋" w:eastAsia="仿宋" w:cs="仿宋"/>
          <w:color w:val="auto"/>
          <w:sz w:val="21"/>
          <w:szCs w:val="21"/>
          <w:highlight w:val="none"/>
        </w:rPr>
        <w:t>人，评标专家</w:t>
      </w:r>
      <w:r>
        <w:rPr>
          <w:rFonts w:hint="eastAsia" w:ascii="仿宋" w:hAnsi="仿宋" w:eastAsia="仿宋" w:cs="仿宋"/>
          <w:color w:val="auto"/>
          <w:sz w:val="21"/>
          <w:szCs w:val="21"/>
          <w:highlight w:val="none"/>
          <w:lang w:val="en-US" w:eastAsia="zh-CN"/>
        </w:rPr>
        <w:t>4</w:t>
      </w:r>
      <w:r>
        <w:rPr>
          <w:rFonts w:hint="eastAsia" w:ascii="仿宋" w:hAnsi="仿宋" w:eastAsia="仿宋" w:cs="仿宋"/>
          <w:color w:val="auto"/>
          <w:sz w:val="21"/>
          <w:szCs w:val="21"/>
          <w:highlight w:val="none"/>
        </w:rPr>
        <w:t>人</w:t>
      </w:r>
      <w:r>
        <w:rPr>
          <w:rFonts w:hint="eastAsia" w:ascii="仿宋" w:hAnsi="仿宋" w:eastAsia="仿宋" w:cs="仿宋"/>
          <w:color w:val="auto"/>
          <w:sz w:val="21"/>
          <w:szCs w:val="21"/>
          <w:highlight w:val="none"/>
        </w:rPr>
        <w:t>由</w:t>
      </w:r>
      <w:r>
        <w:rPr>
          <w:rFonts w:hint="eastAsia" w:ascii="仿宋" w:hAnsi="仿宋" w:eastAsia="仿宋" w:cs="仿宋"/>
          <w:color w:val="auto"/>
          <w:sz w:val="21"/>
          <w:szCs w:val="21"/>
          <w:highlight w:val="none"/>
          <w:lang w:val="en-US" w:eastAsia="zh-CN"/>
        </w:rPr>
        <w:t>第三方机构在</w:t>
      </w:r>
      <w:r>
        <w:rPr>
          <w:rFonts w:hint="eastAsia" w:ascii="仿宋" w:hAnsi="仿宋" w:eastAsia="仿宋" w:cs="仿宋"/>
          <w:color w:val="auto"/>
          <w:sz w:val="21"/>
          <w:szCs w:val="21"/>
          <w:highlight w:val="none"/>
        </w:rPr>
        <w:t>政采云平台</w:t>
      </w:r>
      <w:r>
        <w:rPr>
          <w:rFonts w:hint="eastAsia" w:ascii="仿宋" w:hAnsi="仿宋" w:eastAsia="仿宋" w:cs="仿宋"/>
          <w:color w:val="auto"/>
          <w:sz w:val="21"/>
          <w:szCs w:val="21"/>
          <w:highlight w:val="none"/>
          <w:lang w:val="en-US" w:eastAsia="zh-CN"/>
        </w:rPr>
        <w:t>相关专业</w:t>
      </w:r>
      <w:r>
        <w:rPr>
          <w:rFonts w:hint="eastAsia" w:ascii="仿宋" w:hAnsi="仿宋" w:eastAsia="仿宋" w:cs="仿宋"/>
          <w:color w:val="auto"/>
          <w:sz w:val="21"/>
          <w:szCs w:val="21"/>
          <w:highlight w:val="none"/>
        </w:rPr>
        <w:t>随机抽取）】将根据招标文件和有关规定，履行评标工作职责，并按照评标方法及评分标准，全面衡量各投标人对招标文件的响应情况。对实质上响应招标文件的投标人，按照评审因素的量化指标排出推荐中标的投标人的先后顺序，并按顺序提出授标建议。</w:t>
      </w:r>
      <w:r>
        <w:rPr>
          <w:rFonts w:hint="eastAsia" w:ascii="仿宋" w:hAnsi="仿宋" w:eastAsia="仿宋" w:cs="仿宋"/>
          <w:b/>
          <w:color w:val="auto"/>
          <w:sz w:val="21"/>
          <w:szCs w:val="21"/>
          <w:highlight w:val="none"/>
        </w:rPr>
        <w:t>详见招标文件第四部分评标办法。</w:t>
      </w:r>
    </w:p>
    <w:p w14:paraId="557E0A9A">
      <w:pPr>
        <w:spacing w:line="360" w:lineRule="auto"/>
        <w:rPr>
          <w:rFonts w:hint="eastAsia" w:ascii="仿宋" w:hAnsi="仿宋" w:eastAsia="仿宋" w:cs="仿宋"/>
          <w:b/>
          <w:color w:val="auto"/>
          <w:sz w:val="21"/>
          <w:szCs w:val="21"/>
          <w:highlight w:val="none"/>
        </w:rPr>
      </w:pPr>
    </w:p>
    <w:p w14:paraId="76793FD2">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outlineLvl w:val="0"/>
        <w:rPr>
          <w:rFonts w:hint="eastAsia" w:ascii="仿宋" w:hAnsi="仿宋" w:eastAsia="仿宋" w:cs="仿宋"/>
          <w:b/>
          <w:color w:val="auto"/>
          <w:sz w:val="32"/>
          <w:szCs w:val="20"/>
          <w:highlight w:val="none"/>
        </w:rPr>
      </w:pPr>
      <w:r>
        <w:rPr>
          <w:rFonts w:hint="eastAsia" w:ascii="仿宋" w:hAnsi="仿宋" w:eastAsia="仿宋" w:cs="仿宋"/>
          <w:b/>
          <w:color w:val="auto"/>
          <w:sz w:val="32"/>
          <w:szCs w:val="20"/>
          <w:highlight w:val="none"/>
        </w:rPr>
        <w:t>六、定 标</w:t>
      </w:r>
    </w:p>
    <w:p w14:paraId="6A2EAA1A">
      <w:pPr>
        <w:pStyle w:val="31"/>
        <w:spacing w:line="360" w:lineRule="auto"/>
        <w:ind w:left="479" w:hanging="420" w:hangingChars="199"/>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22. 确定中标供应商</w:t>
      </w:r>
    </w:p>
    <w:p w14:paraId="1DA62AE2">
      <w:pPr>
        <w:pStyle w:val="148"/>
        <w:snapToGrid w:val="0"/>
        <w:spacing w:before="0"/>
        <w:ind w:firstLine="48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政府采购项目实行全流程电子化，评审报告送交、采购结果确定和结果公告均在线完成。为进一步提升采购结果确定效率，采购代理机构应当依法及时将评审报告在线送交采购人。采购单位应当自收到评审报告之日起2个工作日内在线确定中标或者成交供应商，为提高政府采购效率，鼓励在收到评审报告当天在线确定中标或者成交供应商。中标、成交通知书和中标、成交结果公告应当在规定时间内同时发出。</w:t>
      </w:r>
    </w:p>
    <w:p w14:paraId="6587BBDB">
      <w:pPr>
        <w:pStyle w:val="148"/>
        <w:snapToGrid w:val="0"/>
        <w:spacing w:before="0"/>
        <w:ind w:firstLine="0" w:firstLineChars="0"/>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23. 中标通知与中标结果公告</w:t>
      </w:r>
    </w:p>
    <w:p w14:paraId="3AFEDD84">
      <w:pPr>
        <w:widowControl/>
        <w:shd w:val="clear" w:color="auto" w:fill="FFFFFF"/>
        <w:spacing w:line="360" w:lineRule="auto"/>
        <w:ind w:firstLine="48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23.1自中标人确定之日起2个工作日内，采购代理机构通过电子交易平台向中标人发出中标通知书，同时编制发布采购结果公告。采购代理机构也可以以纸质形式进行中标通知。</w:t>
      </w:r>
    </w:p>
    <w:p w14:paraId="6813E3B7">
      <w:pPr>
        <w:widowControl/>
        <w:shd w:val="clear" w:color="auto" w:fill="FFFFFF"/>
        <w:spacing w:line="360" w:lineRule="auto"/>
        <w:ind w:firstLine="48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23.2中标结果公告内容包括采购人及其委托的采购代理机构的名称、地址、联系方式，项目名称和项目编号，中标人名称、地址和中标金额，主要中标标的的名称、规格型号、数量、单价、服务要求，开标记录、</w:t>
      </w:r>
      <w:bookmarkStart w:id="15" w:name="_Hlk101184471"/>
      <w:r>
        <w:rPr>
          <w:rFonts w:hint="eastAsia" w:ascii="仿宋" w:hAnsi="仿宋" w:eastAsia="仿宋" w:cs="仿宋"/>
          <w:color w:val="auto"/>
          <w:sz w:val="21"/>
          <w:szCs w:val="21"/>
          <w:highlight w:val="none"/>
        </w:rPr>
        <w:t>资格审查情况、评审专家抽取规则、符合性审查情况、</w:t>
      </w:r>
      <w:bookmarkEnd w:id="15"/>
      <w:r>
        <w:rPr>
          <w:rFonts w:hint="eastAsia" w:ascii="仿宋" w:hAnsi="仿宋" w:eastAsia="仿宋" w:cs="仿宋"/>
          <w:color w:val="auto"/>
          <w:sz w:val="21"/>
          <w:szCs w:val="21"/>
          <w:highlight w:val="none"/>
        </w:rPr>
        <w:t>未中标情况说明、中标公告期限以及评审专家名单、评分汇总及明细</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中小企业声明函</w:t>
      </w:r>
      <w:r>
        <w:rPr>
          <w:rFonts w:hint="eastAsia" w:ascii="仿宋" w:hAnsi="仿宋" w:eastAsia="仿宋" w:cs="仿宋"/>
          <w:color w:val="auto"/>
          <w:sz w:val="21"/>
          <w:szCs w:val="21"/>
          <w:highlight w:val="none"/>
        </w:rPr>
        <w:t>。</w:t>
      </w:r>
    </w:p>
    <w:p w14:paraId="0EAE4FEE">
      <w:pPr>
        <w:widowControl/>
        <w:shd w:val="clear" w:color="auto" w:fill="FFFFFF"/>
        <w:spacing w:line="360" w:lineRule="auto"/>
        <w:ind w:firstLine="48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23.3公告期限为1个工作日。</w:t>
      </w:r>
    </w:p>
    <w:p w14:paraId="0E6AEC9D">
      <w:pPr>
        <w:widowControl/>
        <w:shd w:val="clear" w:color="auto" w:fill="FFFFFF"/>
        <w:spacing w:line="360" w:lineRule="auto"/>
        <w:ind w:firstLine="48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23.4由于中标、成交供应商原因导致重新采购的，应当承担支付代理费和专家评审费等费用在内的赔偿责任。</w:t>
      </w:r>
    </w:p>
    <w:p w14:paraId="59F038EB">
      <w:pPr>
        <w:snapToGrid w:val="0"/>
        <w:spacing w:line="360" w:lineRule="auto"/>
        <w:ind w:left="120" w:leftChars="57" w:firstLine="361" w:firstLineChars="150"/>
        <w:jc w:val="center"/>
        <w:rPr>
          <w:rFonts w:hint="eastAsia" w:ascii="仿宋" w:hAnsi="仿宋" w:eastAsia="仿宋" w:cs="仿宋"/>
          <w:b/>
          <w:color w:val="auto"/>
          <w:sz w:val="24"/>
          <w:szCs w:val="21"/>
          <w:highlight w:val="none"/>
        </w:rPr>
      </w:pPr>
    </w:p>
    <w:p w14:paraId="3B9B93DB">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outlineLvl w:val="0"/>
        <w:rPr>
          <w:rFonts w:hint="eastAsia" w:ascii="仿宋" w:hAnsi="仿宋" w:eastAsia="仿宋" w:cs="仿宋"/>
          <w:b/>
          <w:color w:val="auto"/>
          <w:sz w:val="32"/>
          <w:szCs w:val="20"/>
          <w:highlight w:val="none"/>
        </w:rPr>
      </w:pPr>
      <w:r>
        <w:rPr>
          <w:rFonts w:hint="eastAsia" w:ascii="仿宋" w:hAnsi="仿宋" w:eastAsia="仿宋" w:cs="仿宋"/>
          <w:b/>
          <w:color w:val="auto"/>
          <w:sz w:val="32"/>
          <w:szCs w:val="20"/>
          <w:highlight w:val="none"/>
        </w:rPr>
        <w:t>七、合同授予</w:t>
      </w:r>
    </w:p>
    <w:p w14:paraId="4E65F893">
      <w:pPr>
        <w:pStyle w:val="31"/>
        <w:spacing w:line="360" w:lineRule="auto"/>
        <w:ind w:left="479" w:hanging="420" w:hangingChars="199"/>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 xml:space="preserve">24. </w:t>
      </w:r>
      <w:r>
        <w:rPr>
          <w:rFonts w:hint="eastAsia" w:ascii="仿宋" w:hAnsi="仿宋" w:eastAsia="仿宋" w:cs="仿宋"/>
          <w:color w:val="auto"/>
          <w:sz w:val="21"/>
          <w:szCs w:val="21"/>
          <w:highlight w:val="none"/>
        </w:rPr>
        <w:t>合同主要条款详见第五部分拟签订的合同文本。</w:t>
      </w:r>
    </w:p>
    <w:p w14:paraId="207A1FF3">
      <w:pPr>
        <w:pStyle w:val="31"/>
        <w:spacing w:line="360" w:lineRule="auto"/>
        <w:ind w:left="479" w:hanging="420" w:hangingChars="199"/>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25. 合同的签订</w:t>
      </w:r>
    </w:p>
    <w:p w14:paraId="2C271289">
      <w:pPr>
        <w:widowControl/>
        <w:shd w:val="clear" w:color="auto" w:fill="FFFFFF"/>
        <w:spacing w:line="360" w:lineRule="auto"/>
        <w:ind w:firstLine="480"/>
        <w:jc w:val="left"/>
        <w:rPr>
          <w:rFonts w:hint="eastAsia" w:ascii="仿宋" w:hAnsi="仿宋" w:eastAsia="仿宋" w:cs="仿宋"/>
          <w:color w:val="auto"/>
          <w:kern w:val="0"/>
          <w:sz w:val="21"/>
          <w:szCs w:val="21"/>
          <w:highlight w:val="none"/>
        </w:rPr>
      </w:pPr>
      <w:r>
        <w:rPr>
          <w:rFonts w:hint="eastAsia" w:ascii="仿宋" w:hAnsi="仿宋" w:eastAsia="仿宋" w:cs="仿宋"/>
          <w:color w:val="auto"/>
          <w:sz w:val="21"/>
          <w:szCs w:val="21"/>
          <w:highlight w:val="none"/>
        </w:rPr>
        <w:t>25.1</w:t>
      </w:r>
      <w:r>
        <w:rPr>
          <w:rFonts w:hint="eastAsia" w:ascii="仿宋" w:hAnsi="仿宋" w:eastAsia="仿宋" w:cs="仿宋"/>
          <w:color w:val="auto"/>
          <w:kern w:val="0"/>
          <w:sz w:val="21"/>
          <w:szCs w:val="21"/>
          <w:highlight w:val="none"/>
        </w:rPr>
        <w:t xml:space="preserve"> 采购人与中标人应当通过电子交易平台在中标通知书发出之日起三十日内，按照招标文件确定的事项签订政府采购合同，并在签订之日起2个工作日内将政府采购合同在浙江政府采购网上公告。鼓励有条件的采购人视情缩减采购合同签订时限，提高采购效率，杜绝“冷、硬、横、推”等不当行为。除不可抗力等特殊情况外，原则上应当在中标通知书发出之日起10个工作日内，与中标供应商按照采购文件确定的事项签订政府采购合同。</w:t>
      </w:r>
    </w:p>
    <w:p w14:paraId="308E9AD0">
      <w:pPr>
        <w:pStyle w:val="148"/>
        <w:snapToGrid w:val="0"/>
        <w:spacing w:before="0"/>
        <w:ind w:firstLine="480"/>
        <w:rPr>
          <w:rFonts w:hint="eastAsia" w:ascii="仿宋" w:hAnsi="仿宋" w:eastAsia="仿宋" w:cs="仿宋"/>
          <w:color w:val="auto"/>
          <w:kern w:val="0"/>
          <w:sz w:val="21"/>
          <w:szCs w:val="16"/>
          <w:highlight w:val="none"/>
        </w:rPr>
      </w:pPr>
      <w:r>
        <w:rPr>
          <w:rFonts w:hint="eastAsia" w:ascii="仿宋" w:hAnsi="仿宋" w:eastAsia="仿宋" w:cs="仿宋"/>
          <w:color w:val="auto"/>
          <w:kern w:val="0"/>
          <w:sz w:val="21"/>
          <w:szCs w:val="16"/>
          <w:highlight w:val="none"/>
          <w:lang w:val="zh-CN"/>
        </w:rPr>
        <w:t>25.2中标人按规定的日期、时间、地点，由法定代表人或其授权代表与采购人代表签订合同。如中标人为联合体的，由联合体成员各方法定代表人或其授权代表与采购人代表签订合同。</w:t>
      </w:r>
    </w:p>
    <w:p w14:paraId="41CEE08A">
      <w:pPr>
        <w:pStyle w:val="148"/>
        <w:snapToGrid w:val="0"/>
        <w:spacing w:before="0"/>
        <w:ind w:firstLine="480"/>
        <w:rPr>
          <w:rFonts w:hint="eastAsia" w:ascii="仿宋" w:hAnsi="仿宋" w:eastAsia="仿宋" w:cs="仿宋"/>
          <w:color w:val="auto"/>
          <w:sz w:val="21"/>
          <w:szCs w:val="16"/>
          <w:highlight w:val="none"/>
        </w:rPr>
      </w:pPr>
      <w:r>
        <w:rPr>
          <w:rFonts w:hint="eastAsia" w:ascii="仿宋" w:hAnsi="仿宋" w:eastAsia="仿宋" w:cs="仿宋"/>
          <w:color w:val="auto"/>
          <w:sz w:val="21"/>
          <w:szCs w:val="16"/>
          <w:highlight w:val="none"/>
        </w:rPr>
        <w:t>25.3如签订合同并生效后，供应商无故拒绝或延期，除按照合同条款处理外，列入不良行为记录一次，并给予通报。</w:t>
      </w:r>
    </w:p>
    <w:p w14:paraId="52BE7C62">
      <w:pPr>
        <w:pStyle w:val="148"/>
        <w:snapToGrid w:val="0"/>
        <w:spacing w:before="0"/>
        <w:ind w:firstLine="480"/>
        <w:rPr>
          <w:rFonts w:hint="eastAsia" w:ascii="仿宋" w:hAnsi="仿宋" w:eastAsia="仿宋" w:cs="仿宋"/>
          <w:color w:val="auto"/>
          <w:sz w:val="21"/>
          <w:szCs w:val="16"/>
          <w:highlight w:val="none"/>
        </w:rPr>
      </w:pPr>
      <w:r>
        <w:rPr>
          <w:rFonts w:hint="eastAsia" w:ascii="仿宋" w:hAnsi="仿宋" w:eastAsia="仿宋" w:cs="仿宋"/>
          <w:color w:val="auto"/>
          <w:sz w:val="21"/>
          <w:szCs w:val="16"/>
          <w:highlight w:val="none"/>
        </w:rPr>
        <w:t>25.4中标供应商拒绝与采购人签订合同的，采购人可以按照评审报告推荐的中标或者成交候选人名单排序，确定下一候选人为中标供应商，也可以重新开展政府采购活动。</w:t>
      </w:r>
    </w:p>
    <w:p w14:paraId="6CB4CA6B">
      <w:pPr>
        <w:pStyle w:val="148"/>
        <w:snapToGrid w:val="0"/>
        <w:spacing w:before="0" w:after="120"/>
        <w:ind w:firstLine="480"/>
        <w:rPr>
          <w:rFonts w:hint="eastAsia" w:ascii="仿宋" w:hAnsi="仿宋" w:eastAsia="仿宋" w:cs="仿宋"/>
          <w:color w:val="auto"/>
          <w:sz w:val="21"/>
          <w:szCs w:val="16"/>
          <w:highlight w:val="none"/>
        </w:rPr>
      </w:pPr>
      <w:r>
        <w:rPr>
          <w:rFonts w:hint="eastAsia" w:ascii="仿宋" w:hAnsi="仿宋" w:eastAsia="仿宋" w:cs="仿宋"/>
          <w:color w:val="auto"/>
          <w:sz w:val="21"/>
          <w:szCs w:val="16"/>
          <w:highlight w:val="none"/>
        </w:rPr>
        <w:t>25.5采购合同由采购人与中标供应商根据招标文件、投标文件等内容通过政府采购电子交易平台在线签订，自动备案。</w:t>
      </w:r>
    </w:p>
    <w:p w14:paraId="4F24CE9C">
      <w:pPr>
        <w:pStyle w:val="31"/>
        <w:spacing w:line="360" w:lineRule="auto"/>
        <w:ind w:left="479" w:hanging="420" w:hangingChars="199"/>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26. 履约保证金</w:t>
      </w:r>
    </w:p>
    <w:p w14:paraId="4ACFC98F">
      <w:pPr>
        <w:keepNext w:val="0"/>
        <w:keepLines w:val="0"/>
        <w:pageBreakBefore w:val="0"/>
        <w:widowControl w:val="0"/>
        <w:tabs>
          <w:tab w:val="left" w:pos="0"/>
        </w:tabs>
        <w:kinsoku/>
        <w:wordWrap/>
        <w:overflowPunct/>
        <w:topLinePunct w:val="0"/>
        <w:autoSpaceDE/>
        <w:autoSpaceDN/>
        <w:bidi w:val="0"/>
        <w:snapToGrid/>
        <w:spacing w:line="360" w:lineRule="auto"/>
        <w:ind w:firstLine="482"/>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rPr>
        <w:t>拟签订的合同文本要求中标供应商提交履约保证金的，供应商应当以支票、汇票、本票或者金融机构、担保机构出具的保函等非现金形式提交</w:t>
      </w:r>
      <w:r>
        <w:rPr>
          <w:rFonts w:hint="eastAsia" w:ascii="仿宋" w:hAnsi="仿宋" w:eastAsia="仿宋" w:cs="仿宋"/>
          <w:color w:val="auto"/>
          <w:sz w:val="21"/>
          <w:szCs w:val="21"/>
          <w:highlight w:val="none"/>
        </w:rPr>
        <w:t>。履约保证金的数额不得超过政府采购合同金额的1%，鼓励根据项目特点、供应商诚信等因素免收履约保证金或降低缴纳比例。鼓励和支持供应商以银行、保险公司出具的保函形式提供履约保证金。采购人不得拒收履约保函，项目验收结束后应及时退还，延迟退还的，应当按照合同约定和法律规定承担相应的赔偿责任。</w:t>
      </w:r>
    </w:p>
    <w:p w14:paraId="738D49E1">
      <w:pPr>
        <w:keepNext w:val="0"/>
        <w:keepLines w:val="0"/>
        <w:pageBreakBefore w:val="0"/>
        <w:widowControl w:val="0"/>
        <w:tabs>
          <w:tab w:val="left" w:pos="432"/>
        </w:tabs>
        <w:kinsoku/>
        <w:wordWrap/>
        <w:overflowPunct/>
        <w:topLinePunct w:val="0"/>
        <w:autoSpaceDE/>
        <w:autoSpaceDN/>
        <w:bidi w:val="0"/>
        <w:snapToGrid/>
        <w:spacing w:line="360" w:lineRule="auto"/>
        <w:ind w:left="0" w:firstLine="420" w:firstLineChars="200"/>
        <w:textAlignment w:val="auto"/>
        <w:outlineLvl w:val="9"/>
        <w:rPr>
          <w:rFonts w:hint="eastAsia" w:ascii="仿宋" w:hAnsi="仿宋" w:eastAsia="仿宋" w:cs="仿宋"/>
          <w:b w:val="0"/>
          <w:bCs w:val="0"/>
          <w:snapToGrid w:val="0"/>
          <w:color w:val="auto"/>
          <w:kern w:val="28"/>
          <w:sz w:val="21"/>
          <w:szCs w:val="21"/>
          <w:highlight w:val="none"/>
        </w:rPr>
      </w:pPr>
      <w:r>
        <w:rPr>
          <w:rFonts w:hint="eastAsia" w:ascii="仿宋" w:hAnsi="仿宋" w:eastAsia="仿宋" w:cs="仿宋"/>
          <w:b w:val="0"/>
          <w:bCs w:val="0"/>
          <w:snapToGrid w:val="0"/>
          <w:color w:val="auto"/>
          <w:kern w:val="28"/>
          <w:sz w:val="21"/>
          <w:szCs w:val="21"/>
          <w:highlight w:val="none"/>
        </w:rPr>
        <w:t>供应商</w:t>
      </w:r>
      <w:r>
        <w:rPr>
          <w:rFonts w:hint="eastAsia" w:ascii="仿宋" w:hAnsi="仿宋" w:eastAsia="仿宋" w:cs="仿宋"/>
          <w:b w:val="0"/>
          <w:bCs w:val="0"/>
          <w:snapToGrid w:val="0"/>
          <w:color w:val="auto"/>
          <w:kern w:val="28"/>
          <w:sz w:val="21"/>
          <w:szCs w:val="21"/>
          <w:highlight w:val="none"/>
          <w:lang w:val="en-US"/>
        </w:rPr>
        <w:t>可</w:t>
      </w:r>
      <w:r>
        <w:rPr>
          <w:rFonts w:hint="eastAsia" w:ascii="仿宋" w:hAnsi="仿宋" w:eastAsia="仿宋" w:cs="仿宋"/>
          <w:b w:val="0"/>
          <w:bCs w:val="0"/>
          <w:snapToGrid w:val="0"/>
          <w:color w:val="auto"/>
          <w:kern w:val="28"/>
          <w:sz w:val="21"/>
          <w:szCs w:val="21"/>
          <w:highlight w:val="none"/>
        </w:rPr>
        <w:t>登录政采云平台-【金融服务】—【我的项目】—【已备案合同】以保函形式提供：1、供应商在合同列表选择需要投保的合同，点击[保函推荐]。2、在弹框里查看推荐的保函产品，供应商自行选择保函产品，点击[立即申请]。3、在弹框里填写保函申请信息。具体步骤：选择产品—填写供应商信息—选择中标项目—确认信息—等待保险/保函受理—确认保单—支付保费—成功出单。政采云金融专线</w:t>
      </w:r>
      <w:r>
        <w:rPr>
          <w:rFonts w:hint="eastAsia" w:ascii="仿宋" w:hAnsi="仿宋" w:eastAsia="仿宋" w:cs="仿宋"/>
          <w:b w:val="0"/>
          <w:bCs w:val="0"/>
          <w:snapToGrid w:val="0"/>
          <w:color w:val="auto"/>
          <w:kern w:val="28"/>
          <w:sz w:val="21"/>
          <w:szCs w:val="21"/>
          <w:highlight w:val="none"/>
          <w:lang w:val="en-US" w:eastAsia="zh-CN"/>
        </w:rPr>
        <w:t>95763</w:t>
      </w:r>
      <w:r>
        <w:rPr>
          <w:rFonts w:hint="eastAsia" w:ascii="仿宋" w:hAnsi="仿宋" w:eastAsia="仿宋" w:cs="仿宋"/>
          <w:b w:val="0"/>
          <w:bCs w:val="0"/>
          <w:snapToGrid w:val="0"/>
          <w:color w:val="auto"/>
          <w:kern w:val="28"/>
          <w:sz w:val="21"/>
          <w:szCs w:val="21"/>
          <w:highlight w:val="none"/>
        </w:rPr>
        <w:t>。</w:t>
      </w:r>
    </w:p>
    <w:p w14:paraId="3A98230A">
      <w:pPr>
        <w:keepNext w:val="0"/>
        <w:keepLines w:val="0"/>
        <w:pageBreakBefore w:val="0"/>
        <w:widowControl w:val="0"/>
        <w:tabs>
          <w:tab w:val="left" w:pos="432"/>
        </w:tabs>
        <w:kinsoku/>
        <w:wordWrap/>
        <w:overflowPunct/>
        <w:topLinePunct w:val="0"/>
        <w:autoSpaceDE/>
        <w:autoSpaceDN/>
        <w:bidi w:val="0"/>
        <w:snapToGrid/>
        <w:spacing w:line="360" w:lineRule="auto"/>
        <w:textAlignment w:val="auto"/>
        <w:outlineLvl w:val="9"/>
        <w:rPr>
          <w:rFonts w:hint="eastAsia" w:ascii="仿宋" w:hAnsi="仿宋" w:eastAsia="仿宋" w:cs="仿宋"/>
          <w:b/>
          <w:bCs/>
          <w:color w:val="auto"/>
          <w:sz w:val="18"/>
          <w:szCs w:val="21"/>
          <w:highlight w:val="none"/>
        </w:rPr>
      </w:pPr>
      <w:r>
        <w:rPr>
          <w:rFonts w:hint="eastAsia" w:ascii="仿宋" w:hAnsi="仿宋" w:eastAsia="仿宋" w:cs="仿宋"/>
          <w:b/>
          <w:bCs/>
          <w:color w:val="auto"/>
          <w:sz w:val="21"/>
          <w:szCs w:val="21"/>
          <w:highlight w:val="none"/>
          <w:lang w:val="en-US"/>
        </w:rPr>
        <w:t>27.预付款</w:t>
      </w:r>
    </w:p>
    <w:p w14:paraId="127DEE1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仿宋" w:hAnsi="仿宋" w:eastAsia="仿宋" w:cs="仿宋"/>
          <w:color w:val="auto"/>
          <w:sz w:val="18"/>
          <w:szCs w:val="21"/>
          <w:highlight w:val="none"/>
        </w:rPr>
      </w:pPr>
      <w:r>
        <w:rPr>
          <w:rFonts w:hint="eastAsia" w:ascii="仿宋" w:hAnsi="仿宋" w:eastAsia="仿宋" w:cs="仿宋"/>
          <w:color w:val="auto"/>
          <w:sz w:val="21"/>
          <w:szCs w:val="21"/>
          <w:highlight w:val="none"/>
        </w:rPr>
        <w:t>采购单位应当在政府采购合同中约定预付款，对中小企业合同预付款比例原则上不低于合同金额的40％，不高于合同金额的70%；项目分年安排预算的，每年预付款比例不低于项目年度计划支付资金额的40％，不高于合同金额的70%；采购项目实施以人工投入为主的，可适当降低预付款比例，但不得低于20%。对供应商为大型企业的项目或者以人工投入为主且实行按月定期结算支付款项的项目，预付款可低于上述比例或者不约定预付款。在签订合同时，供应商明确表示无需预付款或者主动要求降低预付款比例的，采购单位可不适用前述规定。采购单位根据项目特点、供应商诚信等因素，可以要求供应商提交银行、保险公司等金融机构出具的预付款保函或其他担保措施。政府采购预付款应在合同生效以及具备实施条件后5个工作日内支付。政府采购工程以及与工程建设有关的货物、服务，采用招标方式采购的，预付款从其相关规定。供应商可登录政采云前台大厅选择金融服务 - 【保函保险服务】出具预付款保函，具体步骤：选择产品—填写供应商信息—选择中标项目—确认信息—等待保险/保函受理—确认保单—支付保费—成功出单。政采云金融专线</w:t>
      </w:r>
      <w:r>
        <w:rPr>
          <w:rFonts w:hint="eastAsia" w:ascii="仿宋" w:hAnsi="仿宋" w:eastAsia="仿宋" w:cs="仿宋"/>
          <w:b w:val="0"/>
          <w:bCs w:val="0"/>
          <w:snapToGrid w:val="0"/>
          <w:color w:val="auto"/>
          <w:kern w:val="28"/>
          <w:sz w:val="21"/>
          <w:szCs w:val="21"/>
          <w:highlight w:val="none"/>
          <w:lang w:val="en-US" w:eastAsia="zh-CN"/>
        </w:rPr>
        <w:t>95763</w:t>
      </w:r>
      <w:r>
        <w:rPr>
          <w:rFonts w:hint="eastAsia" w:ascii="仿宋" w:hAnsi="仿宋" w:eastAsia="仿宋" w:cs="仿宋"/>
          <w:color w:val="auto"/>
          <w:sz w:val="21"/>
          <w:szCs w:val="21"/>
          <w:highlight w:val="none"/>
        </w:rPr>
        <w:t>。</w:t>
      </w:r>
    </w:p>
    <w:p w14:paraId="29C92FB6">
      <w:pPr>
        <w:snapToGrid w:val="0"/>
        <w:spacing w:line="360" w:lineRule="auto"/>
        <w:ind w:firstLine="2518" w:firstLineChars="1045"/>
        <w:rPr>
          <w:rFonts w:hint="eastAsia" w:ascii="仿宋" w:hAnsi="仿宋" w:eastAsia="仿宋" w:cs="仿宋"/>
          <w:b/>
          <w:color w:val="auto"/>
          <w:sz w:val="24"/>
          <w:szCs w:val="21"/>
          <w:highlight w:val="none"/>
        </w:rPr>
      </w:pPr>
    </w:p>
    <w:p w14:paraId="44DEA163">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outlineLvl w:val="0"/>
        <w:rPr>
          <w:rFonts w:hint="eastAsia" w:ascii="仿宋" w:hAnsi="仿宋" w:eastAsia="仿宋" w:cs="仿宋"/>
          <w:b/>
          <w:color w:val="auto"/>
          <w:sz w:val="32"/>
          <w:szCs w:val="20"/>
          <w:highlight w:val="none"/>
        </w:rPr>
      </w:pPr>
      <w:r>
        <w:rPr>
          <w:rFonts w:hint="eastAsia" w:ascii="仿宋" w:hAnsi="仿宋" w:eastAsia="仿宋" w:cs="仿宋"/>
          <w:b/>
          <w:color w:val="auto"/>
          <w:sz w:val="32"/>
          <w:szCs w:val="20"/>
          <w:highlight w:val="none"/>
        </w:rPr>
        <w:t>八、电子交易活动的中止</w:t>
      </w:r>
    </w:p>
    <w:p w14:paraId="3533850D">
      <w:pPr>
        <w:pStyle w:val="148"/>
        <w:snapToGrid w:val="0"/>
        <w:spacing w:before="0"/>
        <w:ind w:firstLine="0" w:firstLineChars="0"/>
        <w:rPr>
          <w:rFonts w:hint="eastAsia" w:ascii="仿宋" w:hAnsi="仿宋" w:eastAsia="仿宋" w:cs="仿宋"/>
          <w:color w:val="auto"/>
          <w:sz w:val="21"/>
          <w:szCs w:val="16"/>
          <w:highlight w:val="none"/>
        </w:rPr>
      </w:pPr>
      <w:r>
        <w:rPr>
          <w:rFonts w:hint="eastAsia" w:ascii="仿宋" w:hAnsi="仿宋" w:eastAsia="仿宋" w:cs="仿宋"/>
          <w:b/>
          <w:bCs/>
          <w:color w:val="auto"/>
          <w:sz w:val="21"/>
          <w:szCs w:val="16"/>
          <w:highlight w:val="none"/>
        </w:rPr>
        <w:t>2</w:t>
      </w:r>
      <w:r>
        <w:rPr>
          <w:rFonts w:hint="eastAsia" w:ascii="仿宋" w:hAnsi="仿宋" w:eastAsia="仿宋" w:cs="仿宋"/>
          <w:b/>
          <w:bCs/>
          <w:color w:val="auto"/>
          <w:sz w:val="21"/>
          <w:szCs w:val="21"/>
          <w:highlight w:val="none"/>
        </w:rPr>
        <w:t>8</w:t>
      </w:r>
      <w:r>
        <w:rPr>
          <w:rFonts w:hint="eastAsia" w:ascii="仿宋" w:hAnsi="仿宋" w:eastAsia="仿宋" w:cs="仿宋"/>
          <w:b/>
          <w:color w:val="auto"/>
          <w:sz w:val="21"/>
          <w:szCs w:val="21"/>
          <w:highlight w:val="none"/>
        </w:rPr>
        <w:t>. 电子交易活动的中止。</w:t>
      </w:r>
      <w:r>
        <w:rPr>
          <w:rFonts w:hint="eastAsia" w:ascii="仿宋" w:hAnsi="仿宋" w:eastAsia="仿宋" w:cs="仿宋"/>
          <w:color w:val="auto"/>
          <w:sz w:val="21"/>
          <w:szCs w:val="16"/>
          <w:highlight w:val="none"/>
        </w:rPr>
        <w:t>采购过程中出现以下情形，导致电子交易平台无法正常运行，或者无法保证电子交易的公平、公正和安全时，采购代理机构可中止电子交易活动：</w:t>
      </w:r>
    </w:p>
    <w:p w14:paraId="783CC8C4">
      <w:pPr>
        <w:pStyle w:val="148"/>
        <w:snapToGrid w:val="0"/>
        <w:spacing w:before="0"/>
        <w:ind w:firstLine="480"/>
        <w:rPr>
          <w:rFonts w:hint="eastAsia" w:ascii="仿宋" w:hAnsi="仿宋" w:eastAsia="仿宋" w:cs="仿宋"/>
          <w:color w:val="auto"/>
          <w:sz w:val="21"/>
          <w:szCs w:val="16"/>
          <w:highlight w:val="none"/>
        </w:rPr>
      </w:pPr>
      <w:r>
        <w:rPr>
          <w:rFonts w:hint="eastAsia" w:ascii="仿宋" w:hAnsi="仿宋" w:eastAsia="仿宋" w:cs="仿宋"/>
          <w:color w:val="auto"/>
          <w:sz w:val="21"/>
          <w:szCs w:val="16"/>
          <w:highlight w:val="none"/>
        </w:rPr>
        <w:t xml:space="preserve">28.1电子交易平台发生故障而无法登录访问的； </w:t>
      </w:r>
    </w:p>
    <w:p w14:paraId="446A61E0">
      <w:pPr>
        <w:pStyle w:val="148"/>
        <w:snapToGrid w:val="0"/>
        <w:spacing w:before="0"/>
        <w:ind w:firstLine="480"/>
        <w:rPr>
          <w:rFonts w:hint="eastAsia" w:ascii="仿宋" w:hAnsi="仿宋" w:eastAsia="仿宋" w:cs="仿宋"/>
          <w:color w:val="auto"/>
          <w:sz w:val="21"/>
          <w:szCs w:val="16"/>
          <w:highlight w:val="none"/>
        </w:rPr>
      </w:pPr>
      <w:r>
        <w:rPr>
          <w:rFonts w:hint="eastAsia" w:ascii="仿宋" w:hAnsi="仿宋" w:eastAsia="仿宋" w:cs="仿宋"/>
          <w:color w:val="auto"/>
          <w:sz w:val="21"/>
          <w:szCs w:val="16"/>
          <w:highlight w:val="none"/>
        </w:rPr>
        <w:t>28.2电子交易平台应用或数据库出现错误，不能进行正常操作的；</w:t>
      </w:r>
    </w:p>
    <w:p w14:paraId="6A5FEDB3">
      <w:pPr>
        <w:pStyle w:val="148"/>
        <w:snapToGrid w:val="0"/>
        <w:spacing w:before="0"/>
        <w:ind w:firstLine="480"/>
        <w:rPr>
          <w:rFonts w:hint="eastAsia" w:ascii="仿宋" w:hAnsi="仿宋" w:eastAsia="仿宋" w:cs="仿宋"/>
          <w:color w:val="auto"/>
          <w:sz w:val="21"/>
          <w:szCs w:val="16"/>
          <w:highlight w:val="none"/>
        </w:rPr>
      </w:pPr>
      <w:r>
        <w:rPr>
          <w:rFonts w:hint="eastAsia" w:ascii="仿宋" w:hAnsi="仿宋" w:eastAsia="仿宋" w:cs="仿宋"/>
          <w:color w:val="auto"/>
          <w:sz w:val="21"/>
          <w:szCs w:val="16"/>
          <w:highlight w:val="none"/>
        </w:rPr>
        <w:t>28.3电子交易平台发现严重安全漏洞，有潜在泄密危险的；</w:t>
      </w:r>
    </w:p>
    <w:p w14:paraId="6793F514">
      <w:pPr>
        <w:pStyle w:val="148"/>
        <w:snapToGrid w:val="0"/>
        <w:spacing w:before="0"/>
        <w:ind w:firstLine="480"/>
        <w:rPr>
          <w:rFonts w:hint="eastAsia" w:ascii="仿宋" w:hAnsi="仿宋" w:eastAsia="仿宋" w:cs="仿宋"/>
          <w:color w:val="auto"/>
          <w:sz w:val="21"/>
          <w:szCs w:val="16"/>
          <w:highlight w:val="none"/>
        </w:rPr>
      </w:pPr>
      <w:r>
        <w:rPr>
          <w:rFonts w:hint="eastAsia" w:ascii="仿宋" w:hAnsi="仿宋" w:eastAsia="仿宋" w:cs="仿宋"/>
          <w:color w:val="auto"/>
          <w:sz w:val="21"/>
          <w:szCs w:val="16"/>
          <w:highlight w:val="none"/>
        </w:rPr>
        <w:t xml:space="preserve">28.4病毒发作导致不能进行正常操作的； </w:t>
      </w:r>
    </w:p>
    <w:p w14:paraId="7A7EAEF3">
      <w:pPr>
        <w:pStyle w:val="148"/>
        <w:snapToGrid w:val="0"/>
        <w:spacing w:before="0"/>
        <w:ind w:firstLine="480"/>
        <w:rPr>
          <w:rFonts w:hint="eastAsia" w:ascii="仿宋" w:hAnsi="仿宋" w:eastAsia="仿宋" w:cs="仿宋"/>
          <w:color w:val="auto"/>
          <w:sz w:val="21"/>
          <w:szCs w:val="16"/>
          <w:highlight w:val="none"/>
        </w:rPr>
      </w:pPr>
      <w:r>
        <w:rPr>
          <w:rFonts w:hint="eastAsia" w:ascii="仿宋" w:hAnsi="仿宋" w:eastAsia="仿宋" w:cs="仿宋"/>
          <w:color w:val="auto"/>
          <w:sz w:val="21"/>
          <w:szCs w:val="16"/>
          <w:highlight w:val="none"/>
        </w:rPr>
        <w:t>28.5其他无法保证电子交易的公平、公正和安全的情况。</w:t>
      </w:r>
    </w:p>
    <w:p w14:paraId="3498459F">
      <w:pPr>
        <w:pStyle w:val="148"/>
        <w:snapToGrid w:val="0"/>
        <w:spacing w:before="0"/>
        <w:ind w:firstLine="0" w:firstLineChars="0"/>
        <w:rPr>
          <w:rFonts w:hint="eastAsia" w:ascii="仿宋" w:hAnsi="仿宋" w:eastAsia="仿宋" w:cs="仿宋"/>
          <w:color w:val="auto"/>
          <w:sz w:val="21"/>
          <w:szCs w:val="16"/>
          <w:highlight w:val="none"/>
        </w:rPr>
      </w:pPr>
      <w:r>
        <w:rPr>
          <w:rFonts w:hint="eastAsia" w:ascii="仿宋" w:hAnsi="仿宋" w:eastAsia="仿宋" w:cs="仿宋"/>
          <w:color w:val="auto"/>
          <w:sz w:val="21"/>
          <w:szCs w:val="16"/>
          <w:highlight w:val="none"/>
        </w:rPr>
        <w:t xml:space="preserve"> 29.出现以上情形，不影响采购公平、公正性的，采购组织机构可以待上述情形消除后继续组织电子交易活动，也可以决定某些环节以纸质形式进行；影响或可能影响采购公平、公正性的，应当重新采购。</w:t>
      </w:r>
    </w:p>
    <w:p w14:paraId="37D328EE">
      <w:pPr>
        <w:tabs>
          <w:tab w:val="left" w:pos="0"/>
        </w:tabs>
        <w:spacing w:line="360" w:lineRule="auto"/>
        <w:ind w:firstLine="480"/>
        <w:rPr>
          <w:rFonts w:hint="eastAsia" w:ascii="仿宋" w:hAnsi="仿宋" w:eastAsia="仿宋" w:cs="仿宋"/>
          <w:color w:val="auto"/>
          <w:sz w:val="21"/>
          <w:szCs w:val="21"/>
          <w:highlight w:val="none"/>
        </w:rPr>
      </w:pPr>
    </w:p>
    <w:p w14:paraId="76C6F872">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outlineLvl w:val="0"/>
        <w:rPr>
          <w:rFonts w:hint="eastAsia" w:ascii="仿宋" w:hAnsi="仿宋" w:eastAsia="仿宋" w:cs="仿宋"/>
          <w:b/>
          <w:color w:val="auto"/>
          <w:sz w:val="32"/>
          <w:szCs w:val="20"/>
          <w:highlight w:val="none"/>
        </w:rPr>
      </w:pPr>
      <w:r>
        <w:rPr>
          <w:rFonts w:hint="eastAsia" w:ascii="仿宋" w:hAnsi="仿宋" w:eastAsia="仿宋" w:cs="仿宋"/>
          <w:b/>
          <w:color w:val="auto"/>
          <w:sz w:val="32"/>
          <w:szCs w:val="20"/>
          <w:highlight w:val="none"/>
        </w:rPr>
        <w:t>九、验收</w:t>
      </w:r>
    </w:p>
    <w:p w14:paraId="083C2C0E">
      <w:pPr>
        <w:pStyle w:val="31"/>
        <w:spacing w:line="360" w:lineRule="auto"/>
        <w:ind w:firstLine="0" w:firstLineChars="0"/>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30.验收</w:t>
      </w:r>
    </w:p>
    <w:p w14:paraId="3F65B035">
      <w:pPr>
        <w:tabs>
          <w:tab w:val="left" w:pos="0"/>
        </w:tabs>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30.1采购人应当根据采购项目的具体情况，自行组织项目验收或者委托采购代理机构验收。大型或者复杂的政府采购项目，应当邀请国家认可的质量检测机构参加验收工作。验收方成员应当在验收书上签字，并承担相应的法律责任。如果发现与合同中要求不符，供应商须承担由此发生的一切损失和费用，并接受相应的处理。</w:t>
      </w:r>
    </w:p>
    <w:p w14:paraId="7778A759">
      <w:pPr>
        <w:tabs>
          <w:tab w:val="left" w:pos="0"/>
        </w:tabs>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30.2采购人可以邀请参加本项目的其他投标人或者第三方机构参与验收。参与验收的投标人或者第三方机构的意见作为验收书的参考资料一并存档。</w:t>
      </w:r>
    </w:p>
    <w:p w14:paraId="417255FB">
      <w:pPr>
        <w:tabs>
          <w:tab w:val="left" w:pos="0"/>
        </w:tabs>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30.3严格按照采购合同开展履约验收。采购人成立验收小组</w:t>
      </w:r>
      <w:bookmarkStart w:id="16" w:name="_Hlk161318233"/>
      <w:r>
        <w:rPr>
          <w:rFonts w:hint="eastAsia" w:ascii="仿宋" w:hAnsi="仿宋" w:eastAsia="仿宋" w:cs="仿宋"/>
          <w:color w:val="auto"/>
          <w:sz w:val="21"/>
          <w:szCs w:val="21"/>
          <w:highlight w:val="none"/>
        </w:rPr>
        <w:t>（验收小组由5人组成：其中采购人1名，专家4名（由</w:t>
      </w:r>
      <w:r>
        <w:rPr>
          <w:rFonts w:hint="eastAsia" w:ascii="仿宋" w:hAnsi="仿宋" w:eastAsia="仿宋" w:cs="仿宋"/>
          <w:color w:val="auto"/>
          <w:sz w:val="21"/>
          <w:szCs w:val="21"/>
          <w:highlight w:val="none"/>
          <w:lang w:val="en-US" w:eastAsia="zh-CN"/>
        </w:rPr>
        <w:t>第三方机构</w:t>
      </w:r>
      <w:r>
        <w:rPr>
          <w:rFonts w:hint="eastAsia" w:ascii="仿宋" w:hAnsi="仿宋" w:eastAsia="仿宋" w:cs="仿宋"/>
          <w:color w:val="auto"/>
          <w:sz w:val="21"/>
          <w:szCs w:val="21"/>
          <w:highlight w:val="none"/>
        </w:rPr>
        <w:t>从乐采云平台专家库中随机抽取产生</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w:t>
      </w:r>
      <w:bookmarkEnd w:id="16"/>
      <w:r>
        <w:rPr>
          <w:rFonts w:hint="eastAsia" w:ascii="仿宋" w:hAnsi="仿宋" w:eastAsia="仿宋" w:cs="仿宋"/>
          <w:color w:val="auto"/>
          <w:kern w:val="0"/>
          <w:sz w:val="21"/>
          <w:szCs w:val="21"/>
          <w:highlight w:val="none"/>
        </w:rPr>
        <w:t>，按照采购合同的约定对供应商履约情况进行验收。验收时，按照采购合同的约定对每一项技术、服务、安全标准的履约情况进行确认。验收结束后，应当出具验收书，列明各项标准的验收情况及项目总体评价，由验收双方共同签署。验收结果与采购合同约定的资金支付及履约保证金返还条件挂钩。履约验收的各项资料应当存档备查。</w:t>
      </w:r>
    </w:p>
    <w:p w14:paraId="415169FB">
      <w:pPr>
        <w:tabs>
          <w:tab w:val="left" w:pos="0"/>
        </w:tabs>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30.4验收合格的项目，采购人将根据采购合同的约定及时向供应商支付采购资金、</w:t>
      </w:r>
      <w:r>
        <w:rPr>
          <w:rFonts w:hint="eastAsia" w:ascii="仿宋" w:hAnsi="仿宋" w:eastAsia="仿宋" w:cs="仿宋"/>
          <w:color w:val="auto"/>
          <w:kern w:val="0"/>
          <w:sz w:val="21"/>
          <w:szCs w:val="21"/>
          <w:highlight w:val="none"/>
          <w:lang w:val="en-US" w:eastAsia="zh-CN"/>
        </w:rPr>
        <w:t>无息</w:t>
      </w:r>
      <w:r>
        <w:rPr>
          <w:rFonts w:hint="eastAsia" w:ascii="仿宋" w:hAnsi="仿宋" w:eastAsia="仿宋" w:cs="仿宋"/>
          <w:color w:val="auto"/>
          <w:kern w:val="0"/>
          <w:sz w:val="21"/>
          <w:szCs w:val="21"/>
          <w:highlight w:val="none"/>
        </w:rPr>
        <w:t>退还履约保证金。验收不合格的项目，采购人将依法及时处理。采购合同的履行、违约责任和解决争议的方式等适用《中华人民共和国民法典》。供应商在履约过程中有政府采购法律法规规定的违法违规情形的，采购人应当及时报告本级财政部门。</w:t>
      </w:r>
    </w:p>
    <w:p w14:paraId="6CDEA8FD">
      <w:pPr>
        <w:tabs>
          <w:tab w:val="left" w:pos="0"/>
        </w:tabs>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30.5 对于满足合同约定的采购资金支付条件的，供应商可通过政采云平台提起在线支付申请、查询支付结果，路径为政采云-我的工作台-合同管理-支付管理。对于供应商提起在线支付申请的，采购人应当按规定做好审核并完成支付。</w:t>
      </w:r>
    </w:p>
    <w:p w14:paraId="15F568A6">
      <w:pPr>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7AC73811">
      <w:pPr>
        <w:rPr>
          <w:rFonts w:hint="eastAsia" w:ascii="仿宋" w:hAnsi="仿宋" w:eastAsia="仿宋" w:cs="仿宋"/>
          <w:color w:val="auto"/>
          <w:highlight w:val="none"/>
        </w:rPr>
      </w:pPr>
    </w:p>
    <w:bookmarkEnd w:id="12"/>
    <w:bookmarkEnd w:id="13"/>
    <w:bookmarkEnd w:id="14"/>
    <w:p w14:paraId="1E3A3B78">
      <w:pPr>
        <w:spacing w:line="360" w:lineRule="auto"/>
        <w:jc w:val="center"/>
        <w:outlineLvl w:val="0"/>
        <w:rPr>
          <w:rFonts w:hint="eastAsia" w:ascii="仿宋" w:hAnsi="仿宋" w:eastAsia="仿宋" w:cs="仿宋"/>
          <w:b/>
          <w:color w:val="auto"/>
          <w:sz w:val="36"/>
          <w:szCs w:val="36"/>
          <w:highlight w:val="none"/>
        </w:rPr>
      </w:pPr>
      <w:bookmarkStart w:id="17" w:name="_Hlt68403820"/>
      <w:bookmarkEnd w:id="17"/>
      <w:bookmarkStart w:id="18" w:name="_Hlt74729768"/>
      <w:bookmarkEnd w:id="18"/>
      <w:bookmarkStart w:id="19" w:name="_Hlt74714665"/>
      <w:bookmarkEnd w:id="19"/>
      <w:bookmarkStart w:id="20" w:name="_Hlt68072998"/>
      <w:bookmarkEnd w:id="20"/>
      <w:bookmarkStart w:id="21" w:name="_Hlt75236011"/>
      <w:bookmarkEnd w:id="21"/>
      <w:bookmarkStart w:id="22" w:name="_Hlt74730295"/>
      <w:bookmarkEnd w:id="22"/>
      <w:bookmarkStart w:id="23" w:name="_Hlt68057669"/>
      <w:bookmarkEnd w:id="23"/>
      <w:bookmarkStart w:id="24" w:name="_Hlt75236290"/>
      <w:bookmarkEnd w:id="24"/>
      <w:bookmarkStart w:id="25" w:name="_Hlt68073093"/>
      <w:bookmarkEnd w:id="25"/>
      <w:bookmarkStart w:id="26" w:name="_Hlt68072990"/>
      <w:bookmarkEnd w:id="26"/>
      <w:bookmarkStart w:id="27" w:name="_Hlt75236101"/>
      <w:bookmarkEnd w:id="27"/>
      <w:bookmarkStart w:id="28" w:name="_Hlt74707468"/>
      <w:bookmarkEnd w:id="28"/>
      <w:bookmarkStart w:id="29" w:name="第四部分"/>
      <w:r>
        <w:rPr>
          <w:rFonts w:hint="eastAsia" w:ascii="仿宋" w:hAnsi="仿宋" w:eastAsia="仿宋" w:cs="仿宋"/>
          <w:b/>
          <w:color w:val="auto"/>
          <w:sz w:val="36"/>
          <w:szCs w:val="36"/>
          <w:highlight w:val="none"/>
        </w:rPr>
        <w:t>第三部分   采购需求</w:t>
      </w:r>
    </w:p>
    <w:p w14:paraId="5CFE43A1">
      <w:pPr>
        <w:keepNext w:val="0"/>
        <w:keepLines w:val="0"/>
        <w:pageBreakBefore w:val="0"/>
        <w:widowControl w:val="0"/>
        <w:kinsoku/>
        <w:wordWrap/>
        <w:overflowPunct/>
        <w:topLinePunct w:val="0"/>
        <w:autoSpaceDE/>
        <w:autoSpaceDN/>
        <w:bidi w:val="0"/>
        <w:adjustRightInd w:val="0"/>
        <w:snapToGrid/>
        <w:spacing w:line="360" w:lineRule="auto"/>
        <w:jc w:val="left"/>
        <w:textAlignment w:val="auto"/>
        <w:outlineLvl w:val="1"/>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（一）项目概况</w:t>
      </w:r>
    </w:p>
    <w:p w14:paraId="6AAEA950">
      <w:pPr>
        <w:keepNext w:val="0"/>
        <w:keepLines w:val="0"/>
        <w:pageBreakBefore w:val="0"/>
        <w:widowControl w:val="0"/>
        <w:kinsoku/>
        <w:wordWrap/>
        <w:overflowPunct/>
        <w:topLinePunct w:val="0"/>
        <w:autoSpaceDE/>
        <w:autoSpaceDN/>
        <w:bidi w:val="0"/>
        <w:adjustRightInd w:val="0"/>
        <w:snapToGrid/>
        <w:spacing w:line="360" w:lineRule="auto"/>
        <w:ind w:firstLine="420" w:firstLineChars="200"/>
        <w:jc w:val="left"/>
        <w:textAlignment w:val="auto"/>
        <w:rPr>
          <w:rFonts w:ascii="仿宋" w:hAnsi="仿宋" w:eastAsia="仿宋"/>
          <w:color w:val="auto"/>
          <w:kern w:val="0"/>
          <w:szCs w:val="21"/>
          <w:highlight w:val="none"/>
          <w:u w:val="single"/>
        </w:rPr>
      </w:pPr>
      <w:r>
        <w:rPr>
          <w:rFonts w:hint="eastAsia" w:ascii="仿宋" w:hAnsi="仿宋" w:eastAsia="仿宋" w:cs="仿宋"/>
          <w:b w:val="0"/>
          <w:bCs/>
          <w:color w:val="auto"/>
          <w:sz w:val="21"/>
          <w:szCs w:val="21"/>
          <w:highlight w:val="none"/>
          <w:u w:val="single"/>
          <w:lang w:val="en-US" w:eastAsia="zh-CN"/>
        </w:rPr>
        <w:t>服务内容包括</w:t>
      </w:r>
      <w:r>
        <w:rPr>
          <w:rFonts w:hint="eastAsia" w:ascii="仿宋" w:hAnsi="仿宋" w:eastAsia="仿宋"/>
          <w:color w:val="auto"/>
          <w:kern w:val="0"/>
          <w:szCs w:val="21"/>
          <w:highlight w:val="none"/>
          <w:u w:val="single"/>
        </w:rPr>
        <w:t>（一）案件侦查打击服务；（二）大数据智能查控服务；（三）资金智能查控服务；（四）涉网诈骗预感探测数据服务；（五）涉网新型案件行为分析服务；（六）新型涉网案件智勘联侦分析系统服务</w:t>
      </w:r>
      <w:r>
        <w:rPr>
          <w:rFonts w:hint="eastAsia" w:ascii="仿宋" w:hAnsi="仿宋" w:eastAsia="仿宋"/>
          <w:color w:val="auto"/>
          <w:kern w:val="0"/>
          <w:szCs w:val="21"/>
          <w:highlight w:val="none"/>
          <w:u w:val="single"/>
        </w:rPr>
        <w:t>。</w:t>
      </w:r>
    </w:p>
    <w:p w14:paraId="40CF22F8">
      <w:pPr>
        <w:keepNext w:val="0"/>
        <w:keepLines w:val="0"/>
        <w:pageBreakBefore w:val="0"/>
        <w:widowControl w:val="0"/>
        <w:kinsoku/>
        <w:wordWrap/>
        <w:overflowPunct/>
        <w:topLinePunct w:val="0"/>
        <w:autoSpaceDE/>
        <w:autoSpaceDN/>
        <w:bidi w:val="0"/>
        <w:adjustRightInd w:val="0"/>
        <w:snapToGrid/>
        <w:spacing w:line="360" w:lineRule="auto"/>
        <w:jc w:val="left"/>
        <w:textAlignment w:val="auto"/>
        <w:rPr>
          <w:rFonts w:hint="eastAsia" w:ascii="仿宋" w:hAnsi="仿宋" w:eastAsia="仿宋" w:cs="仿宋_GB2312"/>
          <w:b/>
          <w:color w:val="auto"/>
          <w:szCs w:val="21"/>
          <w:highlight w:val="none"/>
        </w:rPr>
      </w:pPr>
      <w:r>
        <w:rPr>
          <w:rFonts w:hint="eastAsia" w:ascii="仿宋" w:hAnsi="仿宋" w:eastAsia="仿宋" w:cs="仿宋_GB2312"/>
          <w:b/>
          <w:color w:val="auto"/>
          <w:szCs w:val="21"/>
          <w:highlight w:val="none"/>
        </w:rPr>
        <w:t>（二）预算金额：</w:t>
      </w:r>
      <w:r>
        <w:rPr>
          <w:rFonts w:hint="eastAsia" w:ascii="仿宋" w:hAnsi="仿宋" w:eastAsia="仿宋" w:cs="仿宋_GB2312"/>
          <w:b/>
          <w:color w:val="auto"/>
          <w:szCs w:val="21"/>
          <w:highlight w:val="none"/>
          <w:u w:val="single"/>
        </w:rPr>
        <w:t xml:space="preserve"> </w:t>
      </w:r>
      <w:r>
        <w:rPr>
          <w:rFonts w:hint="eastAsia" w:ascii="仿宋" w:hAnsi="仿宋" w:eastAsia="仿宋" w:cs="仿宋_GB2312"/>
          <w:b/>
          <w:color w:val="auto"/>
          <w:szCs w:val="21"/>
          <w:highlight w:val="none"/>
          <w:u w:val="single"/>
          <w:lang w:val="en-US" w:eastAsia="zh-CN"/>
        </w:rPr>
        <w:t>442.01</w:t>
      </w:r>
      <w:r>
        <w:rPr>
          <w:rFonts w:hint="eastAsia" w:ascii="仿宋" w:hAnsi="仿宋" w:eastAsia="仿宋" w:cs="仿宋_GB2312"/>
          <w:b/>
          <w:color w:val="auto"/>
          <w:szCs w:val="21"/>
          <w:highlight w:val="none"/>
          <w:u w:val="single"/>
        </w:rPr>
        <w:t>万元（</w:t>
      </w:r>
      <w:r>
        <w:rPr>
          <w:rFonts w:hint="eastAsia" w:ascii="仿宋" w:hAnsi="仿宋" w:eastAsia="仿宋" w:cs="仿宋_GB2312"/>
          <w:b/>
          <w:color w:val="auto"/>
          <w:szCs w:val="21"/>
          <w:highlight w:val="none"/>
          <w:u w:val="single"/>
          <w:lang w:eastAsia="zh-CN"/>
        </w:rPr>
        <w:t>其中</w:t>
      </w:r>
      <w:r>
        <w:rPr>
          <w:rFonts w:hint="eastAsia" w:ascii="仿宋" w:hAnsi="仿宋" w:eastAsia="仿宋" w:cs="仿宋_GB2312"/>
          <w:b/>
          <w:color w:val="auto"/>
          <w:szCs w:val="21"/>
          <w:highlight w:val="none"/>
          <w:u w:val="single"/>
        </w:rPr>
        <w:t>2025年安排147.34万元）</w:t>
      </w:r>
    </w:p>
    <w:p w14:paraId="389E0A94">
      <w:pPr>
        <w:keepNext w:val="0"/>
        <w:keepLines w:val="0"/>
        <w:pageBreakBefore w:val="0"/>
        <w:widowControl w:val="0"/>
        <w:kinsoku/>
        <w:wordWrap/>
        <w:overflowPunct/>
        <w:topLinePunct w:val="0"/>
        <w:autoSpaceDE/>
        <w:autoSpaceDN/>
        <w:bidi w:val="0"/>
        <w:adjustRightInd w:val="0"/>
        <w:snapToGrid/>
        <w:spacing w:line="360" w:lineRule="auto"/>
        <w:jc w:val="left"/>
        <w:textAlignment w:val="auto"/>
        <w:rPr>
          <w:rFonts w:ascii="仿宋" w:hAnsi="仿宋" w:eastAsia="仿宋" w:cs="仿宋_GB2312"/>
          <w:b/>
          <w:color w:val="auto"/>
          <w:szCs w:val="21"/>
          <w:highlight w:val="none"/>
        </w:rPr>
      </w:pPr>
      <w:r>
        <w:rPr>
          <w:rFonts w:hint="eastAsia" w:ascii="仿宋" w:hAnsi="仿宋" w:eastAsia="仿宋" w:cs="仿宋_GB2312"/>
          <w:b/>
          <w:color w:val="auto"/>
          <w:szCs w:val="21"/>
          <w:highlight w:val="none"/>
        </w:rPr>
        <w:t>（三）需满足的政府采购政策目标和具体支持对象</w:t>
      </w:r>
    </w:p>
    <w:p w14:paraId="7D5E654F">
      <w:pPr>
        <w:keepNext w:val="0"/>
        <w:keepLines w:val="0"/>
        <w:pageBreakBefore w:val="0"/>
        <w:widowControl w:val="0"/>
        <w:kinsoku/>
        <w:wordWrap/>
        <w:overflowPunct/>
        <w:topLinePunct w:val="0"/>
        <w:autoSpaceDE/>
        <w:autoSpaceDN/>
        <w:bidi w:val="0"/>
        <w:adjustRightInd w:val="0"/>
        <w:snapToGrid/>
        <w:spacing w:line="360" w:lineRule="auto"/>
        <w:ind w:firstLine="420"/>
        <w:jc w:val="left"/>
        <w:textAlignment w:val="auto"/>
        <w:rPr>
          <w:rFonts w:ascii="仿宋" w:hAnsi="仿宋" w:eastAsia="仿宋" w:cs="仿宋_GB2312"/>
          <w:color w:val="auto"/>
          <w:szCs w:val="21"/>
          <w:highlight w:val="none"/>
        </w:rPr>
      </w:pPr>
      <w:r>
        <w:rPr>
          <w:rFonts w:hint="eastAsia" w:ascii="仿宋" w:hAnsi="仿宋" w:eastAsia="仿宋" w:cs="仿宋_GB2312"/>
          <w:color w:val="auto"/>
          <w:szCs w:val="21"/>
          <w:highlight w:val="none"/>
        </w:rPr>
        <w:t>□扶持中小企业</w:t>
      </w:r>
      <w:r>
        <w:rPr>
          <w:rFonts w:ascii="仿宋" w:hAnsi="仿宋" w:eastAsia="仿宋" w:cs="仿宋_GB2312"/>
          <w:color w:val="auto"/>
          <w:szCs w:val="21"/>
          <w:highlight w:val="none"/>
        </w:rPr>
        <w:t xml:space="preserve"> □节能环保  </w:t>
      </w:r>
      <w:r>
        <w:rPr>
          <w:rFonts w:ascii="Segoe UI Symbol" w:hAnsi="Segoe UI Symbol" w:eastAsia="仿宋" w:cs="Segoe UI Symbol"/>
          <w:color w:val="auto"/>
          <w:szCs w:val="21"/>
          <w:highlight w:val="none"/>
        </w:rPr>
        <w:t>☑</w:t>
      </w:r>
      <w:r>
        <w:rPr>
          <w:rFonts w:hint="eastAsia" w:ascii="仿宋" w:hAnsi="仿宋" w:eastAsia="仿宋" w:cs="仿宋_GB2312"/>
          <w:color w:val="auto"/>
          <w:szCs w:val="21"/>
          <w:highlight w:val="none"/>
        </w:rPr>
        <w:t>其他</w:t>
      </w:r>
      <w:r>
        <w:rPr>
          <w:rFonts w:hint="eastAsia" w:ascii="仿宋" w:hAnsi="仿宋" w:eastAsia="仿宋" w:cs="仿宋_GB2312"/>
          <w:color w:val="auto"/>
          <w:szCs w:val="21"/>
          <w:highlight w:val="none"/>
        </w:rPr>
        <w:t>（</w:t>
      </w:r>
      <w:r>
        <w:rPr>
          <w:rFonts w:hint="eastAsia" w:ascii="仿宋" w:hAnsi="仿宋" w:eastAsia="仿宋" w:cs="宋体"/>
          <w:color w:val="auto"/>
          <w:szCs w:val="21"/>
          <w:highlight w:val="none"/>
          <w:u w:val="single"/>
        </w:rPr>
        <w:t>要求合同分包，分包意向协议内中小企业合同金额</w:t>
      </w:r>
      <w:r>
        <w:rPr>
          <w:rFonts w:hint="eastAsia" w:ascii="仿宋" w:hAnsi="仿宋" w:eastAsia="仿宋" w:cs="宋体"/>
          <w:b/>
          <w:bCs/>
          <w:color w:val="auto"/>
          <w:szCs w:val="21"/>
          <w:highlight w:val="none"/>
          <w:u w:val="single"/>
        </w:rPr>
        <w:t>应当达到</w:t>
      </w:r>
      <w:r>
        <w:rPr>
          <w:rFonts w:ascii="仿宋" w:hAnsi="仿宋" w:eastAsia="仿宋" w:cs="宋体"/>
          <w:b/>
          <w:bCs/>
          <w:color w:val="auto"/>
          <w:szCs w:val="21"/>
          <w:highlight w:val="none"/>
          <w:u w:val="single"/>
        </w:rPr>
        <w:t xml:space="preserve"> 40 %</w:t>
      </w:r>
      <w:r>
        <w:rPr>
          <w:rFonts w:hint="eastAsia" w:ascii="仿宋" w:hAnsi="仿宋" w:eastAsia="仿宋" w:cs="宋体"/>
          <w:color w:val="auto"/>
          <w:szCs w:val="21"/>
          <w:highlight w:val="none"/>
          <w:u w:val="single"/>
        </w:rPr>
        <w:t>，</w:t>
      </w:r>
      <w:r>
        <w:rPr>
          <w:rFonts w:hint="eastAsia" w:ascii="仿宋" w:hAnsi="仿宋" w:eastAsia="仿宋" w:cs="宋体"/>
          <w:color w:val="auto"/>
          <w:szCs w:val="21"/>
          <w:highlight w:val="none"/>
          <w:u w:val="single"/>
        </w:rPr>
        <w:t>其中</w:t>
      </w:r>
      <w:r>
        <w:rPr>
          <w:rFonts w:hint="eastAsia" w:ascii="仿宋" w:hAnsi="仿宋" w:eastAsia="仿宋" w:cs="宋体"/>
          <w:color w:val="auto"/>
          <w:szCs w:val="21"/>
          <w:highlight w:val="none"/>
          <w:u w:val="single"/>
        </w:rPr>
        <w:t>小微企业合同金额</w:t>
      </w:r>
      <w:r>
        <w:rPr>
          <w:rFonts w:hint="eastAsia" w:ascii="仿宋" w:hAnsi="仿宋" w:eastAsia="仿宋" w:cs="宋体"/>
          <w:b/>
          <w:bCs/>
          <w:color w:val="auto"/>
          <w:szCs w:val="21"/>
          <w:highlight w:val="none"/>
          <w:u w:val="single"/>
        </w:rPr>
        <w:t>应当达到</w:t>
      </w:r>
      <w:r>
        <w:rPr>
          <w:rFonts w:ascii="仿宋" w:hAnsi="仿宋" w:eastAsia="仿宋" w:cs="宋体"/>
          <w:b/>
          <w:bCs/>
          <w:color w:val="auto"/>
          <w:szCs w:val="21"/>
          <w:highlight w:val="none"/>
          <w:u w:val="single"/>
        </w:rPr>
        <w:t xml:space="preserve"> 28 % </w:t>
      </w:r>
      <w:r>
        <w:rPr>
          <w:rFonts w:hint="eastAsia" w:ascii="仿宋" w:hAnsi="仿宋" w:eastAsia="仿宋" w:cs="宋体"/>
          <w:color w:val="auto"/>
          <w:szCs w:val="21"/>
          <w:highlight w:val="none"/>
          <w:u w:val="single"/>
        </w:rPr>
        <w:t>；</w:t>
      </w:r>
      <w:r>
        <w:rPr>
          <w:rFonts w:hint="eastAsia" w:ascii="仿宋" w:hAnsi="仿宋" w:eastAsia="仿宋" w:cs="仿宋_GB2312"/>
          <w:color w:val="auto"/>
          <w:szCs w:val="21"/>
          <w:highlight w:val="none"/>
        </w:rPr>
        <w:t>）</w:t>
      </w:r>
    </w:p>
    <w:p w14:paraId="3A972700">
      <w:pPr>
        <w:keepNext w:val="0"/>
        <w:keepLines w:val="0"/>
        <w:pageBreakBefore w:val="0"/>
        <w:widowControl w:val="0"/>
        <w:kinsoku/>
        <w:wordWrap/>
        <w:overflowPunct/>
        <w:topLinePunct w:val="0"/>
        <w:autoSpaceDE/>
        <w:autoSpaceDN/>
        <w:bidi w:val="0"/>
        <w:adjustRightInd w:val="0"/>
        <w:snapToGrid/>
        <w:spacing w:line="360" w:lineRule="auto"/>
        <w:jc w:val="left"/>
        <w:textAlignment w:val="auto"/>
        <w:rPr>
          <w:rFonts w:ascii="仿宋" w:hAnsi="仿宋" w:eastAsia="仿宋" w:cs="仿宋_GB2312"/>
          <w:color w:val="auto"/>
          <w:szCs w:val="21"/>
          <w:highlight w:val="none"/>
        </w:rPr>
      </w:pPr>
      <w:r>
        <w:rPr>
          <w:rFonts w:hint="eastAsia" w:ascii="仿宋" w:hAnsi="仿宋" w:eastAsia="仿宋" w:cs="仿宋_GB2312"/>
          <w:b/>
          <w:color w:val="auto"/>
          <w:szCs w:val="21"/>
          <w:highlight w:val="none"/>
        </w:rPr>
        <w:t>（四）采购标的是否进口产品：</w:t>
      </w:r>
      <w:r>
        <w:rPr>
          <w:rFonts w:hint="eastAsia" w:ascii="仿宋" w:hAnsi="仿宋" w:eastAsia="仿宋" w:cs="仿宋_GB2312"/>
          <w:color w:val="auto"/>
          <w:szCs w:val="21"/>
          <w:highlight w:val="none"/>
        </w:rPr>
        <w:t xml:space="preserve"> □进口  □国产，</w:t>
      </w:r>
      <w:r>
        <w:rPr>
          <w:rFonts w:hint="eastAsia" w:ascii="仿宋" w:hAnsi="仿宋" w:eastAsia="仿宋" w:cs="仿宋_GB2312"/>
          <w:color w:val="auto"/>
          <w:szCs w:val="21"/>
          <w:highlight w:val="none"/>
          <w:u w:val="single"/>
        </w:rPr>
        <w:t>本项目为服务采购。</w:t>
      </w:r>
    </w:p>
    <w:p w14:paraId="31CA3ADA">
      <w:pPr>
        <w:keepNext w:val="0"/>
        <w:keepLines w:val="0"/>
        <w:pageBreakBefore w:val="0"/>
        <w:widowControl w:val="0"/>
        <w:kinsoku/>
        <w:wordWrap/>
        <w:overflowPunct/>
        <w:topLinePunct w:val="0"/>
        <w:autoSpaceDE/>
        <w:autoSpaceDN/>
        <w:bidi w:val="0"/>
        <w:adjustRightInd w:val="0"/>
        <w:snapToGrid/>
        <w:spacing w:line="360" w:lineRule="auto"/>
        <w:jc w:val="left"/>
        <w:textAlignment w:val="auto"/>
        <w:rPr>
          <w:rFonts w:ascii="仿宋" w:hAnsi="仿宋" w:eastAsia="仿宋" w:cs="仿宋_GB2312"/>
          <w:b/>
          <w:color w:val="auto"/>
          <w:szCs w:val="21"/>
          <w:highlight w:val="none"/>
        </w:rPr>
      </w:pPr>
      <w:r>
        <w:rPr>
          <w:rFonts w:hint="eastAsia" w:ascii="仿宋" w:hAnsi="仿宋" w:eastAsia="仿宋" w:cs="仿宋_GB2312"/>
          <w:b/>
          <w:color w:val="auto"/>
          <w:szCs w:val="21"/>
          <w:highlight w:val="none"/>
        </w:rPr>
        <w:t>（五）拟采购标的的服务要求</w:t>
      </w:r>
    </w:p>
    <w:p w14:paraId="239802F4">
      <w:pPr>
        <w:pStyle w:val="5"/>
        <w:numPr>
          <w:ilvl w:val="0"/>
          <w:numId w:val="1"/>
        </w:numPr>
        <w:spacing w:line="360" w:lineRule="auto"/>
        <w:ind w:left="1140" w:hanging="720"/>
        <w:rPr>
          <w:rFonts w:ascii="仿宋" w:hAnsi="仿宋" w:eastAsia="仿宋" w:cs="仿宋"/>
          <w:color w:val="auto"/>
          <w:sz w:val="21"/>
          <w:szCs w:val="21"/>
          <w:highlight w:val="none"/>
        </w:rPr>
      </w:pPr>
      <w:r>
        <w:rPr>
          <w:rFonts w:hint="eastAsia" w:ascii="仿宋" w:hAnsi="仿宋" w:eastAsia="仿宋" w:cs="仿宋"/>
          <w:color w:val="auto"/>
          <w:sz w:val="21"/>
          <w:szCs w:val="21"/>
          <w:highlight w:val="none"/>
        </w:rPr>
        <w:t>案件侦查打击服务</w:t>
      </w:r>
    </w:p>
    <w:p w14:paraId="2065046F">
      <w:pPr>
        <w:spacing w:line="360" w:lineRule="auto"/>
        <w:ind w:firstLine="420" w:firstLineChars="200"/>
        <w:rPr>
          <w:rFonts w:ascii="仿宋" w:hAnsi="仿宋" w:eastAsia="仿宋"/>
          <w:color w:val="auto"/>
          <w:szCs w:val="21"/>
          <w:highlight w:val="none"/>
        </w:rPr>
      </w:pPr>
      <w:r>
        <w:rPr>
          <w:rFonts w:hint="eastAsia" w:ascii="仿宋" w:hAnsi="仿宋" w:eastAsia="仿宋"/>
          <w:color w:val="auto"/>
          <w:szCs w:val="21"/>
          <w:highlight w:val="none"/>
        </w:rPr>
        <w:t>1、服务要求</w:t>
      </w:r>
    </w:p>
    <w:p w14:paraId="4A6533EB">
      <w:pPr>
        <w:spacing w:line="360" w:lineRule="auto"/>
        <w:ind w:firstLine="420" w:firstLineChars="200"/>
        <w:rPr>
          <w:rFonts w:ascii="仿宋" w:hAnsi="仿宋" w:eastAsia="仿宋"/>
          <w:color w:val="auto"/>
          <w:szCs w:val="21"/>
          <w:highlight w:val="none"/>
        </w:rPr>
      </w:pPr>
      <w:r>
        <w:rPr>
          <w:rFonts w:hint="eastAsia" w:ascii="仿宋" w:hAnsi="仿宋" w:eastAsia="仿宋"/>
          <w:color w:val="auto"/>
          <w:szCs w:val="21"/>
          <w:highlight w:val="none"/>
        </w:rPr>
        <w:t>提供对涉网新型案件线索的自动化分析及互联网线索扩线，通过案件关联的网络信息等线索，基于大数据分析及互联网情报能力进行案件线索分析，生成分析报告，能够在案件线索初期研判阶段有效协助采购人确定侦查方向、判断线索状况、提供调证信息、引导调证渠道等。同时，进行涉诈案件数据还原、数据分析、拓展服务及案件协助支撑服务，对涉诈网站数据等关键数据进行获取，完成数据结构化分析、远勘视频或电子证据取证等，获取相关案件侦查线索。</w:t>
      </w:r>
    </w:p>
    <w:p w14:paraId="7BF27C74">
      <w:pPr>
        <w:spacing w:line="360" w:lineRule="auto"/>
        <w:ind w:firstLine="420" w:firstLineChars="200"/>
        <w:rPr>
          <w:rFonts w:ascii="仿宋" w:hAnsi="仿宋" w:eastAsia="仿宋"/>
          <w:color w:val="auto"/>
          <w:szCs w:val="21"/>
          <w:highlight w:val="none"/>
        </w:rPr>
      </w:pPr>
      <w:r>
        <w:rPr>
          <w:rFonts w:hint="eastAsia" w:ascii="仿宋" w:hAnsi="仿宋" w:eastAsia="仿宋"/>
          <w:color w:val="auto"/>
          <w:szCs w:val="21"/>
          <w:highlight w:val="none"/>
        </w:rPr>
        <w:t>2、服务内容</w:t>
      </w:r>
    </w:p>
    <w:p w14:paraId="65BC4843">
      <w:pPr>
        <w:spacing w:line="360" w:lineRule="auto"/>
        <w:ind w:firstLine="420" w:firstLineChars="200"/>
        <w:rPr>
          <w:rFonts w:ascii="仿宋" w:hAnsi="仿宋" w:eastAsia="仿宋"/>
          <w:color w:val="auto"/>
          <w:szCs w:val="21"/>
          <w:highlight w:val="none"/>
        </w:rPr>
      </w:pPr>
      <w:r>
        <w:rPr>
          <w:rFonts w:hint="eastAsia" w:ascii="仿宋" w:hAnsi="仿宋" w:eastAsia="仿宋"/>
          <w:color w:val="auto"/>
          <w:szCs w:val="21"/>
          <w:highlight w:val="none"/>
        </w:rPr>
        <w:t>2.1、任务管理</w:t>
      </w:r>
    </w:p>
    <w:p w14:paraId="43D98979">
      <w:pPr>
        <w:spacing w:line="360" w:lineRule="auto"/>
        <w:ind w:firstLine="420" w:firstLineChars="200"/>
        <w:rPr>
          <w:rFonts w:ascii="仿宋" w:hAnsi="仿宋" w:eastAsia="仿宋"/>
          <w:color w:val="auto"/>
          <w:szCs w:val="21"/>
          <w:highlight w:val="none"/>
        </w:rPr>
      </w:pPr>
      <w:r>
        <w:rPr>
          <w:rFonts w:hint="eastAsia" w:ascii="仿宋" w:hAnsi="仿宋" w:eastAsia="仿宋"/>
          <w:color w:val="auto"/>
          <w:szCs w:val="21"/>
          <w:highlight w:val="none"/>
        </w:rPr>
        <w:t>在涉网案件立案侦查初期阶段，采购人通过任务管理创建案件任务，填写基本信息，基于案件侦查需要，提交协查请求。采购人能够通过查看案件协查任务总体进度及进展情况，了解涉网案件整体侦办情况，有效实现案件信息的共享及任务协同。</w:t>
      </w:r>
    </w:p>
    <w:p w14:paraId="46357138">
      <w:pPr>
        <w:spacing w:line="360" w:lineRule="auto"/>
        <w:ind w:firstLine="420" w:firstLineChars="200"/>
        <w:rPr>
          <w:rFonts w:ascii="仿宋" w:hAnsi="仿宋" w:eastAsia="仿宋"/>
          <w:color w:val="auto"/>
          <w:szCs w:val="21"/>
          <w:highlight w:val="none"/>
        </w:rPr>
      </w:pPr>
      <w:r>
        <w:rPr>
          <w:rFonts w:hint="eastAsia" w:ascii="仿宋" w:hAnsi="仿宋" w:eastAsia="仿宋"/>
          <w:color w:val="auto"/>
          <w:szCs w:val="21"/>
          <w:highlight w:val="none"/>
        </w:rPr>
        <w:t>2.2、案件侦查</w:t>
      </w:r>
    </w:p>
    <w:p w14:paraId="066A1FEF">
      <w:pPr>
        <w:spacing w:line="360" w:lineRule="auto"/>
        <w:ind w:firstLine="420" w:firstLineChars="200"/>
        <w:rPr>
          <w:rFonts w:ascii="仿宋" w:hAnsi="仿宋" w:eastAsia="仿宋"/>
          <w:color w:val="auto"/>
          <w:szCs w:val="21"/>
          <w:highlight w:val="none"/>
        </w:rPr>
      </w:pPr>
      <w:r>
        <w:rPr>
          <w:rFonts w:hint="eastAsia" w:ascii="仿宋" w:hAnsi="仿宋" w:eastAsia="仿宋"/>
          <w:color w:val="auto"/>
          <w:szCs w:val="21"/>
          <w:highlight w:val="none"/>
        </w:rPr>
        <w:t>在涉网案件侦查初期，通过案件侦查可实现对案件线索的自动化分析及互联网线索扩线。采购人通过案件侦查上传案件关联的网络信息等线索，基于大数据分析及互联网情报能力进行案件线索分析，生成分析报告，能够在案件线索初期研判阶段有效协助采购人确定侦查方向、判断线索状况、指示调证位置等。</w:t>
      </w:r>
    </w:p>
    <w:p w14:paraId="0ECE4A13">
      <w:pPr>
        <w:spacing w:line="360" w:lineRule="auto"/>
        <w:ind w:firstLine="420" w:firstLineChars="200"/>
        <w:rPr>
          <w:rFonts w:ascii="仿宋" w:hAnsi="仿宋" w:eastAsia="仿宋"/>
          <w:color w:val="auto"/>
          <w:szCs w:val="21"/>
          <w:highlight w:val="none"/>
        </w:rPr>
      </w:pPr>
      <w:r>
        <w:rPr>
          <w:rFonts w:hint="eastAsia" w:ascii="仿宋" w:hAnsi="仿宋" w:eastAsia="仿宋"/>
          <w:color w:val="auto"/>
          <w:szCs w:val="21"/>
          <w:highlight w:val="none"/>
        </w:rPr>
        <w:t>2.3、案件支撑</w:t>
      </w:r>
    </w:p>
    <w:p w14:paraId="0ADF4BB0">
      <w:pPr>
        <w:spacing w:line="360" w:lineRule="auto"/>
        <w:ind w:firstLine="420" w:firstLineChars="200"/>
        <w:rPr>
          <w:rFonts w:ascii="仿宋" w:hAnsi="仿宋" w:eastAsia="仿宋"/>
          <w:color w:val="auto"/>
          <w:szCs w:val="21"/>
          <w:highlight w:val="none"/>
        </w:rPr>
      </w:pPr>
      <w:r>
        <w:rPr>
          <w:rFonts w:hint="eastAsia" w:ascii="仿宋" w:hAnsi="仿宋" w:eastAsia="仿宋"/>
          <w:color w:val="auto"/>
          <w:szCs w:val="21"/>
          <w:highlight w:val="none"/>
        </w:rPr>
        <w:t>在案件侦办的关键过程，需要对涉网犯罪的网站信息等关键数据进行结构化分析或电子证据取证等。采购人在案件侦查初期对犯罪环节的业务获取结果研判后，可通过案件支撑服务，发起案件协查向第三方案件支撑单位需求技术支撑。案件支撑团队接受到协查后，组织技术力量协助采购人开展案件协查，并上传案件支撑报告，基于案件支撑实现警企技术共享，提高案件办结效率。</w:t>
      </w:r>
    </w:p>
    <w:p w14:paraId="1A6485F8">
      <w:pPr>
        <w:spacing w:line="360" w:lineRule="auto"/>
        <w:ind w:firstLine="420" w:firstLineChars="200"/>
        <w:rPr>
          <w:rFonts w:ascii="仿宋" w:hAnsi="仿宋" w:eastAsia="仿宋"/>
          <w:color w:val="auto"/>
          <w:szCs w:val="21"/>
          <w:highlight w:val="none"/>
        </w:rPr>
      </w:pPr>
      <w:r>
        <w:rPr>
          <w:rFonts w:hint="eastAsia" w:ascii="仿宋" w:hAnsi="仿宋" w:eastAsia="仿宋"/>
          <w:color w:val="auto"/>
          <w:szCs w:val="21"/>
          <w:highlight w:val="none"/>
        </w:rPr>
        <w:t>2.4、研判分析</w:t>
      </w:r>
    </w:p>
    <w:p w14:paraId="5D2B8829">
      <w:pPr>
        <w:spacing w:line="360" w:lineRule="auto"/>
        <w:ind w:firstLine="420" w:firstLineChars="200"/>
        <w:rPr>
          <w:rFonts w:ascii="仿宋" w:hAnsi="仿宋" w:eastAsia="仿宋"/>
          <w:color w:val="auto"/>
          <w:szCs w:val="21"/>
          <w:highlight w:val="none"/>
        </w:rPr>
      </w:pPr>
      <w:r>
        <w:rPr>
          <w:rFonts w:hint="eastAsia" w:ascii="仿宋" w:hAnsi="仿宋" w:eastAsia="仿宋"/>
          <w:color w:val="auto"/>
          <w:szCs w:val="21"/>
          <w:highlight w:val="none"/>
        </w:rPr>
        <w:t>通过案件涉网犯罪信息的分析，利用侦查应用及同源拓展等服务，在电信网络犯罪侦查过程中实现对关键线索分析能力的模型化，结合涉网案件侦查过程中获取的研判侦查线索，输出分析报告及相关支撑工作。</w:t>
      </w:r>
    </w:p>
    <w:p w14:paraId="5D6AA604">
      <w:pPr>
        <w:spacing w:line="360" w:lineRule="auto"/>
        <w:ind w:firstLine="420" w:firstLineChars="200"/>
        <w:rPr>
          <w:rFonts w:ascii="仿宋" w:hAnsi="仿宋" w:eastAsia="仿宋"/>
          <w:color w:val="auto"/>
          <w:szCs w:val="21"/>
          <w:highlight w:val="none"/>
        </w:rPr>
      </w:pPr>
      <w:r>
        <w:rPr>
          <w:rFonts w:hint="eastAsia" w:ascii="仿宋" w:hAnsi="仿宋" w:eastAsia="仿宋"/>
          <w:color w:val="auto"/>
          <w:szCs w:val="21"/>
          <w:highlight w:val="none"/>
        </w:rPr>
        <w:t>2.5、数据还原</w:t>
      </w:r>
    </w:p>
    <w:p w14:paraId="1E2B895C">
      <w:pPr>
        <w:spacing w:line="360" w:lineRule="auto"/>
        <w:ind w:firstLine="420" w:firstLineChars="200"/>
        <w:rPr>
          <w:rFonts w:ascii="仿宋" w:hAnsi="仿宋" w:eastAsia="仿宋"/>
          <w:color w:val="auto"/>
          <w:szCs w:val="21"/>
          <w:highlight w:val="none"/>
        </w:rPr>
      </w:pPr>
      <w:r>
        <w:rPr>
          <w:rFonts w:hint="eastAsia" w:ascii="仿宋" w:hAnsi="仿宋" w:eastAsia="仿宋"/>
          <w:color w:val="auto"/>
          <w:szCs w:val="21"/>
          <w:highlight w:val="none"/>
        </w:rPr>
        <w:t>协助采购人在严格要求及规章制度下，针对获取到的电子数据检材进行涉网犯罪相关数据还原，并同时处理非可读、难理解的数据，转换为可分析数据。</w:t>
      </w:r>
    </w:p>
    <w:p w14:paraId="274DC45A">
      <w:pPr>
        <w:spacing w:line="360" w:lineRule="auto"/>
        <w:ind w:firstLine="420" w:firstLineChars="200"/>
        <w:rPr>
          <w:rFonts w:ascii="仿宋" w:hAnsi="仿宋" w:eastAsia="仿宋"/>
          <w:color w:val="auto"/>
          <w:szCs w:val="21"/>
          <w:highlight w:val="none"/>
        </w:rPr>
      </w:pPr>
      <w:r>
        <w:rPr>
          <w:rFonts w:hint="eastAsia" w:ascii="仿宋" w:hAnsi="仿宋" w:eastAsia="仿宋"/>
          <w:color w:val="auto"/>
          <w:szCs w:val="21"/>
          <w:highlight w:val="none"/>
        </w:rPr>
        <w:t>2.6、数据分析</w:t>
      </w:r>
    </w:p>
    <w:p w14:paraId="7138B934">
      <w:pPr>
        <w:spacing w:line="360" w:lineRule="auto"/>
        <w:ind w:firstLine="420" w:firstLineChars="200"/>
        <w:rPr>
          <w:rFonts w:ascii="仿宋" w:hAnsi="仿宋" w:eastAsia="仿宋"/>
          <w:color w:val="auto"/>
          <w:szCs w:val="21"/>
          <w:highlight w:val="none"/>
        </w:rPr>
      </w:pPr>
      <w:r>
        <w:rPr>
          <w:rFonts w:hint="eastAsia" w:ascii="仿宋" w:hAnsi="仿宋" w:eastAsia="仿宋"/>
          <w:color w:val="auto"/>
          <w:szCs w:val="21"/>
          <w:highlight w:val="none"/>
        </w:rPr>
        <w:t>协助采购人在严格要求及规章制度下，针对可读、结构化数据进行分析，包括涉网犯罪关联网络信息等所有相关电子数据进行分析，并协助刻画电子证据架构，佐证案件侦查。</w:t>
      </w:r>
    </w:p>
    <w:p w14:paraId="7EB5016D">
      <w:pPr>
        <w:spacing w:line="360" w:lineRule="auto"/>
        <w:ind w:firstLine="420" w:firstLineChars="200"/>
        <w:rPr>
          <w:rFonts w:ascii="仿宋" w:hAnsi="仿宋" w:eastAsia="仿宋"/>
          <w:color w:val="auto"/>
          <w:szCs w:val="21"/>
          <w:highlight w:val="none"/>
        </w:rPr>
      </w:pPr>
      <w:r>
        <w:rPr>
          <w:rFonts w:hint="eastAsia" w:ascii="仿宋" w:hAnsi="仿宋" w:eastAsia="仿宋"/>
          <w:color w:val="auto"/>
          <w:szCs w:val="21"/>
          <w:highlight w:val="none"/>
        </w:rPr>
        <w:t>2.7、侦查协助</w:t>
      </w:r>
    </w:p>
    <w:p w14:paraId="000D3AA4">
      <w:pPr>
        <w:spacing w:line="360" w:lineRule="auto"/>
        <w:ind w:firstLine="420" w:firstLineChars="200"/>
        <w:rPr>
          <w:rFonts w:ascii="仿宋" w:hAnsi="仿宋" w:eastAsia="仿宋"/>
          <w:color w:val="auto"/>
          <w:szCs w:val="21"/>
          <w:highlight w:val="none"/>
        </w:rPr>
      </w:pPr>
      <w:r>
        <w:rPr>
          <w:rFonts w:hint="eastAsia" w:ascii="仿宋" w:hAnsi="仿宋" w:eastAsia="仿宋"/>
          <w:color w:val="auto"/>
          <w:szCs w:val="21"/>
          <w:highlight w:val="none"/>
        </w:rPr>
        <w:t>协助采购人在严格要求及规章制度下，以案情为出发点，利用专门技术将数据分析结果进行落地核查，协助进行互联网数据搜查、业务侦查协助、涉案目标刻画分析等分析、展示工作。</w:t>
      </w:r>
    </w:p>
    <w:p w14:paraId="1E03E282">
      <w:pPr>
        <w:spacing w:line="360" w:lineRule="auto"/>
        <w:ind w:firstLine="420" w:firstLineChars="200"/>
        <w:rPr>
          <w:rFonts w:ascii="仿宋" w:hAnsi="仿宋" w:eastAsia="仿宋"/>
          <w:color w:val="auto"/>
          <w:szCs w:val="21"/>
          <w:highlight w:val="none"/>
        </w:rPr>
      </w:pPr>
      <w:r>
        <w:rPr>
          <w:rFonts w:hint="eastAsia" w:ascii="仿宋" w:hAnsi="仿宋" w:eastAsia="仿宋"/>
          <w:color w:val="auto"/>
          <w:szCs w:val="21"/>
          <w:highlight w:val="none"/>
        </w:rPr>
        <w:t>3、服务交付物</w:t>
      </w:r>
    </w:p>
    <w:p w14:paraId="766DD55E">
      <w:pPr>
        <w:numPr>
          <w:ilvl w:val="-1"/>
          <w:numId w:val="0"/>
        </w:numPr>
        <w:spacing w:line="360" w:lineRule="auto"/>
        <w:ind w:left="426" w:firstLine="0"/>
        <w:jc w:val="left"/>
        <w:rPr>
          <w:rFonts w:ascii="仿宋" w:hAnsi="仿宋" w:eastAsia="仿宋"/>
          <w:color w:val="auto"/>
          <w:szCs w:val="21"/>
          <w:highlight w:val="none"/>
        </w:rPr>
      </w:pPr>
      <w:bookmarkStart w:id="30" w:name="_Hlk153806013"/>
      <w:r>
        <w:rPr>
          <w:rFonts w:hint="eastAsia" w:ascii="仿宋" w:hAnsi="仿宋" w:eastAsia="仿宋"/>
          <w:color w:val="auto"/>
          <w:szCs w:val="21"/>
          <w:highlight w:val="none"/>
          <w:lang w:val="en-US" w:eastAsia="zh-CN"/>
        </w:rPr>
        <w:t>1）</w:t>
      </w:r>
      <w:r>
        <w:rPr>
          <w:rFonts w:hint="eastAsia" w:ascii="仿宋" w:hAnsi="仿宋" w:eastAsia="仿宋"/>
          <w:color w:val="auto"/>
          <w:szCs w:val="21"/>
          <w:highlight w:val="none"/>
        </w:rPr>
        <w:t>提供</w:t>
      </w:r>
      <w:r>
        <w:rPr>
          <w:rFonts w:hint="eastAsia" w:ascii="仿宋" w:hAnsi="仿宋" w:eastAsia="仿宋" w:cs="仿宋"/>
          <w:color w:val="auto"/>
          <w:kern w:val="0"/>
          <w:szCs w:val="21"/>
          <w:highlight w:val="none"/>
          <w:lang w:bidi="ar"/>
        </w:rPr>
        <w:t>重特大案件线索不少于</w:t>
      </w:r>
      <w:r>
        <w:rPr>
          <w:rFonts w:hint="eastAsia" w:ascii="仿宋" w:hAnsi="仿宋" w:eastAsia="仿宋" w:cs="仿宋"/>
          <w:color w:val="auto"/>
          <w:kern w:val="0"/>
          <w:szCs w:val="21"/>
          <w:highlight w:val="none"/>
          <w:lang w:val="en-US" w:eastAsia="zh-CN" w:bidi="ar"/>
        </w:rPr>
        <w:t>5</w:t>
      </w:r>
      <w:r>
        <w:rPr>
          <w:rFonts w:hint="eastAsia" w:ascii="仿宋" w:hAnsi="仿宋" w:eastAsia="仿宋" w:cs="仿宋"/>
          <w:color w:val="auto"/>
          <w:kern w:val="0"/>
          <w:szCs w:val="21"/>
          <w:highlight w:val="none"/>
          <w:lang w:bidi="ar"/>
        </w:rPr>
        <w:t>起，</w:t>
      </w:r>
      <w:r>
        <w:rPr>
          <w:rFonts w:ascii="仿宋" w:hAnsi="仿宋" w:eastAsia="仿宋"/>
          <w:color w:val="auto"/>
          <w:szCs w:val="21"/>
          <w:highlight w:val="none"/>
        </w:rPr>
        <w:t xml:space="preserve"> A类分析报告不少于</w:t>
      </w:r>
      <w:r>
        <w:rPr>
          <w:rFonts w:hint="eastAsia" w:ascii="仿宋" w:hAnsi="仿宋" w:eastAsia="仿宋"/>
          <w:color w:val="auto"/>
          <w:szCs w:val="21"/>
          <w:highlight w:val="none"/>
          <w:lang w:val="en-US" w:eastAsia="zh-CN"/>
        </w:rPr>
        <w:t>8</w:t>
      </w:r>
      <w:r>
        <w:rPr>
          <w:rFonts w:hint="eastAsia" w:ascii="仿宋" w:hAnsi="仿宋" w:eastAsia="仿宋"/>
          <w:color w:val="auto"/>
          <w:szCs w:val="21"/>
          <w:highlight w:val="none"/>
        </w:rPr>
        <w:t>份；</w:t>
      </w:r>
    </w:p>
    <w:p w14:paraId="735F1607">
      <w:pPr>
        <w:numPr>
          <w:ilvl w:val="-1"/>
          <w:numId w:val="0"/>
        </w:numPr>
        <w:spacing w:line="360" w:lineRule="auto"/>
        <w:ind w:left="426" w:firstLine="0"/>
        <w:rPr>
          <w:rFonts w:ascii="仿宋" w:hAnsi="仿宋" w:eastAsia="仿宋"/>
          <w:color w:val="auto"/>
          <w:szCs w:val="21"/>
          <w:highlight w:val="none"/>
        </w:rPr>
      </w:pPr>
      <w:r>
        <w:rPr>
          <w:rFonts w:hint="eastAsia" w:ascii="仿宋" w:hAnsi="仿宋" w:eastAsia="仿宋" w:cs="仿宋"/>
          <w:color w:val="auto"/>
          <w:kern w:val="0"/>
          <w:szCs w:val="21"/>
          <w:highlight w:val="none"/>
          <w:lang w:val="en-US" w:eastAsia="zh-CN" w:bidi="ar"/>
        </w:rPr>
        <w:t>2）</w:t>
      </w:r>
      <w:r>
        <w:rPr>
          <w:rFonts w:hint="eastAsia" w:ascii="仿宋" w:hAnsi="仿宋" w:eastAsia="仿宋" w:cs="仿宋"/>
          <w:color w:val="auto"/>
          <w:kern w:val="0"/>
          <w:szCs w:val="21"/>
          <w:highlight w:val="none"/>
          <w:lang w:bidi="ar"/>
        </w:rPr>
        <w:t>提供案件侦查打击服务不少于20起，</w:t>
      </w:r>
      <w:r>
        <w:rPr>
          <w:rFonts w:hint="eastAsia" w:ascii="仿宋" w:hAnsi="仿宋" w:eastAsia="仿宋"/>
          <w:color w:val="auto"/>
          <w:szCs w:val="21"/>
          <w:highlight w:val="none"/>
        </w:rPr>
        <w:t>输出</w:t>
      </w:r>
      <w:r>
        <w:rPr>
          <w:rFonts w:ascii="仿宋" w:hAnsi="仿宋" w:eastAsia="仿宋"/>
          <w:color w:val="auto"/>
          <w:szCs w:val="21"/>
          <w:highlight w:val="none"/>
        </w:rPr>
        <w:t>B类分析报告不少于</w:t>
      </w:r>
      <w:r>
        <w:rPr>
          <w:rFonts w:hint="eastAsia" w:ascii="仿宋" w:hAnsi="仿宋" w:eastAsia="仿宋"/>
          <w:color w:val="auto"/>
          <w:szCs w:val="21"/>
          <w:highlight w:val="none"/>
          <w:lang w:val="en-US" w:eastAsia="zh-CN"/>
        </w:rPr>
        <w:t>1</w:t>
      </w:r>
      <w:r>
        <w:rPr>
          <w:rFonts w:hint="eastAsia" w:ascii="仿宋" w:hAnsi="仿宋" w:eastAsia="仿宋"/>
          <w:color w:val="auto"/>
          <w:szCs w:val="21"/>
          <w:highlight w:val="none"/>
        </w:rPr>
        <w:t>8份、输出</w:t>
      </w:r>
      <w:r>
        <w:rPr>
          <w:rFonts w:ascii="仿宋" w:hAnsi="仿宋" w:eastAsia="仿宋"/>
          <w:color w:val="auto"/>
          <w:szCs w:val="21"/>
          <w:highlight w:val="none"/>
        </w:rPr>
        <w:t>C类分析报告不少于</w:t>
      </w:r>
      <w:r>
        <w:rPr>
          <w:rFonts w:hint="eastAsia" w:ascii="仿宋" w:hAnsi="仿宋" w:eastAsia="仿宋"/>
          <w:color w:val="auto"/>
          <w:szCs w:val="21"/>
          <w:highlight w:val="none"/>
          <w:lang w:val="en-US" w:eastAsia="zh-CN"/>
        </w:rPr>
        <w:t>30</w:t>
      </w:r>
      <w:r>
        <w:rPr>
          <w:rFonts w:hint="eastAsia" w:ascii="仿宋" w:hAnsi="仿宋" w:eastAsia="仿宋"/>
          <w:color w:val="auto"/>
          <w:szCs w:val="21"/>
          <w:highlight w:val="none"/>
        </w:rPr>
        <w:t>份。</w:t>
      </w:r>
      <w:r>
        <w:rPr>
          <w:rFonts w:ascii="仿宋" w:hAnsi="仿宋" w:eastAsia="仿宋"/>
          <w:color w:val="auto"/>
          <w:szCs w:val="21"/>
          <w:highlight w:val="none"/>
        </w:rPr>
        <w:t xml:space="preserve"> </w:t>
      </w:r>
    </w:p>
    <w:bookmarkEnd w:id="30"/>
    <w:p w14:paraId="7C93A9ED">
      <w:pPr>
        <w:pStyle w:val="5"/>
        <w:numPr>
          <w:ilvl w:val="0"/>
          <w:numId w:val="1"/>
        </w:numPr>
        <w:spacing w:line="360" w:lineRule="auto"/>
        <w:ind w:left="1140" w:hanging="720"/>
        <w:rPr>
          <w:rFonts w:ascii="仿宋" w:hAnsi="仿宋" w:eastAsia="仿宋" w:cs="仿宋"/>
          <w:color w:val="auto"/>
          <w:sz w:val="21"/>
          <w:szCs w:val="21"/>
          <w:highlight w:val="none"/>
        </w:rPr>
      </w:pPr>
      <w:r>
        <w:rPr>
          <w:rFonts w:hint="eastAsia" w:ascii="仿宋" w:hAnsi="仿宋" w:eastAsia="仿宋" w:cs="仿宋"/>
          <w:color w:val="auto"/>
          <w:sz w:val="21"/>
          <w:szCs w:val="21"/>
          <w:highlight w:val="none"/>
        </w:rPr>
        <w:t>大数据智能查控服务</w:t>
      </w:r>
    </w:p>
    <w:p w14:paraId="2E80E481">
      <w:pPr>
        <w:spacing w:line="360" w:lineRule="auto"/>
        <w:ind w:firstLine="420" w:firstLineChars="200"/>
        <w:rPr>
          <w:rFonts w:ascii="仿宋" w:hAnsi="仿宋" w:eastAsia="仿宋"/>
          <w:color w:val="auto"/>
          <w:szCs w:val="21"/>
          <w:highlight w:val="none"/>
        </w:rPr>
      </w:pPr>
      <w:r>
        <w:rPr>
          <w:rFonts w:hint="eastAsia" w:ascii="仿宋" w:hAnsi="仿宋" w:eastAsia="仿宋"/>
          <w:color w:val="auto"/>
          <w:szCs w:val="21"/>
          <w:highlight w:val="none"/>
        </w:rPr>
        <w:t>1、服务要求：</w:t>
      </w:r>
    </w:p>
    <w:p w14:paraId="36B29BD6">
      <w:pPr>
        <w:spacing w:line="360" w:lineRule="auto"/>
        <w:ind w:firstLine="420" w:firstLineChars="200"/>
        <w:rPr>
          <w:rFonts w:ascii="仿宋" w:hAnsi="仿宋" w:eastAsia="仿宋"/>
          <w:color w:val="auto"/>
          <w:szCs w:val="21"/>
          <w:highlight w:val="none"/>
        </w:rPr>
      </w:pPr>
      <w:r>
        <w:rPr>
          <w:rFonts w:hint="eastAsia" w:ascii="仿宋" w:hAnsi="仿宋" w:eastAsia="仿宋"/>
          <w:color w:val="auto"/>
          <w:szCs w:val="21"/>
          <w:highlight w:val="none"/>
        </w:rPr>
        <w:t>提供从线索扩线到团伙发现再到身份关联分析的情报分析服务,覆盖整合多渠道、多类别的非结构化的互联网数据资源，并具有唯一性，通过已建立的关联模型和AI算法，对网络元素进行线索拓展，实现涉网新型犯罪嫌疑对象身份落地及窝点发现。</w:t>
      </w:r>
    </w:p>
    <w:p w14:paraId="786C0349">
      <w:pPr>
        <w:spacing w:line="360" w:lineRule="auto"/>
        <w:ind w:firstLine="420" w:firstLineChars="200"/>
        <w:rPr>
          <w:rFonts w:ascii="仿宋" w:hAnsi="仿宋" w:eastAsia="仿宋"/>
          <w:color w:val="auto"/>
          <w:szCs w:val="21"/>
          <w:highlight w:val="none"/>
        </w:rPr>
      </w:pPr>
      <w:r>
        <w:rPr>
          <w:rFonts w:hint="eastAsia" w:ascii="仿宋" w:hAnsi="仿宋" w:eastAsia="仿宋"/>
          <w:color w:val="auto"/>
          <w:szCs w:val="21"/>
          <w:highlight w:val="none"/>
        </w:rPr>
        <w:t>2、服务内容：</w:t>
      </w:r>
    </w:p>
    <w:p w14:paraId="1DDD7AA0">
      <w:pPr>
        <w:spacing w:line="360" w:lineRule="auto"/>
        <w:ind w:firstLine="420" w:firstLineChars="200"/>
        <w:rPr>
          <w:rFonts w:ascii="仿宋" w:hAnsi="仿宋" w:eastAsia="仿宋"/>
          <w:color w:val="auto"/>
          <w:szCs w:val="21"/>
          <w:highlight w:val="none"/>
        </w:rPr>
      </w:pPr>
      <w:r>
        <w:rPr>
          <w:rFonts w:hint="eastAsia" w:ascii="仿宋" w:hAnsi="仿宋" w:eastAsia="仿宋"/>
          <w:color w:val="auto"/>
          <w:szCs w:val="21"/>
          <w:highlight w:val="none"/>
        </w:rPr>
        <w:t>2.1大数据多维</w:t>
      </w:r>
      <w:r>
        <w:rPr>
          <w:rFonts w:ascii="仿宋" w:hAnsi="仿宋" w:eastAsia="仿宋"/>
          <w:color w:val="auto"/>
          <w:szCs w:val="21"/>
          <w:highlight w:val="none"/>
        </w:rPr>
        <w:t>研判</w:t>
      </w:r>
    </w:p>
    <w:p w14:paraId="626F7307">
      <w:pPr>
        <w:spacing w:line="360" w:lineRule="auto"/>
        <w:ind w:firstLine="420" w:firstLineChars="200"/>
        <w:rPr>
          <w:rFonts w:ascii="仿宋" w:hAnsi="仿宋" w:eastAsia="仿宋"/>
          <w:color w:val="auto"/>
          <w:szCs w:val="21"/>
          <w:highlight w:val="none"/>
        </w:rPr>
      </w:pPr>
      <w:r>
        <w:rPr>
          <w:rFonts w:hint="eastAsia" w:ascii="仿宋" w:hAnsi="仿宋" w:eastAsia="仿宋"/>
          <w:color w:val="auto"/>
          <w:szCs w:val="21"/>
          <w:highlight w:val="none"/>
        </w:rPr>
        <w:t>以涉网犯罪涉及域名、IP、APK文件为线索进行溯源分析，发现涉案</w:t>
      </w:r>
      <w:r>
        <w:rPr>
          <w:rFonts w:ascii="仿宋" w:hAnsi="仿宋" w:eastAsia="仿宋"/>
          <w:color w:val="auto"/>
          <w:szCs w:val="21"/>
          <w:highlight w:val="none"/>
        </w:rPr>
        <w:t>属性</w:t>
      </w:r>
      <w:r>
        <w:rPr>
          <w:rFonts w:hint="eastAsia" w:ascii="仿宋" w:hAnsi="仿宋" w:eastAsia="仿宋"/>
          <w:color w:val="auto"/>
          <w:szCs w:val="21"/>
          <w:highlight w:val="none"/>
        </w:rPr>
        <w:t>信息</w:t>
      </w:r>
      <w:r>
        <w:rPr>
          <w:rFonts w:ascii="仿宋" w:hAnsi="仿宋" w:eastAsia="仿宋"/>
          <w:color w:val="auto"/>
          <w:szCs w:val="21"/>
          <w:highlight w:val="none"/>
        </w:rPr>
        <w:t>，</w:t>
      </w:r>
      <w:r>
        <w:rPr>
          <w:rFonts w:hint="eastAsia" w:ascii="仿宋" w:hAnsi="仿宋" w:eastAsia="仿宋"/>
          <w:color w:val="auto"/>
          <w:szCs w:val="21"/>
          <w:highlight w:val="none"/>
        </w:rPr>
        <w:t>并进行案件</w:t>
      </w:r>
      <w:r>
        <w:rPr>
          <w:rFonts w:ascii="仿宋" w:hAnsi="仿宋" w:eastAsia="仿宋"/>
          <w:color w:val="auto"/>
          <w:szCs w:val="21"/>
          <w:highlight w:val="none"/>
        </w:rPr>
        <w:t>溯源</w:t>
      </w:r>
      <w:r>
        <w:rPr>
          <w:rFonts w:hint="eastAsia" w:ascii="仿宋" w:hAnsi="仿宋" w:eastAsia="仿宋"/>
          <w:color w:val="auto"/>
          <w:szCs w:val="21"/>
          <w:highlight w:val="none"/>
        </w:rPr>
        <w:t>扩线</w:t>
      </w:r>
      <w:r>
        <w:rPr>
          <w:rFonts w:ascii="仿宋" w:hAnsi="仿宋" w:eastAsia="仿宋"/>
          <w:color w:val="auto"/>
          <w:szCs w:val="21"/>
          <w:highlight w:val="none"/>
        </w:rPr>
        <w:t>引导，</w:t>
      </w:r>
      <w:r>
        <w:rPr>
          <w:rFonts w:hint="eastAsia" w:ascii="仿宋" w:hAnsi="仿宋" w:eastAsia="仿宋"/>
          <w:color w:val="auto"/>
          <w:szCs w:val="21"/>
          <w:highlight w:val="none"/>
        </w:rPr>
        <w:t>查询解析域名、关联恶意网址、分析同源APK、关联可疑终端等信息，便于案件进一步研判分析。</w:t>
      </w:r>
    </w:p>
    <w:p w14:paraId="69E12CDD">
      <w:pPr>
        <w:spacing w:line="360" w:lineRule="auto"/>
        <w:ind w:firstLine="420" w:firstLineChars="200"/>
        <w:rPr>
          <w:rFonts w:ascii="仿宋" w:hAnsi="仿宋" w:eastAsia="仿宋"/>
          <w:color w:val="auto"/>
          <w:szCs w:val="21"/>
          <w:highlight w:val="none"/>
        </w:rPr>
      </w:pPr>
      <w:r>
        <w:rPr>
          <w:rFonts w:hint="eastAsia" w:ascii="仿宋" w:hAnsi="仿宋" w:eastAsia="仿宋"/>
          <w:color w:val="auto"/>
          <w:szCs w:val="21"/>
          <w:highlight w:val="none"/>
        </w:rPr>
        <w:t>2.2终端溯源嫌疑追踪</w:t>
      </w:r>
    </w:p>
    <w:p w14:paraId="2DD871B9">
      <w:pPr>
        <w:spacing w:line="360" w:lineRule="auto"/>
        <w:ind w:firstLine="420" w:firstLineChars="200"/>
        <w:rPr>
          <w:rFonts w:ascii="仿宋" w:hAnsi="仿宋" w:eastAsia="仿宋"/>
          <w:color w:val="auto"/>
          <w:szCs w:val="21"/>
          <w:highlight w:val="none"/>
        </w:rPr>
      </w:pPr>
      <w:r>
        <w:rPr>
          <w:rFonts w:hint="eastAsia" w:ascii="仿宋" w:hAnsi="仿宋" w:eastAsia="仿宋"/>
          <w:color w:val="auto"/>
          <w:szCs w:val="21"/>
          <w:highlight w:val="none"/>
        </w:rPr>
        <w:t>针对涉网犯罪线索溯源目标设备或进行嫌疑人刻画，清晰描述目标设备和嫌疑人信息。支持嫌疑设备配置信息、软件特征、网络行为的溯源扩线，支持可疑设备、</w:t>
      </w:r>
      <w:r>
        <w:rPr>
          <w:rFonts w:ascii="仿宋" w:hAnsi="仿宋" w:eastAsia="仿宋"/>
          <w:color w:val="auto"/>
          <w:szCs w:val="21"/>
          <w:highlight w:val="none"/>
        </w:rPr>
        <w:t>人员的</w:t>
      </w:r>
      <w:r>
        <w:rPr>
          <w:rFonts w:hint="eastAsia" w:ascii="仿宋" w:hAnsi="仿宋" w:eastAsia="仿宋"/>
          <w:color w:val="auto"/>
          <w:szCs w:val="21"/>
          <w:highlight w:val="none"/>
        </w:rPr>
        <w:t>多维度画像刻画，支持关联虚拟身份解析。基于嫌疑目标身份关联发现可疑设备，进行证据搜集、上下游链条分析、位置轨迹分析，软件特征、网络访问行为的溯源扩线。</w:t>
      </w:r>
    </w:p>
    <w:p w14:paraId="6E8B176C">
      <w:pPr>
        <w:spacing w:line="360" w:lineRule="auto"/>
        <w:ind w:firstLine="420" w:firstLineChars="200"/>
        <w:rPr>
          <w:rFonts w:ascii="仿宋" w:hAnsi="仿宋" w:eastAsia="仿宋"/>
          <w:color w:val="auto"/>
          <w:szCs w:val="21"/>
          <w:highlight w:val="none"/>
        </w:rPr>
      </w:pPr>
      <w:r>
        <w:rPr>
          <w:rFonts w:hint="eastAsia" w:ascii="仿宋" w:hAnsi="仿宋" w:eastAsia="仿宋"/>
          <w:color w:val="auto"/>
          <w:szCs w:val="21"/>
          <w:highlight w:val="none"/>
        </w:rPr>
        <w:t>2.3、案件管理数据分析</w:t>
      </w:r>
    </w:p>
    <w:p w14:paraId="35B6DD18">
      <w:pPr>
        <w:spacing w:line="360" w:lineRule="auto"/>
        <w:ind w:firstLine="420" w:firstLineChars="200"/>
        <w:rPr>
          <w:rFonts w:ascii="仿宋" w:hAnsi="仿宋" w:eastAsia="仿宋"/>
          <w:color w:val="auto"/>
          <w:szCs w:val="21"/>
          <w:highlight w:val="none"/>
        </w:rPr>
      </w:pPr>
      <w:r>
        <w:rPr>
          <w:rFonts w:hint="eastAsia" w:ascii="仿宋" w:hAnsi="仿宋" w:eastAsia="仿宋"/>
          <w:color w:val="auto"/>
          <w:szCs w:val="21"/>
          <w:highlight w:val="none"/>
        </w:rPr>
        <w:t>支持历史案件查看、案件查询状态查看、结案案件报告查看及下载，基于IP、域名、文件节点的知识图谱关联分析，提供节点自动扩线、关联关系描述、节点信息查看能力，可有效进行扩线溯源，支持案件专家协助，提供案件协助引导页面，提交成功后由案件分析专家提供案件一对一溯源分析服务。</w:t>
      </w:r>
    </w:p>
    <w:p w14:paraId="783FF714">
      <w:pPr>
        <w:spacing w:line="360" w:lineRule="auto"/>
        <w:ind w:firstLine="420" w:firstLineChars="200"/>
        <w:rPr>
          <w:rFonts w:ascii="仿宋" w:hAnsi="仿宋" w:eastAsia="仿宋"/>
          <w:color w:val="auto"/>
          <w:szCs w:val="21"/>
          <w:highlight w:val="none"/>
        </w:rPr>
      </w:pPr>
      <w:r>
        <w:rPr>
          <w:rFonts w:hint="eastAsia" w:ascii="仿宋" w:hAnsi="仿宋" w:eastAsia="仿宋"/>
          <w:color w:val="auto"/>
          <w:szCs w:val="21"/>
          <w:highlight w:val="none"/>
        </w:rPr>
        <w:t>2.4、态势分析</w:t>
      </w:r>
      <w:r>
        <w:rPr>
          <w:rFonts w:ascii="仿宋" w:hAnsi="仿宋" w:eastAsia="仿宋"/>
          <w:color w:val="auto"/>
          <w:szCs w:val="21"/>
          <w:highlight w:val="none"/>
        </w:rPr>
        <w:t>报告输出</w:t>
      </w:r>
    </w:p>
    <w:p w14:paraId="6A652B2D">
      <w:pPr>
        <w:spacing w:line="360" w:lineRule="auto"/>
        <w:ind w:firstLine="420" w:firstLineChars="200"/>
        <w:rPr>
          <w:rFonts w:ascii="仿宋" w:hAnsi="仿宋" w:eastAsia="仿宋"/>
          <w:color w:val="auto"/>
          <w:szCs w:val="21"/>
          <w:highlight w:val="none"/>
        </w:rPr>
      </w:pPr>
      <w:r>
        <w:rPr>
          <w:rFonts w:hint="eastAsia" w:ascii="仿宋" w:hAnsi="仿宋" w:eastAsia="仿宋"/>
          <w:color w:val="auto"/>
          <w:szCs w:val="21"/>
          <w:highlight w:val="none"/>
        </w:rPr>
        <w:t>提供区域黑灰网址分布数据、恶意站点趋势分析汇总、恶意网址分类实时占比、恶意站点关键词热点及高频钓鱼网址仿冒对象汇总数据，提供恶意站点检测量、访问量趋势分析等。对案件溯源分析提供线索、关键数据标记功能，可自动描绘案件溯源路线，生成案件汇总报告，智能报告支持上下游关系关联、多案件处理，支持在线编辑、报告脑图下载等</w:t>
      </w:r>
      <w:r>
        <w:rPr>
          <w:rFonts w:ascii="仿宋" w:hAnsi="仿宋" w:eastAsia="仿宋"/>
          <w:color w:val="auto"/>
          <w:szCs w:val="21"/>
          <w:highlight w:val="none"/>
        </w:rPr>
        <w:t>。</w:t>
      </w:r>
    </w:p>
    <w:p w14:paraId="1B67608C">
      <w:pPr>
        <w:spacing w:line="360" w:lineRule="auto"/>
        <w:ind w:firstLine="420" w:firstLineChars="200"/>
        <w:rPr>
          <w:rFonts w:ascii="仿宋" w:hAnsi="仿宋" w:eastAsia="仿宋"/>
          <w:color w:val="auto"/>
          <w:szCs w:val="21"/>
          <w:highlight w:val="none"/>
        </w:rPr>
      </w:pPr>
      <w:r>
        <w:rPr>
          <w:rFonts w:hint="eastAsia" w:ascii="仿宋" w:hAnsi="仿宋" w:eastAsia="仿宋"/>
          <w:color w:val="auto"/>
          <w:szCs w:val="21"/>
          <w:highlight w:val="none"/>
        </w:rPr>
        <w:t>3、服务交付物</w:t>
      </w:r>
    </w:p>
    <w:p w14:paraId="18F56DA4">
      <w:pPr>
        <w:numPr>
          <w:ilvl w:val="-1"/>
          <w:numId w:val="0"/>
        </w:numPr>
        <w:spacing w:line="360" w:lineRule="auto"/>
        <w:ind w:left="426" w:firstLine="0"/>
        <w:rPr>
          <w:rFonts w:ascii="仿宋" w:hAnsi="仿宋" w:eastAsia="仿宋"/>
          <w:color w:val="auto"/>
          <w:szCs w:val="21"/>
          <w:highlight w:val="none"/>
        </w:rPr>
      </w:pPr>
      <w:bookmarkStart w:id="31" w:name="_Hlk153806021"/>
      <w:bookmarkStart w:id="32" w:name="_Hlk153818092"/>
      <w:r>
        <w:rPr>
          <w:rFonts w:hint="eastAsia" w:ascii="仿宋" w:hAnsi="仿宋" w:eastAsia="仿宋" w:cs="仿宋"/>
          <w:color w:val="auto"/>
          <w:kern w:val="0"/>
          <w:szCs w:val="21"/>
          <w:highlight w:val="none"/>
          <w:lang w:val="en-US" w:eastAsia="zh-CN" w:bidi="ar"/>
        </w:rPr>
        <w:t>1）</w:t>
      </w:r>
      <w:r>
        <w:rPr>
          <w:rFonts w:hint="eastAsia" w:ascii="仿宋" w:hAnsi="仿宋" w:eastAsia="仿宋" w:cs="仿宋"/>
          <w:color w:val="auto"/>
          <w:kern w:val="0"/>
          <w:szCs w:val="21"/>
          <w:highlight w:val="none"/>
          <w:lang w:bidi="ar"/>
        </w:rPr>
        <w:t>提供重特大案件服务不少于10次，</w:t>
      </w:r>
      <w:r>
        <w:rPr>
          <w:rFonts w:hint="eastAsia" w:ascii="仿宋" w:hAnsi="仿宋" w:eastAsia="仿宋"/>
          <w:color w:val="auto"/>
          <w:szCs w:val="21"/>
          <w:highlight w:val="none"/>
        </w:rPr>
        <w:t>输出</w:t>
      </w:r>
      <w:r>
        <w:rPr>
          <w:rFonts w:ascii="仿宋" w:hAnsi="仿宋" w:eastAsia="仿宋"/>
          <w:color w:val="auto"/>
          <w:szCs w:val="21"/>
          <w:highlight w:val="none"/>
        </w:rPr>
        <w:t>B类分析报告</w:t>
      </w:r>
      <w:r>
        <w:rPr>
          <w:rFonts w:hint="eastAsia" w:ascii="仿宋" w:hAnsi="仿宋" w:eastAsia="仿宋"/>
          <w:color w:val="auto"/>
          <w:szCs w:val="21"/>
          <w:highlight w:val="none"/>
        </w:rPr>
        <w:t>不少于</w:t>
      </w:r>
      <w:r>
        <w:rPr>
          <w:rFonts w:ascii="仿宋" w:hAnsi="仿宋" w:eastAsia="仿宋"/>
          <w:color w:val="auto"/>
          <w:szCs w:val="21"/>
          <w:highlight w:val="none"/>
        </w:rPr>
        <w:t>2</w:t>
      </w:r>
      <w:r>
        <w:rPr>
          <w:rFonts w:hint="eastAsia" w:ascii="仿宋" w:hAnsi="仿宋" w:eastAsia="仿宋"/>
          <w:color w:val="auto"/>
          <w:szCs w:val="21"/>
          <w:highlight w:val="none"/>
          <w:lang w:val="en-US" w:eastAsia="zh-CN"/>
        </w:rPr>
        <w:t>0</w:t>
      </w:r>
      <w:r>
        <w:rPr>
          <w:rFonts w:hint="eastAsia" w:ascii="仿宋" w:hAnsi="仿宋" w:eastAsia="仿宋"/>
          <w:color w:val="auto"/>
          <w:szCs w:val="21"/>
          <w:highlight w:val="none"/>
        </w:rPr>
        <w:t>份；</w:t>
      </w:r>
    </w:p>
    <w:p w14:paraId="3827FE7C">
      <w:pPr>
        <w:numPr>
          <w:ilvl w:val="-1"/>
          <w:numId w:val="0"/>
        </w:numPr>
        <w:spacing w:line="360" w:lineRule="auto"/>
        <w:ind w:left="426" w:firstLine="0"/>
        <w:rPr>
          <w:rFonts w:ascii="仿宋" w:hAnsi="仿宋" w:eastAsia="仿宋"/>
          <w:color w:val="auto"/>
          <w:highlight w:val="none"/>
        </w:rPr>
      </w:pPr>
      <w:r>
        <w:rPr>
          <w:rFonts w:hint="eastAsia" w:ascii="仿宋" w:hAnsi="仿宋" w:eastAsia="仿宋"/>
          <w:color w:val="auto"/>
          <w:szCs w:val="21"/>
          <w:highlight w:val="none"/>
          <w:lang w:val="en-US" w:eastAsia="zh-CN"/>
        </w:rPr>
        <w:t>2）</w:t>
      </w:r>
      <w:r>
        <w:rPr>
          <w:rFonts w:hint="eastAsia" w:ascii="仿宋" w:hAnsi="仿宋" w:eastAsia="仿宋"/>
          <w:color w:val="auto"/>
          <w:szCs w:val="21"/>
          <w:highlight w:val="none"/>
        </w:rPr>
        <w:t>提供涉诈网站数据及线索分析服务不少于20次，输出</w:t>
      </w:r>
      <w:r>
        <w:rPr>
          <w:rFonts w:ascii="仿宋" w:hAnsi="仿宋" w:eastAsia="仿宋"/>
          <w:color w:val="auto"/>
          <w:szCs w:val="21"/>
          <w:highlight w:val="none"/>
        </w:rPr>
        <w:t>C类分析报告</w:t>
      </w:r>
      <w:r>
        <w:rPr>
          <w:rFonts w:hint="eastAsia" w:ascii="仿宋" w:hAnsi="仿宋" w:eastAsia="仿宋"/>
          <w:color w:val="auto"/>
          <w:szCs w:val="21"/>
          <w:highlight w:val="none"/>
        </w:rPr>
        <w:t>不少于</w:t>
      </w:r>
      <w:r>
        <w:rPr>
          <w:rFonts w:hint="eastAsia" w:ascii="仿宋" w:hAnsi="仿宋" w:eastAsia="仿宋"/>
          <w:color w:val="auto"/>
          <w:szCs w:val="21"/>
          <w:highlight w:val="none"/>
          <w:lang w:val="en-US" w:eastAsia="zh-CN"/>
        </w:rPr>
        <w:t>40</w:t>
      </w:r>
      <w:r>
        <w:rPr>
          <w:rFonts w:hint="eastAsia" w:ascii="仿宋" w:hAnsi="仿宋" w:eastAsia="仿宋"/>
          <w:color w:val="auto"/>
          <w:szCs w:val="21"/>
          <w:highlight w:val="none"/>
        </w:rPr>
        <w:t>份。</w:t>
      </w:r>
    </w:p>
    <w:bookmarkEnd w:id="31"/>
    <w:bookmarkEnd w:id="32"/>
    <w:p w14:paraId="729F8CEA">
      <w:pPr>
        <w:pStyle w:val="5"/>
        <w:numPr>
          <w:ilvl w:val="0"/>
          <w:numId w:val="1"/>
        </w:numPr>
        <w:spacing w:line="360" w:lineRule="auto"/>
        <w:ind w:left="1140" w:hanging="720"/>
        <w:rPr>
          <w:rFonts w:ascii="仿宋" w:hAnsi="仿宋" w:eastAsia="仿宋" w:cs="仿宋"/>
          <w:color w:val="auto"/>
          <w:sz w:val="21"/>
          <w:szCs w:val="21"/>
          <w:highlight w:val="none"/>
        </w:rPr>
      </w:pPr>
      <w:r>
        <w:rPr>
          <w:rFonts w:hint="eastAsia" w:ascii="仿宋" w:hAnsi="仿宋" w:eastAsia="仿宋" w:cs="仿宋"/>
          <w:color w:val="auto"/>
          <w:sz w:val="21"/>
          <w:szCs w:val="21"/>
          <w:highlight w:val="none"/>
        </w:rPr>
        <w:t>资金智能查控服务</w:t>
      </w:r>
    </w:p>
    <w:p w14:paraId="1AFD8FB1">
      <w:pPr>
        <w:spacing w:line="360" w:lineRule="auto"/>
        <w:ind w:firstLine="420" w:firstLineChars="200"/>
        <w:rPr>
          <w:rFonts w:ascii="仿宋" w:hAnsi="仿宋" w:eastAsia="仿宋"/>
          <w:color w:val="auto"/>
          <w:szCs w:val="21"/>
          <w:highlight w:val="none"/>
        </w:rPr>
      </w:pPr>
      <w:r>
        <w:rPr>
          <w:rFonts w:hint="eastAsia" w:ascii="仿宋" w:hAnsi="仿宋" w:eastAsia="仿宋"/>
          <w:color w:val="auto"/>
          <w:szCs w:val="21"/>
          <w:highlight w:val="none"/>
        </w:rPr>
        <w:t>1、服务要求</w:t>
      </w:r>
    </w:p>
    <w:p w14:paraId="28168982">
      <w:pPr>
        <w:spacing w:line="360" w:lineRule="auto"/>
        <w:ind w:firstLine="420" w:firstLineChars="200"/>
        <w:rPr>
          <w:rFonts w:hint="eastAsia" w:ascii="仿宋" w:hAnsi="仿宋" w:eastAsia="仿宋"/>
          <w:color w:val="auto"/>
          <w:szCs w:val="21"/>
          <w:highlight w:val="none"/>
        </w:rPr>
      </w:pPr>
      <w:r>
        <w:rPr>
          <w:rFonts w:hint="eastAsia" w:ascii="仿宋" w:hAnsi="仿宋" w:eastAsia="仿宋"/>
          <w:color w:val="auto"/>
          <w:szCs w:val="21"/>
          <w:highlight w:val="none"/>
        </w:rPr>
        <w:t>提供涉网</w:t>
      </w:r>
      <w:r>
        <w:rPr>
          <w:rFonts w:ascii="仿宋" w:hAnsi="仿宋" w:eastAsia="仿宋"/>
          <w:color w:val="auto"/>
          <w:szCs w:val="21"/>
          <w:highlight w:val="none"/>
        </w:rPr>
        <w:t>犯罪资金</w:t>
      </w:r>
      <w:r>
        <w:rPr>
          <w:rFonts w:hint="eastAsia" w:ascii="仿宋" w:hAnsi="仿宋" w:eastAsia="仿宋"/>
          <w:color w:val="auto"/>
          <w:szCs w:val="21"/>
          <w:highlight w:val="none"/>
        </w:rPr>
        <w:t>账户自主快速</w:t>
      </w:r>
      <w:r>
        <w:rPr>
          <w:rFonts w:ascii="仿宋" w:hAnsi="仿宋" w:eastAsia="仿宋"/>
          <w:color w:val="auto"/>
          <w:szCs w:val="21"/>
          <w:highlight w:val="none"/>
        </w:rPr>
        <w:t>查询，</w:t>
      </w:r>
      <w:r>
        <w:rPr>
          <w:rFonts w:hint="eastAsia" w:ascii="仿宋" w:hAnsi="仿宋" w:eastAsia="仿宋"/>
          <w:color w:val="auto"/>
          <w:szCs w:val="21"/>
          <w:highlight w:val="none"/>
        </w:rPr>
        <w:t>实现资金侧预警自动下载，对预警对象全国主流资金账户自动查询，自动形成全量首轮保护性止付法律文书，实现自动提交部平台，并保护性止付自动延续至30天，能形成止付资金流分析图表，接警后可实现一键止付。</w:t>
      </w:r>
    </w:p>
    <w:p w14:paraId="78ED0161">
      <w:pPr>
        <w:spacing w:line="360" w:lineRule="auto"/>
        <w:ind w:firstLine="420" w:firstLineChars="200"/>
        <w:rPr>
          <w:rFonts w:hint="eastAsia" w:ascii="仿宋" w:hAnsi="仿宋" w:eastAsia="仿宋"/>
          <w:color w:val="auto"/>
          <w:szCs w:val="21"/>
          <w:highlight w:val="none"/>
          <w:lang w:eastAsia="zh-CN"/>
        </w:rPr>
      </w:pPr>
      <w:r>
        <w:rPr>
          <w:rFonts w:hint="eastAsia" w:ascii="仿宋" w:hAnsi="仿宋" w:eastAsia="仿宋"/>
          <w:color w:val="auto"/>
          <w:szCs w:val="21"/>
          <w:highlight w:val="none"/>
          <w:lang w:eastAsia="zh-CN"/>
        </w:rPr>
        <w:t>提供虚拟货币资金智能多币多链关联分析。</w:t>
      </w:r>
    </w:p>
    <w:p w14:paraId="6064C143">
      <w:pPr>
        <w:spacing w:line="360" w:lineRule="auto"/>
        <w:ind w:firstLine="420" w:firstLineChars="200"/>
        <w:rPr>
          <w:rFonts w:ascii="仿宋" w:hAnsi="仿宋" w:eastAsia="仿宋"/>
          <w:color w:val="auto"/>
          <w:szCs w:val="21"/>
          <w:highlight w:val="none"/>
        </w:rPr>
      </w:pPr>
      <w:r>
        <w:rPr>
          <w:rFonts w:hint="eastAsia" w:ascii="仿宋" w:hAnsi="仿宋" w:eastAsia="仿宋"/>
          <w:color w:val="auto"/>
          <w:szCs w:val="21"/>
          <w:highlight w:val="none"/>
        </w:rPr>
        <w:t>2、服务内容</w:t>
      </w:r>
    </w:p>
    <w:p w14:paraId="32EC3B06">
      <w:pPr>
        <w:spacing w:line="360" w:lineRule="auto"/>
        <w:ind w:firstLine="420" w:firstLineChars="200"/>
        <w:rPr>
          <w:rFonts w:ascii="仿宋" w:hAnsi="仿宋" w:eastAsia="仿宋"/>
          <w:color w:val="auto"/>
          <w:szCs w:val="21"/>
          <w:highlight w:val="none"/>
        </w:rPr>
      </w:pPr>
      <w:r>
        <w:rPr>
          <w:rFonts w:hint="eastAsia" w:ascii="仿宋" w:hAnsi="仿宋" w:eastAsia="仿宋"/>
          <w:color w:val="auto"/>
          <w:szCs w:val="21"/>
          <w:highlight w:val="none"/>
        </w:rPr>
        <w:t>2.1资金</w:t>
      </w:r>
      <w:r>
        <w:rPr>
          <w:rFonts w:ascii="仿宋" w:hAnsi="仿宋" w:eastAsia="仿宋"/>
          <w:color w:val="auto"/>
          <w:szCs w:val="21"/>
          <w:highlight w:val="none"/>
        </w:rPr>
        <w:t>查控服务</w:t>
      </w:r>
    </w:p>
    <w:p w14:paraId="205DBED5">
      <w:pPr>
        <w:spacing w:line="360" w:lineRule="auto"/>
        <w:ind w:firstLine="420" w:firstLineChars="200"/>
        <w:rPr>
          <w:rFonts w:hint="eastAsia" w:ascii="仿宋" w:hAnsi="仿宋" w:eastAsia="仿宋"/>
          <w:color w:val="auto"/>
          <w:szCs w:val="21"/>
          <w:highlight w:val="none"/>
        </w:rPr>
      </w:pPr>
      <w:r>
        <w:rPr>
          <w:rFonts w:hint="eastAsia" w:ascii="仿宋" w:hAnsi="仿宋" w:eastAsia="仿宋"/>
          <w:color w:val="auto"/>
          <w:szCs w:val="21"/>
          <w:highlight w:val="none"/>
        </w:rPr>
        <w:t>能提供涉网犯罪资金账户自主快速查询，</w:t>
      </w:r>
      <w:r>
        <w:rPr>
          <w:rFonts w:ascii="仿宋" w:hAnsi="仿宋" w:eastAsia="仿宋"/>
          <w:color w:val="auto"/>
          <w:szCs w:val="21"/>
          <w:highlight w:val="none"/>
        </w:rPr>
        <w:t>生成查询</w:t>
      </w:r>
      <w:r>
        <w:rPr>
          <w:rFonts w:hint="eastAsia" w:ascii="仿宋" w:hAnsi="仿宋" w:eastAsia="仿宋"/>
          <w:color w:val="auto"/>
          <w:szCs w:val="21"/>
          <w:highlight w:val="none"/>
        </w:rPr>
        <w:t>逻辑图、查询逻辑表、资金智能查控、资金流分析、资金流向分析模型等</w:t>
      </w:r>
      <w:r>
        <w:rPr>
          <w:rFonts w:hint="eastAsia" w:ascii="仿宋" w:hAnsi="仿宋" w:eastAsia="仿宋"/>
          <w:color w:val="auto"/>
          <w:szCs w:val="21"/>
          <w:highlight w:val="none"/>
          <w:lang w:val="en-US" w:eastAsia="zh-CN"/>
        </w:rPr>
        <w:t>,</w:t>
      </w:r>
      <w:r>
        <w:rPr>
          <w:rFonts w:hint="eastAsia" w:ascii="仿宋" w:hAnsi="仿宋" w:eastAsia="仿宋"/>
          <w:color w:val="auto"/>
          <w:szCs w:val="21"/>
          <w:highlight w:val="none"/>
          <w:lang w:val="en-US" w:eastAsia="zh-CN"/>
        </w:rPr>
        <w:t>含法定货币、虚拟货币等</w:t>
      </w:r>
      <w:r>
        <w:rPr>
          <w:rFonts w:hint="eastAsia" w:ascii="仿宋" w:hAnsi="仿宋" w:eastAsia="仿宋"/>
          <w:color w:val="auto"/>
          <w:szCs w:val="21"/>
          <w:highlight w:val="none"/>
        </w:rPr>
        <w:t>。</w:t>
      </w:r>
    </w:p>
    <w:p w14:paraId="6CE1B960">
      <w:pPr>
        <w:spacing w:line="360" w:lineRule="auto"/>
        <w:ind w:firstLine="420" w:firstLineChars="200"/>
        <w:rPr>
          <w:rFonts w:ascii="仿宋" w:hAnsi="仿宋" w:eastAsia="仿宋"/>
          <w:color w:val="auto"/>
          <w:szCs w:val="21"/>
          <w:highlight w:val="none"/>
        </w:rPr>
      </w:pPr>
      <w:r>
        <w:rPr>
          <w:rFonts w:hint="eastAsia" w:ascii="仿宋" w:hAnsi="仿宋" w:eastAsia="仿宋"/>
          <w:color w:val="auto"/>
          <w:szCs w:val="21"/>
          <w:highlight w:val="none"/>
        </w:rPr>
        <w:t>通过涉网电诈案件模型对案件相关指标进行链上全貌完整刻画，精准锁定可调证目标，并注明对应调证指引信息一键生成调证函。</w:t>
      </w:r>
    </w:p>
    <w:p w14:paraId="5CF8557E">
      <w:pPr>
        <w:spacing w:line="360" w:lineRule="auto"/>
        <w:ind w:firstLine="420" w:firstLineChars="200"/>
        <w:rPr>
          <w:rFonts w:ascii="仿宋" w:hAnsi="仿宋" w:eastAsia="仿宋"/>
          <w:color w:val="auto"/>
          <w:szCs w:val="21"/>
          <w:highlight w:val="none"/>
        </w:rPr>
      </w:pPr>
      <w:r>
        <w:rPr>
          <w:rFonts w:ascii="仿宋" w:hAnsi="仿宋" w:eastAsia="仿宋"/>
          <w:color w:val="auto"/>
          <w:szCs w:val="21"/>
          <w:highlight w:val="none"/>
        </w:rPr>
        <w:t>2.2</w:t>
      </w:r>
      <w:r>
        <w:rPr>
          <w:rFonts w:hint="eastAsia" w:ascii="仿宋" w:hAnsi="仿宋" w:eastAsia="仿宋"/>
          <w:color w:val="auto"/>
          <w:szCs w:val="21"/>
          <w:highlight w:val="none"/>
        </w:rPr>
        <w:t>智能止付</w:t>
      </w:r>
      <w:r>
        <w:rPr>
          <w:rFonts w:ascii="仿宋" w:hAnsi="仿宋" w:eastAsia="仿宋"/>
          <w:color w:val="auto"/>
          <w:szCs w:val="21"/>
          <w:highlight w:val="none"/>
        </w:rPr>
        <w:t>服务</w:t>
      </w:r>
    </w:p>
    <w:p w14:paraId="39D87BB7">
      <w:pPr>
        <w:spacing w:line="360" w:lineRule="auto"/>
        <w:ind w:firstLine="420" w:firstLineChars="200"/>
        <w:rPr>
          <w:rFonts w:ascii="仿宋" w:hAnsi="仿宋" w:eastAsia="仿宋"/>
          <w:color w:val="auto"/>
          <w:szCs w:val="21"/>
          <w:highlight w:val="none"/>
        </w:rPr>
      </w:pPr>
      <w:r>
        <w:rPr>
          <w:rFonts w:hint="eastAsia" w:ascii="仿宋" w:hAnsi="仿宋" w:eastAsia="仿宋"/>
          <w:color w:val="auto"/>
          <w:szCs w:val="21"/>
          <w:highlight w:val="none"/>
        </w:rPr>
        <w:t>能提供预警对象智能止付、警情统计、智能止付、接警接口管理、案件与警情单关联、止付资金流表、止付资金流图、止付冻结报告等。</w:t>
      </w:r>
    </w:p>
    <w:p w14:paraId="315E7076">
      <w:pPr>
        <w:spacing w:line="360" w:lineRule="auto"/>
        <w:ind w:firstLine="420" w:firstLineChars="200"/>
        <w:rPr>
          <w:rFonts w:ascii="仿宋" w:hAnsi="仿宋" w:eastAsia="仿宋"/>
          <w:color w:val="auto"/>
          <w:szCs w:val="21"/>
          <w:highlight w:val="none"/>
        </w:rPr>
      </w:pPr>
      <w:r>
        <w:rPr>
          <w:rFonts w:ascii="仿宋" w:hAnsi="仿宋" w:eastAsia="仿宋"/>
          <w:color w:val="auto"/>
          <w:szCs w:val="21"/>
          <w:highlight w:val="none"/>
        </w:rPr>
        <w:t>2.3</w:t>
      </w:r>
      <w:r>
        <w:rPr>
          <w:rFonts w:hint="eastAsia" w:ascii="仿宋" w:hAnsi="仿宋" w:eastAsia="仿宋"/>
          <w:color w:val="auto"/>
          <w:szCs w:val="21"/>
          <w:highlight w:val="none"/>
        </w:rPr>
        <w:t>保护性</w:t>
      </w:r>
      <w:r>
        <w:rPr>
          <w:rFonts w:ascii="仿宋" w:hAnsi="仿宋" w:eastAsia="仿宋"/>
          <w:color w:val="auto"/>
          <w:szCs w:val="21"/>
          <w:highlight w:val="none"/>
        </w:rPr>
        <w:t>止付服务</w:t>
      </w:r>
    </w:p>
    <w:p w14:paraId="3EB26A5D">
      <w:pPr>
        <w:spacing w:line="360" w:lineRule="auto"/>
        <w:ind w:firstLine="420" w:firstLineChars="200"/>
        <w:rPr>
          <w:rFonts w:hint="eastAsia" w:ascii="仿宋" w:hAnsi="仿宋" w:eastAsia="仿宋"/>
          <w:color w:val="auto"/>
          <w:szCs w:val="21"/>
          <w:highlight w:val="none"/>
          <w:lang w:eastAsia="zh-CN"/>
        </w:rPr>
      </w:pPr>
      <w:r>
        <w:rPr>
          <w:rFonts w:hint="eastAsia" w:ascii="仿宋" w:hAnsi="仿宋" w:eastAsia="仿宋"/>
          <w:color w:val="auto"/>
          <w:szCs w:val="21"/>
          <w:highlight w:val="none"/>
        </w:rPr>
        <w:t>能实现对预警对象保护性止付、资金预警全量首轮保护性止付自动提交、资金预警全量首轮保护性止付自动审核等。</w:t>
      </w:r>
    </w:p>
    <w:p w14:paraId="460E2B11">
      <w:pPr>
        <w:spacing w:line="360" w:lineRule="auto"/>
        <w:ind w:firstLine="420" w:firstLineChars="200"/>
        <w:rPr>
          <w:rFonts w:ascii="仿宋" w:hAnsi="仿宋" w:eastAsia="仿宋"/>
          <w:color w:val="auto"/>
          <w:szCs w:val="21"/>
          <w:highlight w:val="none"/>
        </w:rPr>
      </w:pPr>
      <w:r>
        <w:rPr>
          <w:rFonts w:hint="eastAsia" w:ascii="仿宋" w:hAnsi="仿宋" w:eastAsia="仿宋"/>
          <w:color w:val="auto"/>
          <w:szCs w:val="21"/>
          <w:highlight w:val="none"/>
        </w:rPr>
        <w:t>3、服务交付物</w:t>
      </w:r>
    </w:p>
    <w:p w14:paraId="6C44D0BD">
      <w:pPr>
        <w:spacing w:line="360" w:lineRule="auto"/>
        <w:ind w:firstLine="420" w:firstLineChars="200"/>
        <w:rPr>
          <w:rFonts w:ascii="仿宋" w:hAnsi="仿宋" w:eastAsia="仿宋"/>
          <w:color w:val="auto"/>
          <w:szCs w:val="21"/>
          <w:highlight w:val="none"/>
        </w:rPr>
      </w:pPr>
      <w:bookmarkStart w:id="33" w:name="_Hlk153806048"/>
      <w:r>
        <w:rPr>
          <w:rFonts w:hint="eastAsia" w:ascii="仿宋" w:hAnsi="仿宋" w:eastAsia="仿宋"/>
          <w:color w:val="auto"/>
          <w:szCs w:val="21"/>
          <w:highlight w:val="none"/>
        </w:rPr>
        <w:t>1）资金查控服务输出</w:t>
      </w:r>
      <w:r>
        <w:rPr>
          <w:rFonts w:ascii="仿宋" w:hAnsi="仿宋" w:eastAsia="仿宋"/>
          <w:color w:val="auto"/>
          <w:szCs w:val="21"/>
          <w:highlight w:val="none"/>
        </w:rPr>
        <w:t>C类分析报告</w:t>
      </w:r>
      <w:r>
        <w:rPr>
          <w:rFonts w:hint="eastAsia" w:ascii="仿宋" w:hAnsi="仿宋" w:eastAsia="仿宋"/>
          <w:color w:val="auto"/>
          <w:szCs w:val="21"/>
          <w:highlight w:val="none"/>
        </w:rPr>
        <w:t>不少于</w:t>
      </w:r>
      <w:r>
        <w:rPr>
          <w:rFonts w:hint="eastAsia" w:ascii="仿宋" w:hAnsi="仿宋" w:eastAsia="仿宋"/>
          <w:color w:val="auto"/>
          <w:szCs w:val="21"/>
          <w:highlight w:val="none"/>
          <w:lang w:val="en-US" w:eastAsia="zh-CN"/>
        </w:rPr>
        <w:t>2</w:t>
      </w:r>
      <w:r>
        <w:rPr>
          <w:rFonts w:hint="eastAsia" w:ascii="仿宋" w:hAnsi="仿宋" w:eastAsia="仿宋"/>
          <w:color w:val="auto"/>
          <w:szCs w:val="21"/>
          <w:highlight w:val="none"/>
        </w:rPr>
        <w:t>份；</w:t>
      </w:r>
    </w:p>
    <w:p w14:paraId="32375F96">
      <w:pPr>
        <w:spacing w:line="360" w:lineRule="auto"/>
        <w:ind w:firstLine="420" w:firstLineChars="200"/>
        <w:rPr>
          <w:rFonts w:ascii="仿宋" w:hAnsi="仿宋" w:eastAsia="仿宋"/>
          <w:color w:val="auto"/>
          <w:szCs w:val="21"/>
          <w:highlight w:val="none"/>
        </w:rPr>
      </w:pPr>
      <w:r>
        <w:rPr>
          <w:rFonts w:hint="eastAsia" w:ascii="仿宋" w:hAnsi="仿宋" w:eastAsia="仿宋"/>
          <w:color w:val="auto"/>
          <w:szCs w:val="21"/>
          <w:highlight w:val="none"/>
        </w:rPr>
        <w:t>2）智能止付服务输出</w:t>
      </w:r>
      <w:r>
        <w:rPr>
          <w:rFonts w:ascii="仿宋" w:hAnsi="仿宋" w:eastAsia="仿宋"/>
          <w:color w:val="auto"/>
          <w:szCs w:val="21"/>
          <w:highlight w:val="none"/>
        </w:rPr>
        <w:t>C类分析报告</w:t>
      </w:r>
      <w:r>
        <w:rPr>
          <w:rFonts w:hint="eastAsia" w:ascii="仿宋" w:hAnsi="仿宋" w:eastAsia="仿宋"/>
          <w:color w:val="auto"/>
          <w:szCs w:val="21"/>
          <w:highlight w:val="none"/>
        </w:rPr>
        <w:t>不少于</w:t>
      </w:r>
      <w:r>
        <w:rPr>
          <w:rFonts w:hint="eastAsia" w:ascii="仿宋" w:hAnsi="仿宋" w:eastAsia="仿宋"/>
          <w:color w:val="auto"/>
          <w:szCs w:val="21"/>
          <w:highlight w:val="none"/>
          <w:lang w:val="en-US" w:eastAsia="zh-CN"/>
        </w:rPr>
        <w:t>2</w:t>
      </w:r>
      <w:r>
        <w:rPr>
          <w:rFonts w:hint="eastAsia" w:ascii="仿宋" w:hAnsi="仿宋" w:eastAsia="仿宋"/>
          <w:color w:val="auto"/>
          <w:szCs w:val="21"/>
          <w:highlight w:val="none"/>
        </w:rPr>
        <w:t>份；</w:t>
      </w:r>
    </w:p>
    <w:p w14:paraId="38C2AFEB">
      <w:pPr>
        <w:spacing w:line="360" w:lineRule="auto"/>
        <w:ind w:firstLine="420" w:firstLineChars="200"/>
        <w:rPr>
          <w:rFonts w:hint="eastAsia" w:ascii="仿宋" w:hAnsi="仿宋" w:eastAsia="仿宋"/>
          <w:color w:val="auto"/>
          <w:szCs w:val="21"/>
          <w:highlight w:val="none"/>
        </w:rPr>
      </w:pPr>
      <w:r>
        <w:rPr>
          <w:rFonts w:ascii="仿宋" w:hAnsi="仿宋" w:eastAsia="仿宋"/>
          <w:color w:val="auto"/>
          <w:szCs w:val="21"/>
          <w:highlight w:val="none"/>
        </w:rPr>
        <w:t>3</w:t>
      </w:r>
      <w:r>
        <w:rPr>
          <w:rFonts w:hint="eastAsia" w:ascii="仿宋" w:hAnsi="仿宋" w:eastAsia="仿宋"/>
          <w:color w:val="auto"/>
          <w:szCs w:val="21"/>
          <w:highlight w:val="none"/>
        </w:rPr>
        <w:t>）保护性止付服务输出</w:t>
      </w:r>
      <w:r>
        <w:rPr>
          <w:rFonts w:ascii="仿宋" w:hAnsi="仿宋" w:eastAsia="仿宋"/>
          <w:color w:val="auto"/>
          <w:szCs w:val="21"/>
          <w:highlight w:val="none"/>
        </w:rPr>
        <w:t>C类分析报告</w:t>
      </w:r>
      <w:r>
        <w:rPr>
          <w:rFonts w:hint="eastAsia" w:ascii="仿宋" w:hAnsi="仿宋" w:eastAsia="仿宋"/>
          <w:color w:val="auto"/>
          <w:szCs w:val="21"/>
          <w:highlight w:val="none"/>
        </w:rPr>
        <w:t>不少于</w:t>
      </w:r>
      <w:r>
        <w:rPr>
          <w:rFonts w:hint="eastAsia" w:ascii="仿宋" w:hAnsi="仿宋" w:eastAsia="仿宋"/>
          <w:color w:val="auto"/>
          <w:szCs w:val="21"/>
          <w:highlight w:val="none"/>
          <w:lang w:val="en-US" w:eastAsia="zh-CN"/>
        </w:rPr>
        <w:t>5</w:t>
      </w:r>
      <w:r>
        <w:rPr>
          <w:rFonts w:hint="eastAsia" w:ascii="仿宋" w:hAnsi="仿宋" w:eastAsia="仿宋"/>
          <w:color w:val="auto"/>
          <w:szCs w:val="21"/>
          <w:highlight w:val="none"/>
        </w:rPr>
        <w:t>份。</w:t>
      </w:r>
    </w:p>
    <w:bookmarkEnd w:id="33"/>
    <w:p w14:paraId="0AF55B08">
      <w:pPr>
        <w:pStyle w:val="5"/>
        <w:numPr>
          <w:ilvl w:val="0"/>
          <w:numId w:val="1"/>
        </w:numPr>
        <w:spacing w:line="360" w:lineRule="auto"/>
        <w:ind w:left="1140" w:hanging="720"/>
        <w:rPr>
          <w:rFonts w:ascii="仿宋" w:hAnsi="仿宋" w:eastAsia="仿宋" w:cs="仿宋"/>
          <w:color w:val="auto"/>
          <w:sz w:val="21"/>
          <w:szCs w:val="21"/>
          <w:highlight w:val="none"/>
        </w:rPr>
      </w:pPr>
      <w:r>
        <w:rPr>
          <w:rFonts w:hint="eastAsia" w:ascii="仿宋" w:hAnsi="仿宋" w:eastAsia="仿宋" w:cs="仿宋"/>
          <w:color w:val="auto"/>
          <w:sz w:val="21"/>
          <w:szCs w:val="21"/>
          <w:highlight w:val="none"/>
        </w:rPr>
        <w:t>涉网诈骗预感探测数据服务</w:t>
      </w:r>
    </w:p>
    <w:p w14:paraId="5A9810B6">
      <w:pPr>
        <w:spacing w:line="360" w:lineRule="auto"/>
        <w:ind w:firstLine="420" w:firstLineChars="200"/>
        <w:rPr>
          <w:rFonts w:ascii="仿宋" w:hAnsi="仿宋" w:eastAsia="仿宋"/>
          <w:color w:val="auto"/>
          <w:szCs w:val="21"/>
          <w:highlight w:val="none"/>
        </w:rPr>
      </w:pPr>
      <w:bookmarkStart w:id="34" w:name="_Hlk151972054"/>
      <w:r>
        <w:rPr>
          <w:rFonts w:hint="eastAsia" w:ascii="仿宋" w:hAnsi="仿宋" w:eastAsia="仿宋"/>
          <w:color w:val="auto"/>
          <w:szCs w:val="21"/>
          <w:highlight w:val="none"/>
        </w:rPr>
        <w:t>1、服务内容</w:t>
      </w:r>
    </w:p>
    <w:p w14:paraId="35881D67">
      <w:pPr>
        <w:spacing w:line="360" w:lineRule="auto"/>
        <w:ind w:firstLine="420" w:firstLineChars="200"/>
        <w:rPr>
          <w:rFonts w:ascii="仿宋" w:hAnsi="仿宋" w:eastAsia="仿宋"/>
          <w:color w:val="auto"/>
          <w:szCs w:val="21"/>
          <w:highlight w:val="none"/>
        </w:rPr>
      </w:pPr>
      <w:r>
        <w:rPr>
          <w:rFonts w:hint="eastAsia" w:ascii="仿宋" w:hAnsi="仿宋" w:eastAsia="仿宋"/>
          <w:color w:val="auto"/>
          <w:szCs w:val="21"/>
          <w:highlight w:val="none"/>
        </w:rPr>
        <w:t>通过大数据感知电信网络诈骗违法犯罪的新特点、新动向，探测具有涉诈特征的网站、</w:t>
      </w:r>
      <w:r>
        <w:rPr>
          <w:rFonts w:ascii="仿宋" w:hAnsi="仿宋" w:eastAsia="仿宋"/>
          <w:color w:val="auto"/>
          <w:szCs w:val="21"/>
          <w:highlight w:val="none"/>
        </w:rPr>
        <w:t>APP</w:t>
      </w:r>
      <w:r>
        <w:rPr>
          <w:rFonts w:hint="eastAsia" w:ascii="仿宋" w:hAnsi="仿宋" w:eastAsia="仿宋"/>
          <w:color w:val="auto"/>
          <w:szCs w:val="21"/>
          <w:highlight w:val="none"/>
        </w:rPr>
        <w:t>、电话、</w:t>
      </w:r>
      <w:r>
        <w:rPr>
          <w:rFonts w:ascii="仿宋" w:hAnsi="仿宋" w:eastAsia="仿宋"/>
          <w:color w:val="auto"/>
          <w:szCs w:val="21"/>
          <w:highlight w:val="none"/>
        </w:rPr>
        <w:t>银行</w:t>
      </w:r>
      <w:r>
        <w:rPr>
          <w:rFonts w:hint="eastAsia" w:ascii="仿宋" w:hAnsi="仿宋" w:eastAsia="仿宋"/>
          <w:color w:val="auto"/>
          <w:szCs w:val="21"/>
          <w:highlight w:val="none"/>
        </w:rPr>
        <w:t>等数据，抓取用于诈骗的</w:t>
      </w:r>
      <w:r>
        <w:rPr>
          <w:rFonts w:ascii="仿宋" w:hAnsi="仿宋" w:eastAsia="仿宋"/>
          <w:color w:val="auto"/>
          <w:szCs w:val="21"/>
          <w:highlight w:val="none"/>
        </w:rPr>
        <w:t>VOIP</w:t>
      </w:r>
      <w:r>
        <w:rPr>
          <w:rFonts w:hint="eastAsia" w:ascii="仿宋" w:hAnsi="仿宋" w:eastAsia="仿宋"/>
          <w:color w:val="auto"/>
          <w:szCs w:val="21"/>
          <w:highlight w:val="none"/>
        </w:rPr>
        <w:t>、</w:t>
      </w:r>
      <w:r>
        <w:rPr>
          <w:rFonts w:ascii="仿宋" w:hAnsi="仿宋" w:eastAsia="仿宋"/>
          <w:color w:val="auto"/>
          <w:szCs w:val="21"/>
          <w:highlight w:val="none"/>
        </w:rPr>
        <w:t>GOIP</w:t>
      </w:r>
      <w:r>
        <w:rPr>
          <w:rFonts w:hint="eastAsia" w:ascii="仿宋" w:hAnsi="仿宋" w:eastAsia="仿宋"/>
          <w:color w:val="auto"/>
          <w:szCs w:val="21"/>
          <w:highlight w:val="none"/>
        </w:rPr>
        <w:t>电话及涉网</w:t>
      </w:r>
      <w:r>
        <w:rPr>
          <w:rFonts w:ascii="仿宋" w:hAnsi="仿宋" w:eastAsia="仿宋"/>
          <w:color w:val="auto"/>
          <w:szCs w:val="21"/>
          <w:highlight w:val="none"/>
        </w:rPr>
        <w:t>犯罪关联</w:t>
      </w:r>
      <w:r>
        <w:rPr>
          <w:rFonts w:hint="eastAsia" w:ascii="仿宋" w:hAnsi="仿宋" w:eastAsia="仿宋"/>
          <w:color w:val="auto"/>
          <w:szCs w:val="21"/>
          <w:highlight w:val="none"/>
        </w:rPr>
        <w:t>银行卡</w:t>
      </w:r>
      <w:r>
        <w:rPr>
          <w:rFonts w:ascii="仿宋" w:hAnsi="仿宋" w:eastAsia="仿宋"/>
          <w:color w:val="auto"/>
          <w:szCs w:val="21"/>
          <w:highlight w:val="none"/>
        </w:rPr>
        <w:t>等</w:t>
      </w:r>
      <w:r>
        <w:rPr>
          <w:rFonts w:hint="eastAsia" w:ascii="仿宋" w:hAnsi="仿宋" w:eastAsia="仿宋"/>
          <w:color w:val="auto"/>
          <w:szCs w:val="21"/>
          <w:highlight w:val="none"/>
        </w:rPr>
        <w:t>其它电信网络技术数据信息，及时收集更新黑样本库，精准发现本地潜在受害人和</w:t>
      </w:r>
      <w:r>
        <w:rPr>
          <w:rFonts w:ascii="仿宋" w:hAnsi="仿宋" w:eastAsia="仿宋"/>
          <w:color w:val="auto"/>
          <w:szCs w:val="21"/>
          <w:highlight w:val="none"/>
        </w:rPr>
        <w:t>其他可疑人员</w:t>
      </w:r>
      <w:r>
        <w:rPr>
          <w:rFonts w:hint="eastAsia" w:ascii="仿宋" w:hAnsi="仿宋" w:eastAsia="仿宋"/>
          <w:color w:val="auto"/>
          <w:szCs w:val="21"/>
          <w:highlight w:val="none"/>
        </w:rPr>
        <w:t>。支持数据端口接入，将数据信息推送至采购单位开展侦防工作，以便于采购人统计分析，提供数据端口维护服务。在数据完整度上，要求提供预感数据的涉诈类型、等级信息，为下步工作提供有效支撑。在数据时效性上，要求提升感知敏锐度，数据推送在被害人（潜在被害人）被骗转账之前。在数据精准度上，要求数据有效率在</w:t>
      </w:r>
      <w:r>
        <w:rPr>
          <w:rFonts w:ascii="仿宋" w:hAnsi="仿宋" w:eastAsia="仿宋"/>
          <w:color w:val="auto"/>
          <w:szCs w:val="21"/>
          <w:highlight w:val="none"/>
        </w:rPr>
        <w:t>60%</w:t>
      </w:r>
      <w:r>
        <w:rPr>
          <w:rFonts w:hint="eastAsia" w:ascii="仿宋" w:hAnsi="仿宋" w:eastAsia="仿宋"/>
          <w:color w:val="auto"/>
          <w:szCs w:val="21"/>
          <w:highlight w:val="none"/>
        </w:rPr>
        <w:t>以上，即经与潜在受害人确认，因未触及涉诈行为或数据推送在已被骗转账之后的数据不超过</w:t>
      </w:r>
      <w:r>
        <w:rPr>
          <w:rFonts w:ascii="仿宋" w:hAnsi="仿宋" w:eastAsia="仿宋"/>
          <w:color w:val="auto"/>
          <w:szCs w:val="21"/>
          <w:highlight w:val="none"/>
        </w:rPr>
        <w:t>40%</w:t>
      </w:r>
      <w:r>
        <w:rPr>
          <w:rFonts w:hint="eastAsia" w:ascii="仿宋" w:hAnsi="仿宋" w:eastAsia="仿宋"/>
          <w:color w:val="auto"/>
          <w:szCs w:val="21"/>
          <w:highlight w:val="none"/>
        </w:rPr>
        <w:t>。</w:t>
      </w:r>
    </w:p>
    <w:p w14:paraId="0730A2E9">
      <w:pPr>
        <w:spacing w:line="360" w:lineRule="auto"/>
        <w:ind w:firstLine="420" w:firstLineChars="200"/>
        <w:rPr>
          <w:rFonts w:ascii="仿宋" w:hAnsi="仿宋" w:eastAsia="仿宋"/>
          <w:color w:val="auto"/>
          <w:szCs w:val="21"/>
          <w:highlight w:val="none"/>
        </w:rPr>
      </w:pPr>
      <w:r>
        <w:rPr>
          <w:rFonts w:hint="eastAsia" w:ascii="仿宋" w:hAnsi="仿宋" w:eastAsia="仿宋"/>
          <w:color w:val="auto"/>
          <w:szCs w:val="21"/>
          <w:highlight w:val="none"/>
        </w:rPr>
        <w:t>2、服务交付物</w:t>
      </w:r>
    </w:p>
    <w:p w14:paraId="1B17C3F3">
      <w:pPr>
        <w:spacing w:line="360" w:lineRule="auto"/>
        <w:ind w:firstLine="420" w:firstLineChars="200"/>
        <w:rPr>
          <w:rFonts w:ascii="仿宋" w:hAnsi="仿宋" w:eastAsia="仿宋"/>
          <w:color w:val="auto"/>
          <w:szCs w:val="21"/>
          <w:highlight w:val="none"/>
        </w:rPr>
      </w:pPr>
      <w:bookmarkStart w:id="35" w:name="_Hlk153806029"/>
      <w:r>
        <w:rPr>
          <w:rFonts w:hint="eastAsia" w:ascii="仿宋" w:hAnsi="仿宋" w:eastAsia="仿宋"/>
          <w:color w:val="auto"/>
          <w:szCs w:val="21"/>
          <w:highlight w:val="none"/>
        </w:rPr>
        <w:t>1）服务期内完成监测数据推送不少于</w:t>
      </w:r>
      <w:r>
        <w:rPr>
          <w:rFonts w:hint="eastAsia" w:ascii="仿宋" w:hAnsi="仿宋" w:eastAsia="仿宋"/>
          <w:color w:val="auto"/>
          <w:szCs w:val="21"/>
          <w:highlight w:val="none"/>
          <w:lang w:val="en-US" w:eastAsia="zh-CN"/>
        </w:rPr>
        <w:t>38</w:t>
      </w:r>
      <w:r>
        <w:rPr>
          <w:rFonts w:ascii="仿宋" w:hAnsi="仿宋" w:eastAsia="仿宋"/>
          <w:color w:val="auto"/>
          <w:szCs w:val="21"/>
          <w:highlight w:val="none"/>
        </w:rPr>
        <w:t>0000</w:t>
      </w:r>
      <w:r>
        <w:rPr>
          <w:rFonts w:hint="eastAsia" w:ascii="仿宋" w:hAnsi="仿宋" w:eastAsia="仿宋"/>
          <w:color w:val="auto"/>
          <w:szCs w:val="21"/>
          <w:highlight w:val="none"/>
        </w:rPr>
        <w:t>条。</w:t>
      </w:r>
    </w:p>
    <w:bookmarkEnd w:id="34"/>
    <w:bookmarkEnd w:id="35"/>
    <w:p w14:paraId="6C3AE0E3">
      <w:pPr>
        <w:pStyle w:val="5"/>
        <w:numPr>
          <w:ilvl w:val="0"/>
          <w:numId w:val="1"/>
        </w:numPr>
        <w:spacing w:line="360" w:lineRule="auto"/>
        <w:ind w:left="1140" w:hanging="720"/>
        <w:rPr>
          <w:rFonts w:ascii="仿宋" w:hAnsi="仿宋" w:eastAsia="仿宋" w:cs="仿宋"/>
          <w:color w:val="auto"/>
          <w:sz w:val="21"/>
          <w:szCs w:val="21"/>
          <w:highlight w:val="none"/>
        </w:rPr>
      </w:pPr>
      <w:r>
        <w:rPr>
          <w:rFonts w:hint="eastAsia" w:ascii="仿宋" w:hAnsi="仿宋" w:eastAsia="仿宋" w:cs="仿宋"/>
          <w:color w:val="auto"/>
          <w:sz w:val="21"/>
          <w:szCs w:val="21"/>
          <w:highlight w:val="none"/>
        </w:rPr>
        <w:t>涉网新型案件行为分析服务</w:t>
      </w:r>
    </w:p>
    <w:p w14:paraId="0F4B180B">
      <w:pPr>
        <w:spacing w:line="360" w:lineRule="auto"/>
        <w:ind w:firstLine="420" w:firstLineChars="200"/>
        <w:rPr>
          <w:rFonts w:ascii="仿宋" w:hAnsi="仿宋" w:eastAsia="仿宋"/>
          <w:color w:val="auto"/>
          <w:szCs w:val="21"/>
          <w:highlight w:val="none"/>
        </w:rPr>
      </w:pPr>
      <w:r>
        <w:rPr>
          <w:rFonts w:hint="eastAsia" w:ascii="仿宋" w:hAnsi="仿宋" w:eastAsia="仿宋"/>
          <w:color w:val="auto"/>
          <w:szCs w:val="21"/>
          <w:highlight w:val="none"/>
        </w:rPr>
        <w:t>1、服务要求</w:t>
      </w:r>
    </w:p>
    <w:p w14:paraId="3328C73C">
      <w:pPr>
        <w:spacing w:line="360" w:lineRule="auto"/>
        <w:ind w:firstLine="420" w:firstLineChars="200"/>
        <w:rPr>
          <w:rFonts w:ascii="仿宋" w:hAnsi="仿宋" w:eastAsia="仿宋"/>
          <w:color w:val="auto"/>
          <w:szCs w:val="21"/>
          <w:highlight w:val="none"/>
        </w:rPr>
      </w:pPr>
      <w:r>
        <w:rPr>
          <w:rFonts w:hint="eastAsia" w:ascii="仿宋" w:hAnsi="仿宋" w:eastAsia="仿宋"/>
          <w:color w:val="auto"/>
          <w:szCs w:val="21"/>
          <w:highlight w:val="none"/>
        </w:rPr>
        <w:t>以互联网移动终端设备为切入点，利用涉网行为进行综合分析，辅助分析可疑犯罪设备，扩线团伙成员、刻画团伙行为、挖掘犯罪活动轨迹，为案件侦办和落地提供手段支撑；根据涉案网络信息分析潜在受害者与可疑窝点，辅助侦防溯源，为涉网新型案件阻断提供数据支撑；利用大数据资源与全域定位能力，综合研判可疑应用信息和涉网新型犯罪团伙，分析辖区内潜在的可疑窝点及群体，主动发现风险隐患，进行线索推送，为辖区防控提供情报支撑。</w:t>
      </w:r>
    </w:p>
    <w:p w14:paraId="0FD80B3D">
      <w:pPr>
        <w:spacing w:line="360" w:lineRule="auto"/>
        <w:ind w:firstLine="420" w:firstLineChars="200"/>
        <w:rPr>
          <w:rFonts w:ascii="仿宋" w:hAnsi="仿宋" w:eastAsia="仿宋"/>
          <w:color w:val="auto"/>
          <w:szCs w:val="21"/>
          <w:highlight w:val="none"/>
        </w:rPr>
      </w:pPr>
      <w:r>
        <w:rPr>
          <w:rFonts w:hint="eastAsia" w:ascii="仿宋" w:hAnsi="仿宋" w:eastAsia="仿宋"/>
          <w:color w:val="auto"/>
          <w:szCs w:val="21"/>
          <w:highlight w:val="none"/>
        </w:rPr>
        <w:t>2、服务内容</w:t>
      </w:r>
    </w:p>
    <w:p w14:paraId="4485E9B6">
      <w:pPr>
        <w:spacing w:line="360" w:lineRule="auto"/>
        <w:ind w:firstLine="420" w:firstLineChars="200"/>
        <w:rPr>
          <w:rFonts w:ascii="仿宋" w:hAnsi="仿宋" w:eastAsia="仿宋"/>
          <w:color w:val="auto"/>
          <w:szCs w:val="21"/>
          <w:highlight w:val="none"/>
        </w:rPr>
      </w:pPr>
      <w:r>
        <w:rPr>
          <w:rFonts w:hint="eastAsia" w:ascii="仿宋" w:hAnsi="仿宋" w:eastAsia="仿宋"/>
          <w:color w:val="auto"/>
          <w:szCs w:val="21"/>
          <w:highlight w:val="none"/>
        </w:rPr>
        <w:t>2.1、大数据辅助分析服务</w:t>
      </w:r>
    </w:p>
    <w:p w14:paraId="60F7CF00">
      <w:pPr>
        <w:spacing w:line="360" w:lineRule="auto"/>
        <w:ind w:firstLine="420" w:firstLineChars="200"/>
        <w:rPr>
          <w:rFonts w:ascii="仿宋" w:hAnsi="仿宋" w:eastAsia="仿宋"/>
          <w:color w:val="auto"/>
          <w:szCs w:val="21"/>
          <w:highlight w:val="none"/>
        </w:rPr>
      </w:pPr>
      <w:r>
        <w:rPr>
          <w:rFonts w:hint="eastAsia" w:ascii="仿宋" w:hAnsi="仿宋" w:eastAsia="仿宋"/>
          <w:color w:val="auto"/>
          <w:szCs w:val="21"/>
          <w:highlight w:val="none"/>
        </w:rPr>
        <w:t>提供大数据辅助分析服务，通过整合社会面大数据资源，提高情报采集的及时性，从各个角度给用户画像，挖掘关联线索。利用线上大数据的使用，有效减少前期情报收集时间，通过画像分析、空间提数分析、场景追侦分析和设备追逃分析，将有限人力资源投入到更专业的分析、甄别、判断工作之中。</w:t>
      </w:r>
    </w:p>
    <w:p w14:paraId="2BE97DE1">
      <w:pPr>
        <w:spacing w:line="360" w:lineRule="auto"/>
        <w:ind w:firstLine="420" w:firstLineChars="200"/>
        <w:rPr>
          <w:rFonts w:ascii="仿宋" w:hAnsi="仿宋" w:eastAsia="仿宋"/>
          <w:color w:val="auto"/>
          <w:szCs w:val="21"/>
          <w:highlight w:val="none"/>
        </w:rPr>
      </w:pPr>
      <w:r>
        <w:rPr>
          <w:rFonts w:hint="eastAsia" w:ascii="仿宋" w:hAnsi="仿宋" w:eastAsia="仿宋"/>
          <w:color w:val="auto"/>
          <w:szCs w:val="21"/>
          <w:highlight w:val="none"/>
        </w:rPr>
        <w:t>2.2、涉网新型行为分析服务</w:t>
      </w:r>
    </w:p>
    <w:p w14:paraId="1C1E9518">
      <w:pPr>
        <w:spacing w:line="360" w:lineRule="auto"/>
        <w:ind w:firstLine="420" w:firstLineChars="200"/>
        <w:rPr>
          <w:rFonts w:ascii="仿宋" w:hAnsi="仿宋" w:eastAsia="仿宋"/>
          <w:color w:val="auto"/>
          <w:szCs w:val="21"/>
          <w:highlight w:val="none"/>
        </w:rPr>
      </w:pPr>
      <w:r>
        <w:rPr>
          <w:rFonts w:hint="eastAsia" w:ascii="仿宋" w:hAnsi="仿宋" w:eastAsia="仿宋"/>
          <w:color w:val="auto"/>
          <w:szCs w:val="21"/>
          <w:highlight w:val="none"/>
        </w:rPr>
        <w:t>基于互联网犯罪移动终端设备，通过获取到的网络行为痕迹数据进行侦防分析，在涉网违法犯罪案件侦办过程中，辅助研判人员分析可疑窝点，刻画犯罪团伙成员行为，挖掘犯罪活动轨迹，为案件侦办和落地提供手段支撑。</w:t>
      </w:r>
    </w:p>
    <w:p w14:paraId="4592F9A2">
      <w:pPr>
        <w:spacing w:line="360" w:lineRule="auto"/>
        <w:ind w:firstLine="420" w:firstLineChars="200"/>
        <w:rPr>
          <w:rFonts w:ascii="仿宋" w:hAnsi="仿宋" w:eastAsia="仿宋"/>
          <w:color w:val="auto"/>
          <w:szCs w:val="21"/>
          <w:highlight w:val="none"/>
        </w:rPr>
      </w:pPr>
      <w:r>
        <w:rPr>
          <w:rFonts w:hint="eastAsia" w:ascii="仿宋" w:hAnsi="仿宋" w:eastAsia="仿宋"/>
          <w:color w:val="auto"/>
          <w:szCs w:val="21"/>
          <w:highlight w:val="none"/>
        </w:rPr>
        <w:t>3、服务交付物</w:t>
      </w:r>
    </w:p>
    <w:p w14:paraId="1DE8D183">
      <w:pPr>
        <w:spacing w:line="360" w:lineRule="auto"/>
        <w:ind w:firstLine="420" w:firstLineChars="200"/>
        <w:rPr>
          <w:rFonts w:hint="eastAsia" w:ascii="仿宋" w:hAnsi="仿宋" w:eastAsia="仿宋"/>
          <w:color w:val="auto"/>
          <w:szCs w:val="21"/>
          <w:highlight w:val="none"/>
        </w:rPr>
      </w:pPr>
      <w:bookmarkStart w:id="36" w:name="_Hlk153806058"/>
      <w:r>
        <w:rPr>
          <w:rFonts w:hint="eastAsia" w:ascii="仿宋" w:hAnsi="仿宋" w:eastAsia="仿宋"/>
          <w:color w:val="auto"/>
          <w:szCs w:val="21"/>
          <w:highlight w:val="none"/>
        </w:rPr>
        <w:t>1）</w:t>
      </w:r>
      <w:r>
        <w:rPr>
          <w:rFonts w:hint="eastAsia" w:ascii="仿宋" w:hAnsi="仿宋" w:eastAsia="仿宋" w:cs="仿宋"/>
          <w:color w:val="auto"/>
          <w:szCs w:val="21"/>
          <w:highlight w:val="none"/>
        </w:rPr>
        <w:t>提供涉诈设备大数据辅助分析和涉网新型行为分析服务不少于</w:t>
      </w:r>
      <w:r>
        <w:rPr>
          <w:rFonts w:hint="eastAsia" w:ascii="仿宋" w:hAnsi="仿宋" w:eastAsia="仿宋" w:cs="仿宋"/>
          <w:color w:val="auto"/>
          <w:szCs w:val="21"/>
          <w:highlight w:val="none"/>
          <w:lang w:val="en-US" w:eastAsia="zh-CN"/>
        </w:rPr>
        <w:t>1</w:t>
      </w:r>
      <w:r>
        <w:rPr>
          <w:rFonts w:hint="eastAsia" w:ascii="仿宋" w:hAnsi="仿宋" w:eastAsia="仿宋" w:cs="仿宋"/>
          <w:color w:val="auto"/>
          <w:szCs w:val="21"/>
          <w:highlight w:val="none"/>
        </w:rPr>
        <w:t>0次，</w:t>
      </w:r>
      <w:r>
        <w:rPr>
          <w:rFonts w:hint="eastAsia" w:ascii="仿宋" w:hAnsi="仿宋" w:eastAsia="仿宋"/>
          <w:color w:val="auto"/>
          <w:szCs w:val="21"/>
          <w:highlight w:val="none"/>
        </w:rPr>
        <w:t>输出</w:t>
      </w:r>
      <w:r>
        <w:rPr>
          <w:rFonts w:ascii="仿宋" w:hAnsi="仿宋" w:eastAsia="仿宋"/>
          <w:color w:val="auto"/>
          <w:szCs w:val="21"/>
          <w:highlight w:val="none"/>
        </w:rPr>
        <w:t>C类分析报告不少于</w:t>
      </w:r>
      <w:r>
        <w:rPr>
          <w:rFonts w:hint="eastAsia" w:ascii="仿宋" w:hAnsi="仿宋" w:eastAsia="仿宋"/>
          <w:color w:val="auto"/>
          <w:szCs w:val="21"/>
          <w:highlight w:val="none"/>
          <w:lang w:val="en-US" w:eastAsia="zh-CN"/>
        </w:rPr>
        <w:t>18</w:t>
      </w:r>
      <w:r>
        <w:rPr>
          <w:rFonts w:ascii="仿宋" w:hAnsi="仿宋" w:eastAsia="仿宋"/>
          <w:color w:val="auto"/>
          <w:szCs w:val="21"/>
          <w:highlight w:val="none"/>
        </w:rPr>
        <w:t>份</w:t>
      </w:r>
      <w:r>
        <w:rPr>
          <w:rFonts w:hint="eastAsia" w:ascii="仿宋" w:hAnsi="仿宋" w:eastAsia="仿宋"/>
          <w:color w:val="auto"/>
          <w:szCs w:val="21"/>
          <w:highlight w:val="none"/>
        </w:rPr>
        <w:t>；</w:t>
      </w:r>
    </w:p>
    <w:bookmarkEnd w:id="36"/>
    <w:p w14:paraId="311DD1AF">
      <w:pPr>
        <w:pStyle w:val="5"/>
        <w:numPr>
          <w:ilvl w:val="0"/>
          <w:numId w:val="1"/>
        </w:numPr>
        <w:spacing w:line="360" w:lineRule="auto"/>
        <w:ind w:left="1140" w:hanging="720"/>
        <w:rPr>
          <w:rFonts w:ascii="仿宋" w:hAnsi="仿宋" w:eastAsia="仿宋" w:cs="仿宋"/>
          <w:color w:val="auto"/>
          <w:sz w:val="21"/>
          <w:szCs w:val="21"/>
          <w:highlight w:val="none"/>
        </w:rPr>
      </w:pPr>
      <w:r>
        <w:rPr>
          <w:rFonts w:hint="eastAsia" w:ascii="仿宋" w:hAnsi="仿宋" w:eastAsia="仿宋" w:cs="仿宋"/>
          <w:color w:val="auto"/>
          <w:sz w:val="21"/>
          <w:szCs w:val="21"/>
          <w:highlight w:val="none"/>
        </w:rPr>
        <w:t>新型涉网案件智勘联侦分析系统服务</w:t>
      </w:r>
    </w:p>
    <w:p w14:paraId="0440024A">
      <w:pPr>
        <w:spacing w:line="360" w:lineRule="auto"/>
        <w:ind w:firstLine="420" w:firstLineChars="200"/>
        <w:rPr>
          <w:rFonts w:ascii="仿宋" w:hAnsi="仿宋" w:eastAsia="仿宋"/>
          <w:color w:val="auto"/>
          <w:szCs w:val="21"/>
          <w:highlight w:val="none"/>
        </w:rPr>
      </w:pPr>
      <w:r>
        <w:rPr>
          <w:rFonts w:hint="eastAsia" w:ascii="仿宋" w:hAnsi="仿宋" w:eastAsia="仿宋"/>
          <w:color w:val="auto"/>
          <w:szCs w:val="21"/>
          <w:highlight w:val="none"/>
        </w:rPr>
        <w:t>1、服务要求</w:t>
      </w:r>
    </w:p>
    <w:p w14:paraId="191F4EF4">
      <w:pPr>
        <w:spacing w:line="360" w:lineRule="auto"/>
        <w:ind w:firstLine="420" w:firstLineChars="200"/>
        <w:rPr>
          <w:rFonts w:ascii="仿宋" w:hAnsi="仿宋" w:eastAsia="仿宋"/>
          <w:color w:val="auto"/>
          <w:szCs w:val="21"/>
          <w:highlight w:val="none"/>
        </w:rPr>
      </w:pPr>
      <w:r>
        <w:rPr>
          <w:rFonts w:hint="eastAsia" w:ascii="仿宋" w:hAnsi="仿宋" w:eastAsia="仿宋"/>
          <w:color w:val="auto"/>
          <w:szCs w:val="21"/>
          <w:highlight w:val="none"/>
        </w:rPr>
        <w:t>基于涉网新型案件全国涉诈黑样本库，支持查看涉诈网络数据信息，对前端采集设备提交的涉诈数据进行深度智能分析，发现辖区案件侦查线索，支持样本数据库涉诈数据的去重、补全及标签化后定期推送。</w:t>
      </w:r>
    </w:p>
    <w:p w14:paraId="3BF5F24C">
      <w:pPr>
        <w:spacing w:line="360" w:lineRule="auto"/>
        <w:ind w:firstLine="420" w:firstLineChars="200"/>
        <w:rPr>
          <w:rFonts w:ascii="仿宋" w:hAnsi="仿宋" w:eastAsia="仿宋"/>
          <w:color w:val="auto"/>
          <w:szCs w:val="21"/>
          <w:highlight w:val="none"/>
        </w:rPr>
      </w:pPr>
      <w:r>
        <w:rPr>
          <w:rFonts w:hint="eastAsia" w:ascii="仿宋" w:hAnsi="仿宋" w:eastAsia="仿宋"/>
          <w:color w:val="auto"/>
          <w:szCs w:val="21"/>
          <w:highlight w:val="none"/>
        </w:rPr>
        <w:t>2、服务内容</w:t>
      </w:r>
    </w:p>
    <w:p w14:paraId="4F35BBFD">
      <w:pPr>
        <w:spacing w:line="360" w:lineRule="auto"/>
        <w:ind w:firstLine="420" w:firstLineChars="200"/>
        <w:rPr>
          <w:rFonts w:ascii="仿宋" w:hAnsi="仿宋" w:eastAsia="仿宋"/>
          <w:color w:val="auto"/>
          <w:szCs w:val="21"/>
          <w:highlight w:val="none"/>
        </w:rPr>
      </w:pPr>
      <w:r>
        <w:rPr>
          <w:rFonts w:hint="eastAsia" w:ascii="仿宋" w:hAnsi="仿宋" w:eastAsia="仿宋"/>
          <w:color w:val="auto"/>
          <w:szCs w:val="21"/>
          <w:highlight w:val="none"/>
        </w:rPr>
        <w:t>2.1、取证数据推送和分析支撑服务</w:t>
      </w:r>
    </w:p>
    <w:p w14:paraId="66BD078A">
      <w:pPr>
        <w:spacing w:line="360" w:lineRule="auto"/>
        <w:ind w:firstLine="420" w:firstLineChars="200"/>
        <w:rPr>
          <w:rFonts w:ascii="仿宋" w:hAnsi="仿宋" w:eastAsia="仿宋"/>
          <w:color w:val="auto"/>
          <w:szCs w:val="21"/>
          <w:highlight w:val="none"/>
        </w:rPr>
      </w:pPr>
      <w:r>
        <w:rPr>
          <w:rFonts w:hint="eastAsia" w:ascii="仿宋" w:hAnsi="仿宋" w:eastAsia="仿宋"/>
          <w:color w:val="auto"/>
          <w:szCs w:val="21"/>
          <w:highlight w:val="none"/>
        </w:rPr>
        <w:t>定期推送经过去重、补全、标签化后的黑样本数据、现勘工作提取的涉诈网络数据，进行涉网勘验案件全网串并案分析，发现辖区串并案件侦查线索。</w:t>
      </w:r>
    </w:p>
    <w:p w14:paraId="46BA48FC">
      <w:pPr>
        <w:spacing w:line="360" w:lineRule="auto"/>
        <w:ind w:firstLine="420" w:firstLineChars="200"/>
        <w:rPr>
          <w:rFonts w:ascii="仿宋" w:hAnsi="仿宋" w:eastAsia="仿宋"/>
          <w:color w:val="auto"/>
          <w:szCs w:val="21"/>
          <w:highlight w:val="none"/>
        </w:rPr>
      </w:pPr>
      <w:r>
        <w:rPr>
          <w:rFonts w:hint="eastAsia" w:ascii="仿宋" w:hAnsi="仿宋" w:eastAsia="仿宋"/>
          <w:color w:val="auto"/>
          <w:szCs w:val="21"/>
          <w:highlight w:val="none"/>
        </w:rPr>
        <w:t>2.2、数据信息查询服务</w:t>
      </w:r>
    </w:p>
    <w:p w14:paraId="578CFAE8">
      <w:pPr>
        <w:spacing w:line="360" w:lineRule="auto"/>
        <w:ind w:firstLine="420" w:firstLineChars="200"/>
        <w:rPr>
          <w:rFonts w:ascii="仿宋" w:hAnsi="仿宋" w:eastAsia="仿宋"/>
          <w:color w:val="auto"/>
          <w:szCs w:val="21"/>
          <w:highlight w:val="none"/>
        </w:rPr>
      </w:pPr>
      <w:r>
        <w:rPr>
          <w:rFonts w:hint="eastAsia" w:ascii="仿宋" w:hAnsi="仿宋" w:eastAsia="仿宋"/>
          <w:color w:val="auto"/>
          <w:szCs w:val="21"/>
          <w:highlight w:val="none"/>
        </w:rPr>
        <w:t>基于现勘服务平台全国涉诈黑样本库，支持查看涉诈网络数据信息，对前端采集设备所提交的涉诈检测取证数据进行深度智能分析。</w:t>
      </w:r>
    </w:p>
    <w:p w14:paraId="76125FFB">
      <w:pPr>
        <w:spacing w:line="360" w:lineRule="auto"/>
        <w:ind w:firstLine="420" w:firstLineChars="200"/>
        <w:rPr>
          <w:rFonts w:ascii="仿宋" w:hAnsi="仿宋" w:eastAsia="仿宋"/>
          <w:color w:val="auto"/>
          <w:szCs w:val="21"/>
          <w:highlight w:val="none"/>
        </w:rPr>
      </w:pPr>
      <w:r>
        <w:rPr>
          <w:rFonts w:hint="eastAsia" w:ascii="仿宋" w:hAnsi="仿宋" w:eastAsia="仿宋"/>
          <w:color w:val="auto"/>
          <w:szCs w:val="21"/>
          <w:highlight w:val="none"/>
        </w:rPr>
        <w:t>3、服务交付物</w:t>
      </w:r>
    </w:p>
    <w:p w14:paraId="1E6B802C">
      <w:pPr>
        <w:spacing w:line="360" w:lineRule="auto"/>
        <w:ind w:firstLine="420" w:firstLineChars="200"/>
        <w:rPr>
          <w:rFonts w:ascii="仿宋" w:hAnsi="仿宋" w:eastAsia="仿宋" w:cs="仿宋"/>
          <w:color w:val="auto"/>
          <w:kern w:val="0"/>
          <w:szCs w:val="21"/>
          <w:highlight w:val="none"/>
          <w:lang w:bidi="ar"/>
        </w:rPr>
      </w:pPr>
      <w:bookmarkStart w:id="37" w:name="_Hlk153806066"/>
      <w:bookmarkStart w:id="38" w:name="_Hlk153818128"/>
      <w:r>
        <w:rPr>
          <w:rFonts w:hint="eastAsia" w:ascii="仿宋" w:hAnsi="仿宋" w:eastAsia="仿宋"/>
          <w:color w:val="auto"/>
          <w:szCs w:val="21"/>
          <w:highlight w:val="none"/>
        </w:rPr>
        <w:t>1）</w:t>
      </w:r>
      <w:r>
        <w:rPr>
          <w:rFonts w:hint="eastAsia" w:ascii="仿宋" w:hAnsi="仿宋" w:eastAsia="仿宋" w:cs="仿宋"/>
          <w:color w:val="auto"/>
          <w:kern w:val="0"/>
          <w:szCs w:val="21"/>
          <w:highlight w:val="none"/>
          <w:lang w:bidi="ar"/>
        </w:rPr>
        <w:t>提供取证数据深度智能分析、研判支撑等案件服务不少于</w:t>
      </w:r>
      <w:r>
        <w:rPr>
          <w:rFonts w:hint="eastAsia" w:ascii="仿宋" w:hAnsi="仿宋" w:eastAsia="仿宋" w:cs="仿宋"/>
          <w:color w:val="auto"/>
          <w:kern w:val="0"/>
          <w:szCs w:val="21"/>
          <w:highlight w:val="none"/>
          <w:lang w:val="en-US" w:eastAsia="zh-CN" w:bidi="ar"/>
        </w:rPr>
        <w:t>6</w:t>
      </w:r>
      <w:r>
        <w:rPr>
          <w:rFonts w:hint="eastAsia" w:ascii="仿宋" w:hAnsi="仿宋" w:eastAsia="仿宋" w:cs="仿宋"/>
          <w:color w:val="auto"/>
          <w:kern w:val="0"/>
          <w:szCs w:val="21"/>
          <w:highlight w:val="none"/>
          <w:lang w:bidi="ar"/>
        </w:rPr>
        <w:t>个，</w:t>
      </w:r>
      <w:r>
        <w:rPr>
          <w:rFonts w:hint="eastAsia" w:ascii="仿宋" w:hAnsi="仿宋" w:eastAsia="仿宋"/>
          <w:color w:val="auto"/>
          <w:szCs w:val="21"/>
          <w:highlight w:val="none"/>
        </w:rPr>
        <w:t>输出</w:t>
      </w:r>
      <w:r>
        <w:rPr>
          <w:rFonts w:ascii="仿宋" w:hAnsi="仿宋" w:eastAsia="仿宋"/>
          <w:color w:val="auto"/>
          <w:szCs w:val="21"/>
          <w:highlight w:val="none"/>
        </w:rPr>
        <w:t>C类分析报告</w:t>
      </w:r>
      <w:r>
        <w:rPr>
          <w:rFonts w:hint="eastAsia" w:ascii="仿宋" w:hAnsi="仿宋" w:eastAsia="仿宋"/>
          <w:color w:val="auto"/>
          <w:szCs w:val="21"/>
          <w:highlight w:val="none"/>
        </w:rPr>
        <w:t>不少于</w:t>
      </w:r>
      <w:r>
        <w:rPr>
          <w:rFonts w:hint="eastAsia" w:ascii="仿宋" w:hAnsi="仿宋" w:eastAsia="仿宋"/>
          <w:color w:val="auto"/>
          <w:szCs w:val="21"/>
          <w:highlight w:val="none"/>
          <w:lang w:val="en-US" w:eastAsia="zh-CN"/>
        </w:rPr>
        <w:t>9</w:t>
      </w:r>
      <w:r>
        <w:rPr>
          <w:rFonts w:ascii="仿宋" w:hAnsi="仿宋" w:eastAsia="仿宋"/>
          <w:color w:val="auto"/>
          <w:szCs w:val="21"/>
          <w:highlight w:val="none"/>
        </w:rPr>
        <w:t>份</w:t>
      </w:r>
      <w:r>
        <w:rPr>
          <w:rFonts w:hint="eastAsia" w:ascii="仿宋" w:hAnsi="仿宋" w:eastAsia="仿宋" w:cs="仿宋"/>
          <w:color w:val="auto"/>
          <w:kern w:val="0"/>
          <w:szCs w:val="21"/>
          <w:highlight w:val="none"/>
          <w:lang w:bidi="ar"/>
        </w:rPr>
        <w:t>；</w:t>
      </w:r>
      <w:r>
        <w:rPr>
          <w:rFonts w:ascii="仿宋" w:hAnsi="仿宋" w:eastAsia="仿宋" w:cs="仿宋"/>
          <w:color w:val="auto"/>
          <w:kern w:val="0"/>
          <w:szCs w:val="21"/>
          <w:highlight w:val="none"/>
          <w:lang w:bidi="ar"/>
        </w:rPr>
        <w:t xml:space="preserve"> </w:t>
      </w:r>
    </w:p>
    <w:p w14:paraId="1F05E5D1">
      <w:pPr>
        <w:spacing w:line="360" w:lineRule="auto"/>
        <w:ind w:firstLine="420" w:firstLineChars="200"/>
        <w:rPr>
          <w:rFonts w:ascii="仿宋" w:hAnsi="仿宋" w:eastAsia="仿宋" w:cs="仿宋"/>
          <w:color w:val="auto"/>
          <w:kern w:val="0"/>
          <w:szCs w:val="21"/>
          <w:highlight w:val="none"/>
          <w:lang w:bidi="ar"/>
        </w:rPr>
      </w:pPr>
      <w:r>
        <w:rPr>
          <w:rFonts w:hint="eastAsia" w:ascii="仿宋" w:hAnsi="仿宋" w:eastAsia="仿宋" w:cs="仿宋"/>
          <w:color w:val="auto"/>
          <w:kern w:val="0"/>
          <w:szCs w:val="21"/>
          <w:highlight w:val="none"/>
          <w:lang w:bidi="ar"/>
        </w:rPr>
        <w:t>2）提供涉案数据推送、数据信息查询等案件服务不少于5个，</w:t>
      </w:r>
      <w:r>
        <w:rPr>
          <w:rFonts w:hint="eastAsia" w:ascii="仿宋" w:hAnsi="仿宋" w:eastAsia="仿宋"/>
          <w:color w:val="auto"/>
          <w:szCs w:val="21"/>
          <w:highlight w:val="none"/>
        </w:rPr>
        <w:t>输出</w:t>
      </w:r>
      <w:r>
        <w:rPr>
          <w:rFonts w:ascii="仿宋" w:hAnsi="仿宋" w:eastAsia="仿宋"/>
          <w:color w:val="auto"/>
          <w:szCs w:val="21"/>
          <w:highlight w:val="none"/>
        </w:rPr>
        <w:t>C类分析报告</w:t>
      </w:r>
      <w:r>
        <w:rPr>
          <w:rFonts w:hint="eastAsia" w:ascii="仿宋" w:hAnsi="仿宋" w:eastAsia="仿宋"/>
          <w:color w:val="auto"/>
          <w:szCs w:val="21"/>
          <w:highlight w:val="none"/>
        </w:rPr>
        <w:t>不少于</w:t>
      </w:r>
      <w:r>
        <w:rPr>
          <w:rFonts w:hint="eastAsia" w:ascii="仿宋" w:hAnsi="仿宋" w:eastAsia="仿宋"/>
          <w:color w:val="auto"/>
          <w:szCs w:val="21"/>
          <w:highlight w:val="none"/>
          <w:lang w:val="en-US" w:eastAsia="zh-CN"/>
        </w:rPr>
        <w:t>8</w:t>
      </w:r>
      <w:r>
        <w:rPr>
          <w:rFonts w:ascii="仿宋" w:hAnsi="仿宋" w:eastAsia="仿宋"/>
          <w:color w:val="auto"/>
          <w:szCs w:val="21"/>
          <w:highlight w:val="none"/>
        </w:rPr>
        <w:t>份。</w:t>
      </w:r>
    </w:p>
    <w:bookmarkEnd w:id="37"/>
    <w:bookmarkEnd w:id="38"/>
    <w:p w14:paraId="09F0B974">
      <w:pPr>
        <w:pStyle w:val="5"/>
        <w:numPr>
          <w:ilvl w:val="0"/>
          <w:numId w:val="1"/>
        </w:numPr>
        <w:tabs>
          <w:tab w:val="left" w:pos="432"/>
        </w:tabs>
        <w:spacing w:line="360" w:lineRule="auto"/>
        <w:ind w:left="432" w:hanging="432"/>
        <w:rPr>
          <w:rFonts w:ascii="仿宋" w:hAnsi="仿宋" w:eastAsia="仿宋" w:cs="仿宋"/>
          <w:color w:val="auto"/>
          <w:sz w:val="21"/>
          <w:szCs w:val="21"/>
          <w:highlight w:val="none"/>
        </w:rPr>
      </w:pPr>
      <w:r>
        <w:rPr>
          <w:rFonts w:ascii="仿宋" w:hAnsi="仿宋" w:eastAsia="仿宋" w:cs="仿宋"/>
          <w:color w:val="auto"/>
          <w:sz w:val="21"/>
          <w:szCs w:val="21"/>
          <w:highlight w:val="none"/>
        </w:rPr>
        <w:t>服务响应</w:t>
      </w:r>
      <w:r>
        <w:rPr>
          <w:rFonts w:hint="eastAsia" w:ascii="仿宋" w:hAnsi="仿宋" w:eastAsia="仿宋" w:cs="仿宋"/>
          <w:color w:val="auto"/>
          <w:sz w:val="21"/>
          <w:szCs w:val="21"/>
          <w:highlight w:val="none"/>
        </w:rPr>
        <w:t>及</w:t>
      </w:r>
      <w:r>
        <w:rPr>
          <w:rFonts w:ascii="仿宋" w:hAnsi="仿宋" w:eastAsia="仿宋" w:cs="仿宋"/>
          <w:color w:val="auto"/>
          <w:sz w:val="21"/>
          <w:szCs w:val="21"/>
          <w:highlight w:val="none"/>
        </w:rPr>
        <w:t>人员要求</w:t>
      </w:r>
    </w:p>
    <w:p w14:paraId="490F6E6D">
      <w:pPr>
        <w:pStyle w:val="7"/>
        <w:keepNext/>
        <w:keepLines/>
        <w:pageBreakBefore w:val="0"/>
        <w:widowControl w:val="0"/>
        <w:numPr>
          <w:ilvl w:val="0"/>
          <w:numId w:val="2"/>
        </w:numPr>
        <w:tabs>
          <w:tab w:val="left" w:pos="900"/>
          <w:tab w:val="clear" w:pos="864"/>
        </w:tabs>
        <w:kinsoku/>
        <w:wordWrap/>
        <w:overflowPunct/>
        <w:topLinePunct w:val="0"/>
        <w:autoSpaceDE/>
        <w:autoSpaceDN/>
        <w:bidi w:val="0"/>
        <w:adjustRightInd w:val="0"/>
        <w:snapToGrid/>
        <w:spacing w:after="0" w:line="360" w:lineRule="auto"/>
        <w:ind w:left="845" w:hanging="420"/>
        <w:textAlignment w:val="auto"/>
        <w:outlineLvl w:val="3"/>
        <w:rPr>
          <w:rFonts w:ascii="仿宋" w:hAnsi="仿宋" w:eastAsia="仿宋" w:cs="仿宋"/>
          <w:color w:val="auto"/>
          <w:sz w:val="21"/>
          <w:szCs w:val="21"/>
          <w:highlight w:val="none"/>
        </w:rPr>
      </w:pPr>
      <w:r>
        <w:rPr>
          <w:rFonts w:ascii="仿宋" w:hAnsi="仿宋" w:eastAsia="仿宋" w:cs="仿宋"/>
          <w:color w:val="auto"/>
          <w:sz w:val="21"/>
          <w:szCs w:val="21"/>
          <w:highlight w:val="none"/>
        </w:rPr>
        <w:t>服务响应要求</w:t>
      </w:r>
    </w:p>
    <w:p w14:paraId="2D29CAC0">
      <w:pPr>
        <w:pStyle w:val="275"/>
        <w:keepNext w:val="0"/>
        <w:keepLines w:val="0"/>
        <w:pageBreakBefore w:val="0"/>
        <w:widowControl w:val="0"/>
        <w:numPr>
          <w:ilvl w:val="0"/>
          <w:numId w:val="3"/>
        </w:numPr>
        <w:kinsoku/>
        <w:wordWrap/>
        <w:overflowPunct/>
        <w:topLinePunct w:val="0"/>
        <w:autoSpaceDE/>
        <w:autoSpaceDN/>
        <w:bidi w:val="0"/>
        <w:adjustRightInd/>
        <w:snapToGrid w:val="0"/>
        <w:spacing w:line="360" w:lineRule="auto"/>
        <w:ind w:left="845" w:hanging="363" w:firstLineChars="0"/>
        <w:textAlignment w:val="auto"/>
        <w:rPr>
          <w:rFonts w:ascii="仿宋" w:hAnsi="仿宋" w:eastAsia="仿宋" w:cs="宋体"/>
          <w:color w:val="auto"/>
          <w:sz w:val="21"/>
          <w:szCs w:val="21"/>
          <w:highlight w:val="none"/>
        </w:rPr>
      </w:pPr>
      <w:bookmarkStart w:id="39" w:name="_Hlk153807214"/>
      <w:r>
        <w:rPr>
          <w:rFonts w:hint="eastAsia" w:ascii="仿宋" w:hAnsi="仿宋" w:eastAsia="仿宋" w:cs="宋体"/>
          <w:color w:val="auto"/>
          <w:sz w:val="21"/>
          <w:szCs w:val="21"/>
          <w:highlight w:val="none"/>
        </w:rPr>
        <w:t>工作时间要求：提供7*24小时的技术支持（包括电话咨询与现场服务）；驻点工作人员按采购人工作时间（上午9:00—1</w:t>
      </w:r>
      <w:r>
        <w:rPr>
          <w:rFonts w:ascii="仿宋" w:hAnsi="仿宋" w:eastAsia="仿宋" w:cs="宋体"/>
          <w:color w:val="auto"/>
          <w:sz w:val="21"/>
          <w:szCs w:val="21"/>
          <w:highlight w:val="none"/>
        </w:rPr>
        <w:t>2</w:t>
      </w:r>
      <w:r>
        <w:rPr>
          <w:rFonts w:hint="eastAsia" w:ascii="仿宋" w:hAnsi="仿宋" w:eastAsia="仿宋" w:cs="宋体"/>
          <w:color w:val="auto"/>
          <w:sz w:val="21"/>
          <w:szCs w:val="21"/>
          <w:highlight w:val="none"/>
        </w:rPr>
        <w:t>：0</w:t>
      </w:r>
      <w:r>
        <w:rPr>
          <w:rFonts w:ascii="仿宋" w:hAnsi="仿宋" w:eastAsia="仿宋" w:cs="宋体"/>
          <w:color w:val="auto"/>
          <w:sz w:val="21"/>
          <w:szCs w:val="21"/>
          <w:highlight w:val="none"/>
        </w:rPr>
        <w:t>0</w:t>
      </w:r>
      <w:r>
        <w:rPr>
          <w:rFonts w:hint="eastAsia" w:ascii="仿宋" w:hAnsi="仿宋" w:eastAsia="仿宋" w:cs="宋体"/>
          <w:color w:val="auto"/>
          <w:sz w:val="21"/>
          <w:szCs w:val="21"/>
          <w:highlight w:val="none"/>
        </w:rPr>
        <w:t>，下午1</w:t>
      </w:r>
      <w:r>
        <w:rPr>
          <w:rFonts w:ascii="仿宋" w:hAnsi="仿宋" w:eastAsia="仿宋" w:cs="宋体"/>
          <w:color w:val="auto"/>
          <w:sz w:val="21"/>
          <w:szCs w:val="21"/>
          <w:highlight w:val="none"/>
        </w:rPr>
        <w:t>3</w:t>
      </w:r>
      <w:r>
        <w:rPr>
          <w:rFonts w:hint="eastAsia" w:ascii="仿宋" w:hAnsi="仿宋" w:eastAsia="仿宋" w:cs="宋体"/>
          <w:color w:val="auto"/>
          <w:sz w:val="21"/>
          <w:szCs w:val="21"/>
          <w:highlight w:val="none"/>
        </w:rPr>
        <w:t>：0</w:t>
      </w:r>
      <w:r>
        <w:rPr>
          <w:rFonts w:ascii="仿宋" w:hAnsi="仿宋" w:eastAsia="仿宋" w:cs="宋体"/>
          <w:color w:val="auto"/>
          <w:sz w:val="21"/>
          <w:szCs w:val="21"/>
          <w:highlight w:val="none"/>
        </w:rPr>
        <w:t>0</w:t>
      </w:r>
      <w:r>
        <w:rPr>
          <w:rFonts w:hint="eastAsia" w:ascii="仿宋" w:hAnsi="仿宋" w:eastAsia="仿宋" w:cs="宋体"/>
          <w:color w:val="auto"/>
          <w:sz w:val="21"/>
          <w:szCs w:val="21"/>
          <w:highlight w:val="none"/>
        </w:rPr>
        <w:t>—</w:t>
      </w:r>
      <w:r>
        <w:rPr>
          <w:rFonts w:ascii="仿宋" w:hAnsi="仿宋" w:eastAsia="仿宋" w:cs="宋体"/>
          <w:color w:val="auto"/>
          <w:sz w:val="21"/>
          <w:szCs w:val="21"/>
          <w:highlight w:val="none"/>
        </w:rPr>
        <w:t>17</w:t>
      </w:r>
      <w:r>
        <w:rPr>
          <w:rFonts w:hint="eastAsia" w:ascii="仿宋" w:hAnsi="仿宋" w:eastAsia="仿宋" w:cs="宋体"/>
          <w:color w:val="auto"/>
          <w:sz w:val="21"/>
          <w:szCs w:val="21"/>
          <w:highlight w:val="none"/>
        </w:rPr>
        <w:t>:30）在杭州市公安局刑事侦查支队及其指定地点开展工作。</w:t>
      </w:r>
    </w:p>
    <w:p w14:paraId="36A56A6F">
      <w:pPr>
        <w:pStyle w:val="275"/>
        <w:keepNext w:val="0"/>
        <w:keepLines w:val="0"/>
        <w:pageBreakBefore w:val="0"/>
        <w:widowControl w:val="0"/>
        <w:numPr>
          <w:ilvl w:val="0"/>
          <w:numId w:val="3"/>
        </w:numPr>
        <w:kinsoku/>
        <w:wordWrap/>
        <w:overflowPunct/>
        <w:topLinePunct w:val="0"/>
        <w:autoSpaceDE/>
        <w:autoSpaceDN/>
        <w:bidi w:val="0"/>
        <w:adjustRightInd/>
        <w:snapToGrid w:val="0"/>
        <w:spacing w:line="360" w:lineRule="auto"/>
        <w:ind w:left="845" w:hanging="363" w:firstLineChars="0"/>
        <w:textAlignment w:val="auto"/>
        <w:rPr>
          <w:rFonts w:ascii="仿宋" w:hAnsi="仿宋" w:eastAsia="仿宋" w:cs="宋体"/>
          <w:color w:val="auto"/>
          <w:sz w:val="21"/>
          <w:szCs w:val="21"/>
          <w:highlight w:val="none"/>
        </w:rPr>
      </w:pPr>
      <w:bookmarkStart w:id="40" w:name="_Hlk153872358"/>
      <w:r>
        <w:rPr>
          <w:rFonts w:hint="eastAsia" w:ascii="仿宋" w:hAnsi="仿宋" w:eastAsia="仿宋" w:cs="宋体"/>
          <w:color w:val="auto"/>
          <w:sz w:val="21"/>
          <w:szCs w:val="21"/>
          <w:highlight w:val="none"/>
        </w:rPr>
        <w:t>投标人在接到采购人服务指令后，须在30分钟内按采购人指令开展工作</w:t>
      </w:r>
      <w:bookmarkEnd w:id="40"/>
      <w:r>
        <w:rPr>
          <w:rFonts w:hint="eastAsia" w:ascii="仿宋" w:hAnsi="仿宋" w:eastAsia="仿宋" w:cs="宋体"/>
          <w:color w:val="auto"/>
          <w:sz w:val="21"/>
          <w:szCs w:val="21"/>
          <w:highlight w:val="none"/>
        </w:rPr>
        <w:t>。</w:t>
      </w:r>
    </w:p>
    <w:p w14:paraId="47395B9D">
      <w:pPr>
        <w:pStyle w:val="275"/>
        <w:keepNext w:val="0"/>
        <w:keepLines w:val="0"/>
        <w:pageBreakBefore w:val="0"/>
        <w:widowControl w:val="0"/>
        <w:numPr>
          <w:ilvl w:val="0"/>
          <w:numId w:val="3"/>
        </w:numPr>
        <w:kinsoku/>
        <w:wordWrap/>
        <w:overflowPunct/>
        <w:topLinePunct w:val="0"/>
        <w:autoSpaceDE/>
        <w:autoSpaceDN/>
        <w:bidi w:val="0"/>
        <w:adjustRightInd/>
        <w:snapToGrid w:val="0"/>
        <w:spacing w:line="360" w:lineRule="auto"/>
        <w:ind w:left="845" w:hanging="363" w:firstLineChars="0"/>
        <w:textAlignment w:val="auto"/>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每次对涉案系统进行扫描、安全测试之前必须要先与采购人书面确认，以确保系统的安全可控；进行服务实施时，需要在采购人许可的情况下由服务团队人员进行。</w:t>
      </w:r>
    </w:p>
    <w:p w14:paraId="40C45CF9">
      <w:pPr>
        <w:pStyle w:val="275"/>
        <w:keepNext w:val="0"/>
        <w:keepLines w:val="0"/>
        <w:pageBreakBefore w:val="0"/>
        <w:widowControl w:val="0"/>
        <w:numPr>
          <w:ilvl w:val="0"/>
          <w:numId w:val="3"/>
        </w:numPr>
        <w:kinsoku/>
        <w:wordWrap/>
        <w:overflowPunct/>
        <w:topLinePunct w:val="0"/>
        <w:autoSpaceDE/>
        <w:autoSpaceDN/>
        <w:bidi w:val="0"/>
        <w:adjustRightInd/>
        <w:snapToGrid w:val="0"/>
        <w:spacing w:line="360" w:lineRule="auto"/>
        <w:ind w:left="845" w:hanging="363" w:firstLineChars="0"/>
        <w:textAlignment w:val="auto"/>
        <w:rPr>
          <w:rFonts w:hint="eastAsia" w:ascii="仿宋" w:hAnsi="仿宋" w:eastAsia="仿宋" w:cs="宋体"/>
          <w:color w:val="auto"/>
          <w:sz w:val="21"/>
          <w:szCs w:val="21"/>
          <w:highlight w:val="none"/>
        </w:rPr>
      </w:pPr>
      <w:r>
        <w:rPr>
          <w:rFonts w:hint="eastAsia" w:ascii="仿宋" w:hAnsi="仿宋" w:eastAsia="仿宋" w:cs="宋体"/>
          <w:color w:val="auto"/>
          <w:sz w:val="21"/>
          <w:szCs w:val="21"/>
          <w:highlight w:val="none"/>
        </w:rPr>
        <w:t>报告出具时间要求：单个分析报告，需在接到采购人书面工作指令后5个工作日内出具，并交由采购人审核。</w:t>
      </w:r>
    </w:p>
    <w:bookmarkEnd w:id="39"/>
    <w:p w14:paraId="50FAF17A">
      <w:pPr>
        <w:pStyle w:val="7"/>
        <w:keepNext/>
        <w:keepLines/>
        <w:pageBreakBefore w:val="0"/>
        <w:widowControl w:val="0"/>
        <w:numPr>
          <w:ilvl w:val="0"/>
          <w:numId w:val="2"/>
        </w:numPr>
        <w:tabs>
          <w:tab w:val="left" w:pos="900"/>
          <w:tab w:val="clear" w:pos="864"/>
        </w:tabs>
        <w:kinsoku/>
        <w:wordWrap/>
        <w:overflowPunct/>
        <w:topLinePunct w:val="0"/>
        <w:autoSpaceDE/>
        <w:autoSpaceDN/>
        <w:bidi w:val="0"/>
        <w:adjustRightInd w:val="0"/>
        <w:snapToGrid/>
        <w:spacing w:after="0" w:line="360" w:lineRule="auto"/>
        <w:ind w:left="845" w:hanging="420"/>
        <w:textAlignment w:val="auto"/>
        <w:outlineLvl w:val="3"/>
        <w:rPr>
          <w:rFonts w:ascii="仿宋" w:hAnsi="仿宋" w:eastAsia="仿宋" w:cs="仿宋"/>
          <w:color w:val="auto"/>
          <w:sz w:val="21"/>
          <w:szCs w:val="21"/>
          <w:highlight w:val="none"/>
        </w:rPr>
      </w:pPr>
      <w:r>
        <w:rPr>
          <w:rFonts w:hint="eastAsia" w:ascii="仿宋" w:hAnsi="仿宋" w:eastAsia="仿宋" w:cs="仿宋"/>
          <w:color w:val="auto"/>
          <w:sz w:val="21"/>
          <w:szCs w:val="21"/>
          <w:highlight w:val="none"/>
        </w:rPr>
        <w:t>服务人员要求</w:t>
      </w:r>
    </w:p>
    <w:p w14:paraId="0BE86DBE">
      <w:pPr>
        <w:pStyle w:val="275"/>
        <w:keepNext w:val="0"/>
        <w:keepLines w:val="0"/>
        <w:pageBreakBefore w:val="0"/>
        <w:widowControl w:val="0"/>
        <w:numPr>
          <w:ilvl w:val="0"/>
          <w:numId w:val="4"/>
        </w:numPr>
        <w:kinsoku/>
        <w:wordWrap/>
        <w:overflowPunct/>
        <w:topLinePunct w:val="0"/>
        <w:autoSpaceDE/>
        <w:autoSpaceDN/>
        <w:bidi w:val="0"/>
        <w:adjustRightInd/>
        <w:snapToGrid w:val="0"/>
        <w:spacing w:line="360" w:lineRule="auto"/>
        <w:ind w:left="426" w:firstLine="54" w:firstLineChars="0"/>
        <w:textAlignment w:val="auto"/>
        <w:rPr>
          <w:rFonts w:ascii="仿宋" w:hAnsi="仿宋" w:eastAsia="仿宋" w:cs="宋体"/>
          <w:b/>
          <w:color w:val="auto"/>
          <w:sz w:val="21"/>
          <w:szCs w:val="21"/>
          <w:highlight w:val="none"/>
          <w:u w:val="single"/>
        </w:rPr>
      </w:pPr>
      <w:r>
        <w:rPr>
          <w:rFonts w:hint="eastAsia" w:ascii="仿宋" w:hAnsi="仿宋" w:eastAsia="仿宋" w:cs="宋体"/>
          <w:b/>
          <w:color w:val="auto"/>
          <w:sz w:val="21"/>
          <w:szCs w:val="21"/>
          <w:highlight w:val="none"/>
          <w:u w:val="single"/>
        </w:rPr>
        <w:t>▲投标人为本项目提供的服务团队人员不少于15人，其中包括项目负责人1人，案件侦查打击服务技术负责人1人、服务人员2人，大数据智能查控服务技术负责人1人、服务人员2人，资金智能查控服务人员1人，涉网诈骗预感探测数据服务技术负责人1人、服务人员2人，涉网新型案件行为分析服务技术负责人1人、服务人员1人，新型涉网案件智勘联侦分析系统服务技术负责人1人、服务人员1人。其中驻点人员不少于3人（技术负责人1人、服务人员2人）。</w:t>
      </w:r>
    </w:p>
    <w:p w14:paraId="7814A316">
      <w:pPr>
        <w:pStyle w:val="275"/>
        <w:keepNext w:val="0"/>
        <w:keepLines w:val="0"/>
        <w:pageBreakBefore w:val="0"/>
        <w:widowControl w:val="0"/>
        <w:kinsoku/>
        <w:wordWrap/>
        <w:overflowPunct/>
        <w:topLinePunct w:val="0"/>
        <w:autoSpaceDE/>
        <w:autoSpaceDN/>
        <w:bidi w:val="0"/>
        <w:adjustRightInd/>
        <w:snapToGrid w:val="0"/>
        <w:spacing w:line="360" w:lineRule="auto"/>
        <w:ind w:left="420" w:firstLine="359" w:firstLineChars="171"/>
        <w:textAlignment w:val="auto"/>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上述人员数量为基本采购需求，在项目服务期内，如投标人为了更好的为采购人提供高质量服务，可自行考虑增加配置。</w:t>
      </w:r>
    </w:p>
    <w:p w14:paraId="10869C8D">
      <w:pPr>
        <w:pStyle w:val="275"/>
        <w:keepNext w:val="0"/>
        <w:keepLines w:val="0"/>
        <w:pageBreakBefore w:val="0"/>
        <w:widowControl w:val="0"/>
        <w:numPr>
          <w:ilvl w:val="0"/>
          <w:numId w:val="4"/>
        </w:numPr>
        <w:kinsoku/>
        <w:wordWrap/>
        <w:overflowPunct/>
        <w:topLinePunct w:val="0"/>
        <w:autoSpaceDE/>
        <w:autoSpaceDN/>
        <w:bidi w:val="0"/>
        <w:adjustRightInd/>
        <w:snapToGrid w:val="0"/>
        <w:spacing w:line="360" w:lineRule="auto"/>
        <w:ind w:firstLineChars="0"/>
        <w:textAlignment w:val="auto"/>
        <w:rPr>
          <w:rFonts w:ascii="仿宋" w:hAnsi="仿宋" w:eastAsia="仿宋" w:cs="宋体"/>
          <w:bCs/>
          <w:color w:val="auto"/>
          <w:sz w:val="21"/>
          <w:szCs w:val="21"/>
          <w:highlight w:val="none"/>
          <w:u w:val="single"/>
        </w:rPr>
      </w:pPr>
      <w:r>
        <w:rPr>
          <w:rFonts w:hint="eastAsia" w:ascii="仿宋" w:hAnsi="仿宋" w:eastAsia="仿宋" w:cs="宋体"/>
          <w:bCs/>
          <w:color w:val="auto"/>
          <w:sz w:val="21"/>
          <w:szCs w:val="21"/>
          <w:highlight w:val="none"/>
          <w:u w:val="single"/>
        </w:rPr>
        <w:t>项目负责人配备标准：具有类似反诈服务项目经验</w:t>
      </w:r>
      <w:r>
        <w:rPr>
          <w:rFonts w:hint="eastAsia" w:ascii="仿宋" w:hAnsi="仿宋" w:eastAsia="仿宋" w:cs="宋体"/>
          <w:bCs/>
          <w:color w:val="auto"/>
          <w:sz w:val="21"/>
          <w:szCs w:val="21"/>
          <w:highlight w:val="none"/>
          <w:u w:val="single"/>
        </w:rPr>
        <w:t>（需提供类似业绩合同，须体现项目负责人姓名）</w:t>
      </w:r>
      <w:r>
        <w:rPr>
          <w:rFonts w:hint="eastAsia" w:ascii="仿宋" w:hAnsi="仿宋" w:eastAsia="仿宋" w:cs="宋体"/>
          <w:bCs/>
          <w:color w:val="auto"/>
          <w:sz w:val="21"/>
          <w:szCs w:val="21"/>
          <w:highlight w:val="none"/>
          <w:u w:val="single"/>
        </w:rPr>
        <w:t>。项目负责人应具</w:t>
      </w:r>
      <w:r>
        <w:rPr>
          <w:rFonts w:hint="eastAsia" w:ascii="仿宋" w:hAnsi="仿宋" w:eastAsia="仿宋" w:cs="宋体"/>
          <w:bCs/>
          <w:color w:val="auto"/>
          <w:sz w:val="21"/>
          <w:szCs w:val="21"/>
          <w:highlight w:val="none"/>
          <w:u w:val="single"/>
        </w:rPr>
        <w:t>有计算机技术与软件专业技术资格</w:t>
      </w:r>
      <w:r>
        <w:rPr>
          <w:rFonts w:hint="eastAsia" w:ascii="仿宋" w:hAnsi="仿宋" w:eastAsia="仿宋" w:cs="宋体"/>
          <w:bCs/>
          <w:color w:val="auto"/>
          <w:sz w:val="21"/>
          <w:szCs w:val="21"/>
          <w:highlight w:val="none"/>
          <w:u w:val="single"/>
          <w:lang w:eastAsia="zh-CN"/>
        </w:rPr>
        <w:t>（</w:t>
      </w:r>
      <w:r>
        <w:rPr>
          <w:rFonts w:hint="eastAsia" w:ascii="仿宋" w:hAnsi="仿宋" w:eastAsia="仿宋" w:cs="宋体"/>
          <w:bCs/>
          <w:color w:val="auto"/>
          <w:sz w:val="21"/>
          <w:szCs w:val="21"/>
          <w:highlight w:val="none"/>
          <w:u w:val="single"/>
        </w:rPr>
        <w:t>信息系统项目管理师</w:t>
      </w:r>
      <w:r>
        <w:rPr>
          <w:rFonts w:hint="eastAsia" w:ascii="仿宋" w:hAnsi="仿宋" w:eastAsia="仿宋" w:cs="宋体"/>
          <w:bCs/>
          <w:color w:val="auto"/>
          <w:sz w:val="21"/>
          <w:szCs w:val="21"/>
          <w:highlight w:val="none"/>
          <w:u w:val="single"/>
          <w:lang w:val="en-US" w:eastAsia="zh-CN"/>
        </w:rPr>
        <w:t>证书</w:t>
      </w:r>
      <w:r>
        <w:rPr>
          <w:rFonts w:hint="eastAsia" w:ascii="仿宋" w:hAnsi="仿宋" w:eastAsia="仿宋" w:cs="宋体"/>
          <w:bCs/>
          <w:color w:val="auto"/>
          <w:sz w:val="21"/>
          <w:szCs w:val="21"/>
          <w:highlight w:val="none"/>
          <w:u w:val="single"/>
          <w:lang w:eastAsia="zh-CN"/>
        </w:rPr>
        <w:t>）</w:t>
      </w:r>
      <w:r>
        <w:rPr>
          <w:rFonts w:hint="eastAsia" w:ascii="仿宋" w:hAnsi="仿宋" w:eastAsia="仿宋" w:cs="宋体"/>
          <w:bCs/>
          <w:color w:val="auto"/>
          <w:sz w:val="21"/>
          <w:szCs w:val="21"/>
          <w:highlight w:val="none"/>
          <w:u w:val="single"/>
        </w:rPr>
        <w:t>；工作内容主要负责本次项目的实施，以及对采购人的对接工作。</w:t>
      </w:r>
    </w:p>
    <w:p w14:paraId="217ECBF5">
      <w:pPr>
        <w:pStyle w:val="275"/>
        <w:keepNext w:val="0"/>
        <w:keepLines w:val="0"/>
        <w:pageBreakBefore w:val="0"/>
        <w:widowControl w:val="0"/>
        <w:numPr>
          <w:ilvl w:val="0"/>
          <w:numId w:val="4"/>
        </w:numPr>
        <w:kinsoku/>
        <w:wordWrap/>
        <w:overflowPunct/>
        <w:topLinePunct w:val="0"/>
        <w:autoSpaceDE/>
        <w:autoSpaceDN/>
        <w:bidi w:val="0"/>
        <w:adjustRightInd/>
        <w:snapToGrid w:val="0"/>
        <w:spacing w:line="360" w:lineRule="auto"/>
        <w:ind w:firstLineChars="0"/>
        <w:textAlignment w:val="auto"/>
        <w:rPr>
          <w:rFonts w:ascii="仿宋" w:hAnsi="仿宋" w:eastAsia="仿宋" w:cs="宋体"/>
          <w:bCs/>
          <w:color w:val="auto"/>
          <w:sz w:val="21"/>
          <w:szCs w:val="21"/>
          <w:highlight w:val="none"/>
          <w:u w:val="single"/>
        </w:rPr>
      </w:pPr>
      <w:r>
        <w:rPr>
          <w:rFonts w:hint="eastAsia" w:ascii="仿宋" w:hAnsi="仿宋" w:eastAsia="仿宋" w:cs="宋体"/>
          <w:bCs/>
          <w:color w:val="auto"/>
          <w:sz w:val="21"/>
          <w:szCs w:val="21"/>
          <w:highlight w:val="none"/>
          <w:u w:val="single"/>
        </w:rPr>
        <w:t>技术负责人、服务人员配备标准：均应具有类似反诈服务项目经验</w:t>
      </w:r>
      <w:r>
        <w:rPr>
          <w:rFonts w:hint="eastAsia" w:ascii="仿宋" w:hAnsi="仿宋" w:eastAsia="仿宋" w:cs="宋体"/>
          <w:bCs/>
          <w:color w:val="auto"/>
          <w:sz w:val="21"/>
          <w:szCs w:val="21"/>
          <w:highlight w:val="none"/>
          <w:u w:val="single"/>
        </w:rPr>
        <w:t>（需提供类似业绩合同，须体现服务人员姓名）</w:t>
      </w:r>
      <w:r>
        <w:rPr>
          <w:rFonts w:hint="eastAsia" w:ascii="仿宋" w:hAnsi="仿宋" w:eastAsia="仿宋" w:cs="宋体"/>
          <w:bCs/>
          <w:color w:val="auto"/>
          <w:sz w:val="21"/>
          <w:szCs w:val="21"/>
          <w:highlight w:val="none"/>
          <w:u w:val="single"/>
        </w:rPr>
        <w:t>；服务人员工作内容主要负责协助对案件开展侦查、涉案系统进行扫描、安全测试、电话咨询与现场服务、涉网诈骗预感探测数据端口维护等，并提供分析报告, 技术负责人负责对服务人员的工作进行技术支持；服务人员应有明确的岗位分配，各岗位有专人负责，投标文件中需提供人员配置表，保证服务工作顺利有序进行。</w:t>
      </w:r>
    </w:p>
    <w:p w14:paraId="7B67249D">
      <w:pPr>
        <w:pStyle w:val="275"/>
        <w:keepNext w:val="0"/>
        <w:keepLines w:val="0"/>
        <w:pageBreakBefore w:val="0"/>
        <w:widowControl w:val="0"/>
        <w:numPr>
          <w:ilvl w:val="0"/>
          <w:numId w:val="4"/>
        </w:numPr>
        <w:kinsoku/>
        <w:wordWrap/>
        <w:overflowPunct/>
        <w:topLinePunct w:val="0"/>
        <w:autoSpaceDE/>
        <w:autoSpaceDN/>
        <w:bidi w:val="0"/>
        <w:adjustRightInd/>
        <w:snapToGrid w:val="0"/>
        <w:spacing w:line="360" w:lineRule="auto"/>
        <w:ind w:firstLineChars="0"/>
        <w:textAlignment w:val="auto"/>
        <w:rPr>
          <w:rFonts w:ascii="仿宋" w:hAnsi="仿宋" w:eastAsia="仿宋" w:cs="宋体"/>
          <w:bCs/>
          <w:color w:val="auto"/>
          <w:sz w:val="21"/>
          <w:szCs w:val="21"/>
          <w:highlight w:val="none"/>
          <w:u w:val="single"/>
        </w:rPr>
      </w:pPr>
      <w:r>
        <w:rPr>
          <w:rFonts w:hint="eastAsia" w:ascii="仿宋" w:hAnsi="仿宋" w:eastAsia="仿宋" w:cs="宋体"/>
          <w:bCs/>
          <w:color w:val="auto"/>
          <w:sz w:val="21"/>
          <w:szCs w:val="21"/>
          <w:highlight w:val="none"/>
          <w:u w:val="single"/>
        </w:rPr>
        <w:t>投标人拟派的服务人员合同期内不得随意变动，如人员进行变更时，需提前</w:t>
      </w:r>
      <w:r>
        <w:rPr>
          <w:rFonts w:hint="eastAsia" w:ascii="仿宋" w:hAnsi="仿宋" w:eastAsia="仿宋" w:cs="宋体"/>
          <w:bCs/>
          <w:color w:val="auto"/>
          <w:sz w:val="21"/>
          <w:szCs w:val="21"/>
          <w:highlight w:val="none"/>
          <w:u w:val="single"/>
        </w:rPr>
        <w:t>3</w:t>
      </w:r>
      <w:r>
        <w:rPr>
          <w:rFonts w:hint="eastAsia" w:ascii="仿宋" w:hAnsi="仿宋" w:eastAsia="仿宋" w:cs="宋体"/>
          <w:bCs/>
          <w:color w:val="auto"/>
          <w:sz w:val="21"/>
          <w:szCs w:val="21"/>
          <w:highlight w:val="none"/>
          <w:u w:val="single"/>
          <w:lang w:eastAsia="zh-CN"/>
        </w:rPr>
        <w:t>个工作</w:t>
      </w:r>
      <w:r>
        <w:rPr>
          <w:rFonts w:hint="eastAsia" w:ascii="仿宋" w:hAnsi="仿宋" w:eastAsia="仿宋" w:cs="宋体"/>
          <w:bCs/>
          <w:color w:val="auto"/>
          <w:sz w:val="21"/>
          <w:szCs w:val="21"/>
          <w:highlight w:val="none"/>
          <w:u w:val="single"/>
        </w:rPr>
        <w:t>日</w:t>
      </w:r>
      <w:r>
        <w:rPr>
          <w:rFonts w:hint="eastAsia" w:ascii="仿宋" w:hAnsi="仿宋" w:eastAsia="仿宋" w:cs="宋体"/>
          <w:bCs/>
          <w:color w:val="auto"/>
          <w:sz w:val="21"/>
          <w:szCs w:val="21"/>
          <w:highlight w:val="none"/>
          <w:u w:val="single"/>
        </w:rPr>
        <w:t>经采购人经办人、审核人对服务人员变更进行书面审批，签发人员变更审批单。审批通过后方可更换，更换人员资历不得低于投标时人员资历，并确保任何时候都无人员缺位问题。</w:t>
      </w:r>
    </w:p>
    <w:p w14:paraId="24718110">
      <w:pPr>
        <w:pStyle w:val="7"/>
        <w:keepNext/>
        <w:keepLines/>
        <w:pageBreakBefore w:val="0"/>
        <w:widowControl w:val="0"/>
        <w:numPr>
          <w:ilvl w:val="0"/>
          <w:numId w:val="2"/>
        </w:numPr>
        <w:tabs>
          <w:tab w:val="left" w:pos="900"/>
          <w:tab w:val="clear" w:pos="864"/>
        </w:tabs>
        <w:kinsoku/>
        <w:wordWrap/>
        <w:overflowPunct/>
        <w:topLinePunct w:val="0"/>
        <w:autoSpaceDE/>
        <w:autoSpaceDN/>
        <w:bidi w:val="0"/>
        <w:adjustRightInd w:val="0"/>
        <w:snapToGrid/>
        <w:spacing w:after="0" w:line="360" w:lineRule="auto"/>
        <w:ind w:left="845" w:hanging="420"/>
        <w:textAlignment w:val="auto"/>
        <w:outlineLvl w:val="3"/>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服务输出分析报告要求</w:t>
      </w:r>
    </w:p>
    <w:p w14:paraId="101426C4">
      <w:pPr>
        <w:snapToGrid w:val="0"/>
        <w:spacing w:after="120" w:line="360" w:lineRule="auto"/>
        <w:ind w:left="482" w:firstLine="420" w:firstLineChars="200"/>
        <w:rPr>
          <w:rFonts w:ascii="仿宋" w:hAnsi="仿宋" w:eastAsia="仿宋" w:cs="宋体"/>
          <w:bCs/>
          <w:color w:val="auto"/>
          <w:szCs w:val="21"/>
          <w:highlight w:val="none"/>
          <w:u w:val="single"/>
        </w:rPr>
      </w:pPr>
      <w:r>
        <w:rPr>
          <w:rFonts w:hint="eastAsia" w:ascii="仿宋" w:hAnsi="仿宋" w:eastAsia="仿宋" w:cs="宋体"/>
          <w:bCs/>
          <w:color w:val="auto"/>
          <w:szCs w:val="21"/>
          <w:highlight w:val="none"/>
          <w:u w:val="single"/>
        </w:rPr>
        <w:t>根据</w:t>
      </w:r>
      <w:r>
        <w:rPr>
          <w:rFonts w:hint="eastAsia" w:ascii="仿宋" w:hAnsi="仿宋" w:eastAsia="仿宋" w:cs="宋体"/>
          <w:bCs/>
          <w:color w:val="auto"/>
          <w:szCs w:val="21"/>
          <w:highlight w:val="none"/>
          <w:u w:val="single"/>
          <w:lang w:val="zh-CN"/>
        </w:rPr>
        <w:t>投标人</w:t>
      </w:r>
      <w:r>
        <w:rPr>
          <w:rFonts w:hint="eastAsia" w:ascii="仿宋" w:hAnsi="仿宋" w:eastAsia="仿宋" w:cs="宋体"/>
          <w:bCs/>
          <w:color w:val="auto"/>
          <w:szCs w:val="21"/>
          <w:highlight w:val="none"/>
          <w:u w:val="single"/>
        </w:rPr>
        <w:t>输出的分析报告支撑采购人发现涉网案件涉及的境内外诈骗、洗钱、技术支撑等多个犯罪环节的能力，以及案件打击效果来进行区分，将报告分为</w:t>
      </w:r>
      <w:r>
        <w:rPr>
          <w:rFonts w:ascii="仿宋" w:hAnsi="仿宋" w:eastAsia="仿宋" w:cs="宋体"/>
          <w:bCs/>
          <w:color w:val="auto"/>
          <w:szCs w:val="21"/>
          <w:highlight w:val="none"/>
          <w:u w:val="single"/>
        </w:rPr>
        <w:t>A类、B类、C类。</w:t>
      </w:r>
    </w:p>
    <w:p w14:paraId="0E32D866">
      <w:pPr>
        <w:snapToGrid w:val="0"/>
        <w:spacing w:after="120" w:line="360" w:lineRule="auto"/>
        <w:ind w:left="567" w:leftChars="270" w:firstLine="420" w:firstLineChars="200"/>
        <w:rPr>
          <w:rFonts w:ascii="仿宋" w:hAnsi="仿宋" w:eastAsia="仿宋" w:cs="宋体"/>
          <w:bCs/>
          <w:color w:val="auto"/>
          <w:szCs w:val="21"/>
          <w:highlight w:val="none"/>
          <w:u w:val="single"/>
        </w:rPr>
      </w:pPr>
      <w:r>
        <w:rPr>
          <w:rFonts w:ascii="仿宋" w:hAnsi="仿宋" w:eastAsia="仿宋" w:cs="宋体"/>
          <w:bCs/>
          <w:color w:val="auto"/>
          <w:szCs w:val="21"/>
          <w:highlight w:val="none"/>
          <w:u w:val="single"/>
        </w:rPr>
        <w:t>A</w:t>
      </w:r>
      <w:r>
        <w:rPr>
          <w:rFonts w:hint="eastAsia" w:ascii="仿宋" w:hAnsi="仿宋" w:eastAsia="仿宋" w:cs="宋体"/>
          <w:bCs/>
          <w:color w:val="auto"/>
          <w:szCs w:val="21"/>
          <w:highlight w:val="none"/>
          <w:u w:val="single"/>
        </w:rPr>
        <w:t>类报告为能有效服务支撑输出侦查线索，并使采购人能够侦破目标案件，抓获实施诈骗三个以上犯罪环节的犯罪嫌疑人，或根据提供侦查线索明确境外犯罪嫌疑</w:t>
      </w:r>
      <w:r>
        <w:rPr>
          <w:rFonts w:ascii="仿宋" w:hAnsi="仿宋" w:eastAsia="仿宋" w:cs="宋体"/>
          <w:bCs/>
          <w:color w:val="auto"/>
          <w:szCs w:val="21"/>
          <w:highlight w:val="none"/>
          <w:u w:val="single"/>
        </w:rPr>
        <w:t>团伙、</w:t>
      </w:r>
      <w:r>
        <w:rPr>
          <w:rFonts w:hint="eastAsia" w:ascii="仿宋" w:hAnsi="仿宋" w:eastAsia="仿宋" w:cs="宋体"/>
          <w:bCs/>
          <w:color w:val="auto"/>
          <w:szCs w:val="21"/>
          <w:highlight w:val="none"/>
          <w:u w:val="single"/>
        </w:rPr>
        <w:t>嫌疑人身份等</w:t>
      </w:r>
      <w:r>
        <w:rPr>
          <w:rFonts w:ascii="仿宋" w:hAnsi="仿宋" w:eastAsia="仿宋" w:cs="宋体"/>
          <w:bCs/>
          <w:color w:val="auto"/>
          <w:szCs w:val="21"/>
          <w:highlight w:val="none"/>
          <w:u w:val="single"/>
        </w:rPr>
        <w:t>，能</w:t>
      </w:r>
      <w:r>
        <w:rPr>
          <w:rFonts w:hint="eastAsia" w:ascii="仿宋" w:hAnsi="仿宋" w:eastAsia="仿宋" w:cs="宋体"/>
          <w:bCs/>
          <w:color w:val="auto"/>
          <w:szCs w:val="21"/>
          <w:highlight w:val="none"/>
          <w:u w:val="single"/>
        </w:rPr>
        <w:t>提供</w:t>
      </w:r>
      <w:r>
        <w:rPr>
          <w:rFonts w:ascii="仿宋" w:hAnsi="仿宋" w:eastAsia="仿宋" w:cs="宋体"/>
          <w:bCs/>
          <w:color w:val="auto"/>
          <w:szCs w:val="21"/>
          <w:highlight w:val="none"/>
          <w:u w:val="single"/>
        </w:rPr>
        <w:t>部级</w:t>
      </w:r>
      <w:r>
        <w:rPr>
          <w:rFonts w:hint="eastAsia" w:ascii="仿宋" w:hAnsi="仿宋" w:eastAsia="仿宋" w:cs="宋体"/>
          <w:bCs/>
          <w:color w:val="auto"/>
          <w:szCs w:val="21"/>
          <w:highlight w:val="none"/>
          <w:u w:val="single"/>
        </w:rPr>
        <w:t>集群</w:t>
      </w:r>
      <w:r>
        <w:rPr>
          <w:rFonts w:ascii="仿宋" w:hAnsi="仿宋" w:eastAsia="仿宋" w:cs="宋体"/>
          <w:bCs/>
          <w:color w:val="auto"/>
          <w:szCs w:val="21"/>
          <w:highlight w:val="none"/>
          <w:u w:val="single"/>
        </w:rPr>
        <w:t>线索</w:t>
      </w:r>
      <w:r>
        <w:rPr>
          <w:rFonts w:hint="eastAsia" w:ascii="仿宋" w:hAnsi="仿宋" w:eastAsia="仿宋" w:cs="宋体"/>
          <w:bCs/>
          <w:color w:val="auto"/>
          <w:szCs w:val="21"/>
          <w:highlight w:val="none"/>
          <w:u w:val="single"/>
        </w:rPr>
        <w:t>。另根据采购人支撑需要，对重特大涉网案件进行分析输出研判报告，满足采购人相关支撑需求并抓获犯罪嫌疑人的，也可认定为</w:t>
      </w:r>
      <w:r>
        <w:rPr>
          <w:rFonts w:ascii="仿宋" w:hAnsi="仿宋" w:eastAsia="仿宋" w:cs="宋体"/>
          <w:bCs/>
          <w:color w:val="auto"/>
          <w:szCs w:val="21"/>
          <w:highlight w:val="none"/>
          <w:u w:val="single"/>
        </w:rPr>
        <w:t>A类报告。</w:t>
      </w:r>
    </w:p>
    <w:p w14:paraId="3F0FFC7B">
      <w:pPr>
        <w:snapToGrid w:val="0"/>
        <w:spacing w:after="120" w:line="360" w:lineRule="auto"/>
        <w:ind w:left="567" w:leftChars="270" w:firstLine="420" w:firstLineChars="200"/>
        <w:rPr>
          <w:rFonts w:ascii="仿宋" w:hAnsi="仿宋" w:eastAsia="仿宋" w:cs="宋体"/>
          <w:bCs/>
          <w:color w:val="auto"/>
          <w:szCs w:val="21"/>
          <w:highlight w:val="none"/>
          <w:u w:val="single"/>
        </w:rPr>
      </w:pPr>
      <w:r>
        <w:rPr>
          <w:rFonts w:ascii="仿宋" w:hAnsi="仿宋" w:eastAsia="仿宋" w:cs="宋体"/>
          <w:bCs/>
          <w:color w:val="auto"/>
          <w:szCs w:val="21"/>
          <w:highlight w:val="none"/>
          <w:u w:val="single"/>
        </w:rPr>
        <w:t>B</w:t>
      </w:r>
      <w:r>
        <w:rPr>
          <w:rFonts w:hint="eastAsia" w:ascii="仿宋" w:hAnsi="仿宋" w:eastAsia="仿宋" w:cs="宋体"/>
          <w:bCs/>
          <w:color w:val="auto"/>
          <w:szCs w:val="21"/>
          <w:highlight w:val="none"/>
          <w:u w:val="single"/>
        </w:rPr>
        <w:t>类报告为能有效服务支撑输出侦查线索并使采购人能够侦破目标案件，抓获实施诈骗部分犯罪环节的犯罪嫌疑人，或根据提供侦查线索明确实施诈骗的犯罪嫌疑人身份的，或能提供省级集群线索。</w:t>
      </w:r>
    </w:p>
    <w:p w14:paraId="69532431">
      <w:pPr>
        <w:snapToGrid w:val="0"/>
        <w:spacing w:after="120" w:line="360" w:lineRule="auto"/>
        <w:ind w:left="567" w:leftChars="270" w:firstLine="420" w:firstLineChars="200"/>
        <w:rPr>
          <w:rFonts w:ascii="仿宋" w:hAnsi="仿宋" w:eastAsia="仿宋"/>
          <w:color w:val="auto"/>
          <w:szCs w:val="21"/>
          <w:highlight w:val="none"/>
        </w:rPr>
      </w:pPr>
      <w:r>
        <w:rPr>
          <w:rFonts w:ascii="仿宋" w:hAnsi="仿宋" w:eastAsia="仿宋" w:cs="宋体"/>
          <w:bCs/>
          <w:color w:val="auto"/>
          <w:szCs w:val="21"/>
          <w:highlight w:val="none"/>
          <w:u w:val="single"/>
        </w:rPr>
        <w:t>C</w:t>
      </w:r>
      <w:r>
        <w:rPr>
          <w:rFonts w:hint="eastAsia" w:ascii="仿宋" w:hAnsi="仿宋" w:eastAsia="仿宋" w:cs="宋体"/>
          <w:bCs/>
          <w:color w:val="auto"/>
          <w:szCs w:val="21"/>
          <w:highlight w:val="none"/>
          <w:u w:val="single"/>
        </w:rPr>
        <w:t>类报告为能提供采购人涉网案件侦查线索，或能够基本侦破目标案件，抓获任一犯罪环节犯罪嫌疑人的，或能提供市级集群线索。</w:t>
      </w:r>
    </w:p>
    <w:p w14:paraId="4529AE07">
      <w:pPr>
        <w:pStyle w:val="5"/>
        <w:tabs>
          <w:tab w:val="left" w:pos="432"/>
        </w:tabs>
        <w:spacing w:line="360" w:lineRule="auto"/>
        <w:ind w:left="432" w:firstLine="0"/>
        <w:rPr>
          <w:rFonts w:ascii="仿宋" w:hAnsi="仿宋" w:eastAsia="仿宋" w:cs="仿宋"/>
          <w:color w:val="auto"/>
          <w:sz w:val="21"/>
          <w:szCs w:val="21"/>
          <w:highlight w:val="none"/>
        </w:rPr>
      </w:pPr>
      <w:r>
        <w:rPr>
          <w:rFonts w:hint="eastAsia" w:ascii="仿宋" w:hAnsi="仿宋" w:eastAsia="仿宋" w:cs="仿宋"/>
          <w:color w:val="auto"/>
          <w:sz w:val="21"/>
          <w:szCs w:val="21"/>
          <w:highlight w:val="none"/>
        </w:rPr>
        <w:t>八、其他要求</w:t>
      </w:r>
    </w:p>
    <w:p w14:paraId="7A200E5F">
      <w:pPr>
        <w:pStyle w:val="905"/>
        <w:shd w:val="clear" w:color="auto" w:fill="FFFFFF"/>
        <w:snapToGrid w:val="0"/>
        <w:spacing w:before="0" w:beforeAutospacing="0" w:after="0" w:afterAutospacing="0" w:line="360" w:lineRule="auto"/>
        <w:ind w:firstLine="482"/>
        <w:contextualSpacing/>
        <w:rPr>
          <w:rFonts w:hint="eastAsia" w:ascii="仿宋" w:hAnsi="仿宋" w:eastAsia="仿宋" w:cs="仿宋"/>
          <w:color w:val="auto"/>
          <w:sz w:val="21"/>
          <w:szCs w:val="21"/>
          <w:highlight w:val="none"/>
        </w:rPr>
      </w:pPr>
      <w:r>
        <w:rPr>
          <w:rFonts w:ascii="仿宋" w:hAnsi="仿宋" w:eastAsia="仿宋" w:cs="仿宋"/>
          <w:color w:val="auto"/>
          <w:sz w:val="21"/>
          <w:szCs w:val="21"/>
          <w:highlight w:val="none"/>
        </w:rPr>
        <w:t>1</w:t>
      </w:r>
      <w:r>
        <w:rPr>
          <w:rFonts w:hint="eastAsia" w:ascii="仿宋" w:hAnsi="仿宋" w:eastAsia="仿宋" w:cs="仿宋"/>
          <w:color w:val="auto"/>
          <w:sz w:val="21"/>
          <w:szCs w:val="21"/>
          <w:highlight w:val="none"/>
        </w:rPr>
        <w:t>、保密要求：</w:t>
      </w:r>
    </w:p>
    <w:p w14:paraId="00349341">
      <w:pPr>
        <w:pStyle w:val="905"/>
        <w:shd w:val="clear" w:color="auto" w:fill="FFFFFF"/>
        <w:snapToGrid/>
        <w:spacing w:before="0" w:beforeAutospacing="0" w:after="0" w:afterAutospacing="0" w:line="360" w:lineRule="auto"/>
        <w:ind w:firstLine="482"/>
        <w:contextualSpacing/>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采购人对投标人及工作人员开展常态化安全保密教育，组织签订安全保密承诺书，明确具体安全管理内容、安全保密义务和责任；投标人及工作人员违反保密安全管理要求，构成违法犯罪的，采购人将及时报送市场监督管理等部门，提请列入政府采购严重违法失信行为记录名单、市场监督管理严重失信名单，并追究相关责任。</w:t>
      </w:r>
    </w:p>
    <w:p w14:paraId="55DB8EDC">
      <w:pPr>
        <w:pStyle w:val="905"/>
        <w:shd w:val="clear" w:color="auto" w:fill="FFFFFF"/>
        <w:snapToGrid/>
        <w:spacing w:before="0" w:beforeAutospacing="0" w:after="0" w:afterAutospacing="0" w:line="360" w:lineRule="auto"/>
        <w:ind w:firstLine="482"/>
        <w:contextualSpacing/>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投标人须严格按照采购人规定使用、存储、处理文档资料和数据。合同终止时，应当交还全部资料和数据。</w:t>
      </w:r>
    </w:p>
    <w:p w14:paraId="147D7C27">
      <w:pPr>
        <w:pStyle w:val="905"/>
        <w:shd w:val="clear" w:color="auto" w:fill="FFFFFF"/>
        <w:snapToGrid/>
        <w:spacing w:before="0" w:beforeAutospacing="0" w:after="0" w:afterAutospacing="0" w:line="360" w:lineRule="auto"/>
        <w:ind w:firstLine="482"/>
        <w:contextualSpacing/>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标人需与采购人签署保密协议，投标人对在项目实施期间所获得的采购人的情报和资料有保密义务（包括但不限于合同履约期内），泄漏秘密应承担的责任。如有违反，按合同的违约条款向采购人支付违约金，造成采购人损失的应予赔偿，违法或涉嫌犯罪的依法追究刑事责任。</w:t>
      </w:r>
    </w:p>
    <w:p w14:paraId="699F24ED">
      <w:pPr>
        <w:pStyle w:val="90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60" w:lineRule="auto"/>
        <w:ind w:firstLine="420" w:firstLineChars="200"/>
        <w:contextualSpacing/>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若项目涉及分包的，投标人须按照以上保密要求，与分包供应商签订单位保密协议、个人保密承诺书、开展日常保密教育等措施，确保分包供应商严格落实各项保密规定，并与分包供应商承担连带责任。</w:t>
      </w:r>
    </w:p>
    <w:p w14:paraId="2118B149">
      <w:pPr>
        <w:snapToGrid/>
        <w:spacing w:line="360" w:lineRule="auto"/>
        <w:ind w:firstLine="420" w:firstLineChars="200"/>
        <w:rPr>
          <w:rFonts w:ascii="仿宋" w:hAnsi="仿宋" w:eastAsia="仿宋" w:cs="仿宋"/>
          <w:color w:val="auto"/>
          <w:szCs w:val="21"/>
          <w:highlight w:val="none"/>
        </w:rPr>
      </w:pPr>
      <w:r>
        <w:rPr>
          <w:rFonts w:ascii="仿宋" w:hAnsi="仿宋" w:eastAsia="仿宋" w:cs="仿宋"/>
          <w:color w:val="auto"/>
          <w:szCs w:val="21"/>
          <w:highlight w:val="none"/>
        </w:rPr>
        <w:t>2</w:t>
      </w:r>
      <w:r>
        <w:rPr>
          <w:rFonts w:hint="eastAsia" w:ascii="仿宋" w:hAnsi="仿宋" w:eastAsia="仿宋" w:cs="仿宋"/>
          <w:color w:val="auto"/>
          <w:szCs w:val="21"/>
          <w:highlight w:val="none"/>
        </w:rPr>
        <w:t>、本项目服务期结束后1</w:t>
      </w:r>
      <w:r>
        <w:rPr>
          <w:rFonts w:ascii="仿宋" w:hAnsi="仿宋" w:eastAsia="仿宋" w:cs="仿宋"/>
          <w:color w:val="auto"/>
          <w:szCs w:val="21"/>
          <w:highlight w:val="none"/>
        </w:rPr>
        <w:t>0</w:t>
      </w:r>
      <w:r>
        <w:rPr>
          <w:rFonts w:hint="eastAsia" w:ascii="仿宋" w:hAnsi="仿宋" w:eastAsia="仿宋" w:cs="仿宋"/>
          <w:color w:val="auto"/>
          <w:szCs w:val="21"/>
          <w:highlight w:val="none"/>
        </w:rPr>
        <w:t>天内，投标人应编制案件分析报告汇总表及服务总结报告等，并报采购人审核。</w:t>
      </w:r>
    </w:p>
    <w:p w14:paraId="10645D72">
      <w:pPr>
        <w:autoSpaceDE w:val="0"/>
        <w:autoSpaceDN w:val="0"/>
        <w:spacing w:line="360" w:lineRule="auto"/>
        <w:ind w:firstLine="420" w:firstLineChars="200"/>
        <w:rPr>
          <w:rFonts w:ascii="仿宋" w:hAnsi="仿宋" w:eastAsia="仿宋"/>
          <w:color w:val="auto"/>
          <w:szCs w:val="21"/>
          <w:highlight w:val="none"/>
        </w:rPr>
      </w:pPr>
      <w:r>
        <w:rPr>
          <w:rFonts w:hint="eastAsia"/>
          <w:color w:val="auto"/>
          <w:highlight w:val="none"/>
        </w:rPr>
        <w:t>3、</w:t>
      </w:r>
      <w:r>
        <w:rPr>
          <w:rFonts w:hint="eastAsia" w:ascii="仿宋" w:hAnsi="仿宋" w:eastAsia="仿宋"/>
          <w:color w:val="auto"/>
          <w:szCs w:val="21"/>
          <w:highlight w:val="none"/>
        </w:rPr>
        <w:t>网络安全责任和义务要求</w:t>
      </w:r>
    </w:p>
    <w:p w14:paraId="1DB6D523">
      <w:pPr>
        <w:spacing w:line="360" w:lineRule="auto"/>
        <w:ind w:firstLine="371" w:firstLineChars="177"/>
        <w:rPr>
          <w:rFonts w:ascii="仿宋" w:hAnsi="仿宋" w:eastAsia="仿宋" w:cs="仿宋"/>
          <w:color w:val="auto"/>
          <w:szCs w:val="21"/>
          <w:highlight w:val="none"/>
        </w:rPr>
      </w:pPr>
      <w:bookmarkStart w:id="41" w:name="_Hlk153871487"/>
      <w:r>
        <w:rPr>
          <w:rFonts w:hint="eastAsia" w:ascii="仿宋" w:hAnsi="仿宋" w:eastAsia="仿宋" w:cs="仿宋"/>
          <w:color w:val="auto"/>
          <w:szCs w:val="21"/>
          <w:highlight w:val="none"/>
        </w:rPr>
        <w:t>（1）</w:t>
      </w:r>
      <w:r>
        <w:rPr>
          <w:rFonts w:ascii="仿宋" w:hAnsi="仿宋" w:eastAsia="仿宋" w:cs="仿宋"/>
          <w:color w:val="auto"/>
          <w:szCs w:val="21"/>
          <w:highlight w:val="none"/>
        </w:rPr>
        <w:t>明确投标人法定代表人为合作事项网络</w:t>
      </w:r>
      <w:r>
        <w:rPr>
          <w:rFonts w:hint="eastAsia" w:ascii="仿宋" w:hAnsi="仿宋" w:eastAsia="仿宋" w:cs="仿宋"/>
          <w:color w:val="auto"/>
          <w:szCs w:val="21"/>
          <w:highlight w:val="none"/>
        </w:rPr>
        <w:t>安全第一责任人，具体承担合作事项的部门主要负责人为直接责任人。</w:t>
      </w:r>
    </w:p>
    <w:p w14:paraId="78BEB5DD">
      <w:pPr>
        <w:spacing w:line="360" w:lineRule="auto"/>
        <w:ind w:firstLine="371" w:firstLineChars="177"/>
        <w:rPr>
          <w:rFonts w:ascii="仿宋" w:hAnsi="仿宋" w:eastAsia="仿宋" w:cs="仿宋"/>
          <w:color w:val="auto"/>
          <w:szCs w:val="21"/>
          <w:highlight w:val="none"/>
        </w:rPr>
      </w:pPr>
      <w:r>
        <w:rPr>
          <w:rFonts w:hint="eastAsia" w:ascii="仿宋" w:hAnsi="仿宋" w:eastAsia="仿宋" w:cs="仿宋"/>
          <w:color w:val="auto"/>
          <w:szCs w:val="21"/>
          <w:highlight w:val="none"/>
        </w:rPr>
        <w:t>（2）</w:t>
      </w:r>
      <w:r>
        <w:rPr>
          <w:rFonts w:hint="eastAsia" w:ascii="仿宋" w:hAnsi="仿宋" w:eastAsia="仿宋" w:cs="仿宋"/>
          <w:color w:val="auto"/>
          <w:szCs w:val="21"/>
          <w:highlight w:val="none"/>
        </w:rPr>
        <w:t>不得转包合同任务；除非主体、非关键性的“大数据智能查控服务、资金智能查控服务、新型涉网案件智勘联侦分析服务”工作外，不得分包合同任务。</w:t>
      </w:r>
    </w:p>
    <w:p w14:paraId="05E8ADAD">
      <w:pPr>
        <w:spacing w:line="360" w:lineRule="auto"/>
        <w:ind w:firstLine="371" w:firstLineChars="177"/>
        <w:rPr>
          <w:rFonts w:ascii="仿宋" w:hAnsi="仿宋" w:eastAsia="仿宋" w:cs="仿宋"/>
          <w:color w:val="auto"/>
          <w:szCs w:val="21"/>
          <w:highlight w:val="none"/>
        </w:rPr>
      </w:pPr>
      <w:r>
        <w:rPr>
          <w:rFonts w:hint="eastAsia" w:ascii="仿宋" w:hAnsi="仿宋" w:eastAsia="仿宋" w:cs="仿宋"/>
          <w:color w:val="auto"/>
          <w:szCs w:val="21"/>
          <w:highlight w:val="none"/>
        </w:rPr>
        <w:t>（3）</w:t>
      </w:r>
      <w:r>
        <w:rPr>
          <w:rFonts w:ascii="仿宋" w:hAnsi="仿宋" w:eastAsia="仿宋" w:cs="仿宋"/>
          <w:color w:val="auto"/>
          <w:szCs w:val="21"/>
          <w:highlight w:val="none"/>
        </w:rPr>
        <w:t>投标人应制订与合作事项相关的网络安全保障方案和网络安全事件应急预案。</w:t>
      </w:r>
    </w:p>
    <w:p w14:paraId="7CDBEF80">
      <w:pPr>
        <w:spacing w:line="360" w:lineRule="auto"/>
        <w:ind w:firstLine="371" w:firstLineChars="177"/>
        <w:rPr>
          <w:rFonts w:ascii="仿宋" w:hAnsi="仿宋" w:eastAsia="仿宋" w:cs="仿宋"/>
          <w:color w:val="auto"/>
          <w:szCs w:val="21"/>
          <w:highlight w:val="none"/>
        </w:rPr>
      </w:pPr>
      <w:r>
        <w:rPr>
          <w:rFonts w:hint="eastAsia" w:ascii="仿宋" w:hAnsi="仿宋" w:eastAsia="仿宋" w:cs="仿宋"/>
          <w:color w:val="auto"/>
          <w:szCs w:val="21"/>
          <w:highlight w:val="none"/>
        </w:rPr>
        <w:t>（4）</w:t>
      </w:r>
      <w:r>
        <w:rPr>
          <w:rFonts w:ascii="仿宋" w:hAnsi="仿宋" w:eastAsia="仿宋" w:cs="仿宋"/>
          <w:color w:val="auto"/>
          <w:szCs w:val="21"/>
          <w:highlight w:val="none"/>
        </w:rPr>
        <w:t>投标人发现网络安全漏洞、缺陷或者其他严重网络安全风险，应及时向采购人报告。</w:t>
      </w:r>
    </w:p>
    <w:p w14:paraId="09937E26">
      <w:pPr>
        <w:spacing w:line="360" w:lineRule="auto"/>
        <w:ind w:firstLine="371" w:firstLineChars="177"/>
        <w:rPr>
          <w:rFonts w:ascii="仿宋" w:hAnsi="仿宋" w:eastAsia="仿宋" w:cs="仿宋"/>
          <w:color w:val="auto"/>
          <w:szCs w:val="21"/>
          <w:highlight w:val="none"/>
        </w:rPr>
      </w:pPr>
      <w:r>
        <w:rPr>
          <w:rFonts w:hint="eastAsia" w:ascii="仿宋" w:hAnsi="仿宋" w:eastAsia="仿宋" w:cs="仿宋"/>
          <w:color w:val="auto"/>
          <w:szCs w:val="21"/>
          <w:highlight w:val="none"/>
        </w:rPr>
        <w:t>（5）处理合作事项的信息平台应当优先采用符合安全可靠测评要求的硬件和软件产品。</w:t>
      </w:r>
    </w:p>
    <w:p w14:paraId="4D6B888C">
      <w:pPr>
        <w:spacing w:line="360" w:lineRule="auto"/>
        <w:ind w:firstLine="371" w:firstLineChars="177"/>
        <w:rPr>
          <w:rFonts w:ascii="仿宋" w:hAnsi="仿宋" w:eastAsia="仿宋" w:cs="仿宋"/>
          <w:color w:val="auto"/>
          <w:szCs w:val="21"/>
          <w:highlight w:val="none"/>
        </w:rPr>
      </w:pPr>
      <w:r>
        <w:rPr>
          <w:rFonts w:hint="eastAsia" w:ascii="仿宋" w:hAnsi="仿宋" w:eastAsia="仿宋" w:cs="仿宋"/>
          <w:color w:val="auto"/>
          <w:szCs w:val="21"/>
          <w:highlight w:val="none"/>
        </w:rPr>
        <w:t>（6）</w:t>
      </w:r>
      <w:r>
        <w:rPr>
          <w:rFonts w:ascii="仿宋" w:hAnsi="仿宋" w:eastAsia="仿宋" w:cs="仿宋"/>
          <w:color w:val="auto"/>
          <w:szCs w:val="21"/>
          <w:highlight w:val="none"/>
        </w:rPr>
        <w:t>发生可能影响合作事项的网络安全重大事项，包括负责人及重要工作人员变更、业务转型、</w:t>
      </w:r>
      <w:r>
        <w:rPr>
          <w:rFonts w:hint="eastAsia" w:ascii="仿宋" w:hAnsi="仿宋" w:eastAsia="仿宋" w:cs="仿宋"/>
          <w:color w:val="auto"/>
          <w:szCs w:val="21"/>
          <w:highlight w:val="none"/>
        </w:rPr>
        <w:t>合并重组和投资并购等，投标人应提前向采购人报告。</w:t>
      </w:r>
    </w:p>
    <w:p w14:paraId="63816C18">
      <w:pPr>
        <w:spacing w:line="360" w:lineRule="auto"/>
        <w:ind w:firstLine="371" w:firstLineChars="177"/>
        <w:rPr>
          <w:rFonts w:ascii="仿宋" w:hAnsi="仿宋" w:eastAsia="仿宋" w:cs="仿宋"/>
          <w:color w:val="auto"/>
          <w:szCs w:val="21"/>
          <w:highlight w:val="none"/>
        </w:rPr>
      </w:pPr>
      <w:r>
        <w:rPr>
          <w:rFonts w:hint="eastAsia" w:ascii="仿宋" w:hAnsi="仿宋" w:eastAsia="仿宋" w:cs="仿宋"/>
          <w:color w:val="auto"/>
          <w:szCs w:val="21"/>
          <w:highlight w:val="none"/>
        </w:rPr>
        <w:t>（7）</w:t>
      </w:r>
      <w:r>
        <w:rPr>
          <w:rFonts w:ascii="仿宋" w:hAnsi="仿宋" w:eastAsia="仿宋" w:cs="仿宋"/>
          <w:color w:val="auto"/>
          <w:szCs w:val="21"/>
          <w:highlight w:val="none"/>
        </w:rPr>
        <w:t>采用社会公共网络平台实施合作事项时，严禁涉及国家秘密和警务工作秘密。</w:t>
      </w:r>
    </w:p>
    <w:p w14:paraId="29642B11">
      <w:pPr>
        <w:spacing w:line="360" w:lineRule="auto"/>
        <w:ind w:firstLine="371" w:firstLineChars="177"/>
        <w:rPr>
          <w:rFonts w:ascii="仿宋" w:hAnsi="仿宋" w:eastAsia="仿宋" w:cs="仿宋"/>
          <w:color w:val="auto"/>
          <w:szCs w:val="21"/>
          <w:highlight w:val="none"/>
        </w:rPr>
      </w:pPr>
      <w:r>
        <w:rPr>
          <w:rFonts w:hint="eastAsia" w:ascii="仿宋" w:hAnsi="仿宋" w:eastAsia="仿宋" w:cs="仿宋"/>
          <w:color w:val="auto"/>
          <w:szCs w:val="21"/>
          <w:highlight w:val="none"/>
        </w:rPr>
        <w:t>（8）</w:t>
      </w:r>
      <w:r>
        <w:rPr>
          <w:rFonts w:ascii="仿宋" w:hAnsi="仿宋" w:eastAsia="仿宋" w:cs="仿宋"/>
          <w:color w:val="auto"/>
          <w:szCs w:val="21"/>
          <w:highlight w:val="none"/>
        </w:rPr>
        <w:t>投标人应</w:t>
      </w:r>
      <w:r>
        <w:rPr>
          <w:rFonts w:hint="eastAsia" w:ascii="仿宋" w:hAnsi="仿宋" w:eastAsia="仿宋" w:cs="仿宋"/>
          <w:color w:val="auto"/>
          <w:szCs w:val="21"/>
          <w:highlight w:val="none"/>
          <w:lang w:val="en-US" w:eastAsia="zh-CN"/>
        </w:rPr>
        <w:t>在每次验收</w:t>
      </w:r>
      <w:r>
        <w:rPr>
          <w:rFonts w:ascii="仿宋" w:hAnsi="仿宋" w:eastAsia="仿宋" w:cs="仿宋"/>
          <w:color w:val="auto"/>
          <w:szCs w:val="21"/>
          <w:highlight w:val="none"/>
        </w:rPr>
        <w:t>之前向采购人提交网络安全报告。</w:t>
      </w:r>
    </w:p>
    <w:p w14:paraId="4E70C08F">
      <w:pPr>
        <w:spacing w:line="360" w:lineRule="auto"/>
        <w:ind w:firstLine="371" w:firstLineChars="177"/>
        <w:rPr>
          <w:color w:val="auto"/>
          <w:highlight w:val="none"/>
        </w:rPr>
      </w:pPr>
      <w:r>
        <w:rPr>
          <w:rFonts w:hint="eastAsia" w:ascii="仿宋" w:hAnsi="仿宋" w:eastAsia="仿宋" w:cs="仿宋"/>
          <w:color w:val="auto"/>
          <w:szCs w:val="21"/>
          <w:highlight w:val="none"/>
        </w:rPr>
        <w:t>（9）</w:t>
      </w:r>
      <w:r>
        <w:rPr>
          <w:rFonts w:ascii="仿宋" w:hAnsi="仿宋" w:eastAsia="仿宋" w:cs="仿宋"/>
          <w:color w:val="auto"/>
          <w:szCs w:val="21"/>
          <w:highlight w:val="none"/>
        </w:rPr>
        <w:t>其他应当落实的网络安全责任和义务。</w:t>
      </w:r>
    </w:p>
    <w:bookmarkEnd w:id="41"/>
    <w:p w14:paraId="08F30B0C">
      <w:pPr>
        <w:pStyle w:val="905"/>
        <w:shd w:val="clear" w:color="auto" w:fill="FFFFFF"/>
        <w:snapToGrid w:val="0"/>
        <w:spacing w:before="0" w:beforeAutospacing="0" w:after="0" w:afterAutospacing="0" w:line="360" w:lineRule="auto"/>
        <w:ind w:firstLine="482"/>
        <w:contextualSpacing/>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4</w:t>
      </w:r>
      <w:r>
        <w:rPr>
          <w:rFonts w:hint="eastAsia" w:ascii="仿宋" w:hAnsi="仿宋" w:eastAsia="仿宋" w:cs="仿宋"/>
          <w:color w:val="auto"/>
          <w:sz w:val="21"/>
          <w:szCs w:val="21"/>
          <w:highlight w:val="none"/>
        </w:rPr>
        <w:t>、</w:t>
      </w:r>
      <w:r>
        <w:rPr>
          <w:rFonts w:hint="default" w:ascii="仿宋" w:hAnsi="仿宋" w:eastAsia="仿宋" w:cs="仿宋"/>
          <w:color w:val="auto"/>
          <w:sz w:val="21"/>
          <w:szCs w:val="21"/>
          <w:highlight w:val="none"/>
          <w:lang w:val="zh-CN"/>
        </w:rPr>
        <w:t>安全事故责任条款：因投标人或投标人派遣人员工作过错造成的安全管理事故，投标人负全部责任及相关费用。</w:t>
      </w:r>
    </w:p>
    <w:p w14:paraId="551BEA9D">
      <w:pPr>
        <w:rPr>
          <w:rFonts w:ascii="仿宋" w:hAnsi="仿宋" w:eastAsia="仿宋"/>
          <w:color w:val="auto"/>
          <w:szCs w:val="21"/>
          <w:highlight w:val="none"/>
        </w:rPr>
      </w:pPr>
    </w:p>
    <w:p w14:paraId="145E7DA8">
      <w:pPr>
        <w:spacing w:line="360" w:lineRule="auto"/>
        <w:jc w:val="left"/>
        <w:outlineLvl w:val="1"/>
        <w:rPr>
          <w:rFonts w:ascii="仿宋" w:hAnsi="仿宋" w:eastAsia="仿宋" w:cs="仿宋_GB2312"/>
          <w:b/>
          <w:color w:val="auto"/>
          <w:szCs w:val="21"/>
          <w:highlight w:val="none"/>
        </w:rPr>
      </w:pPr>
      <w:r>
        <w:rPr>
          <w:rFonts w:hint="eastAsia" w:ascii="仿宋" w:hAnsi="仿宋" w:eastAsia="仿宋" w:cs="仿宋_GB2312"/>
          <w:b/>
          <w:color w:val="auto"/>
          <w:szCs w:val="21"/>
          <w:highlight w:val="none"/>
        </w:rPr>
        <w:t>（六）拟采购标的的商务要求</w:t>
      </w:r>
    </w:p>
    <w:p w14:paraId="6C7DFA30">
      <w:pPr>
        <w:snapToGrid w:val="0"/>
        <w:spacing w:line="360" w:lineRule="auto"/>
        <w:ind w:firstLine="422" w:firstLineChars="200"/>
        <w:jc w:val="left"/>
        <w:rPr>
          <w:rFonts w:ascii="仿宋" w:hAnsi="仿宋" w:eastAsia="仿宋" w:cs="仿宋_GB2312"/>
          <w:color w:val="auto"/>
          <w:szCs w:val="21"/>
          <w:highlight w:val="none"/>
          <w:u w:val="single"/>
        </w:rPr>
      </w:pPr>
      <w:r>
        <w:rPr>
          <w:rFonts w:hint="eastAsia" w:ascii="仿宋" w:hAnsi="仿宋" w:eastAsia="仿宋" w:cs="仿宋_GB2312"/>
          <w:b/>
          <w:color w:val="auto"/>
          <w:szCs w:val="21"/>
          <w:highlight w:val="none"/>
        </w:rPr>
        <w:t>1.交付（实施）的时间（期限）：</w:t>
      </w:r>
      <w:r>
        <w:rPr>
          <w:rFonts w:hint="eastAsia" w:ascii="仿宋" w:hAnsi="仿宋" w:eastAsia="仿宋" w:cs="仿宋_GB2312"/>
          <w:color w:val="auto"/>
          <w:szCs w:val="21"/>
          <w:highlight w:val="none"/>
          <w:u w:val="single"/>
          <w:lang w:eastAsia="zh-CN"/>
        </w:rPr>
        <w:t>2025年7月28日-2026年7月27日</w:t>
      </w:r>
      <w:r>
        <w:rPr>
          <w:rFonts w:hint="eastAsia" w:ascii="仿宋" w:hAnsi="仿宋" w:eastAsia="仿宋" w:cs="仿宋_GB2312"/>
          <w:color w:val="auto"/>
          <w:szCs w:val="21"/>
          <w:highlight w:val="none"/>
          <w:u w:val="single"/>
        </w:rPr>
        <w:t>。</w:t>
      </w:r>
    </w:p>
    <w:p w14:paraId="69BA8CB9">
      <w:pPr>
        <w:snapToGrid w:val="0"/>
        <w:spacing w:line="360" w:lineRule="auto"/>
        <w:ind w:firstLine="422" w:firstLineChars="200"/>
        <w:jc w:val="left"/>
        <w:rPr>
          <w:rFonts w:ascii="仿宋" w:hAnsi="仿宋" w:eastAsia="仿宋"/>
          <w:color w:val="auto"/>
          <w:szCs w:val="21"/>
          <w:highlight w:val="none"/>
          <w:u w:val="single"/>
        </w:rPr>
      </w:pPr>
      <w:r>
        <w:rPr>
          <w:rFonts w:hint="eastAsia" w:ascii="仿宋" w:hAnsi="仿宋" w:eastAsia="仿宋" w:cs="仿宋_GB2312"/>
          <w:b/>
          <w:color w:val="auto"/>
          <w:szCs w:val="21"/>
          <w:highlight w:val="none"/>
        </w:rPr>
        <w:t>2.交付（实施）的地点（范围）：</w:t>
      </w:r>
      <w:r>
        <w:rPr>
          <w:rFonts w:hint="eastAsia" w:ascii="仿宋" w:hAnsi="仿宋" w:eastAsia="仿宋" w:cs="仿宋_GB2312"/>
          <w:color w:val="auto"/>
          <w:szCs w:val="21"/>
          <w:highlight w:val="none"/>
          <w:u w:val="single"/>
        </w:rPr>
        <w:t>杭州市公安局刑事侦查支队及其指定地点。</w:t>
      </w:r>
    </w:p>
    <w:p w14:paraId="678A53FC">
      <w:pPr>
        <w:snapToGrid w:val="0"/>
        <w:spacing w:line="360" w:lineRule="auto"/>
        <w:ind w:firstLine="422" w:firstLineChars="200"/>
        <w:jc w:val="left"/>
        <w:rPr>
          <w:rFonts w:ascii="仿宋" w:hAnsi="仿宋" w:eastAsia="仿宋" w:cs="仿宋_GB2312"/>
          <w:b/>
          <w:color w:val="auto"/>
          <w:szCs w:val="21"/>
          <w:highlight w:val="none"/>
        </w:rPr>
      </w:pPr>
      <w:r>
        <w:rPr>
          <w:rFonts w:hint="eastAsia" w:ascii="仿宋" w:hAnsi="仿宋" w:eastAsia="仿宋" w:cs="仿宋_GB2312"/>
          <w:b/>
          <w:color w:val="auto"/>
          <w:szCs w:val="21"/>
          <w:highlight w:val="none"/>
        </w:rPr>
        <w:t>3.付款条件（进度和方式）</w:t>
      </w:r>
    </w:p>
    <w:tbl>
      <w:tblPr>
        <w:tblStyle w:val="80"/>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6"/>
        <w:gridCol w:w="7004"/>
        <w:gridCol w:w="1510"/>
      </w:tblGrid>
      <w:tr w14:paraId="70AFBE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413" w:type="pct"/>
            <w:tcBorders>
              <w:top w:val="single" w:color="auto" w:sz="4" w:space="0"/>
              <w:left w:val="single" w:color="auto" w:sz="4" w:space="0"/>
              <w:bottom w:val="single" w:color="auto" w:sz="4" w:space="0"/>
              <w:right w:val="single" w:color="auto" w:sz="4" w:space="0"/>
            </w:tcBorders>
            <w:noWrap w:val="0"/>
            <w:vAlign w:val="center"/>
          </w:tcPr>
          <w:p w14:paraId="5693B181">
            <w:pPr>
              <w:spacing w:line="360" w:lineRule="auto"/>
              <w:jc w:val="center"/>
              <w:rPr>
                <w:rFonts w:ascii="仿宋" w:hAnsi="仿宋" w:eastAsia="仿宋" w:cs="仿宋"/>
                <w:color w:val="auto"/>
                <w:szCs w:val="21"/>
                <w:highlight w:val="none"/>
              </w:rPr>
            </w:pPr>
            <w:r>
              <w:rPr>
                <w:rFonts w:hint="eastAsia" w:ascii="仿宋" w:hAnsi="仿宋" w:eastAsia="仿宋" w:cs="仿宋"/>
                <w:color w:val="auto"/>
                <w:szCs w:val="21"/>
                <w:highlight w:val="none"/>
              </w:rPr>
              <w:t>序号</w:t>
            </w:r>
          </w:p>
        </w:tc>
        <w:tc>
          <w:tcPr>
            <w:tcW w:w="3772" w:type="pct"/>
            <w:tcBorders>
              <w:top w:val="single" w:color="auto" w:sz="4" w:space="0"/>
              <w:left w:val="single" w:color="auto" w:sz="4" w:space="0"/>
              <w:bottom w:val="single" w:color="auto" w:sz="4" w:space="0"/>
              <w:right w:val="single" w:color="auto" w:sz="4" w:space="0"/>
            </w:tcBorders>
            <w:noWrap w:val="0"/>
            <w:vAlign w:val="center"/>
          </w:tcPr>
          <w:p w14:paraId="2DCB1DC5">
            <w:pPr>
              <w:spacing w:line="360" w:lineRule="auto"/>
              <w:jc w:val="center"/>
              <w:rPr>
                <w:rFonts w:ascii="仿宋" w:hAnsi="仿宋" w:eastAsia="仿宋" w:cs="仿宋"/>
                <w:color w:val="auto"/>
                <w:szCs w:val="21"/>
                <w:highlight w:val="none"/>
              </w:rPr>
            </w:pPr>
            <w:r>
              <w:rPr>
                <w:rFonts w:hint="eastAsia" w:ascii="仿宋" w:hAnsi="仿宋" w:eastAsia="仿宋" w:cs="仿宋"/>
                <w:color w:val="auto"/>
                <w:szCs w:val="21"/>
                <w:highlight w:val="none"/>
              </w:rPr>
              <w:t>付款比例（%）</w:t>
            </w:r>
          </w:p>
        </w:tc>
        <w:tc>
          <w:tcPr>
            <w:tcW w:w="813" w:type="pct"/>
            <w:tcBorders>
              <w:top w:val="single" w:color="auto" w:sz="4" w:space="0"/>
              <w:left w:val="single" w:color="auto" w:sz="4" w:space="0"/>
              <w:bottom w:val="single" w:color="auto" w:sz="4" w:space="0"/>
              <w:right w:val="single" w:color="auto" w:sz="4" w:space="0"/>
            </w:tcBorders>
            <w:noWrap w:val="0"/>
            <w:vAlign w:val="center"/>
          </w:tcPr>
          <w:p w14:paraId="26895848">
            <w:pPr>
              <w:spacing w:line="360" w:lineRule="auto"/>
              <w:jc w:val="center"/>
              <w:rPr>
                <w:rFonts w:ascii="仿宋" w:hAnsi="仿宋" w:eastAsia="仿宋" w:cs="仿宋"/>
                <w:color w:val="auto"/>
                <w:szCs w:val="21"/>
                <w:highlight w:val="none"/>
              </w:rPr>
            </w:pPr>
            <w:r>
              <w:rPr>
                <w:rFonts w:hint="eastAsia" w:ascii="仿宋" w:hAnsi="仿宋" w:eastAsia="仿宋" w:cs="仿宋"/>
                <w:color w:val="auto"/>
                <w:szCs w:val="21"/>
                <w:highlight w:val="none"/>
              </w:rPr>
              <w:t>付款方式</w:t>
            </w:r>
          </w:p>
        </w:tc>
      </w:tr>
      <w:tr w14:paraId="5A7B7C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3" w:type="pct"/>
            <w:tcBorders>
              <w:top w:val="single" w:color="auto" w:sz="4" w:space="0"/>
              <w:left w:val="single" w:color="auto" w:sz="4" w:space="0"/>
              <w:bottom w:val="single" w:color="auto" w:sz="4" w:space="0"/>
              <w:right w:val="single" w:color="auto" w:sz="4" w:space="0"/>
            </w:tcBorders>
            <w:noWrap w:val="0"/>
            <w:vAlign w:val="top"/>
          </w:tcPr>
          <w:p w14:paraId="40501A09">
            <w:pPr>
              <w:spacing w:line="360" w:lineRule="auto"/>
              <w:jc w:val="center"/>
              <w:rPr>
                <w:rFonts w:ascii="仿宋" w:hAnsi="仿宋" w:eastAsia="仿宋" w:cs="仿宋"/>
                <w:color w:val="auto"/>
                <w:szCs w:val="21"/>
                <w:highlight w:val="none"/>
              </w:rPr>
            </w:pPr>
            <w:r>
              <w:rPr>
                <w:rFonts w:hint="eastAsia" w:ascii="仿宋" w:hAnsi="仿宋" w:eastAsia="仿宋" w:cs="仿宋"/>
                <w:color w:val="auto"/>
                <w:szCs w:val="21"/>
                <w:highlight w:val="none"/>
              </w:rPr>
              <w:t>1</w:t>
            </w:r>
          </w:p>
        </w:tc>
        <w:tc>
          <w:tcPr>
            <w:tcW w:w="3772" w:type="pct"/>
            <w:tcBorders>
              <w:top w:val="single" w:color="auto" w:sz="4" w:space="0"/>
              <w:left w:val="single" w:color="auto" w:sz="4" w:space="0"/>
              <w:bottom w:val="single" w:color="auto" w:sz="4" w:space="0"/>
              <w:right w:val="single" w:color="auto" w:sz="4" w:space="0"/>
            </w:tcBorders>
            <w:noWrap w:val="0"/>
            <w:vAlign w:val="top"/>
          </w:tcPr>
          <w:p w14:paraId="2A17C875">
            <w:pPr>
              <w:spacing w:line="360" w:lineRule="auto"/>
              <w:rPr>
                <w:rFonts w:ascii="仿宋" w:hAnsi="仿宋" w:eastAsia="仿宋" w:cs="仿宋"/>
                <w:color w:val="auto"/>
                <w:szCs w:val="21"/>
                <w:highlight w:val="none"/>
              </w:rPr>
            </w:pPr>
            <w:r>
              <w:rPr>
                <w:rFonts w:hint="eastAsia" w:ascii="仿宋" w:hAnsi="仿宋" w:eastAsia="仿宋" w:cs="仿宋"/>
                <w:b/>
                <w:color w:val="auto"/>
                <w:szCs w:val="21"/>
                <w:highlight w:val="none"/>
              </w:rPr>
              <w:t>第一期：</w:t>
            </w:r>
            <w:r>
              <w:rPr>
                <w:rFonts w:hint="eastAsia" w:ascii="仿宋" w:hAnsi="仿宋" w:eastAsia="仿宋" w:cs="仿宋"/>
                <w:color w:val="auto"/>
                <w:szCs w:val="21"/>
                <w:highlight w:val="none"/>
                <w:lang w:val="zh-CN"/>
              </w:rPr>
              <w:t>合同签订后</w:t>
            </w:r>
            <w:r>
              <w:rPr>
                <w:rFonts w:ascii="仿宋" w:hAnsi="仿宋" w:eastAsia="仿宋" w:cs="仿宋"/>
                <w:color w:val="auto"/>
                <w:szCs w:val="21"/>
                <w:highlight w:val="none"/>
                <w:lang w:val="zh-CN"/>
              </w:rPr>
              <w:t>5个工作日内，</w:t>
            </w:r>
            <w:r>
              <w:rPr>
                <w:rFonts w:hint="eastAsia" w:ascii="仿宋" w:hAnsi="仿宋" w:eastAsia="仿宋" w:cs="仿宋"/>
                <w:color w:val="auto"/>
                <w:szCs w:val="21"/>
                <w:highlight w:val="none"/>
                <w:lang w:val="zh-CN"/>
              </w:rPr>
              <w:t>投标人具备项目实施条件后，采购人支付</w:t>
            </w:r>
            <w:r>
              <w:rPr>
                <w:rFonts w:hint="eastAsia" w:ascii="仿宋" w:hAnsi="仿宋" w:eastAsia="仿宋" w:cs="仿宋"/>
                <w:color w:val="auto"/>
                <w:szCs w:val="21"/>
                <w:highlight w:val="none"/>
                <w:lang w:val="zh-CN"/>
              </w:rPr>
              <w:t>合同总价的</w:t>
            </w:r>
            <w:r>
              <w:rPr>
                <w:rFonts w:hint="eastAsia" w:ascii="仿宋" w:hAnsi="仿宋" w:eastAsia="仿宋" w:cs="仿宋"/>
                <w:color w:val="auto"/>
                <w:szCs w:val="21"/>
                <w:highlight w:val="none"/>
                <w:lang w:val="en-US" w:eastAsia="zh-CN"/>
              </w:rPr>
              <w:t>20</w:t>
            </w:r>
            <w:r>
              <w:rPr>
                <w:rFonts w:ascii="仿宋" w:hAnsi="仿宋" w:eastAsia="仿宋" w:cs="仿宋"/>
                <w:color w:val="auto"/>
                <w:szCs w:val="21"/>
                <w:highlight w:val="none"/>
                <w:lang w:val="zh-CN"/>
              </w:rPr>
              <w:t>%。</w:t>
            </w:r>
            <w:r>
              <w:rPr>
                <w:rFonts w:ascii="仿宋" w:hAnsi="仿宋" w:eastAsia="仿宋" w:cs="仿宋"/>
                <w:color w:val="auto"/>
                <w:szCs w:val="21"/>
                <w:highlight w:val="none"/>
                <w:lang w:val="zh-CN"/>
              </w:rPr>
              <w:t>同时，</w:t>
            </w:r>
            <w:r>
              <w:rPr>
                <w:rFonts w:hint="eastAsia" w:ascii="仿宋" w:hAnsi="仿宋" w:eastAsia="仿宋" w:cs="仿宋"/>
                <w:color w:val="auto"/>
                <w:szCs w:val="21"/>
                <w:highlight w:val="none"/>
                <w:lang w:val="zh-CN"/>
              </w:rPr>
              <w:t>投标人向采购人交纳合同总价</w:t>
            </w:r>
            <w:r>
              <w:rPr>
                <w:rFonts w:ascii="仿宋" w:hAnsi="仿宋" w:eastAsia="仿宋" w:cs="仿宋"/>
                <w:color w:val="auto"/>
                <w:szCs w:val="21"/>
                <w:highlight w:val="none"/>
                <w:lang w:val="zh-CN"/>
              </w:rPr>
              <w:t>1%的履约保证金。</w:t>
            </w:r>
            <w:r>
              <w:rPr>
                <w:rFonts w:hint="eastAsia" w:ascii="仿宋" w:hAnsi="仿宋" w:eastAsia="仿宋" w:cs="仿宋"/>
                <w:color w:val="auto"/>
                <w:szCs w:val="21"/>
                <w:highlight w:val="none"/>
                <w:lang w:eastAsia="zh-CN"/>
              </w:rPr>
              <w:t>（鼓励和支持</w:t>
            </w:r>
            <w:r>
              <w:rPr>
                <w:rFonts w:hint="eastAsia" w:ascii="仿宋" w:hAnsi="仿宋" w:eastAsia="仿宋" w:cs="仿宋"/>
                <w:color w:val="auto"/>
                <w:szCs w:val="21"/>
                <w:highlight w:val="none"/>
                <w:lang w:val="en-US" w:eastAsia="zh-CN"/>
              </w:rPr>
              <w:t>投标人</w:t>
            </w:r>
            <w:r>
              <w:rPr>
                <w:rFonts w:hint="eastAsia" w:ascii="仿宋" w:hAnsi="仿宋" w:eastAsia="仿宋" w:cs="仿宋"/>
                <w:color w:val="auto"/>
                <w:szCs w:val="21"/>
                <w:highlight w:val="none"/>
                <w:lang w:eastAsia="zh-CN"/>
              </w:rPr>
              <w:t>以履约保函形式提供履约保证）</w:t>
            </w:r>
          </w:p>
        </w:tc>
        <w:tc>
          <w:tcPr>
            <w:tcW w:w="813" w:type="pct"/>
            <w:tcBorders>
              <w:top w:val="single" w:color="auto" w:sz="4" w:space="0"/>
              <w:left w:val="single" w:color="auto" w:sz="4" w:space="0"/>
              <w:bottom w:val="single" w:color="auto" w:sz="4" w:space="0"/>
              <w:right w:val="single" w:color="auto" w:sz="4" w:space="0"/>
            </w:tcBorders>
            <w:noWrap w:val="0"/>
            <w:vAlign w:val="top"/>
          </w:tcPr>
          <w:p w14:paraId="79B6BE31">
            <w:pPr>
              <w:spacing w:line="360" w:lineRule="auto"/>
              <w:jc w:val="center"/>
              <w:rPr>
                <w:rFonts w:ascii="仿宋" w:hAnsi="仿宋" w:eastAsia="仿宋" w:cs="仿宋"/>
                <w:color w:val="auto"/>
                <w:szCs w:val="21"/>
                <w:highlight w:val="none"/>
              </w:rPr>
            </w:pPr>
            <w:r>
              <w:rPr>
                <w:rFonts w:hint="eastAsia" w:ascii="仿宋" w:hAnsi="仿宋" w:eastAsia="仿宋" w:cs="仿宋"/>
                <w:color w:val="auto"/>
                <w:szCs w:val="21"/>
                <w:highlight w:val="none"/>
              </w:rPr>
              <w:t>国库转账支付</w:t>
            </w:r>
          </w:p>
        </w:tc>
      </w:tr>
      <w:tr w14:paraId="075D0C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3" w:type="pct"/>
            <w:tcBorders>
              <w:top w:val="single" w:color="auto" w:sz="4" w:space="0"/>
              <w:left w:val="single" w:color="auto" w:sz="4" w:space="0"/>
              <w:bottom w:val="single" w:color="auto" w:sz="4" w:space="0"/>
              <w:right w:val="single" w:color="auto" w:sz="4" w:space="0"/>
            </w:tcBorders>
            <w:noWrap w:val="0"/>
            <w:vAlign w:val="top"/>
          </w:tcPr>
          <w:p w14:paraId="63D34805">
            <w:pPr>
              <w:spacing w:line="360" w:lineRule="auto"/>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2</w:t>
            </w:r>
          </w:p>
        </w:tc>
        <w:tc>
          <w:tcPr>
            <w:tcW w:w="3772" w:type="pct"/>
            <w:tcBorders>
              <w:top w:val="single" w:color="auto" w:sz="4" w:space="0"/>
              <w:left w:val="single" w:color="auto" w:sz="4" w:space="0"/>
              <w:bottom w:val="single" w:color="auto" w:sz="4" w:space="0"/>
              <w:right w:val="single" w:color="auto" w:sz="4" w:space="0"/>
            </w:tcBorders>
            <w:noWrap w:val="0"/>
            <w:vAlign w:val="top"/>
          </w:tcPr>
          <w:p w14:paraId="0F158F4D">
            <w:pPr>
              <w:spacing w:line="360" w:lineRule="auto"/>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第二期：</w:t>
            </w:r>
            <w:r>
              <w:rPr>
                <w:rFonts w:hint="eastAsia" w:ascii="仿宋" w:hAnsi="仿宋" w:eastAsia="仿宋" w:cs="仿宋"/>
                <w:color w:val="auto"/>
                <w:szCs w:val="21"/>
                <w:highlight w:val="none"/>
              </w:rPr>
              <w:t>服务至</w:t>
            </w:r>
            <w:r>
              <w:rPr>
                <w:rFonts w:ascii="仿宋" w:hAnsi="仿宋" w:eastAsia="仿宋" w:cs="仿宋"/>
                <w:color w:val="auto"/>
                <w:szCs w:val="21"/>
                <w:highlight w:val="none"/>
              </w:rPr>
              <w:t>202</w:t>
            </w:r>
            <w:r>
              <w:rPr>
                <w:rFonts w:hint="eastAsia" w:ascii="仿宋" w:hAnsi="仿宋" w:eastAsia="仿宋" w:cs="仿宋"/>
                <w:color w:val="auto"/>
                <w:szCs w:val="21"/>
                <w:highlight w:val="none"/>
                <w:lang w:val="en-US" w:eastAsia="zh-CN"/>
              </w:rPr>
              <w:t>5</w:t>
            </w:r>
            <w:r>
              <w:rPr>
                <w:rFonts w:hint="eastAsia" w:ascii="仿宋" w:hAnsi="仿宋" w:eastAsia="仿宋" w:cs="仿宋"/>
                <w:color w:val="auto"/>
                <w:szCs w:val="21"/>
                <w:highlight w:val="none"/>
              </w:rPr>
              <w:t>年</w:t>
            </w:r>
            <w:r>
              <w:rPr>
                <w:rFonts w:hint="eastAsia" w:ascii="仿宋" w:hAnsi="仿宋" w:eastAsia="仿宋" w:cs="仿宋"/>
                <w:color w:val="auto"/>
                <w:szCs w:val="21"/>
                <w:highlight w:val="none"/>
                <w:lang w:val="en-US" w:eastAsia="zh-CN"/>
              </w:rPr>
              <w:t>11</w:t>
            </w:r>
            <w:r>
              <w:rPr>
                <w:rFonts w:hint="eastAsia" w:ascii="仿宋" w:hAnsi="仿宋" w:eastAsia="仿宋" w:cs="仿宋"/>
                <w:color w:val="auto"/>
                <w:szCs w:val="21"/>
                <w:highlight w:val="none"/>
              </w:rPr>
              <w:t>月</w:t>
            </w:r>
            <w:r>
              <w:rPr>
                <w:rFonts w:ascii="仿宋" w:hAnsi="仿宋" w:eastAsia="仿宋" w:cs="仿宋"/>
                <w:color w:val="auto"/>
                <w:szCs w:val="21"/>
                <w:highlight w:val="none"/>
              </w:rPr>
              <w:t>3</w:t>
            </w:r>
            <w:r>
              <w:rPr>
                <w:rFonts w:hint="eastAsia" w:ascii="仿宋" w:hAnsi="仿宋" w:eastAsia="仿宋" w:cs="仿宋"/>
                <w:color w:val="auto"/>
                <w:szCs w:val="21"/>
                <w:highlight w:val="none"/>
                <w:lang w:val="en-US" w:eastAsia="zh-CN"/>
              </w:rPr>
              <w:t>0</w:t>
            </w:r>
            <w:r>
              <w:rPr>
                <w:rFonts w:hint="eastAsia" w:ascii="仿宋" w:hAnsi="仿宋" w:eastAsia="仿宋" w:cs="仿宋"/>
                <w:color w:val="auto"/>
                <w:szCs w:val="21"/>
                <w:highlight w:val="none"/>
              </w:rPr>
              <w:t>日，经验收合格后，凭双方签字盖章的验收意见、验收小组签字的验收报告、每月考核表、人员清单（包括项目实施人员明细清单、</w:t>
            </w:r>
            <w:r>
              <w:rPr>
                <w:rFonts w:hint="eastAsia" w:ascii="仿宋" w:hAnsi="仿宋" w:eastAsia="仿宋" w:cs="仿宋"/>
                <w:color w:val="auto"/>
                <w:szCs w:val="21"/>
                <w:highlight w:val="none"/>
              </w:rPr>
              <w:t>驻点人员每日考勤</w:t>
            </w:r>
            <w:r>
              <w:rPr>
                <w:rFonts w:hint="eastAsia" w:ascii="仿宋" w:hAnsi="仿宋" w:eastAsia="仿宋" w:cs="仿宋"/>
                <w:color w:val="auto"/>
                <w:szCs w:val="21"/>
                <w:highlight w:val="none"/>
                <w:lang w:eastAsia="zh-Hans"/>
              </w:rPr>
              <w:t>签到</w:t>
            </w:r>
            <w:r>
              <w:rPr>
                <w:rFonts w:hint="eastAsia" w:ascii="仿宋" w:hAnsi="仿宋" w:eastAsia="仿宋" w:cs="仿宋"/>
                <w:color w:val="auto"/>
                <w:szCs w:val="21"/>
                <w:highlight w:val="none"/>
              </w:rPr>
              <w:t>记录</w:t>
            </w:r>
            <w:r>
              <w:rPr>
                <w:rFonts w:hint="eastAsia" w:ascii="仿宋" w:hAnsi="仿宋" w:eastAsia="仿宋" w:cs="仿宋"/>
                <w:color w:val="auto"/>
                <w:szCs w:val="21"/>
                <w:highlight w:val="none"/>
              </w:rPr>
              <w:t>、人员社保缴纳证明、人员相关资质证书）、人员变更审批表（如有）、分析报告汇总表、单个案件分析报告、</w:t>
            </w:r>
            <w:r>
              <w:rPr>
                <w:rFonts w:hint="eastAsia" w:ascii="仿宋" w:hAnsi="仿宋" w:eastAsia="仿宋" w:cs="仿宋"/>
                <w:color w:val="auto"/>
                <w:szCs w:val="21"/>
                <w:highlight w:val="none"/>
              </w:rPr>
              <w:t>每月监测数据确认表</w:t>
            </w:r>
            <w:r>
              <w:rPr>
                <w:rFonts w:hint="eastAsia" w:ascii="仿宋" w:hAnsi="仿宋" w:eastAsia="仿宋" w:cs="仿宋"/>
                <w:color w:val="auto"/>
                <w:szCs w:val="21"/>
                <w:highlight w:val="none"/>
              </w:rPr>
              <w:t>、</w:t>
            </w:r>
            <w:r>
              <w:rPr>
                <w:rFonts w:hint="eastAsia" w:ascii="仿宋" w:hAnsi="仿宋" w:eastAsia="仿宋" w:cs="宋体"/>
                <w:color w:val="auto"/>
                <w:szCs w:val="21"/>
                <w:highlight w:val="none"/>
              </w:rPr>
              <w:t>网络安全保障方案、网络安全事件应急预案、网络安全风险书面报告（如有）、网络安全重大事项书面报告（如有）、网络安全报告、</w:t>
            </w:r>
            <w:r>
              <w:rPr>
                <w:rFonts w:hint="eastAsia" w:ascii="仿宋" w:hAnsi="仿宋" w:eastAsia="仿宋" w:cs="仿宋"/>
                <w:color w:val="auto"/>
                <w:szCs w:val="21"/>
                <w:highlight w:val="none"/>
              </w:rPr>
              <w:t>单位保密协议、个人保密承诺书、日常保密教育台账、</w:t>
            </w:r>
            <w:r>
              <w:rPr>
                <w:rFonts w:hint="eastAsia" w:ascii="仿宋" w:hAnsi="仿宋" w:eastAsia="仿宋" w:cs="仿宋"/>
                <w:color w:val="auto"/>
                <w:szCs w:val="21"/>
                <w:highlight w:val="none"/>
              </w:rPr>
              <w:t>服务总结报告</w:t>
            </w:r>
            <w:r>
              <w:rPr>
                <w:rFonts w:hint="eastAsia" w:ascii="仿宋" w:hAnsi="仿宋" w:eastAsia="仿宋" w:cs="仿宋"/>
                <w:color w:val="auto"/>
                <w:szCs w:val="21"/>
                <w:highlight w:val="none"/>
              </w:rPr>
              <w:t>、</w:t>
            </w:r>
            <w:r>
              <w:rPr>
                <w:rFonts w:hint="eastAsia" w:ascii="仿宋" w:hAnsi="仿宋" w:eastAsia="仿宋" w:cs="仿宋"/>
                <w:color w:val="auto"/>
                <w:szCs w:val="21"/>
                <w:highlight w:val="none"/>
              </w:rPr>
              <w:t>分包意向协议、中小企业佐证材料</w:t>
            </w:r>
            <w:r>
              <w:rPr>
                <w:rFonts w:hint="eastAsia" w:ascii="仿宋" w:hAnsi="仿宋" w:eastAsia="仿宋" w:cs="仿宋"/>
                <w:color w:val="auto"/>
                <w:szCs w:val="21"/>
                <w:highlight w:val="none"/>
              </w:rPr>
              <w:t>等相关资料，</w:t>
            </w:r>
            <w:r>
              <w:rPr>
                <w:rFonts w:hint="eastAsia" w:ascii="仿宋" w:hAnsi="仿宋" w:eastAsia="仿宋" w:cs="仿宋"/>
                <w:color w:val="auto"/>
                <w:szCs w:val="21"/>
                <w:highlight w:val="none"/>
              </w:rPr>
              <w:t>最多支付至2</w:t>
            </w:r>
            <w:r>
              <w:rPr>
                <w:rFonts w:ascii="仿宋" w:hAnsi="仿宋" w:eastAsia="仿宋" w:cs="仿宋"/>
                <w:color w:val="auto"/>
                <w:szCs w:val="21"/>
                <w:highlight w:val="none"/>
              </w:rPr>
              <w:t>02</w:t>
            </w:r>
            <w:r>
              <w:rPr>
                <w:rFonts w:hint="eastAsia" w:ascii="仿宋" w:hAnsi="仿宋" w:eastAsia="仿宋" w:cs="仿宋"/>
                <w:color w:val="auto"/>
                <w:szCs w:val="21"/>
                <w:highlight w:val="none"/>
                <w:lang w:val="en-US" w:eastAsia="zh-CN"/>
              </w:rPr>
              <w:t>5</w:t>
            </w:r>
            <w:r>
              <w:rPr>
                <w:rFonts w:hint="eastAsia" w:ascii="仿宋" w:hAnsi="仿宋" w:eastAsia="仿宋" w:cs="仿宋"/>
                <w:color w:val="auto"/>
                <w:szCs w:val="21"/>
                <w:highlight w:val="none"/>
              </w:rPr>
              <w:t>年预算安排资金</w:t>
            </w:r>
            <w:r>
              <w:rPr>
                <w:rFonts w:hint="eastAsia" w:ascii="仿宋" w:hAnsi="仿宋" w:eastAsia="仿宋" w:cs="仿宋"/>
                <w:color w:val="auto"/>
                <w:szCs w:val="21"/>
                <w:highlight w:val="none"/>
                <w:lang w:val="en-US" w:eastAsia="zh-CN"/>
              </w:rPr>
              <w:t>147.34</w:t>
            </w:r>
            <w:r>
              <w:rPr>
                <w:rFonts w:hint="eastAsia" w:ascii="仿宋" w:hAnsi="仿宋" w:eastAsia="仿宋" w:cs="仿宋"/>
                <w:color w:val="auto"/>
                <w:szCs w:val="21"/>
                <w:highlight w:val="none"/>
              </w:rPr>
              <w:t>万元（含采购人向投标人支付的第一期合同价款）</w:t>
            </w:r>
            <w:r>
              <w:rPr>
                <w:rFonts w:hint="eastAsia" w:ascii="仿宋" w:hAnsi="仿宋" w:eastAsia="仿宋" w:cs="仿宋"/>
                <w:color w:val="auto"/>
                <w:szCs w:val="21"/>
                <w:highlight w:val="none"/>
              </w:rPr>
              <w:t>。</w:t>
            </w:r>
          </w:p>
        </w:tc>
        <w:tc>
          <w:tcPr>
            <w:tcW w:w="813" w:type="pct"/>
            <w:tcBorders>
              <w:top w:val="single" w:color="auto" w:sz="4" w:space="0"/>
              <w:left w:val="single" w:color="auto" w:sz="4" w:space="0"/>
              <w:bottom w:val="single" w:color="auto" w:sz="4" w:space="0"/>
              <w:right w:val="single" w:color="auto" w:sz="4" w:space="0"/>
            </w:tcBorders>
            <w:noWrap w:val="0"/>
            <w:vAlign w:val="top"/>
          </w:tcPr>
          <w:p w14:paraId="192E1759">
            <w:pPr>
              <w:spacing w:line="360" w:lineRule="auto"/>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国库转账支付</w:t>
            </w:r>
          </w:p>
        </w:tc>
      </w:tr>
      <w:tr w14:paraId="0E9C1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3" w:type="pct"/>
            <w:tcBorders>
              <w:top w:val="single" w:color="auto" w:sz="4" w:space="0"/>
              <w:left w:val="single" w:color="auto" w:sz="4" w:space="0"/>
              <w:bottom w:val="single" w:color="auto" w:sz="4" w:space="0"/>
              <w:right w:val="single" w:color="auto" w:sz="4" w:space="0"/>
            </w:tcBorders>
            <w:shd w:val="clear" w:color="auto" w:fill="auto"/>
            <w:noWrap w:val="0"/>
            <w:vAlign w:val="top"/>
          </w:tcPr>
          <w:p w14:paraId="57263C2C">
            <w:pPr>
              <w:spacing w:line="360" w:lineRule="auto"/>
              <w:jc w:val="center"/>
              <w:rPr>
                <w:rFonts w:hint="eastAsia" w:ascii="仿宋" w:hAnsi="仿宋" w:eastAsia="仿宋" w:cs="仿宋"/>
                <w:color w:val="auto"/>
                <w:kern w:val="2"/>
                <w:sz w:val="21"/>
                <w:szCs w:val="21"/>
                <w:highlight w:val="none"/>
                <w:lang w:val="en-US" w:eastAsia="zh-CN" w:bidi="ar-SA"/>
              </w:rPr>
            </w:pPr>
            <w:r>
              <w:rPr>
                <w:rFonts w:hint="eastAsia" w:ascii="仿宋" w:hAnsi="仿宋" w:eastAsia="仿宋" w:cs="仿宋"/>
                <w:color w:val="auto"/>
                <w:szCs w:val="21"/>
                <w:highlight w:val="none"/>
                <w:lang w:val="en-US" w:eastAsia="zh-CN"/>
              </w:rPr>
              <w:t>3</w:t>
            </w:r>
          </w:p>
        </w:tc>
        <w:tc>
          <w:tcPr>
            <w:tcW w:w="3772" w:type="pct"/>
            <w:tcBorders>
              <w:top w:val="single" w:color="auto" w:sz="4" w:space="0"/>
              <w:left w:val="single" w:color="auto" w:sz="4" w:space="0"/>
              <w:bottom w:val="single" w:color="auto" w:sz="4" w:space="0"/>
              <w:right w:val="single" w:color="auto" w:sz="4" w:space="0"/>
            </w:tcBorders>
            <w:shd w:val="clear" w:color="auto" w:fill="auto"/>
            <w:noWrap w:val="0"/>
            <w:vAlign w:val="top"/>
          </w:tcPr>
          <w:p w14:paraId="3C21A711">
            <w:pPr>
              <w:spacing w:line="360" w:lineRule="auto"/>
              <w:rPr>
                <w:rFonts w:hint="eastAsia" w:ascii="仿宋" w:hAnsi="仿宋" w:eastAsia="仿宋" w:cs="仿宋"/>
                <w:b/>
                <w:color w:val="auto"/>
                <w:kern w:val="2"/>
                <w:sz w:val="21"/>
                <w:szCs w:val="21"/>
                <w:highlight w:val="none"/>
                <w:lang w:val="en-US" w:eastAsia="zh-CN" w:bidi="ar-SA"/>
              </w:rPr>
            </w:pPr>
            <w:r>
              <w:rPr>
                <w:rFonts w:hint="eastAsia" w:ascii="仿宋" w:hAnsi="仿宋" w:eastAsia="仿宋" w:cs="仿宋"/>
                <w:b/>
                <w:color w:val="auto"/>
                <w:szCs w:val="21"/>
                <w:highlight w:val="none"/>
              </w:rPr>
              <w:t>第</w:t>
            </w:r>
            <w:r>
              <w:rPr>
                <w:rFonts w:hint="eastAsia" w:ascii="仿宋" w:hAnsi="仿宋" w:eastAsia="仿宋" w:cs="仿宋"/>
                <w:b/>
                <w:color w:val="auto"/>
                <w:szCs w:val="21"/>
                <w:highlight w:val="none"/>
                <w:lang w:val="en-US" w:eastAsia="zh-CN"/>
              </w:rPr>
              <w:t>三</w:t>
            </w:r>
            <w:r>
              <w:rPr>
                <w:rFonts w:hint="eastAsia" w:ascii="仿宋" w:hAnsi="仿宋" w:eastAsia="仿宋" w:cs="仿宋"/>
                <w:b/>
                <w:color w:val="auto"/>
                <w:szCs w:val="21"/>
                <w:highlight w:val="none"/>
              </w:rPr>
              <w:t>期：</w:t>
            </w:r>
            <w:r>
              <w:rPr>
                <w:rFonts w:hint="eastAsia" w:ascii="仿宋" w:hAnsi="仿宋" w:eastAsia="仿宋" w:cs="仿宋"/>
                <w:color w:val="auto"/>
                <w:szCs w:val="21"/>
                <w:highlight w:val="none"/>
              </w:rPr>
              <w:t>服务至</w:t>
            </w:r>
            <w:r>
              <w:rPr>
                <w:rFonts w:ascii="仿宋" w:hAnsi="仿宋" w:eastAsia="仿宋" w:cs="仿宋"/>
                <w:color w:val="auto"/>
                <w:szCs w:val="21"/>
                <w:highlight w:val="none"/>
              </w:rPr>
              <w:t>202</w:t>
            </w:r>
            <w:r>
              <w:rPr>
                <w:rFonts w:hint="eastAsia" w:ascii="仿宋" w:hAnsi="仿宋" w:eastAsia="仿宋" w:cs="仿宋"/>
                <w:color w:val="auto"/>
                <w:szCs w:val="21"/>
                <w:highlight w:val="none"/>
                <w:lang w:val="en-US" w:eastAsia="zh-CN"/>
              </w:rPr>
              <w:t>6</w:t>
            </w:r>
            <w:r>
              <w:rPr>
                <w:rFonts w:hint="eastAsia" w:ascii="仿宋" w:hAnsi="仿宋" w:eastAsia="仿宋" w:cs="仿宋"/>
                <w:color w:val="auto"/>
                <w:szCs w:val="21"/>
                <w:highlight w:val="none"/>
              </w:rPr>
              <w:t>年</w:t>
            </w:r>
            <w:r>
              <w:rPr>
                <w:rFonts w:hint="eastAsia" w:ascii="仿宋" w:hAnsi="仿宋" w:eastAsia="仿宋" w:cs="仿宋"/>
                <w:color w:val="auto"/>
                <w:szCs w:val="21"/>
                <w:highlight w:val="none"/>
                <w:lang w:val="en-US" w:eastAsia="zh-CN"/>
              </w:rPr>
              <w:t>3</w:t>
            </w:r>
            <w:r>
              <w:rPr>
                <w:rFonts w:hint="eastAsia" w:ascii="仿宋" w:hAnsi="仿宋" w:eastAsia="仿宋" w:cs="仿宋"/>
                <w:color w:val="auto"/>
                <w:szCs w:val="21"/>
                <w:highlight w:val="none"/>
              </w:rPr>
              <w:t>月</w:t>
            </w:r>
            <w:r>
              <w:rPr>
                <w:rFonts w:ascii="仿宋" w:hAnsi="仿宋" w:eastAsia="仿宋" w:cs="仿宋"/>
                <w:color w:val="auto"/>
                <w:szCs w:val="21"/>
                <w:highlight w:val="none"/>
              </w:rPr>
              <w:t>3</w:t>
            </w:r>
            <w:r>
              <w:rPr>
                <w:rFonts w:hint="eastAsia" w:ascii="仿宋" w:hAnsi="仿宋" w:eastAsia="仿宋" w:cs="仿宋"/>
                <w:color w:val="auto"/>
                <w:szCs w:val="21"/>
                <w:highlight w:val="none"/>
                <w:lang w:val="en-US" w:eastAsia="zh-CN"/>
              </w:rPr>
              <w:t>1</w:t>
            </w:r>
            <w:r>
              <w:rPr>
                <w:rFonts w:hint="eastAsia" w:ascii="仿宋" w:hAnsi="仿宋" w:eastAsia="仿宋" w:cs="仿宋"/>
                <w:color w:val="auto"/>
                <w:szCs w:val="21"/>
                <w:highlight w:val="none"/>
              </w:rPr>
              <w:t>日，经验收合格后，凭双方签字盖章的验收意见、验收小组签字的验收报告、每月考核表、人员清单（包括项目实施人员明细清单、</w:t>
            </w:r>
            <w:r>
              <w:rPr>
                <w:rFonts w:hint="eastAsia" w:ascii="仿宋" w:hAnsi="仿宋" w:eastAsia="仿宋" w:cs="仿宋"/>
                <w:color w:val="auto"/>
                <w:szCs w:val="21"/>
                <w:highlight w:val="none"/>
              </w:rPr>
              <w:t>驻点人员每日考勤</w:t>
            </w:r>
            <w:r>
              <w:rPr>
                <w:rFonts w:hint="eastAsia" w:ascii="仿宋" w:hAnsi="仿宋" w:eastAsia="仿宋" w:cs="仿宋"/>
                <w:color w:val="auto"/>
                <w:szCs w:val="21"/>
                <w:highlight w:val="none"/>
                <w:lang w:eastAsia="zh-Hans"/>
              </w:rPr>
              <w:t>签到</w:t>
            </w:r>
            <w:r>
              <w:rPr>
                <w:rFonts w:hint="eastAsia" w:ascii="仿宋" w:hAnsi="仿宋" w:eastAsia="仿宋" w:cs="仿宋"/>
                <w:color w:val="auto"/>
                <w:szCs w:val="21"/>
                <w:highlight w:val="none"/>
              </w:rPr>
              <w:t>记录</w:t>
            </w:r>
            <w:r>
              <w:rPr>
                <w:rFonts w:hint="eastAsia" w:ascii="仿宋" w:hAnsi="仿宋" w:eastAsia="仿宋" w:cs="仿宋"/>
                <w:color w:val="auto"/>
                <w:szCs w:val="21"/>
                <w:highlight w:val="none"/>
              </w:rPr>
              <w:t>、人员社保缴纳证明、人员相关资质证书）、人员变更审批表（如有）、分析报告汇总表、单个案件分析报告、</w:t>
            </w:r>
            <w:r>
              <w:rPr>
                <w:rFonts w:hint="eastAsia" w:ascii="仿宋" w:hAnsi="仿宋" w:eastAsia="仿宋" w:cs="仿宋"/>
                <w:color w:val="auto"/>
                <w:szCs w:val="21"/>
                <w:highlight w:val="none"/>
              </w:rPr>
              <w:t>每月监测数据确认表</w:t>
            </w:r>
            <w:r>
              <w:rPr>
                <w:rFonts w:hint="eastAsia" w:ascii="仿宋" w:hAnsi="仿宋" w:eastAsia="仿宋" w:cs="仿宋"/>
                <w:color w:val="auto"/>
                <w:szCs w:val="21"/>
                <w:highlight w:val="none"/>
              </w:rPr>
              <w:t>、</w:t>
            </w:r>
            <w:r>
              <w:rPr>
                <w:rFonts w:hint="eastAsia" w:ascii="仿宋" w:hAnsi="仿宋" w:eastAsia="仿宋" w:cs="宋体"/>
                <w:color w:val="auto"/>
                <w:szCs w:val="21"/>
                <w:highlight w:val="none"/>
              </w:rPr>
              <w:t>网络安全保障方案、网络安全事件应急预案、网络安全风险书面报告（如有）、网络安全重大事项书面报告（如有）、网络安全报告、</w:t>
            </w:r>
            <w:r>
              <w:rPr>
                <w:rFonts w:hint="eastAsia" w:ascii="仿宋" w:hAnsi="仿宋" w:eastAsia="仿宋" w:cs="仿宋"/>
                <w:color w:val="auto"/>
                <w:szCs w:val="21"/>
                <w:highlight w:val="none"/>
              </w:rPr>
              <w:t>单位保密协议、个人保密承诺书、日常保密教育台账、</w:t>
            </w:r>
            <w:r>
              <w:rPr>
                <w:rFonts w:hint="eastAsia" w:ascii="仿宋" w:hAnsi="仿宋" w:eastAsia="仿宋" w:cs="仿宋"/>
                <w:color w:val="auto"/>
                <w:szCs w:val="21"/>
                <w:highlight w:val="none"/>
              </w:rPr>
              <w:t>服务总结报告</w:t>
            </w:r>
            <w:r>
              <w:rPr>
                <w:rFonts w:hint="eastAsia" w:ascii="仿宋" w:hAnsi="仿宋" w:eastAsia="仿宋" w:cs="仿宋"/>
                <w:color w:val="auto"/>
                <w:szCs w:val="21"/>
                <w:highlight w:val="none"/>
              </w:rPr>
              <w:t>、</w:t>
            </w:r>
            <w:r>
              <w:rPr>
                <w:rFonts w:hint="eastAsia" w:ascii="仿宋" w:hAnsi="仿宋" w:eastAsia="仿宋" w:cs="仿宋"/>
                <w:color w:val="auto"/>
                <w:szCs w:val="21"/>
                <w:highlight w:val="none"/>
              </w:rPr>
              <w:t>分包意向协议、中小企业佐证材料</w:t>
            </w:r>
            <w:r>
              <w:rPr>
                <w:rFonts w:hint="eastAsia" w:ascii="仿宋" w:hAnsi="仿宋" w:eastAsia="仿宋" w:cs="仿宋"/>
                <w:color w:val="auto"/>
                <w:szCs w:val="21"/>
                <w:highlight w:val="none"/>
              </w:rPr>
              <w:t>等相关资料</w:t>
            </w:r>
            <w:r>
              <w:rPr>
                <w:rFonts w:hint="eastAsia" w:ascii="仿宋" w:hAnsi="仿宋" w:eastAsia="仿宋" w:cs="仿宋"/>
                <w:color w:val="auto"/>
                <w:szCs w:val="21"/>
                <w:highlight w:val="none"/>
                <w:lang w:val="en-US" w:eastAsia="zh-CN"/>
              </w:rPr>
              <w:t>，按照实际发生服务数量、合同单价进行结算（本期</w:t>
            </w:r>
            <w:r>
              <w:rPr>
                <w:rFonts w:hint="eastAsia" w:ascii="仿宋" w:hAnsi="仿宋" w:eastAsia="仿宋" w:cs="仿宋"/>
                <w:color w:val="auto"/>
                <w:szCs w:val="21"/>
                <w:highlight w:val="none"/>
                <w:lang w:val="en-US" w:eastAsia="zh-CN"/>
              </w:rPr>
              <w:t>支付金额不超过合同总价的30%）</w:t>
            </w:r>
            <w:r>
              <w:rPr>
                <w:rFonts w:hint="eastAsia" w:ascii="仿宋" w:hAnsi="仿宋" w:eastAsia="仿宋" w:cs="仿宋"/>
                <w:color w:val="auto"/>
                <w:szCs w:val="21"/>
                <w:highlight w:val="none"/>
              </w:rPr>
              <w:t>。</w:t>
            </w:r>
          </w:p>
        </w:tc>
        <w:tc>
          <w:tcPr>
            <w:tcW w:w="813" w:type="pct"/>
            <w:tcBorders>
              <w:top w:val="single" w:color="auto" w:sz="4" w:space="0"/>
              <w:left w:val="single" w:color="auto" w:sz="4" w:space="0"/>
              <w:bottom w:val="single" w:color="auto" w:sz="4" w:space="0"/>
              <w:right w:val="single" w:color="auto" w:sz="4" w:space="0"/>
            </w:tcBorders>
            <w:shd w:val="clear" w:color="auto" w:fill="auto"/>
            <w:noWrap w:val="0"/>
            <w:vAlign w:val="top"/>
          </w:tcPr>
          <w:p w14:paraId="39E7CA4C">
            <w:pPr>
              <w:spacing w:line="360" w:lineRule="auto"/>
              <w:jc w:val="center"/>
              <w:rPr>
                <w:rFonts w:hint="eastAsia" w:ascii="仿宋" w:hAnsi="仿宋" w:eastAsia="仿宋" w:cs="仿宋"/>
                <w:color w:val="auto"/>
                <w:kern w:val="2"/>
                <w:sz w:val="21"/>
                <w:szCs w:val="21"/>
                <w:highlight w:val="none"/>
                <w:lang w:val="en-US" w:eastAsia="zh-CN" w:bidi="ar-SA"/>
              </w:rPr>
            </w:pPr>
            <w:r>
              <w:rPr>
                <w:rFonts w:hint="eastAsia" w:ascii="仿宋" w:hAnsi="仿宋" w:eastAsia="仿宋" w:cs="仿宋"/>
                <w:color w:val="auto"/>
                <w:szCs w:val="21"/>
                <w:highlight w:val="none"/>
              </w:rPr>
              <w:t>国库转账支付</w:t>
            </w:r>
          </w:p>
        </w:tc>
      </w:tr>
      <w:tr w14:paraId="08B78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3" w:type="pct"/>
            <w:tcBorders>
              <w:top w:val="single" w:color="auto" w:sz="4" w:space="0"/>
              <w:left w:val="single" w:color="auto" w:sz="4" w:space="0"/>
              <w:bottom w:val="single" w:color="auto" w:sz="4" w:space="0"/>
              <w:right w:val="single" w:color="auto" w:sz="4" w:space="0"/>
            </w:tcBorders>
            <w:noWrap w:val="0"/>
            <w:vAlign w:val="top"/>
          </w:tcPr>
          <w:p w14:paraId="4F98EFD0">
            <w:pPr>
              <w:spacing w:line="360" w:lineRule="auto"/>
              <w:jc w:val="center"/>
              <w:rPr>
                <w:rFonts w:hint="eastAsia" w:ascii="仿宋" w:hAnsi="仿宋" w:eastAsia="仿宋" w:cs="仿宋"/>
                <w:color w:val="auto"/>
                <w:szCs w:val="21"/>
                <w:highlight w:val="none"/>
                <w:lang w:val="en-US" w:eastAsia="zh-CN"/>
              </w:rPr>
            </w:pPr>
            <w:r>
              <w:rPr>
                <w:rFonts w:hint="eastAsia" w:ascii="仿宋" w:hAnsi="仿宋" w:eastAsia="仿宋" w:cs="仿宋"/>
                <w:color w:val="auto"/>
                <w:szCs w:val="21"/>
                <w:highlight w:val="none"/>
                <w:lang w:val="en-US" w:eastAsia="zh-CN"/>
              </w:rPr>
              <w:t>4</w:t>
            </w:r>
          </w:p>
        </w:tc>
        <w:tc>
          <w:tcPr>
            <w:tcW w:w="3772" w:type="pct"/>
            <w:tcBorders>
              <w:top w:val="single" w:color="auto" w:sz="4" w:space="0"/>
              <w:left w:val="single" w:color="auto" w:sz="4" w:space="0"/>
              <w:bottom w:val="single" w:color="auto" w:sz="4" w:space="0"/>
              <w:right w:val="single" w:color="auto" w:sz="4" w:space="0"/>
            </w:tcBorders>
            <w:noWrap w:val="0"/>
            <w:vAlign w:val="top"/>
          </w:tcPr>
          <w:p w14:paraId="19C944E3">
            <w:pPr>
              <w:spacing w:line="360" w:lineRule="auto"/>
              <w:rPr>
                <w:rFonts w:ascii="仿宋" w:hAnsi="仿宋" w:eastAsia="仿宋" w:cs="仿宋"/>
                <w:color w:val="auto"/>
                <w:szCs w:val="21"/>
                <w:highlight w:val="none"/>
              </w:rPr>
            </w:pPr>
            <w:r>
              <w:rPr>
                <w:rFonts w:hint="eastAsia" w:ascii="仿宋" w:hAnsi="仿宋" w:eastAsia="仿宋" w:cs="仿宋"/>
                <w:b/>
                <w:color w:val="auto"/>
                <w:szCs w:val="21"/>
                <w:highlight w:val="none"/>
              </w:rPr>
              <w:t>第</w:t>
            </w:r>
            <w:r>
              <w:rPr>
                <w:rFonts w:hint="eastAsia" w:ascii="仿宋" w:hAnsi="仿宋" w:eastAsia="仿宋" w:cs="仿宋"/>
                <w:b/>
                <w:color w:val="auto"/>
                <w:szCs w:val="21"/>
                <w:highlight w:val="none"/>
                <w:lang w:val="en-US" w:eastAsia="zh-CN"/>
              </w:rPr>
              <w:t>四</w:t>
            </w:r>
            <w:r>
              <w:rPr>
                <w:rFonts w:hint="eastAsia" w:ascii="仿宋" w:hAnsi="仿宋" w:eastAsia="仿宋" w:cs="仿宋"/>
                <w:b/>
                <w:color w:val="auto"/>
                <w:szCs w:val="21"/>
                <w:highlight w:val="none"/>
              </w:rPr>
              <w:t>期：</w:t>
            </w:r>
            <w:r>
              <w:rPr>
                <w:rFonts w:hint="eastAsia" w:ascii="仿宋" w:hAnsi="仿宋" w:eastAsia="仿宋" w:cs="仿宋"/>
                <w:color w:val="auto"/>
                <w:szCs w:val="21"/>
                <w:highlight w:val="none"/>
              </w:rPr>
              <w:t>服务期结束，经验收合格后，凭双方签字盖章的验收意见、验收小组签字的验收报告、每月考核表、人员清单（包括项目实施人员明细清单、</w:t>
            </w:r>
            <w:r>
              <w:rPr>
                <w:rFonts w:hint="eastAsia" w:ascii="仿宋" w:hAnsi="仿宋" w:eastAsia="仿宋" w:cs="仿宋"/>
                <w:color w:val="auto"/>
                <w:szCs w:val="21"/>
                <w:highlight w:val="none"/>
              </w:rPr>
              <w:t>驻点人员每日考勤</w:t>
            </w:r>
            <w:r>
              <w:rPr>
                <w:rFonts w:hint="eastAsia" w:ascii="仿宋" w:hAnsi="仿宋" w:eastAsia="仿宋" w:cs="仿宋"/>
                <w:color w:val="auto"/>
                <w:szCs w:val="21"/>
                <w:highlight w:val="none"/>
                <w:lang w:eastAsia="zh-Hans"/>
              </w:rPr>
              <w:t>签到</w:t>
            </w:r>
            <w:r>
              <w:rPr>
                <w:rFonts w:hint="eastAsia" w:ascii="仿宋" w:hAnsi="仿宋" w:eastAsia="仿宋" w:cs="仿宋"/>
                <w:color w:val="auto"/>
                <w:szCs w:val="21"/>
                <w:highlight w:val="none"/>
              </w:rPr>
              <w:t>记录</w:t>
            </w:r>
            <w:r>
              <w:rPr>
                <w:rFonts w:hint="eastAsia" w:ascii="仿宋" w:hAnsi="仿宋" w:eastAsia="仿宋" w:cs="仿宋"/>
                <w:color w:val="auto"/>
                <w:szCs w:val="21"/>
                <w:highlight w:val="none"/>
              </w:rPr>
              <w:t>、人员社保缴纳证明、人员相关资质证书）、人员变更审批表（如有）、分析报告汇总表、单个案件分析报告、</w:t>
            </w:r>
            <w:r>
              <w:rPr>
                <w:rFonts w:hint="eastAsia" w:ascii="仿宋" w:hAnsi="仿宋" w:eastAsia="仿宋" w:cs="仿宋"/>
                <w:color w:val="auto"/>
                <w:szCs w:val="21"/>
                <w:highlight w:val="none"/>
              </w:rPr>
              <w:t>每月监测数据确认表</w:t>
            </w:r>
            <w:r>
              <w:rPr>
                <w:rFonts w:hint="eastAsia" w:ascii="仿宋" w:hAnsi="仿宋" w:eastAsia="仿宋" w:cs="仿宋"/>
                <w:color w:val="auto"/>
                <w:szCs w:val="21"/>
                <w:highlight w:val="none"/>
              </w:rPr>
              <w:t>、</w:t>
            </w:r>
            <w:r>
              <w:rPr>
                <w:rFonts w:hint="eastAsia" w:ascii="仿宋" w:hAnsi="仿宋" w:eastAsia="仿宋" w:cs="宋体"/>
                <w:color w:val="auto"/>
                <w:szCs w:val="21"/>
                <w:highlight w:val="none"/>
              </w:rPr>
              <w:t>网络安全保障方案、网络安全事件应急预案、网络安全风险书面报告（如有）、网络安全重大事项书面报告（如有）、网络安全报告、</w:t>
            </w:r>
            <w:r>
              <w:rPr>
                <w:rFonts w:hint="eastAsia" w:ascii="仿宋" w:hAnsi="仿宋" w:eastAsia="仿宋" w:cs="仿宋"/>
                <w:color w:val="auto"/>
                <w:szCs w:val="21"/>
                <w:highlight w:val="none"/>
              </w:rPr>
              <w:t>单位保密协议、个人保密承诺书、日常保密教育台账、</w:t>
            </w:r>
            <w:r>
              <w:rPr>
                <w:rFonts w:hint="eastAsia" w:ascii="仿宋" w:hAnsi="仿宋" w:eastAsia="仿宋" w:cs="仿宋"/>
                <w:color w:val="auto"/>
                <w:szCs w:val="21"/>
                <w:highlight w:val="none"/>
              </w:rPr>
              <w:t>服务总结报告</w:t>
            </w:r>
            <w:r>
              <w:rPr>
                <w:rFonts w:hint="eastAsia" w:ascii="仿宋" w:hAnsi="仿宋" w:eastAsia="仿宋" w:cs="仿宋"/>
                <w:color w:val="auto"/>
                <w:szCs w:val="21"/>
                <w:highlight w:val="none"/>
              </w:rPr>
              <w:t>、</w:t>
            </w:r>
            <w:r>
              <w:rPr>
                <w:rFonts w:hint="eastAsia" w:ascii="仿宋" w:hAnsi="仿宋" w:eastAsia="仿宋" w:cs="仿宋"/>
                <w:color w:val="auto"/>
                <w:szCs w:val="21"/>
                <w:highlight w:val="none"/>
              </w:rPr>
              <w:t>分包意向协议、中小企业佐证材料</w:t>
            </w:r>
            <w:r>
              <w:rPr>
                <w:rFonts w:hint="eastAsia" w:ascii="仿宋" w:hAnsi="仿宋" w:eastAsia="仿宋" w:cs="仿宋"/>
                <w:color w:val="auto"/>
                <w:szCs w:val="21"/>
                <w:highlight w:val="none"/>
              </w:rPr>
              <w:t>及验收公示截图等相关资料，</w:t>
            </w:r>
            <w:r>
              <w:rPr>
                <w:rFonts w:hint="eastAsia" w:ascii="仿宋" w:hAnsi="仿宋" w:eastAsia="仿宋" w:cs="仿宋"/>
                <w:color w:val="auto"/>
                <w:szCs w:val="21"/>
                <w:highlight w:val="none"/>
              </w:rPr>
              <w:t>按实际案件分析报告数量、监测数据数量和合同单价结算尾款，</w:t>
            </w:r>
            <w:r>
              <w:rPr>
                <w:rFonts w:hint="eastAsia" w:ascii="仿宋" w:hAnsi="仿宋" w:eastAsia="仿宋" w:cs="仿宋"/>
                <w:color w:val="auto"/>
                <w:szCs w:val="21"/>
                <w:highlight w:val="none"/>
              </w:rPr>
              <w:t>同时扣除投标人应向采购人支付的违约金。</w:t>
            </w:r>
          </w:p>
        </w:tc>
        <w:tc>
          <w:tcPr>
            <w:tcW w:w="813" w:type="pct"/>
            <w:tcBorders>
              <w:top w:val="single" w:color="auto" w:sz="4" w:space="0"/>
              <w:left w:val="single" w:color="auto" w:sz="4" w:space="0"/>
              <w:bottom w:val="single" w:color="auto" w:sz="4" w:space="0"/>
              <w:right w:val="single" w:color="auto" w:sz="4" w:space="0"/>
            </w:tcBorders>
            <w:noWrap w:val="0"/>
            <w:vAlign w:val="top"/>
          </w:tcPr>
          <w:p w14:paraId="0E548530">
            <w:pPr>
              <w:spacing w:line="360" w:lineRule="auto"/>
              <w:jc w:val="center"/>
              <w:rPr>
                <w:rFonts w:ascii="仿宋" w:hAnsi="仿宋" w:eastAsia="仿宋" w:cs="仿宋"/>
                <w:color w:val="auto"/>
                <w:szCs w:val="21"/>
                <w:highlight w:val="none"/>
              </w:rPr>
            </w:pPr>
            <w:r>
              <w:rPr>
                <w:rFonts w:hint="eastAsia" w:ascii="仿宋" w:hAnsi="仿宋" w:eastAsia="仿宋" w:cs="仿宋"/>
                <w:color w:val="auto"/>
                <w:szCs w:val="21"/>
                <w:highlight w:val="none"/>
              </w:rPr>
              <w:t>国库转账支付</w:t>
            </w:r>
          </w:p>
        </w:tc>
      </w:tr>
    </w:tbl>
    <w:p w14:paraId="4DC53DE2">
      <w:pPr>
        <w:snapToGrid w:val="0"/>
        <w:spacing w:line="360" w:lineRule="auto"/>
        <w:ind w:firstLine="420" w:firstLineChars="200"/>
        <w:rPr>
          <w:rFonts w:ascii="仿宋" w:hAnsi="仿宋" w:eastAsia="仿宋" w:cs="仿宋"/>
          <w:color w:val="auto"/>
          <w:szCs w:val="21"/>
          <w:highlight w:val="none"/>
          <w:u w:val="single"/>
          <w:lang w:val="zh-CN"/>
        </w:rPr>
      </w:pPr>
      <w:r>
        <w:rPr>
          <w:rFonts w:hint="eastAsia" w:ascii="仿宋" w:hAnsi="仿宋" w:eastAsia="仿宋" w:cs="仿宋"/>
          <w:bCs/>
          <w:color w:val="auto"/>
          <w:szCs w:val="21"/>
          <w:highlight w:val="none"/>
          <w:u w:val="single"/>
          <w:lang w:val="zh-CN"/>
        </w:rPr>
        <w:t>双方确认，采购人按前款结算并向投标人支付的款项总额不超过合同总价。</w:t>
      </w:r>
    </w:p>
    <w:p w14:paraId="092078E3">
      <w:pPr>
        <w:snapToGrid w:val="0"/>
        <w:spacing w:line="360" w:lineRule="auto"/>
        <w:ind w:firstLine="420" w:firstLineChars="200"/>
        <w:rPr>
          <w:rFonts w:ascii="仿宋" w:hAnsi="仿宋" w:eastAsia="仿宋" w:cs="仿宋"/>
          <w:bCs/>
          <w:color w:val="auto"/>
          <w:szCs w:val="21"/>
          <w:highlight w:val="none"/>
          <w:u w:val="single"/>
          <w:lang w:val="zh-CN"/>
        </w:rPr>
      </w:pPr>
      <w:r>
        <w:rPr>
          <w:rFonts w:hint="eastAsia" w:ascii="仿宋" w:hAnsi="仿宋" w:eastAsia="仿宋" w:cs="仿宋"/>
          <w:bCs/>
          <w:color w:val="auto"/>
          <w:szCs w:val="21"/>
          <w:highlight w:val="none"/>
          <w:u w:val="single"/>
          <w:lang w:val="zh-CN"/>
        </w:rPr>
        <w:t>前述采购人按实际案件分析报告数量</w:t>
      </w:r>
      <w:r>
        <w:rPr>
          <w:rFonts w:hint="eastAsia" w:ascii="仿宋" w:hAnsi="仿宋" w:eastAsia="仿宋" w:cs="仿宋"/>
          <w:bCs/>
          <w:color w:val="auto"/>
          <w:szCs w:val="21"/>
          <w:highlight w:val="none"/>
          <w:u w:val="single"/>
          <w:lang w:val="zh-CN"/>
        </w:rPr>
        <w:t>、监测数据数量</w:t>
      </w:r>
      <w:r>
        <w:rPr>
          <w:rFonts w:hint="eastAsia" w:ascii="仿宋" w:hAnsi="仿宋" w:eastAsia="仿宋" w:cs="仿宋"/>
          <w:bCs/>
          <w:color w:val="auto"/>
          <w:szCs w:val="21"/>
          <w:highlight w:val="none"/>
          <w:u w:val="single"/>
          <w:lang w:val="zh-CN"/>
        </w:rPr>
        <w:t>和合同单价结算付款的方式不影响采购人向投标人再行收取因投标人未全面按照合同约定履行而产生的违约金。</w:t>
      </w:r>
    </w:p>
    <w:p w14:paraId="1201D611">
      <w:pPr>
        <w:spacing w:line="360" w:lineRule="auto"/>
        <w:ind w:left="210" w:leftChars="100"/>
        <w:jc w:val="left"/>
        <w:rPr>
          <w:rFonts w:ascii="仿宋" w:hAnsi="仿宋" w:eastAsia="仿宋" w:cs="宋体"/>
          <w:b/>
          <w:color w:val="auto"/>
          <w:szCs w:val="21"/>
          <w:highlight w:val="none"/>
        </w:rPr>
      </w:pPr>
      <w:r>
        <w:rPr>
          <w:rFonts w:ascii="仿宋" w:hAnsi="仿宋" w:eastAsia="仿宋" w:cs="宋体"/>
          <w:b/>
          <w:color w:val="auto"/>
          <w:szCs w:val="21"/>
          <w:highlight w:val="none"/>
        </w:rPr>
        <w:t>4.售后服务要求</w:t>
      </w:r>
    </w:p>
    <w:p w14:paraId="2A5DAAA6">
      <w:pPr>
        <w:spacing w:line="360" w:lineRule="auto"/>
        <w:ind w:firstLine="420"/>
        <w:jc w:val="left"/>
        <w:rPr>
          <w:rFonts w:ascii="仿宋" w:hAnsi="仿宋" w:eastAsia="仿宋" w:cs="宋体"/>
          <w:color w:val="auto"/>
          <w:szCs w:val="21"/>
          <w:highlight w:val="none"/>
          <w:u w:val="single"/>
        </w:rPr>
      </w:pPr>
      <w:r>
        <w:rPr>
          <w:rFonts w:hint="eastAsia" w:ascii="仿宋" w:hAnsi="仿宋" w:eastAsia="仿宋" w:cs="宋体"/>
          <w:color w:val="auto"/>
          <w:szCs w:val="21"/>
          <w:highlight w:val="none"/>
          <w:u w:val="single"/>
        </w:rPr>
        <w:t>无。</w:t>
      </w:r>
    </w:p>
    <w:p w14:paraId="2DAE9E47">
      <w:pPr>
        <w:spacing w:line="360" w:lineRule="auto"/>
        <w:ind w:left="210" w:leftChars="100"/>
        <w:jc w:val="left"/>
        <w:rPr>
          <w:rFonts w:ascii="仿宋" w:hAnsi="仿宋" w:eastAsia="仿宋" w:cs="宋体"/>
          <w:b/>
          <w:color w:val="auto"/>
          <w:szCs w:val="21"/>
          <w:highlight w:val="none"/>
        </w:rPr>
      </w:pPr>
      <w:r>
        <w:rPr>
          <w:rFonts w:ascii="仿宋" w:hAnsi="仿宋" w:eastAsia="仿宋" w:cs="宋体"/>
          <w:b/>
          <w:color w:val="auto"/>
          <w:szCs w:val="21"/>
          <w:highlight w:val="none"/>
        </w:rPr>
        <w:t>5.其他商务要求（包装和运输、保险等）</w:t>
      </w:r>
    </w:p>
    <w:p w14:paraId="1EAC1C90">
      <w:pPr>
        <w:spacing w:line="360" w:lineRule="auto"/>
        <w:ind w:firstLine="420"/>
        <w:jc w:val="left"/>
        <w:rPr>
          <w:rFonts w:ascii="仿宋" w:hAnsi="仿宋" w:eastAsia="仿宋" w:cs="宋体"/>
          <w:color w:val="auto"/>
          <w:szCs w:val="21"/>
          <w:highlight w:val="none"/>
          <w:u w:val="single"/>
        </w:rPr>
      </w:pPr>
      <w:r>
        <w:rPr>
          <w:rFonts w:ascii="仿宋" w:hAnsi="仿宋" w:eastAsia="仿宋" w:cs="宋体"/>
          <w:color w:val="auto"/>
          <w:szCs w:val="21"/>
          <w:highlight w:val="none"/>
          <w:u w:val="single"/>
        </w:rPr>
        <w:t>5.1、履约保证金退还：</w:t>
      </w:r>
      <w:r>
        <w:rPr>
          <w:rFonts w:hint="eastAsia" w:ascii="仿宋" w:hAnsi="仿宋" w:eastAsia="仿宋" w:cs="宋体"/>
          <w:color w:val="auto"/>
          <w:szCs w:val="21"/>
          <w:highlight w:val="none"/>
          <w:u w:val="single"/>
        </w:rPr>
        <w:t>服务期结束</w:t>
      </w:r>
      <w:r>
        <w:rPr>
          <w:rFonts w:ascii="仿宋" w:hAnsi="仿宋" w:eastAsia="仿宋" w:cs="宋体"/>
          <w:color w:val="auto"/>
          <w:szCs w:val="21"/>
          <w:highlight w:val="none"/>
          <w:u w:val="single"/>
        </w:rPr>
        <w:t>验收合格后，无任何质量问题，采购人于收到投标人退还履约保证金申请之日起5个工作日内凭双方签字盖章的验收意见，无息归还履约保证金。</w:t>
      </w:r>
    </w:p>
    <w:p w14:paraId="0324F587">
      <w:pPr>
        <w:spacing w:line="360" w:lineRule="auto"/>
        <w:ind w:firstLine="420"/>
        <w:jc w:val="left"/>
        <w:rPr>
          <w:rFonts w:ascii="仿宋" w:hAnsi="仿宋" w:eastAsia="仿宋" w:cs="宋体"/>
          <w:color w:val="auto"/>
          <w:szCs w:val="21"/>
          <w:highlight w:val="none"/>
          <w:u w:val="single"/>
        </w:rPr>
      </w:pPr>
      <w:r>
        <w:rPr>
          <w:rFonts w:ascii="仿宋" w:hAnsi="仿宋" w:eastAsia="仿宋" w:cs="宋体"/>
          <w:color w:val="auto"/>
          <w:szCs w:val="21"/>
          <w:highlight w:val="none"/>
          <w:u w:val="single"/>
        </w:rPr>
        <w:t>5.2、投标报价包含</w:t>
      </w:r>
      <w:r>
        <w:rPr>
          <w:rFonts w:hint="eastAsia" w:ascii="仿宋" w:hAnsi="仿宋" w:eastAsia="仿宋" w:cs="宋体"/>
          <w:color w:val="auto"/>
          <w:szCs w:val="21"/>
          <w:highlight w:val="none"/>
          <w:u w:val="single"/>
        </w:rPr>
        <w:t>为完成本项目可能发生的分析报告</w:t>
      </w:r>
      <w:r>
        <w:rPr>
          <w:rFonts w:ascii="仿宋" w:hAnsi="仿宋" w:eastAsia="仿宋" w:cs="宋体"/>
          <w:color w:val="auto"/>
          <w:szCs w:val="21"/>
          <w:highlight w:val="none"/>
          <w:u w:val="single"/>
        </w:rPr>
        <w:t>费</w:t>
      </w:r>
      <w:r>
        <w:rPr>
          <w:rFonts w:hint="eastAsia" w:ascii="仿宋" w:hAnsi="仿宋" w:eastAsia="仿宋" w:cs="宋体"/>
          <w:color w:val="auto"/>
          <w:szCs w:val="21"/>
          <w:highlight w:val="none"/>
          <w:u w:val="single"/>
        </w:rPr>
        <w:t>、</w:t>
      </w:r>
      <w:r>
        <w:rPr>
          <w:rFonts w:ascii="仿宋" w:hAnsi="仿宋" w:eastAsia="仿宋" w:cs="宋体"/>
          <w:color w:val="auto"/>
          <w:szCs w:val="21"/>
          <w:highlight w:val="none"/>
          <w:u w:val="single"/>
        </w:rPr>
        <w:t>人员（工资、加班费、奖金、津贴及《劳动合同法》各类社会保险、人员的交通费、食宿</w:t>
      </w:r>
      <w:r>
        <w:rPr>
          <w:rFonts w:hint="eastAsia" w:ascii="仿宋" w:hAnsi="仿宋" w:eastAsia="仿宋" w:cs="宋体"/>
          <w:color w:val="auto"/>
          <w:szCs w:val="21"/>
          <w:highlight w:val="none"/>
          <w:u w:val="single"/>
        </w:rPr>
        <w:t>费、办公费等）、税金等为完成本项目各项服务可能发生的全部费用。</w:t>
      </w:r>
    </w:p>
    <w:p w14:paraId="0F1A4E8A">
      <w:pPr>
        <w:snapToGrid w:val="0"/>
        <w:spacing w:line="360" w:lineRule="auto"/>
        <w:ind w:firstLine="420" w:firstLineChars="200"/>
        <w:rPr>
          <w:rFonts w:ascii="仿宋" w:hAnsi="仿宋" w:eastAsia="仿宋" w:cs="仿宋"/>
          <w:color w:val="auto"/>
          <w:szCs w:val="21"/>
          <w:highlight w:val="none"/>
          <w:u w:val="single"/>
        </w:rPr>
      </w:pPr>
    </w:p>
    <w:p w14:paraId="60F22CF9">
      <w:pPr>
        <w:snapToGrid w:val="0"/>
        <w:spacing w:line="360" w:lineRule="auto"/>
        <w:jc w:val="left"/>
        <w:outlineLvl w:val="1"/>
        <w:rPr>
          <w:rFonts w:ascii="仿宋" w:hAnsi="仿宋" w:eastAsia="仿宋" w:cs="仿宋_GB2312"/>
          <w:b/>
          <w:color w:val="auto"/>
          <w:szCs w:val="21"/>
          <w:highlight w:val="none"/>
        </w:rPr>
      </w:pPr>
      <w:r>
        <w:rPr>
          <w:rFonts w:hint="eastAsia" w:ascii="仿宋" w:hAnsi="仿宋" w:eastAsia="仿宋" w:cs="仿宋_GB2312"/>
          <w:b/>
          <w:color w:val="auto"/>
          <w:szCs w:val="21"/>
          <w:highlight w:val="none"/>
        </w:rPr>
        <w:t>（七）采购项目的其他要求</w:t>
      </w:r>
    </w:p>
    <w:p w14:paraId="3B1B335D">
      <w:pPr>
        <w:spacing w:line="360" w:lineRule="auto"/>
        <w:ind w:left="0" w:leftChars="0" w:firstLine="422" w:firstLineChars="200"/>
        <w:jc w:val="left"/>
        <w:rPr>
          <w:rFonts w:ascii="仿宋" w:hAnsi="仿宋" w:eastAsia="仿宋" w:cs="仿宋"/>
          <w:color w:val="auto"/>
          <w:sz w:val="21"/>
          <w:szCs w:val="21"/>
          <w:highlight w:val="none"/>
          <w:u w:val="single"/>
        </w:rPr>
      </w:pPr>
      <w:r>
        <w:rPr>
          <w:rFonts w:hint="eastAsia" w:ascii="仿宋" w:hAnsi="仿宋" w:eastAsia="仿宋" w:cs="仿宋"/>
          <w:b/>
          <w:color w:val="auto"/>
          <w:sz w:val="21"/>
          <w:szCs w:val="21"/>
          <w:highlight w:val="none"/>
          <w:lang w:val="en-US" w:eastAsia="zh-CN"/>
        </w:rPr>
        <w:t>1</w:t>
      </w:r>
      <w:r>
        <w:rPr>
          <w:rFonts w:hint="eastAsia" w:ascii="仿宋" w:hAnsi="仿宋" w:eastAsia="仿宋" w:cs="仿宋"/>
          <w:b/>
          <w:color w:val="auto"/>
          <w:sz w:val="21"/>
          <w:szCs w:val="21"/>
          <w:highlight w:val="none"/>
        </w:rPr>
        <w:t>、履约验收时间：</w:t>
      </w:r>
      <w:r>
        <w:rPr>
          <w:rFonts w:hint="eastAsia" w:ascii="仿宋" w:hAnsi="仿宋" w:eastAsia="仿宋"/>
          <w:b/>
          <w:color w:val="auto"/>
          <w:szCs w:val="21"/>
          <w:highlight w:val="none"/>
          <w:u w:val="single"/>
        </w:rPr>
        <w:t>第一次验收时间：202</w:t>
      </w:r>
      <w:r>
        <w:rPr>
          <w:rFonts w:hint="eastAsia" w:ascii="仿宋" w:hAnsi="仿宋" w:eastAsia="仿宋"/>
          <w:b/>
          <w:color w:val="auto"/>
          <w:szCs w:val="21"/>
          <w:highlight w:val="none"/>
          <w:u w:val="single"/>
          <w:lang w:val="en-US" w:eastAsia="zh-CN"/>
        </w:rPr>
        <w:t>5</w:t>
      </w:r>
      <w:r>
        <w:rPr>
          <w:rFonts w:hint="eastAsia" w:ascii="仿宋" w:hAnsi="仿宋" w:eastAsia="仿宋"/>
          <w:b/>
          <w:color w:val="auto"/>
          <w:szCs w:val="21"/>
          <w:highlight w:val="none"/>
          <w:u w:val="single"/>
        </w:rPr>
        <w:t>年11月30日后；</w:t>
      </w:r>
      <w:r>
        <w:rPr>
          <w:rFonts w:hint="eastAsia" w:ascii="仿宋" w:hAnsi="仿宋" w:eastAsia="仿宋"/>
          <w:b/>
          <w:color w:val="auto"/>
          <w:szCs w:val="21"/>
          <w:highlight w:val="none"/>
          <w:u w:val="single"/>
        </w:rPr>
        <w:t>第</w:t>
      </w:r>
      <w:r>
        <w:rPr>
          <w:rFonts w:hint="eastAsia" w:ascii="仿宋" w:hAnsi="仿宋" w:eastAsia="仿宋"/>
          <w:b/>
          <w:color w:val="auto"/>
          <w:szCs w:val="21"/>
          <w:highlight w:val="none"/>
          <w:u w:val="single"/>
          <w:lang w:val="en-US" w:eastAsia="zh-CN"/>
        </w:rPr>
        <w:t>二</w:t>
      </w:r>
      <w:r>
        <w:rPr>
          <w:rFonts w:hint="eastAsia" w:ascii="仿宋" w:hAnsi="仿宋" w:eastAsia="仿宋"/>
          <w:b/>
          <w:color w:val="auto"/>
          <w:szCs w:val="21"/>
          <w:highlight w:val="none"/>
          <w:u w:val="single"/>
        </w:rPr>
        <w:t>次验收时间：202</w:t>
      </w:r>
      <w:r>
        <w:rPr>
          <w:rFonts w:hint="eastAsia" w:ascii="仿宋" w:hAnsi="仿宋" w:eastAsia="仿宋"/>
          <w:b/>
          <w:color w:val="auto"/>
          <w:szCs w:val="21"/>
          <w:highlight w:val="none"/>
          <w:u w:val="single"/>
          <w:lang w:val="en-US" w:eastAsia="zh-CN"/>
        </w:rPr>
        <w:t>6</w:t>
      </w:r>
      <w:r>
        <w:rPr>
          <w:rFonts w:hint="eastAsia" w:ascii="仿宋" w:hAnsi="仿宋" w:eastAsia="仿宋"/>
          <w:b/>
          <w:color w:val="auto"/>
          <w:szCs w:val="21"/>
          <w:highlight w:val="none"/>
          <w:u w:val="single"/>
        </w:rPr>
        <w:t>年</w:t>
      </w:r>
      <w:r>
        <w:rPr>
          <w:rFonts w:hint="eastAsia" w:ascii="仿宋" w:hAnsi="仿宋" w:eastAsia="仿宋"/>
          <w:b/>
          <w:color w:val="auto"/>
          <w:szCs w:val="21"/>
          <w:highlight w:val="none"/>
          <w:u w:val="single"/>
          <w:lang w:val="en-US" w:eastAsia="zh-CN"/>
        </w:rPr>
        <w:t>3</w:t>
      </w:r>
      <w:r>
        <w:rPr>
          <w:rFonts w:hint="eastAsia" w:ascii="仿宋" w:hAnsi="仿宋" w:eastAsia="仿宋"/>
          <w:b/>
          <w:color w:val="auto"/>
          <w:szCs w:val="21"/>
          <w:highlight w:val="none"/>
          <w:u w:val="single"/>
        </w:rPr>
        <w:t>月3</w:t>
      </w:r>
      <w:r>
        <w:rPr>
          <w:rFonts w:hint="eastAsia" w:ascii="仿宋" w:hAnsi="仿宋" w:eastAsia="仿宋"/>
          <w:b/>
          <w:color w:val="auto"/>
          <w:szCs w:val="21"/>
          <w:highlight w:val="none"/>
          <w:u w:val="single"/>
          <w:lang w:val="en-US" w:eastAsia="zh-CN"/>
        </w:rPr>
        <w:t>1</w:t>
      </w:r>
      <w:r>
        <w:rPr>
          <w:rFonts w:hint="eastAsia" w:ascii="仿宋" w:hAnsi="仿宋" w:eastAsia="仿宋"/>
          <w:b/>
          <w:color w:val="auto"/>
          <w:szCs w:val="21"/>
          <w:highlight w:val="none"/>
          <w:u w:val="single"/>
        </w:rPr>
        <w:t>日后；</w:t>
      </w:r>
      <w:r>
        <w:rPr>
          <w:rFonts w:hint="eastAsia" w:ascii="仿宋" w:hAnsi="仿宋" w:eastAsia="仿宋"/>
          <w:b/>
          <w:color w:val="auto"/>
          <w:szCs w:val="21"/>
          <w:highlight w:val="none"/>
          <w:u w:val="single"/>
        </w:rPr>
        <w:t>第</w:t>
      </w:r>
      <w:r>
        <w:rPr>
          <w:rFonts w:hint="eastAsia" w:ascii="仿宋" w:hAnsi="仿宋" w:eastAsia="仿宋"/>
          <w:b/>
          <w:color w:val="auto"/>
          <w:szCs w:val="21"/>
          <w:highlight w:val="none"/>
          <w:u w:val="single"/>
          <w:lang w:val="en-US" w:eastAsia="zh-CN"/>
        </w:rPr>
        <w:t>三</w:t>
      </w:r>
      <w:r>
        <w:rPr>
          <w:rFonts w:hint="eastAsia" w:ascii="仿宋" w:hAnsi="仿宋" w:eastAsia="仿宋"/>
          <w:b/>
          <w:color w:val="auto"/>
          <w:szCs w:val="21"/>
          <w:highlight w:val="none"/>
          <w:u w:val="single"/>
        </w:rPr>
        <w:t>次验收时间：服务期结束后。</w:t>
      </w:r>
      <w:r>
        <w:rPr>
          <w:rFonts w:hint="eastAsia" w:ascii="仿宋" w:hAnsi="仿宋" w:eastAsia="仿宋" w:cs="仿宋"/>
          <w:color w:val="auto"/>
          <w:sz w:val="21"/>
          <w:szCs w:val="21"/>
          <w:highlight w:val="none"/>
          <w:u w:val="single"/>
          <w:lang w:val="en-US" w:eastAsia="zh-CN"/>
        </w:rPr>
        <w:t>（具体验收时间由采购人最终确定并通知投标人的时间为准）</w:t>
      </w:r>
    </w:p>
    <w:p w14:paraId="316B240A">
      <w:pPr>
        <w:spacing w:line="360" w:lineRule="auto"/>
        <w:ind w:left="0" w:leftChars="0" w:firstLine="422" w:firstLineChars="200"/>
        <w:jc w:val="left"/>
        <w:rPr>
          <w:rFonts w:ascii="仿宋" w:hAnsi="仿宋" w:eastAsia="仿宋" w:cs="仿宋"/>
          <w:color w:val="auto"/>
          <w:sz w:val="21"/>
          <w:szCs w:val="21"/>
          <w:highlight w:val="none"/>
        </w:rPr>
      </w:pPr>
      <w:r>
        <w:rPr>
          <w:rFonts w:hint="eastAsia" w:ascii="仿宋" w:hAnsi="仿宋" w:eastAsia="仿宋" w:cs="仿宋"/>
          <w:b/>
          <w:color w:val="auto"/>
          <w:sz w:val="21"/>
          <w:szCs w:val="21"/>
          <w:highlight w:val="none"/>
          <w:lang w:val="en-US" w:eastAsia="zh-CN"/>
        </w:rPr>
        <w:t>2</w:t>
      </w:r>
      <w:r>
        <w:rPr>
          <w:rFonts w:hint="eastAsia" w:ascii="仿宋" w:hAnsi="仿宋" w:eastAsia="仿宋" w:cs="仿宋"/>
          <w:b/>
          <w:color w:val="auto"/>
          <w:sz w:val="21"/>
          <w:szCs w:val="21"/>
          <w:highlight w:val="none"/>
        </w:rPr>
        <w:t>、履约验收方式：</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t>□简易程序</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t>☑一般程序</w:t>
      </w:r>
    </w:p>
    <w:p w14:paraId="281170AF">
      <w:pPr>
        <w:spacing w:line="360" w:lineRule="auto"/>
        <w:ind w:left="0" w:leftChars="0" w:firstLine="422" w:firstLineChars="200"/>
        <w:jc w:val="left"/>
        <w:rPr>
          <w:rFonts w:ascii="仿宋" w:hAnsi="仿宋" w:eastAsia="仿宋" w:cs="仿宋"/>
          <w:color w:val="auto"/>
          <w:sz w:val="21"/>
          <w:szCs w:val="21"/>
          <w:highlight w:val="none"/>
        </w:rPr>
      </w:pPr>
      <w:r>
        <w:rPr>
          <w:rFonts w:hint="eastAsia" w:ascii="仿宋" w:hAnsi="仿宋" w:eastAsia="仿宋" w:cs="仿宋"/>
          <w:b/>
          <w:color w:val="auto"/>
          <w:sz w:val="21"/>
          <w:szCs w:val="21"/>
          <w:highlight w:val="none"/>
          <w:lang w:val="en-US" w:eastAsia="zh-CN"/>
        </w:rPr>
        <w:t>3</w:t>
      </w:r>
      <w:r>
        <w:rPr>
          <w:rFonts w:hint="eastAsia" w:ascii="仿宋" w:hAnsi="仿宋" w:eastAsia="仿宋" w:cs="仿宋"/>
          <w:b/>
          <w:color w:val="auto"/>
          <w:sz w:val="21"/>
          <w:szCs w:val="21"/>
          <w:highlight w:val="none"/>
        </w:rPr>
        <w:t>、履约验收程序：</w:t>
      </w:r>
      <w:r>
        <w:rPr>
          <w:rFonts w:hint="eastAsia" w:ascii="仿宋" w:hAnsi="仿宋" w:eastAsia="仿宋" w:cs="仿宋"/>
          <w:b/>
          <w:color w:val="auto"/>
          <w:sz w:val="21"/>
          <w:szCs w:val="21"/>
          <w:highlight w:val="none"/>
          <w:lang w:val="en-US" w:eastAsia="zh-CN"/>
        </w:rPr>
        <w:t xml:space="preserve">  </w:t>
      </w:r>
      <w:r>
        <w:rPr>
          <w:rFonts w:hint="eastAsia" w:ascii="仿宋" w:hAnsi="仿宋" w:eastAsia="仿宋" w:cs="仿宋"/>
          <w:color w:val="auto"/>
          <w:sz w:val="21"/>
          <w:szCs w:val="21"/>
          <w:highlight w:val="none"/>
        </w:rPr>
        <w:t xml:space="preserve"> □一次性验收</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t>□分段验收</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☑分期验收</w:t>
      </w:r>
    </w:p>
    <w:p w14:paraId="3CC50AAD">
      <w:pPr>
        <w:spacing w:line="360" w:lineRule="auto"/>
        <w:ind w:left="0" w:leftChars="0" w:firstLine="422" w:firstLineChars="200"/>
        <w:jc w:val="left"/>
        <w:rPr>
          <w:rFonts w:ascii="仿宋" w:hAnsi="仿宋" w:eastAsia="仿宋" w:cs="仿宋"/>
          <w:b/>
          <w:color w:val="auto"/>
          <w:sz w:val="21"/>
          <w:szCs w:val="21"/>
          <w:highlight w:val="none"/>
        </w:rPr>
      </w:pPr>
      <w:r>
        <w:rPr>
          <w:rFonts w:hint="eastAsia" w:ascii="仿宋" w:hAnsi="仿宋" w:eastAsia="仿宋" w:cs="仿宋"/>
          <w:b/>
          <w:color w:val="auto"/>
          <w:sz w:val="21"/>
          <w:szCs w:val="21"/>
          <w:highlight w:val="none"/>
          <w:lang w:val="en-US" w:eastAsia="zh-CN"/>
        </w:rPr>
        <w:t>4</w:t>
      </w:r>
      <w:r>
        <w:rPr>
          <w:rFonts w:hint="eastAsia" w:ascii="仿宋" w:hAnsi="仿宋" w:eastAsia="仿宋" w:cs="仿宋"/>
          <w:b/>
          <w:color w:val="auto"/>
          <w:sz w:val="21"/>
          <w:szCs w:val="21"/>
          <w:highlight w:val="none"/>
        </w:rPr>
        <w:t>、履约验收内容</w:t>
      </w:r>
    </w:p>
    <w:p w14:paraId="39C78AE7">
      <w:pPr>
        <w:spacing w:line="360" w:lineRule="auto"/>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u w:val="single"/>
        </w:rPr>
        <w:t>（1）采购人按照《杭州市政府采购履约验收暂行办法》（杭财采监[2019]10号）规定组织对投标人履约的验收。验收方成员应当在验收书上签字，并承担相应的法律责任。如果发现与合同中要求不符，投标人须承担由此发生的一切损失和费用，并接受相应的处理。</w:t>
      </w:r>
    </w:p>
    <w:p w14:paraId="024440CD">
      <w:pPr>
        <w:spacing w:line="360" w:lineRule="auto"/>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u w:val="single"/>
        </w:rPr>
        <w:t>（</w:t>
      </w:r>
      <w:r>
        <w:rPr>
          <w:rFonts w:ascii="仿宋" w:hAnsi="仿宋" w:eastAsia="仿宋"/>
          <w:color w:val="auto"/>
          <w:szCs w:val="21"/>
          <w:highlight w:val="none"/>
          <w:u w:val="single"/>
        </w:rPr>
        <w:t>2</w:t>
      </w:r>
      <w:r>
        <w:rPr>
          <w:rFonts w:hint="eastAsia" w:ascii="仿宋" w:hAnsi="仿宋" w:eastAsia="仿宋"/>
          <w:color w:val="auto"/>
          <w:szCs w:val="21"/>
          <w:highlight w:val="none"/>
          <w:u w:val="single"/>
        </w:rPr>
        <w:t>）严格按照采购合同开展履约验收。</w:t>
      </w:r>
      <w:r>
        <w:rPr>
          <w:rFonts w:hint="eastAsia" w:ascii="仿宋" w:hAnsi="仿宋" w:eastAsia="仿宋"/>
          <w:color w:val="auto"/>
          <w:szCs w:val="21"/>
          <w:highlight w:val="none"/>
          <w:u w:val="single"/>
        </w:rPr>
        <w:t>采购人委托第三方机构组织验收，成立验收小组（验收小组由5人组成：其中采购人1名，专家4名</w:t>
      </w:r>
      <w:r>
        <w:rPr>
          <w:rFonts w:hint="eastAsia" w:ascii="仿宋" w:hAnsi="仿宋" w:eastAsia="仿宋" w:cs="仿宋"/>
          <w:color w:val="auto"/>
          <w:sz w:val="21"/>
          <w:szCs w:val="21"/>
          <w:highlight w:val="none"/>
          <w:u w:val="single"/>
        </w:rPr>
        <w:t>（由</w:t>
      </w:r>
      <w:r>
        <w:rPr>
          <w:rFonts w:hint="eastAsia" w:ascii="仿宋" w:hAnsi="仿宋" w:eastAsia="仿宋" w:cs="仿宋"/>
          <w:color w:val="auto"/>
          <w:sz w:val="21"/>
          <w:szCs w:val="21"/>
          <w:highlight w:val="none"/>
          <w:u w:val="single"/>
          <w:lang w:val="en-US" w:eastAsia="zh-CN"/>
        </w:rPr>
        <w:t>第三方机构</w:t>
      </w:r>
      <w:r>
        <w:rPr>
          <w:rFonts w:hint="eastAsia" w:ascii="仿宋" w:hAnsi="仿宋" w:eastAsia="仿宋" w:cs="仿宋"/>
          <w:color w:val="auto"/>
          <w:sz w:val="21"/>
          <w:szCs w:val="21"/>
          <w:highlight w:val="none"/>
          <w:u w:val="single"/>
        </w:rPr>
        <w:t>从乐采云平台专家库中随机抽取产生</w:t>
      </w:r>
      <w:r>
        <w:rPr>
          <w:rFonts w:hint="eastAsia" w:ascii="仿宋" w:hAnsi="仿宋" w:eastAsia="仿宋" w:cs="仿宋"/>
          <w:color w:val="auto"/>
          <w:sz w:val="21"/>
          <w:szCs w:val="21"/>
          <w:highlight w:val="none"/>
          <w:u w:val="single"/>
          <w:lang w:eastAsia="zh-CN"/>
        </w:rPr>
        <w:t>）</w:t>
      </w:r>
      <w:r>
        <w:rPr>
          <w:rFonts w:hint="eastAsia" w:ascii="仿宋" w:hAnsi="仿宋" w:eastAsia="仿宋"/>
          <w:color w:val="auto"/>
          <w:szCs w:val="21"/>
          <w:highlight w:val="none"/>
          <w:u w:val="single"/>
        </w:rPr>
        <w:t>），</w:t>
      </w:r>
      <w:r>
        <w:rPr>
          <w:rFonts w:hint="eastAsia" w:ascii="仿宋" w:hAnsi="仿宋" w:eastAsia="仿宋"/>
          <w:color w:val="auto"/>
          <w:szCs w:val="21"/>
          <w:highlight w:val="none"/>
          <w:u w:val="single"/>
        </w:rPr>
        <w:t>按照采购合同的约定对投标人履约情况进行验收，验收时，按照采购合同的约定对每一项技术、服务、安全标准的履约情况进行确认，出具验收报告并经验收小组全体成员签字。采购人根据验收报告形成验收意见并经采购人与投标人签字盖章。验收结果与采购合同约定的资金支付及履约保证金返还条件挂钩。履约验收的各项资料应当存档备查。</w:t>
      </w:r>
    </w:p>
    <w:p w14:paraId="0883C777">
      <w:pPr>
        <w:spacing w:line="360" w:lineRule="auto"/>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u w:val="single"/>
        </w:rPr>
        <w:t>（</w:t>
      </w:r>
      <w:r>
        <w:rPr>
          <w:rFonts w:ascii="仿宋" w:hAnsi="仿宋" w:eastAsia="仿宋"/>
          <w:color w:val="auto"/>
          <w:szCs w:val="21"/>
          <w:highlight w:val="none"/>
          <w:u w:val="single"/>
        </w:rPr>
        <w:t>3</w:t>
      </w:r>
      <w:r>
        <w:rPr>
          <w:rFonts w:hint="eastAsia" w:ascii="仿宋" w:hAnsi="仿宋" w:eastAsia="仿宋"/>
          <w:color w:val="auto"/>
          <w:szCs w:val="21"/>
          <w:highlight w:val="none"/>
          <w:u w:val="single"/>
        </w:rPr>
        <w:t>）验收合格的项目，采购人将根据采购合同的约定及时向投标人支付采购资金、退还履约保证金。验收不合格的项目，采购人将依法及时处理。采购合同的履行、违约责任和解决争议的方式等适用《中华人民共和国民法典》。</w:t>
      </w:r>
    </w:p>
    <w:p w14:paraId="1B1D80EE">
      <w:pPr>
        <w:spacing w:line="360" w:lineRule="auto"/>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u w:val="single"/>
        </w:rPr>
        <w:t>（</w:t>
      </w:r>
      <w:r>
        <w:rPr>
          <w:rFonts w:ascii="仿宋" w:hAnsi="仿宋" w:eastAsia="仿宋"/>
          <w:color w:val="auto"/>
          <w:szCs w:val="21"/>
          <w:highlight w:val="none"/>
          <w:u w:val="single"/>
        </w:rPr>
        <w:t>4</w:t>
      </w:r>
      <w:r>
        <w:rPr>
          <w:rFonts w:hint="eastAsia" w:ascii="仿宋" w:hAnsi="仿宋" w:eastAsia="仿宋"/>
          <w:color w:val="auto"/>
          <w:szCs w:val="21"/>
          <w:highlight w:val="none"/>
          <w:u w:val="single"/>
        </w:rPr>
        <w:t>）验收产生的费用首次验收费用由采购人承担，如首次验收不合格，后续验收费用由投标人支付。</w:t>
      </w:r>
    </w:p>
    <w:p w14:paraId="73C5DC19">
      <w:pPr>
        <w:spacing w:line="360" w:lineRule="auto"/>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u w:val="single"/>
        </w:rPr>
        <w:t>（</w:t>
      </w:r>
      <w:r>
        <w:rPr>
          <w:rFonts w:ascii="仿宋" w:hAnsi="仿宋" w:eastAsia="仿宋"/>
          <w:color w:val="auto"/>
          <w:szCs w:val="21"/>
          <w:highlight w:val="none"/>
          <w:u w:val="single"/>
        </w:rPr>
        <w:t>5</w:t>
      </w:r>
      <w:r>
        <w:rPr>
          <w:rFonts w:hint="eastAsia" w:ascii="仿宋" w:hAnsi="仿宋" w:eastAsia="仿宋"/>
          <w:color w:val="auto"/>
          <w:szCs w:val="21"/>
          <w:highlight w:val="none"/>
          <w:u w:val="single"/>
        </w:rPr>
        <w:t>）验收内容及资料要求：</w:t>
      </w:r>
    </w:p>
    <w:p w14:paraId="3589ABA8">
      <w:pPr>
        <w:spacing w:line="360" w:lineRule="auto"/>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u w:val="single"/>
        </w:rPr>
        <w:t>根据采购文件确定的技术指标或者服务要求确定验收指标和标准。未进行相应约定的，应当符合国家强制性规定、政策要求、安全标准、行业</w:t>
      </w:r>
      <w:r>
        <w:rPr>
          <w:rFonts w:hint="eastAsia" w:ascii="仿宋" w:hAnsi="仿宋" w:eastAsia="仿宋"/>
          <w:color w:val="auto"/>
          <w:szCs w:val="21"/>
          <w:highlight w:val="none"/>
          <w:u w:val="single"/>
          <w:lang w:val="en-US" w:eastAsia="zh-CN"/>
        </w:rPr>
        <w:t>和</w:t>
      </w:r>
      <w:r>
        <w:rPr>
          <w:rFonts w:hint="eastAsia" w:ascii="仿宋" w:hAnsi="仿宋" w:eastAsia="仿宋"/>
          <w:color w:val="auto"/>
          <w:szCs w:val="21"/>
          <w:highlight w:val="none"/>
          <w:u w:val="single"/>
        </w:rPr>
        <w:t>企业有关标准等。</w:t>
      </w:r>
    </w:p>
    <w:p w14:paraId="50D752A0">
      <w:pPr>
        <w:spacing w:line="360" w:lineRule="auto"/>
        <w:ind w:firstLine="420"/>
        <w:jc w:val="left"/>
        <w:rPr>
          <w:rFonts w:hint="eastAsia" w:ascii="仿宋" w:hAnsi="仿宋" w:eastAsia="仿宋" w:cs="Times New Roman"/>
          <w:b w:val="0"/>
          <w:color w:val="auto"/>
          <w:szCs w:val="21"/>
          <w:highlight w:val="none"/>
          <w:u w:val="single"/>
        </w:rPr>
      </w:pPr>
      <w:r>
        <w:rPr>
          <w:rFonts w:hint="eastAsia" w:ascii="仿宋" w:hAnsi="仿宋" w:eastAsia="仿宋" w:cs="Times New Roman"/>
          <w:b w:val="0"/>
          <w:color w:val="auto"/>
          <w:highlight w:val="none"/>
          <w:u w:val="single"/>
          <w:lang w:val="en-US" w:eastAsia="zh-CN"/>
        </w:rPr>
        <w:t>5.1</w:t>
      </w:r>
      <w:r>
        <w:rPr>
          <w:rFonts w:hint="eastAsia" w:ascii="仿宋" w:hAnsi="仿宋" w:eastAsia="仿宋" w:cs="Times New Roman"/>
          <w:b w:val="0"/>
          <w:color w:val="auto"/>
          <w:szCs w:val="21"/>
          <w:highlight w:val="none"/>
          <w:u w:val="single"/>
          <w:lang w:val="en-US" w:eastAsia="zh-CN"/>
        </w:rPr>
        <w:t>、</w:t>
      </w:r>
      <w:r>
        <w:rPr>
          <w:rFonts w:hint="eastAsia" w:ascii="仿宋" w:hAnsi="仿宋" w:eastAsia="仿宋" w:cs="Times New Roman"/>
          <w:b w:val="0"/>
          <w:color w:val="auto"/>
          <w:szCs w:val="21"/>
          <w:highlight w:val="none"/>
          <w:u w:val="single"/>
        </w:rPr>
        <w:t>验收内容</w:t>
      </w:r>
    </w:p>
    <w:tbl>
      <w:tblPr>
        <w:tblStyle w:val="80"/>
        <w:tblW w:w="88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1"/>
        <w:gridCol w:w="1515"/>
        <w:gridCol w:w="6519"/>
      </w:tblGrid>
      <w:tr w14:paraId="22662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1" w:type="dxa"/>
            <w:tcBorders>
              <w:top w:val="single" w:color="auto" w:sz="4" w:space="0"/>
              <w:left w:val="single" w:color="auto" w:sz="4" w:space="0"/>
              <w:bottom w:val="single" w:color="auto" w:sz="4" w:space="0"/>
              <w:right w:val="single" w:color="auto" w:sz="4" w:space="0"/>
            </w:tcBorders>
            <w:noWrap/>
            <w:vAlign w:val="center"/>
          </w:tcPr>
          <w:p w14:paraId="104CBC38">
            <w:pPr>
              <w:widowControl/>
              <w:spacing w:before="120" w:beforeLines="50" w:line="360" w:lineRule="auto"/>
              <w:jc w:val="center"/>
              <w:outlineLvl w:val="3"/>
              <w:rPr>
                <w:rFonts w:ascii="仿宋" w:hAnsi="仿宋" w:eastAsia="仿宋" w:cs="仿宋"/>
                <w:bCs/>
                <w:color w:val="auto"/>
                <w:szCs w:val="21"/>
                <w:highlight w:val="none"/>
              </w:rPr>
            </w:pPr>
            <w:bookmarkStart w:id="42" w:name="_Hlk153807289"/>
            <w:r>
              <w:rPr>
                <w:rFonts w:hint="eastAsia" w:ascii="仿宋" w:hAnsi="仿宋" w:eastAsia="仿宋" w:cs="仿宋"/>
                <w:bCs/>
                <w:color w:val="auto"/>
                <w:szCs w:val="21"/>
                <w:highlight w:val="none"/>
              </w:rPr>
              <w:t>序号</w:t>
            </w:r>
          </w:p>
        </w:tc>
        <w:tc>
          <w:tcPr>
            <w:tcW w:w="1515" w:type="dxa"/>
            <w:tcBorders>
              <w:top w:val="single" w:color="auto" w:sz="4" w:space="0"/>
              <w:left w:val="single" w:color="auto" w:sz="4" w:space="0"/>
              <w:bottom w:val="single" w:color="auto" w:sz="4" w:space="0"/>
              <w:right w:val="single" w:color="auto" w:sz="4" w:space="0"/>
            </w:tcBorders>
            <w:noWrap/>
            <w:vAlign w:val="center"/>
          </w:tcPr>
          <w:p w14:paraId="5BF83F93">
            <w:pPr>
              <w:widowControl/>
              <w:spacing w:before="120" w:beforeLines="50" w:line="360" w:lineRule="auto"/>
              <w:jc w:val="center"/>
              <w:outlineLvl w:val="3"/>
              <w:rPr>
                <w:rFonts w:ascii="仿宋" w:hAnsi="仿宋" w:eastAsia="仿宋" w:cs="仿宋"/>
                <w:bCs/>
                <w:color w:val="auto"/>
                <w:szCs w:val="21"/>
                <w:highlight w:val="none"/>
              </w:rPr>
            </w:pPr>
            <w:r>
              <w:rPr>
                <w:rFonts w:hint="eastAsia" w:ascii="仿宋" w:hAnsi="仿宋" w:eastAsia="仿宋" w:cs="仿宋"/>
                <w:bCs/>
                <w:color w:val="auto"/>
                <w:szCs w:val="21"/>
                <w:highlight w:val="none"/>
              </w:rPr>
              <w:t>验收内容</w:t>
            </w:r>
          </w:p>
        </w:tc>
        <w:tc>
          <w:tcPr>
            <w:tcW w:w="6519" w:type="dxa"/>
            <w:tcBorders>
              <w:top w:val="single" w:color="auto" w:sz="4" w:space="0"/>
              <w:left w:val="single" w:color="auto" w:sz="4" w:space="0"/>
              <w:bottom w:val="single" w:color="auto" w:sz="4" w:space="0"/>
              <w:right w:val="single" w:color="auto" w:sz="4" w:space="0"/>
            </w:tcBorders>
            <w:noWrap w:val="0"/>
            <w:vAlign w:val="center"/>
          </w:tcPr>
          <w:p w14:paraId="1F531745">
            <w:pPr>
              <w:widowControl/>
              <w:spacing w:before="120" w:beforeLines="50" w:line="360" w:lineRule="auto"/>
              <w:jc w:val="center"/>
              <w:outlineLvl w:val="3"/>
              <w:rPr>
                <w:rFonts w:ascii="仿宋" w:hAnsi="仿宋" w:eastAsia="仿宋" w:cs="仿宋"/>
                <w:bCs/>
                <w:color w:val="auto"/>
                <w:szCs w:val="21"/>
                <w:highlight w:val="none"/>
              </w:rPr>
            </w:pPr>
            <w:r>
              <w:rPr>
                <w:rFonts w:hint="eastAsia" w:ascii="仿宋" w:hAnsi="仿宋" w:eastAsia="仿宋" w:cs="仿宋"/>
                <w:bCs/>
                <w:color w:val="auto"/>
                <w:szCs w:val="21"/>
                <w:highlight w:val="none"/>
              </w:rPr>
              <w:t>验收标准</w:t>
            </w:r>
          </w:p>
        </w:tc>
      </w:tr>
      <w:tr w14:paraId="3EFE2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1" w:type="dxa"/>
            <w:tcBorders>
              <w:top w:val="single" w:color="auto" w:sz="4" w:space="0"/>
              <w:left w:val="single" w:color="auto" w:sz="4" w:space="0"/>
              <w:bottom w:val="single" w:color="auto" w:sz="4" w:space="0"/>
              <w:right w:val="single" w:color="auto" w:sz="4" w:space="0"/>
            </w:tcBorders>
            <w:noWrap/>
            <w:vAlign w:val="center"/>
          </w:tcPr>
          <w:p w14:paraId="6A7DFF04">
            <w:pPr>
              <w:widowControl/>
              <w:spacing w:before="120" w:beforeLines="50" w:line="360" w:lineRule="auto"/>
              <w:jc w:val="center"/>
              <w:outlineLvl w:val="3"/>
              <w:rPr>
                <w:rFonts w:ascii="仿宋" w:hAnsi="仿宋" w:eastAsia="仿宋" w:cs="仿宋"/>
                <w:bCs/>
                <w:color w:val="auto"/>
                <w:szCs w:val="21"/>
                <w:highlight w:val="none"/>
              </w:rPr>
            </w:pPr>
            <w:r>
              <w:rPr>
                <w:rFonts w:hint="eastAsia" w:ascii="仿宋" w:hAnsi="仿宋" w:eastAsia="仿宋" w:cs="仿宋"/>
                <w:bCs/>
                <w:color w:val="auto"/>
                <w:szCs w:val="21"/>
                <w:highlight w:val="none"/>
              </w:rPr>
              <w:t>1</w:t>
            </w:r>
          </w:p>
        </w:tc>
        <w:tc>
          <w:tcPr>
            <w:tcW w:w="1515" w:type="dxa"/>
            <w:tcBorders>
              <w:top w:val="single" w:color="auto" w:sz="4" w:space="0"/>
              <w:left w:val="single" w:color="auto" w:sz="4" w:space="0"/>
              <w:bottom w:val="single" w:color="auto" w:sz="4" w:space="0"/>
              <w:right w:val="single" w:color="auto" w:sz="4" w:space="0"/>
            </w:tcBorders>
            <w:noWrap/>
            <w:vAlign w:val="center"/>
          </w:tcPr>
          <w:p w14:paraId="715D17F0">
            <w:pPr>
              <w:widowControl/>
              <w:spacing w:before="120" w:beforeLines="50" w:line="360" w:lineRule="auto"/>
              <w:jc w:val="center"/>
              <w:outlineLvl w:val="3"/>
              <w:rPr>
                <w:rFonts w:ascii="仿宋" w:hAnsi="仿宋" w:eastAsia="仿宋" w:cs="仿宋"/>
                <w:bCs/>
                <w:color w:val="auto"/>
                <w:szCs w:val="21"/>
                <w:highlight w:val="none"/>
              </w:rPr>
            </w:pPr>
            <w:r>
              <w:rPr>
                <w:rFonts w:hint="eastAsia" w:ascii="仿宋" w:hAnsi="仿宋" w:eastAsia="仿宋" w:cs="仿宋"/>
                <w:bCs/>
                <w:color w:val="auto"/>
                <w:szCs w:val="21"/>
                <w:highlight w:val="none"/>
              </w:rPr>
              <w:t>服务响应程度</w:t>
            </w:r>
          </w:p>
        </w:tc>
        <w:tc>
          <w:tcPr>
            <w:tcW w:w="6519" w:type="dxa"/>
            <w:tcBorders>
              <w:top w:val="single" w:color="auto" w:sz="4" w:space="0"/>
              <w:left w:val="single" w:color="auto" w:sz="4" w:space="0"/>
              <w:bottom w:val="single" w:color="auto" w:sz="4" w:space="0"/>
              <w:right w:val="single" w:color="auto" w:sz="4" w:space="0"/>
            </w:tcBorders>
            <w:noWrap w:val="0"/>
            <w:vAlign w:val="center"/>
          </w:tcPr>
          <w:p w14:paraId="1566358E">
            <w:pPr>
              <w:spacing w:before="120" w:beforeLines="50" w:line="360" w:lineRule="auto"/>
              <w:outlineLvl w:val="3"/>
              <w:rPr>
                <w:rFonts w:ascii="仿宋" w:hAnsi="仿宋" w:eastAsia="仿宋" w:cs="仿宋"/>
                <w:bCs/>
                <w:color w:val="auto"/>
                <w:szCs w:val="21"/>
                <w:highlight w:val="none"/>
              </w:rPr>
            </w:pPr>
            <w:r>
              <w:rPr>
                <w:rFonts w:hint="eastAsia" w:ascii="仿宋" w:hAnsi="仿宋" w:eastAsia="仿宋" w:cs="仿宋"/>
                <w:bCs/>
                <w:color w:val="auto"/>
                <w:szCs w:val="21"/>
                <w:highlight w:val="none"/>
              </w:rPr>
              <w:t>对合同服务内容的响应情况</w:t>
            </w:r>
          </w:p>
        </w:tc>
      </w:tr>
      <w:tr w14:paraId="485D0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861" w:type="dxa"/>
            <w:vMerge w:val="restart"/>
            <w:tcBorders>
              <w:top w:val="single" w:color="auto" w:sz="4" w:space="0"/>
              <w:left w:val="single" w:color="auto" w:sz="4" w:space="0"/>
              <w:right w:val="single" w:color="auto" w:sz="4" w:space="0"/>
            </w:tcBorders>
            <w:noWrap/>
            <w:vAlign w:val="center"/>
          </w:tcPr>
          <w:p w14:paraId="3B024DBF">
            <w:pPr>
              <w:widowControl/>
              <w:spacing w:before="120" w:beforeLines="50" w:line="360" w:lineRule="auto"/>
              <w:jc w:val="center"/>
              <w:outlineLvl w:val="3"/>
              <w:rPr>
                <w:rFonts w:ascii="仿宋" w:hAnsi="仿宋" w:eastAsia="仿宋" w:cs="仿宋"/>
                <w:bCs/>
                <w:color w:val="auto"/>
                <w:szCs w:val="21"/>
                <w:highlight w:val="none"/>
              </w:rPr>
            </w:pPr>
            <w:r>
              <w:rPr>
                <w:rFonts w:hint="eastAsia" w:ascii="仿宋" w:hAnsi="仿宋" w:eastAsia="仿宋" w:cs="仿宋"/>
                <w:bCs/>
                <w:color w:val="auto"/>
                <w:szCs w:val="21"/>
                <w:highlight w:val="none"/>
              </w:rPr>
              <w:t>2</w:t>
            </w:r>
          </w:p>
        </w:tc>
        <w:tc>
          <w:tcPr>
            <w:tcW w:w="1515" w:type="dxa"/>
            <w:vMerge w:val="restart"/>
            <w:tcBorders>
              <w:top w:val="single" w:color="auto" w:sz="4" w:space="0"/>
              <w:left w:val="single" w:color="auto" w:sz="4" w:space="0"/>
              <w:right w:val="single" w:color="auto" w:sz="4" w:space="0"/>
            </w:tcBorders>
            <w:noWrap/>
            <w:vAlign w:val="center"/>
          </w:tcPr>
          <w:p w14:paraId="2193DAD3">
            <w:pPr>
              <w:widowControl/>
              <w:spacing w:before="120" w:beforeLines="50" w:line="360" w:lineRule="auto"/>
              <w:jc w:val="center"/>
              <w:outlineLvl w:val="3"/>
              <w:rPr>
                <w:rFonts w:ascii="仿宋" w:hAnsi="仿宋" w:eastAsia="仿宋" w:cs="仿宋"/>
                <w:bCs/>
                <w:color w:val="auto"/>
                <w:szCs w:val="21"/>
                <w:highlight w:val="none"/>
              </w:rPr>
            </w:pPr>
            <w:r>
              <w:rPr>
                <w:rFonts w:hint="eastAsia" w:ascii="仿宋" w:hAnsi="仿宋" w:eastAsia="仿宋" w:cs="仿宋"/>
                <w:color w:val="auto"/>
                <w:szCs w:val="21"/>
                <w:highlight w:val="none"/>
              </w:rPr>
              <w:t>服务质量验收</w:t>
            </w:r>
          </w:p>
        </w:tc>
        <w:tc>
          <w:tcPr>
            <w:tcW w:w="6519" w:type="dxa"/>
            <w:tcBorders>
              <w:top w:val="single" w:color="auto" w:sz="4" w:space="0"/>
              <w:left w:val="single" w:color="auto" w:sz="4" w:space="0"/>
              <w:bottom w:val="single" w:color="auto" w:sz="4" w:space="0"/>
              <w:right w:val="single" w:color="auto" w:sz="4" w:space="0"/>
            </w:tcBorders>
            <w:noWrap w:val="0"/>
            <w:vAlign w:val="center"/>
          </w:tcPr>
          <w:p w14:paraId="0E13898E">
            <w:pPr>
              <w:jc w:val="left"/>
              <w:rPr>
                <w:rFonts w:ascii="仿宋" w:hAnsi="仿宋" w:eastAsia="仿宋" w:cs="仿宋"/>
                <w:bCs/>
                <w:color w:val="auto"/>
                <w:szCs w:val="21"/>
                <w:highlight w:val="none"/>
              </w:rPr>
            </w:pPr>
            <w:r>
              <w:rPr>
                <w:rFonts w:hint="eastAsia" w:ascii="仿宋" w:hAnsi="仿宋" w:eastAsia="仿宋" w:cs="仿宋"/>
                <w:color w:val="auto"/>
                <w:szCs w:val="21"/>
                <w:highlight w:val="none"/>
              </w:rPr>
              <w:t>案件侦查打击服务要求验收：</w:t>
            </w:r>
            <w:r>
              <w:rPr>
                <w:rFonts w:hint="eastAsia" w:ascii="仿宋" w:hAnsi="仿宋" w:eastAsia="仿宋" w:cs="宋体"/>
                <w:color w:val="auto"/>
                <w:kern w:val="0"/>
                <w:szCs w:val="21"/>
                <w:highlight w:val="none"/>
              </w:rPr>
              <w:t>提供任务管理、案件侦查、案件支撑、研判分析、数据还原、数据分析、侦查协助、</w:t>
            </w:r>
            <w:r>
              <w:rPr>
                <w:rFonts w:hint="eastAsia" w:ascii="仿宋" w:hAnsi="仿宋" w:eastAsia="仿宋" w:cs="仿宋"/>
                <w:iCs/>
                <w:color w:val="auto"/>
                <w:szCs w:val="21"/>
                <w:highlight w:val="none"/>
              </w:rPr>
              <w:t>重特大案件专项线索突破</w:t>
            </w:r>
            <w:r>
              <w:rPr>
                <w:rFonts w:hint="eastAsia" w:ascii="仿宋" w:hAnsi="仿宋" w:eastAsia="仿宋" w:cs="宋体"/>
                <w:color w:val="auto"/>
                <w:szCs w:val="21"/>
                <w:highlight w:val="none"/>
              </w:rPr>
              <w:t>等服务</w:t>
            </w:r>
            <w:r>
              <w:rPr>
                <w:rFonts w:hint="eastAsia" w:ascii="仿宋" w:hAnsi="仿宋" w:eastAsia="仿宋" w:cs="仿宋"/>
                <w:iCs/>
                <w:color w:val="auto"/>
                <w:szCs w:val="21"/>
                <w:highlight w:val="none"/>
              </w:rPr>
              <w:t>。服务期内提供重特大案件线索</w:t>
            </w:r>
            <w:r>
              <w:rPr>
                <w:rFonts w:hint="eastAsia" w:ascii="仿宋" w:hAnsi="仿宋" w:eastAsia="仿宋" w:cs="仿宋"/>
                <w:iCs/>
                <w:color w:val="auto"/>
                <w:szCs w:val="21"/>
                <w:highlight w:val="none"/>
              </w:rPr>
              <w:t>不少于</w:t>
            </w:r>
            <w:r>
              <w:rPr>
                <w:rFonts w:hint="eastAsia" w:ascii="仿宋" w:hAnsi="仿宋" w:eastAsia="仿宋" w:cs="仿宋"/>
                <w:iCs/>
                <w:color w:val="auto"/>
                <w:szCs w:val="21"/>
                <w:highlight w:val="none"/>
                <w:lang w:val="en-US" w:eastAsia="zh-CN"/>
              </w:rPr>
              <w:t>5</w:t>
            </w:r>
            <w:r>
              <w:rPr>
                <w:rFonts w:hint="eastAsia" w:ascii="仿宋" w:hAnsi="仿宋" w:eastAsia="仿宋" w:cs="仿宋"/>
                <w:iCs/>
                <w:color w:val="auto"/>
                <w:szCs w:val="21"/>
                <w:highlight w:val="none"/>
              </w:rPr>
              <w:t>起</w:t>
            </w:r>
            <w:r>
              <w:rPr>
                <w:rFonts w:hint="eastAsia" w:ascii="仿宋" w:hAnsi="仿宋" w:eastAsia="仿宋" w:cs="仿宋"/>
                <w:iCs/>
                <w:color w:val="auto"/>
                <w:szCs w:val="21"/>
                <w:highlight w:val="none"/>
              </w:rPr>
              <w:t>， A类分析报告</w:t>
            </w:r>
            <w:r>
              <w:rPr>
                <w:rFonts w:hint="eastAsia" w:ascii="仿宋" w:hAnsi="仿宋" w:eastAsia="仿宋" w:cs="仿宋"/>
                <w:iCs/>
                <w:color w:val="auto"/>
                <w:szCs w:val="21"/>
                <w:highlight w:val="none"/>
              </w:rPr>
              <w:t>不少于</w:t>
            </w:r>
            <w:r>
              <w:rPr>
                <w:rFonts w:hint="eastAsia" w:ascii="仿宋" w:hAnsi="仿宋" w:eastAsia="仿宋" w:cs="仿宋"/>
                <w:iCs/>
                <w:color w:val="auto"/>
                <w:szCs w:val="21"/>
                <w:highlight w:val="none"/>
                <w:lang w:val="en-US" w:eastAsia="zh-CN"/>
              </w:rPr>
              <w:t>8</w:t>
            </w:r>
            <w:r>
              <w:rPr>
                <w:rFonts w:hint="eastAsia" w:ascii="仿宋" w:hAnsi="仿宋" w:eastAsia="仿宋" w:cs="仿宋"/>
                <w:iCs/>
                <w:color w:val="auto"/>
                <w:szCs w:val="21"/>
                <w:highlight w:val="none"/>
              </w:rPr>
              <w:t>份</w:t>
            </w:r>
            <w:r>
              <w:rPr>
                <w:rFonts w:hint="eastAsia" w:ascii="仿宋" w:hAnsi="仿宋" w:eastAsia="仿宋" w:cs="仿宋"/>
                <w:iCs/>
                <w:color w:val="auto"/>
                <w:szCs w:val="21"/>
                <w:highlight w:val="none"/>
              </w:rPr>
              <w:t>；提供案件侦查打击服务</w:t>
            </w:r>
            <w:r>
              <w:rPr>
                <w:rFonts w:hint="eastAsia" w:ascii="仿宋" w:hAnsi="仿宋" w:eastAsia="仿宋" w:cs="仿宋"/>
                <w:iCs/>
                <w:color w:val="auto"/>
                <w:szCs w:val="21"/>
                <w:highlight w:val="none"/>
              </w:rPr>
              <w:t>不少于20起</w:t>
            </w:r>
            <w:r>
              <w:rPr>
                <w:rFonts w:hint="eastAsia" w:ascii="仿宋" w:hAnsi="仿宋" w:eastAsia="仿宋" w:cs="仿宋"/>
                <w:iCs/>
                <w:color w:val="auto"/>
                <w:szCs w:val="21"/>
                <w:highlight w:val="none"/>
              </w:rPr>
              <w:t>，输出B类分析报告</w:t>
            </w:r>
            <w:r>
              <w:rPr>
                <w:rFonts w:hint="eastAsia" w:ascii="仿宋" w:hAnsi="仿宋" w:eastAsia="仿宋" w:cs="仿宋"/>
                <w:iCs/>
                <w:color w:val="auto"/>
                <w:szCs w:val="21"/>
                <w:highlight w:val="none"/>
              </w:rPr>
              <w:t>不少于</w:t>
            </w:r>
            <w:r>
              <w:rPr>
                <w:rFonts w:hint="eastAsia" w:ascii="仿宋" w:hAnsi="仿宋" w:eastAsia="仿宋" w:cs="仿宋"/>
                <w:iCs/>
                <w:color w:val="auto"/>
                <w:szCs w:val="21"/>
                <w:highlight w:val="none"/>
                <w:lang w:val="en-US" w:eastAsia="zh-CN"/>
              </w:rPr>
              <w:t>1</w:t>
            </w:r>
            <w:r>
              <w:rPr>
                <w:rFonts w:hint="eastAsia" w:ascii="仿宋" w:hAnsi="仿宋" w:eastAsia="仿宋" w:cs="仿宋"/>
                <w:iCs/>
                <w:color w:val="auto"/>
                <w:szCs w:val="21"/>
                <w:highlight w:val="none"/>
              </w:rPr>
              <w:t>8份</w:t>
            </w:r>
            <w:r>
              <w:rPr>
                <w:rFonts w:hint="eastAsia" w:ascii="仿宋" w:hAnsi="仿宋" w:eastAsia="仿宋" w:cs="仿宋"/>
                <w:iCs/>
                <w:color w:val="auto"/>
                <w:szCs w:val="21"/>
                <w:highlight w:val="none"/>
              </w:rPr>
              <w:t>、输出C类分析报告</w:t>
            </w:r>
            <w:r>
              <w:rPr>
                <w:rFonts w:hint="eastAsia" w:ascii="仿宋" w:hAnsi="仿宋" w:eastAsia="仿宋" w:cs="仿宋"/>
                <w:iCs/>
                <w:color w:val="auto"/>
                <w:szCs w:val="21"/>
                <w:highlight w:val="none"/>
              </w:rPr>
              <w:t>不少于</w:t>
            </w:r>
            <w:r>
              <w:rPr>
                <w:rFonts w:hint="eastAsia" w:ascii="仿宋" w:hAnsi="仿宋" w:eastAsia="仿宋" w:cs="仿宋"/>
                <w:iCs/>
                <w:color w:val="auto"/>
                <w:szCs w:val="21"/>
                <w:highlight w:val="none"/>
                <w:lang w:val="en-US" w:eastAsia="zh-CN"/>
              </w:rPr>
              <w:t>3</w:t>
            </w:r>
            <w:r>
              <w:rPr>
                <w:rFonts w:hint="eastAsia" w:ascii="仿宋" w:hAnsi="仿宋" w:eastAsia="仿宋" w:cs="仿宋"/>
                <w:iCs/>
                <w:color w:val="auto"/>
                <w:szCs w:val="21"/>
                <w:highlight w:val="none"/>
              </w:rPr>
              <w:t>0份</w:t>
            </w:r>
            <w:r>
              <w:rPr>
                <w:rFonts w:hint="eastAsia" w:ascii="仿宋" w:hAnsi="仿宋" w:eastAsia="仿宋" w:cs="仿宋"/>
                <w:iCs/>
                <w:color w:val="auto"/>
                <w:szCs w:val="21"/>
                <w:highlight w:val="none"/>
              </w:rPr>
              <w:t>。</w:t>
            </w:r>
          </w:p>
        </w:tc>
      </w:tr>
      <w:tr w14:paraId="09F1D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861" w:type="dxa"/>
            <w:vMerge w:val="continue"/>
            <w:tcBorders>
              <w:left w:val="single" w:color="auto" w:sz="4" w:space="0"/>
              <w:right w:val="single" w:color="auto" w:sz="4" w:space="0"/>
            </w:tcBorders>
            <w:noWrap/>
            <w:vAlign w:val="center"/>
          </w:tcPr>
          <w:p w14:paraId="445D7B73">
            <w:pPr>
              <w:widowControl/>
              <w:spacing w:before="120" w:beforeLines="50" w:line="360" w:lineRule="auto"/>
              <w:jc w:val="center"/>
              <w:outlineLvl w:val="3"/>
              <w:rPr>
                <w:rFonts w:ascii="仿宋" w:hAnsi="仿宋" w:eastAsia="仿宋" w:cs="仿宋"/>
                <w:bCs/>
                <w:color w:val="auto"/>
                <w:szCs w:val="21"/>
                <w:highlight w:val="none"/>
              </w:rPr>
            </w:pPr>
          </w:p>
        </w:tc>
        <w:tc>
          <w:tcPr>
            <w:tcW w:w="1515" w:type="dxa"/>
            <w:vMerge w:val="continue"/>
            <w:tcBorders>
              <w:left w:val="single" w:color="auto" w:sz="4" w:space="0"/>
              <w:right w:val="single" w:color="auto" w:sz="4" w:space="0"/>
            </w:tcBorders>
            <w:noWrap/>
            <w:vAlign w:val="center"/>
          </w:tcPr>
          <w:p w14:paraId="57B85D03">
            <w:pPr>
              <w:widowControl/>
              <w:spacing w:before="120" w:beforeLines="50" w:line="360" w:lineRule="auto"/>
              <w:jc w:val="center"/>
              <w:outlineLvl w:val="3"/>
              <w:rPr>
                <w:rFonts w:ascii="仿宋" w:hAnsi="仿宋" w:eastAsia="仿宋" w:cs="仿宋"/>
                <w:color w:val="auto"/>
                <w:szCs w:val="21"/>
                <w:highlight w:val="none"/>
              </w:rPr>
            </w:pPr>
          </w:p>
        </w:tc>
        <w:tc>
          <w:tcPr>
            <w:tcW w:w="6519" w:type="dxa"/>
            <w:tcBorders>
              <w:top w:val="single" w:color="auto" w:sz="4" w:space="0"/>
              <w:left w:val="single" w:color="auto" w:sz="4" w:space="0"/>
              <w:right w:val="single" w:color="auto" w:sz="4" w:space="0"/>
            </w:tcBorders>
            <w:noWrap w:val="0"/>
            <w:vAlign w:val="center"/>
          </w:tcPr>
          <w:p w14:paraId="7C6116C4">
            <w:pPr>
              <w:jc w:val="left"/>
              <w:rPr>
                <w:rFonts w:ascii="仿宋" w:hAnsi="仿宋" w:eastAsia="仿宋" w:cs="仿宋"/>
                <w:bCs/>
                <w:color w:val="auto"/>
                <w:szCs w:val="21"/>
                <w:highlight w:val="none"/>
              </w:rPr>
            </w:pPr>
            <w:r>
              <w:rPr>
                <w:rFonts w:hint="eastAsia" w:ascii="仿宋" w:hAnsi="仿宋" w:eastAsia="仿宋" w:cs="宋体"/>
                <w:color w:val="auto"/>
                <w:kern w:val="0"/>
                <w:szCs w:val="21"/>
                <w:highlight w:val="none"/>
              </w:rPr>
              <w:t>大数据智能查控服务</w:t>
            </w:r>
            <w:r>
              <w:rPr>
                <w:rFonts w:hint="eastAsia" w:ascii="仿宋" w:hAnsi="仿宋" w:eastAsia="仿宋" w:cs="仿宋"/>
                <w:color w:val="auto"/>
                <w:szCs w:val="21"/>
                <w:highlight w:val="none"/>
              </w:rPr>
              <w:t>要求验收：提供任大数据多维研判、终端溯源嫌疑追踪、案件管理数据分析、态势分析报告输出等服务。</w:t>
            </w:r>
            <w:r>
              <w:rPr>
                <w:rFonts w:hint="eastAsia" w:ascii="仿宋" w:hAnsi="仿宋" w:eastAsia="仿宋" w:cs="仿宋"/>
                <w:iCs/>
                <w:color w:val="auto"/>
                <w:szCs w:val="21"/>
                <w:highlight w:val="none"/>
              </w:rPr>
              <w:t>服务期内</w:t>
            </w:r>
            <w:r>
              <w:rPr>
                <w:rFonts w:hint="eastAsia" w:ascii="仿宋" w:hAnsi="仿宋" w:eastAsia="仿宋" w:cs="仿宋"/>
                <w:color w:val="auto"/>
                <w:szCs w:val="21"/>
                <w:highlight w:val="none"/>
              </w:rPr>
              <w:t>提供重特大案件服务</w:t>
            </w:r>
            <w:r>
              <w:rPr>
                <w:rFonts w:hint="eastAsia" w:ascii="仿宋" w:hAnsi="仿宋" w:eastAsia="仿宋" w:cs="仿宋"/>
                <w:color w:val="auto"/>
                <w:szCs w:val="21"/>
                <w:highlight w:val="none"/>
              </w:rPr>
              <w:t>不少于10次</w:t>
            </w:r>
            <w:r>
              <w:rPr>
                <w:rFonts w:hint="eastAsia" w:ascii="仿宋" w:hAnsi="仿宋" w:eastAsia="仿宋" w:cs="仿宋"/>
                <w:color w:val="auto"/>
                <w:szCs w:val="21"/>
                <w:highlight w:val="none"/>
              </w:rPr>
              <w:t>，输出B类分析报告</w:t>
            </w:r>
            <w:r>
              <w:rPr>
                <w:rFonts w:hint="eastAsia" w:ascii="仿宋" w:hAnsi="仿宋" w:eastAsia="仿宋" w:cs="仿宋"/>
                <w:color w:val="auto"/>
                <w:szCs w:val="21"/>
                <w:highlight w:val="none"/>
              </w:rPr>
              <w:t>不少于2</w:t>
            </w:r>
            <w:r>
              <w:rPr>
                <w:rFonts w:hint="eastAsia" w:ascii="仿宋" w:hAnsi="仿宋" w:eastAsia="仿宋" w:cs="仿宋"/>
                <w:color w:val="auto"/>
                <w:szCs w:val="21"/>
                <w:highlight w:val="none"/>
                <w:lang w:val="en-US" w:eastAsia="zh-CN"/>
              </w:rPr>
              <w:t>0</w:t>
            </w:r>
            <w:r>
              <w:rPr>
                <w:rFonts w:hint="eastAsia" w:ascii="仿宋" w:hAnsi="仿宋" w:eastAsia="仿宋" w:cs="仿宋"/>
                <w:color w:val="auto"/>
                <w:szCs w:val="21"/>
                <w:highlight w:val="none"/>
              </w:rPr>
              <w:t>份</w:t>
            </w:r>
            <w:r>
              <w:rPr>
                <w:rFonts w:hint="eastAsia" w:ascii="仿宋" w:hAnsi="仿宋" w:eastAsia="仿宋" w:cs="仿宋"/>
                <w:color w:val="auto"/>
                <w:szCs w:val="21"/>
                <w:highlight w:val="none"/>
              </w:rPr>
              <w:t>；提供涉诈网站数据及线索分析服务</w:t>
            </w:r>
            <w:r>
              <w:rPr>
                <w:rFonts w:hint="eastAsia" w:ascii="仿宋" w:hAnsi="仿宋" w:eastAsia="仿宋" w:cs="仿宋"/>
                <w:color w:val="auto"/>
                <w:szCs w:val="21"/>
                <w:highlight w:val="none"/>
              </w:rPr>
              <w:t>不少于20次</w:t>
            </w:r>
            <w:r>
              <w:rPr>
                <w:rFonts w:hint="eastAsia" w:ascii="仿宋" w:hAnsi="仿宋" w:eastAsia="仿宋" w:cs="仿宋"/>
                <w:color w:val="auto"/>
                <w:szCs w:val="21"/>
                <w:highlight w:val="none"/>
              </w:rPr>
              <w:t>，输出C类分析报告不少</w:t>
            </w:r>
            <w:r>
              <w:rPr>
                <w:rFonts w:hint="eastAsia" w:ascii="仿宋" w:hAnsi="仿宋" w:eastAsia="仿宋" w:cs="仿宋"/>
                <w:color w:val="auto"/>
                <w:szCs w:val="21"/>
                <w:highlight w:val="none"/>
              </w:rPr>
              <w:t>于</w:t>
            </w:r>
            <w:r>
              <w:rPr>
                <w:rFonts w:hint="eastAsia" w:ascii="仿宋" w:hAnsi="仿宋" w:eastAsia="仿宋" w:cs="仿宋"/>
                <w:color w:val="auto"/>
                <w:szCs w:val="21"/>
                <w:highlight w:val="none"/>
                <w:lang w:val="en-US" w:eastAsia="zh-CN"/>
              </w:rPr>
              <w:t>40</w:t>
            </w:r>
            <w:r>
              <w:rPr>
                <w:rFonts w:hint="eastAsia" w:ascii="仿宋" w:hAnsi="仿宋" w:eastAsia="仿宋" w:cs="仿宋"/>
                <w:color w:val="auto"/>
                <w:szCs w:val="21"/>
                <w:highlight w:val="none"/>
              </w:rPr>
              <w:t>份。</w:t>
            </w:r>
          </w:p>
        </w:tc>
      </w:tr>
      <w:tr w14:paraId="7B242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861" w:type="dxa"/>
            <w:vMerge w:val="continue"/>
            <w:tcBorders>
              <w:left w:val="single" w:color="auto" w:sz="4" w:space="0"/>
              <w:right w:val="single" w:color="auto" w:sz="4" w:space="0"/>
            </w:tcBorders>
            <w:noWrap/>
            <w:vAlign w:val="center"/>
          </w:tcPr>
          <w:p w14:paraId="55FBC86C">
            <w:pPr>
              <w:widowControl/>
              <w:spacing w:before="120" w:beforeLines="50" w:line="360" w:lineRule="auto"/>
              <w:jc w:val="center"/>
              <w:outlineLvl w:val="3"/>
              <w:rPr>
                <w:rFonts w:ascii="仿宋" w:hAnsi="仿宋" w:eastAsia="仿宋" w:cs="仿宋"/>
                <w:bCs/>
                <w:color w:val="auto"/>
                <w:szCs w:val="21"/>
                <w:highlight w:val="none"/>
              </w:rPr>
            </w:pPr>
          </w:p>
        </w:tc>
        <w:tc>
          <w:tcPr>
            <w:tcW w:w="1515" w:type="dxa"/>
            <w:vMerge w:val="continue"/>
            <w:tcBorders>
              <w:left w:val="single" w:color="auto" w:sz="4" w:space="0"/>
              <w:right w:val="single" w:color="auto" w:sz="4" w:space="0"/>
            </w:tcBorders>
            <w:noWrap/>
            <w:vAlign w:val="center"/>
          </w:tcPr>
          <w:p w14:paraId="329435AF">
            <w:pPr>
              <w:widowControl/>
              <w:spacing w:before="120" w:beforeLines="50" w:line="360" w:lineRule="auto"/>
              <w:jc w:val="center"/>
              <w:outlineLvl w:val="3"/>
              <w:rPr>
                <w:rFonts w:ascii="仿宋" w:hAnsi="仿宋" w:eastAsia="仿宋" w:cs="仿宋"/>
                <w:color w:val="auto"/>
                <w:szCs w:val="21"/>
                <w:highlight w:val="none"/>
              </w:rPr>
            </w:pPr>
          </w:p>
        </w:tc>
        <w:tc>
          <w:tcPr>
            <w:tcW w:w="6519" w:type="dxa"/>
            <w:tcBorders>
              <w:top w:val="single" w:color="auto" w:sz="4" w:space="0"/>
              <w:left w:val="single" w:color="auto" w:sz="4" w:space="0"/>
              <w:bottom w:val="single" w:color="auto" w:sz="4" w:space="0"/>
              <w:right w:val="single" w:color="auto" w:sz="4" w:space="0"/>
            </w:tcBorders>
            <w:noWrap w:val="0"/>
            <w:vAlign w:val="center"/>
          </w:tcPr>
          <w:p w14:paraId="48FD6BE2">
            <w:pPr>
              <w:jc w:val="left"/>
              <w:rPr>
                <w:rFonts w:ascii="仿宋" w:hAnsi="仿宋" w:eastAsia="仿宋" w:cs="仿宋"/>
                <w:iCs/>
                <w:color w:val="auto"/>
                <w:szCs w:val="21"/>
                <w:highlight w:val="none"/>
              </w:rPr>
            </w:pPr>
            <w:r>
              <w:rPr>
                <w:rFonts w:hint="eastAsia" w:ascii="仿宋" w:hAnsi="仿宋" w:eastAsia="仿宋" w:cs="宋体"/>
                <w:color w:val="auto"/>
                <w:szCs w:val="21"/>
                <w:highlight w:val="none"/>
              </w:rPr>
              <w:t>资金智能查控服务</w:t>
            </w:r>
            <w:r>
              <w:rPr>
                <w:rFonts w:hint="eastAsia" w:ascii="仿宋" w:hAnsi="仿宋" w:eastAsia="仿宋" w:cs="仿宋"/>
                <w:color w:val="auto"/>
                <w:szCs w:val="21"/>
                <w:highlight w:val="none"/>
              </w:rPr>
              <w:t>要求验收：提供资金查控、智能止付、保护性止付等服务的。</w:t>
            </w:r>
            <w:r>
              <w:rPr>
                <w:rFonts w:hint="eastAsia" w:ascii="仿宋" w:hAnsi="仿宋" w:eastAsia="仿宋" w:cs="仿宋"/>
                <w:iCs/>
                <w:color w:val="auto"/>
                <w:szCs w:val="21"/>
                <w:highlight w:val="none"/>
              </w:rPr>
              <w:t>服务期内</w:t>
            </w:r>
            <w:r>
              <w:rPr>
                <w:rFonts w:hint="eastAsia" w:ascii="仿宋" w:hAnsi="仿宋" w:eastAsia="仿宋"/>
                <w:color w:val="auto"/>
                <w:szCs w:val="21"/>
                <w:highlight w:val="none"/>
              </w:rPr>
              <w:t>资金查控服务输出C类分析报告</w:t>
            </w:r>
            <w:r>
              <w:rPr>
                <w:rFonts w:hint="eastAsia" w:ascii="仿宋" w:hAnsi="仿宋" w:eastAsia="仿宋"/>
                <w:color w:val="auto"/>
                <w:szCs w:val="21"/>
                <w:highlight w:val="none"/>
              </w:rPr>
              <w:t>不少于</w:t>
            </w:r>
            <w:r>
              <w:rPr>
                <w:rFonts w:hint="eastAsia" w:ascii="仿宋" w:hAnsi="仿宋" w:eastAsia="仿宋"/>
                <w:color w:val="auto"/>
                <w:szCs w:val="21"/>
                <w:highlight w:val="none"/>
                <w:lang w:val="en-US" w:eastAsia="zh-CN"/>
              </w:rPr>
              <w:t>2</w:t>
            </w:r>
            <w:r>
              <w:rPr>
                <w:rFonts w:hint="eastAsia" w:ascii="仿宋" w:hAnsi="仿宋" w:eastAsia="仿宋"/>
                <w:color w:val="auto"/>
                <w:szCs w:val="21"/>
                <w:highlight w:val="none"/>
              </w:rPr>
              <w:t>份</w:t>
            </w:r>
            <w:r>
              <w:rPr>
                <w:rFonts w:hint="eastAsia" w:ascii="仿宋" w:hAnsi="仿宋" w:eastAsia="仿宋"/>
                <w:color w:val="auto"/>
                <w:szCs w:val="21"/>
                <w:highlight w:val="none"/>
              </w:rPr>
              <w:t>；智能止付服务输出C类分析报告</w:t>
            </w:r>
            <w:r>
              <w:rPr>
                <w:rFonts w:hint="eastAsia" w:ascii="仿宋" w:hAnsi="仿宋" w:eastAsia="仿宋"/>
                <w:color w:val="auto"/>
                <w:szCs w:val="21"/>
                <w:highlight w:val="none"/>
              </w:rPr>
              <w:t>不少于</w:t>
            </w:r>
            <w:r>
              <w:rPr>
                <w:rFonts w:hint="eastAsia" w:ascii="仿宋" w:hAnsi="仿宋" w:eastAsia="仿宋"/>
                <w:color w:val="auto"/>
                <w:szCs w:val="21"/>
                <w:highlight w:val="none"/>
                <w:lang w:val="en-US" w:eastAsia="zh-CN"/>
              </w:rPr>
              <w:t>2</w:t>
            </w:r>
            <w:r>
              <w:rPr>
                <w:rFonts w:hint="eastAsia" w:ascii="仿宋" w:hAnsi="仿宋" w:eastAsia="仿宋"/>
                <w:color w:val="auto"/>
                <w:szCs w:val="21"/>
                <w:highlight w:val="none"/>
              </w:rPr>
              <w:t>份</w:t>
            </w:r>
            <w:r>
              <w:rPr>
                <w:rFonts w:hint="eastAsia" w:ascii="仿宋" w:hAnsi="仿宋" w:eastAsia="仿宋"/>
                <w:color w:val="auto"/>
                <w:szCs w:val="21"/>
                <w:highlight w:val="none"/>
              </w:rPr>
              <w:t>；保护性止付服务输出C类分析报告</w:t>
            </w:r>
            <w:r>
              <w:rPr>
                <w:rFonts w:hint="eastAsia" w:ascii="仿宋" w:hAnsi="仿宋" w:eastAsia="仿宋"/>
                <w:color w:val="auto"/>
                <w:szCs w:val="21"/>
                <w:highlight w:val="none"/>
              </w:rPr>
              <w:t>不少于</w:t>
            </w:r>
            <w:r>
              <w:rPr>
                <w:rFonts w:hint="eastAsia" w:ascii="仿宋" w:hAnsi="仿宋" w:eastAsia="仿宋"/>
                <w:color w:val="auto"/>
                <w:szCs w:val="21"/>
                <w:highlight w:val="none"/>
                <w:lang w:val="en-US" w:eastAsia="zh-CN"/>
              </w:rPr>
              <w:t>5</w:t>
            </w:r>
            <w:r>
              <w:rPr>
                <w:rFonts w:hint="eastAsia" w:ascii="仿宋" w:hAnsi="仿宋" w:eastAsia="仿宋"/>
                <w:color w:val="auto"/>
                <w:szCs w:val="21"/>
                <w:highlight w:val="none"/>
              </w:rPr>
              <w:t>份</w:t>
            </w:r>
            <w:r>
              <w:rPr>
                <w:rFonts w:hint="eastAsia" w:ascii="仿宋" w:hAnsi="仿宋" w:eastAsia="仿宋"/>
                <w:color w:val="auto"/>
                <w:szCs w:val="21"/>
                <w:highlight w:val="none"/>
              </w:rPr>
              <w:t>。</w:t>
            </w:r>
          </w:p>
        </w:tc>
      </w:tr>
      <w:tr w14:paraId="13103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861" w:type="dxa"/>
            <w:vMerge w:val="continue"/>
            <w:tcBorders>
              <w:left w:val="single" w:color="auto" w:sz="4" w:space="0"/>
              <w:right w:val="single" w:color="auto" w:sz="4" w:space="0"/>
            </w:tcBorders>
            <w:noWrap/>
            <w:vAlign w:val="center"/>
          </w:tcPr>
          <w:p w14:paraId="1FB94A05">
            <w:pPr>
              <w:widowControl/>
              <w:spacing w:before="120" w:beforeLines="50" w:line="360" w:lineRule="auto"/>
              <w:jc w:val="center"/>
              <w:outlineLvl w:val="3"/>
              <w:rPr>
                <w:rFonts w:ascii="仿宋" w:hAnsi="仿宋" w:eastAsia="仿宋" w:cs="仿宋"/>
                <w:bCs/>
                <w:color w:val="auto"/>
                <w:szCs w:val="21"/>
                <w:highlight w:val="none"/>
              </w:rPr>
            </w:pPr>
          </w:p>
        </w:tc>
        <w:tc>
          <w:tcPr>
            <w:tcW w:w="1515" w:type="dxa"/>
            <w:vMerge w:val="continue"/>
            <w:tcBorders>
              <w:left w:val="single" w:color="auto" w:sz="4" w:space="0"/>
              <w:right w:val="single" w:color="auto" w:sz="4" w:space="0"/>
            </w:tcBorders>
            <w:noWrap/>
            <w:vAlign w:val="center"/>
          </w:tcPr>
          <w:p w14:paraId="38579A6C">
            <w:pPr>
              <w:widowControl/>
              <w:spacing w:before="120" w:beforeLines="50" w:line="360" w:lineRule="auto"/>
              <w:jc w:val="center"/>
              <w:outlineLvl w:val="3"/>
              <w:rPr>
                <w:rFonts w:ascii="仿宋" w:hAnsi="仿宋" w:eastAsia="仿宋" w:cs="仿宋"/>
                <w:color w:val="auto"/>
                <w:szCs w:val="21"/>
                <w:highlight w:val="none"/>
              </w:rPr>
            </w:pPr>
          </w:p>
        </w:tc>
        <w:tc>
          <w:tcPr>
            <w:tcW w:w="6519" w:type="dxa"/>
            <w:tcBorders>
              <w:top w:val="single" w:color="auto" w:sz="4" w:space="0"/>
              <w:left w:val="single" w:color="auto" w:sz="4" w:space="0"/>
              <w:bottom w:val="single" w:color="auto" w:sz="4" w:space="0"/>
              <w:right w:val="single" w:color="auto" w:sz="4" w:space="0"/>
            </w:tcBorders>
            <w:noWrap w:val="0"/>
            <w:vAlign w:val="center"/>
          </w:tcPr>
          <w:p w14:paraId="29A622C1">
            <w:pPr>
              <w:jc w:val="left"/>
              <w:rPr>
                <w:rFonts w:ascii="仿宋" w:hAnsi="仿宋" w:eastAsia="仿宋" w:cs="宋体"/>
                <w:color w:val="auto"/>
                <w:szCs w:val="21"/>
                <w:highlight w:val="none"/>
              </w:rPr>
            </w:pPr>
            <w:r>
              <w:rPr>
                <w:rFonts w:hint="eastAsia" w:ascii="仿宋" w:hAnsi="仿宋" w:eastAsia="仿宋" w:cs="宋体"/>
                <w:color w:val="auto"/>
                <w:szCs w:val="21"/>
                <w:highlight w:val="none"/>
              </w:rPr>
              <w:t>涉网诈骗预感探测数据服务要求验收：</w:t>
            </w:r>
            <w:r>
              <w:rPr>
                <w:rFonts w:hint="eastAsia" w:ascii="仿宋" w:hAnsi="仿宋" w:eastAsia="仿宋"/>
                <w:color w:val="auto"/>
                <w:szCs w:val="21"/>
                <w:highlight w:val="none"/>
              </w:rPr>
              <w:t>通过大数据感知电信网络诈骗违法犯罪的新特点、新动向，探测具有涉诈特征的网站、</w:t>
            </w:r>
            <w:r>
              <w:rPr>
                <w:rFonts w:ascii="仿宋" w:hAnsi="仿宋" w:eastAsia="仿宋"/>
                <w:color w:val="auto"/>
                <w:szCs w:val="21"/>
                <w:highlight w:val="none"/>
              </w:rPr>
              <w:t>APP</w:t>
            </w:r>
            <w:r>
              <w:rPr>
                <w:rFonts w:hint="eastAsia" w:ascii="仿宋" w:hAnsi="仿宋" w:eastAsia="仿宋"/>
                <w:color w:val="auto"/>
                <w:szCs w:val="21"/>
                <w:highlight w:val="none"/>
              </w:rPr>
              <w:t>、电话、</w:t>
            </w:r>
            <w:r>
              <w:rPr>
                <w:rFonts w:ascii="仿宋" w:hAnsi="仿宋" w:eastAsia="仿宋"/>
                <w:color w:val="auto"/>
                <w:szCs w:val="21"/>
                <w:highlight w:val="none"/>
              </w:rPr>
              <w:t>银行</w:t>
            </w:r>
            <w:r>
              <w:rPr>
                <w:rFonts w:hint="eastAsia" w:ascii="仿宋" w:hAnsi="仿宋" w:eastAsia="仿宋"/>
                <w:color w:val="auto"/>
                <w:szCs w:val="21"/>
                <w:highlight w:val="none"/>
              </w:rPr>
              <w:t>等数据，抓取用于诈骗的</w:t>
            </w:r>
            <w:r>
              <w:rPr>
                <w:rFonts w:ascii="仿宋" w:hAnsi="仿宋" w:eastAsia="仿宋"/>
                <w:color w:val="auto"/>
                <w:szCs w:val="21"/>
                <w:highlight w:val="none"/>
              </w:rPr>
              <w:t>VOIP</w:t>
            </w:r>
            <w:r>
              <w:rPr>
                <w:rFonts w:hint="eastAsia" w:ascii="仿宋" w:hAnsi="仿宋" w:eastAsia="仿宋"/>
                <w:color w:val="auto"/>
                <w:szCs w:val="21"/>
                <w:highlight w:val="none"/>
              </w:rPr>
              <w:t>、</w:t>
            </w:r>
            <w:r>
              <w:rPr>
                <w:rFonts w:ascii="仿宋" w:hAnsi="仿宋" w:eastAsia="仿宋"/>
                <w:color w:val="auto"/>
                <w:szCs w:val="21"/>
                <w:highlight w:val="none"/>
              </w:rPr>
              <w:t>GOIP</w:t>
            </w:r>
            <w:r>
              <w:rPr>
                <w:rFonts w:hint="eastAsia" w:ascii="仿宋" w:hAnsi="仿宋" w:eastAsia="仿宋"/>
                <w:color w:val="auto"/>
                <w:szCs w:val="21"/>
                <w:highlight w:val="none"/>
              </w:rPr>
              <w:t>电话及涉网</w:t>
            </w:r>
            <w:r>
              <w:rPr>
                <w:rFonts w:ascii="仿宋" w:hAnsi="仿宋" w:eastAsia="仿宋"/>
                <w:color w:val="auto"/>
                <w:szCs w:val="21"/>
                <w:highlight w:val="none"/>
              </w:rPr>
              <w:t>犯罪关联</w:t>
            </w:r>
            <w:r>
              <w:rPr>
                <w:rFonts w:hint="eastAsia" w:ascii="仿宋" w:hAnsi="仿宋" w:eastAsia="仿宋"/>
                <w:color w:val="auto"/>
                <w:szCs w:val="21"/>
                <w:highlight w:val="none"/>
              </w:rPr>
              <w:t>银行卡</w:t>
            </w:r>
            <w:r>
              <w:rPr>
                <w:rFonts w:ascii="仿宋" w:hAnsi="仿宋" w:eastAsia="仿宋"/>
                <w:color w:val="auto"/>
                <w:szCs w:val="21"/>
                <w:highlight w:val="none"/>
              </w:rPr>
              <w:t>等</w:t>
            </w:r>
            <w:r>
              <w:rPr>
                <w:rFonts w:hint="eastAsia" w:ascii="仿宋" w:hAnsi="仿宋" w:eastAsia="仿宋"/>
                <w:color w:val="auto"/>
                <w:szCs w:val="21"/>
                <w:highlight w:val="none"/>
              </w:rPr>
              <w:t>其它电信网络技术数据信息，及时收集更新黑样本库，精准发现本地潜在受害人和</w:t>
            </w:r>
            <w:r>
              <w:rPr>
                <w:rFonts w:ascii="仿宋" w:hAnsi="仿宋" w:eastAsia="仿宋"/>
                <w:color w:val="auto"/>
                <w:szCs w:val="21"/>
                <w:highlight w:val="none"/>
              </w:rPr>
              <w:t>其他可疑人员</w:t>
            </w:r>
            <w:r>
              <w:rPr>
                <w:rFonts w:hint="eastAsia" w:ascii="仿宋" w:hAnsi="仿宋" w:eastAsia="仿宋"/>
                <w:color w:val="auto"/>
                <w:szCs w:val="21"/>
                <w:highlight w:val="none"/>
              </w:rPr>
              <w:t>。支持数据端口接入，将数据信息推送至采购单位开展侦防工作，以便于采购人统计分析，提供数据端口维护服务。</w:t>
            </w:r>
          </w:p>
          <w:p w14:paraId="1C7D9C67">
            <w:pPr>
              <w:jc w:val="left"/>
              <w:rPr>
                <w:rFonts w:ascii="仿宋" w:hAnsi="仿宋" w:eastAsia="仿宋" w:cs="宋体"/>
                <w:color w:val="auto"/>
                <w:szCs w:val="21"/>
                <w:highlight w:val="none"/>
              </w:rPr>
            </w:pPr>
            <w:r>
              <w:rPr>
                <w:rFonts w:hint="eastAsia" w:ascii="仿宋" w:hAnsi="仿宋" w:eastAsia="仿宋" w:cs="宋体"/>
                <w:color w:val="auto"/>
                <w:szCs w:val="21"/>
                <w:highlight w:val="none"/>
              </w:rPr>
              <w:t>数据质量方面符合采购需求。</w:t>
            </w:r>
          </w:p>
          <w:p w14:paraId="260E8F12">
            <w:pPr>
              <w:jc w:val="left"/>
              <w:rPr>
                <w:rFonts w:ascii="仿宋" w:hAnsi="仿宋" w:eastAsia="仿宋" w:cs="宋体"/>
                <w:color w:val="auto"/>
                <w:szCs w:val="21"/>
                <w:highlight w:val="none"/>
              </w:rPr>
            </w:pPr>
            <w:r>
              <w:rPr>
                <w:rFonts w:hint="eastAsia" w:ascii="仿宋" w:hAnsi="仿宋" w:eastAsia="仿宋" w:cs="宋体"/>
                <w:color w:val="auto"/>
                <w:szCs w:val="21"/>
                <w:highlight w:val="none"/>
              </w:rPr>
              <w:t>服务期内完成监测数据推送</w:t>
            </w:r>
            <w:r>
              <w:rPr>
                <w:rFonts w:hint="eastAsia" w:ascii="仿宋" w:hAnsi="仿宋" w:eastAsia="仿宋" w:cs="宋体"/>
                <w:color w:val="auto"/>
                <w:szCs w:val="21"/>
                <w:highlight w:val="none"/>
              </w:rPr>
              <w:t>不少于</w:t>
            </w:r>
            <w:r>
              <w:rPr>
                <w:rFonts w:hint="eastAsia" w:ascii="仿宋" w:hAnsi="仿宋" w:eastAsia="仿宋" w:cs="宋体"/>
                <w:color w:val="auto"/>
                <w:szCs w:val="21"/>
                <w:highlight w:val="none"/>
                <w:lang w:val="en-US" w:eastAsia="zh-CN"/>
              </w:rPr>
              <w:t>38</w:t>
            </w:r>
            <w:r>
              <w:rPr>
                <w:rFonts w:hint="eastAsia" w:ascii="仿宋" w:hAnsi="仿宋" w:eastAsia="仿宋" w:cs="宋体"/>
                <w:color w:val="auto"/>
                <w:szCs w:val="21"/>
                <w:highlight w:val="none"/>
              </w:rPr>
              <w:t>0000条。</w:t>
            </w:r>
          </w:p>
        </w:tc>
      </w:tr>
      <w:tr w14:paraId="23536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861" w:type="dxa"/>
            <w:vMerge w:val="continue"/>
            <w:tcBorders>
              <w:left w:val="single" w:color="auto" w:sz="4" w:space="0"/>
              <w:right w:val="single" w:color="auto" w:sz="4" w:space="0"/>
            </w:tcBorders>
            <w:noWrap/>
            <w:vAlign w:val="center"/>
          </w:tcPr>
          <w:p w14:paraId="2B9568F8">
            <w:pPr>
              <w:widowControl/>
              <w:spacing w:before="120" w:beforeLines="50" w:line="360" w:lineRule="auto"/>
              <w:jc w:val="center"/>
              <w:outlineLvl w:val="3"/>
              <w:rPr>
                <w:rFonts w:ascii="仿宋" w:hAnsi="仿宋" w:eastAsia="仿宋" w:cs="仿宋"/>
                <w:bCs/>
                <w:color w:val="auto"/>
                <w:szCs w:val="21"/>
                <w:highlight w:val="none"/>
              </w:rPr>
            </w:pPr>
          </w:p>
        </w:tc>
        <w:tc>
          <w:tcPr>
            <w:tcW w:w="1515" w:type="dxa"/>
            <w:vMerge w:val="continue"/>
            <w:tcBorders>
              <w:left w:val="single" w:color="auto" w:sz="4" w:space="0"/>
              <w:right w:val="single" w:color="auto" w:sz="4" w:space="0"/>
            </w:tcBorders>
            <w:noWrap/>
            <w:vAlign w:val="center"/>
          </w:tcPr>
          <w:p w14:paraId="0179F976">
            <w:pPr>
              <w:widowControl/>
              <w:spacing w:before="120" w:beforeLines="50" w:line="360" w:lineRule="auto"/>
              <w:jc w:val="center"/>
              <w:outlineLvl w:val="3"/>
              <w:rPr>
                <w:rFonts w:ascii="仿宋" w:hAnsi="仿宋" w:eastAsia="仿宋" w:cs="仿宋"/>
                <w:color w:val="auto"/>
                <w:szCs w:val="21"/>
                <w:highlight w:val="none"/>
              </w:rPr>
            </w:pPr>
          </w:p>
        </w:tc>
        <w:tc>
          <w:tcPr>
            <w:tcW w:w="6519" w:type="dxa"/>
            <w:tcBorders>
              <w:top w:val="single" w:color="auto" w:sz="4" w:space="0"/>
              <w:left w:val="single" w:color="auto" w:sz="4" w:space="0"/>
              <w:bottom w:val="single" w:color="auto" w:sz="4" w:space="0"/>
              <w:right w:val="single" w:color="auto" w:sz="4" w:space="0"/>
            </w:tcBorders>
            <w:noWrap w:val="0"/>
            <w:vAlign w:val="center"/>
          </w:tcPr>
          <w:p w14:paraId="62E35411">
            <w:pPr>
              <w:jc w:val="left"/>
              <w:rPr>
                <w:rFonts w:ascii="仿宋" w:hAnsi="仿宋" w:eastAsia="仿宋" w:cs="宋体"/>
                <w:color w:val="auto"/>
                <w:szCs w:val="21"/>
                <w:highlight w:val="none"/>
              </w:rPr>
            </w:pPr>
            <w:r>
              <w:rPr>
                <w:rFonts w:hint="eastAsia" w:ascii="仿宋" w:hAnsi="仿宋" w:eastAsia="仿宋" w:cs="宋体"/>
                <w:color w:val="auto"/>
                <w:szCs w:val="21"/>
                <w:highlight w:val="none"/>
              </w:rPr>
              <w:t>涉网新型案件行为分析服务要求验收：提供大数据辅助分析服务、涉网新型行为分析服务。</w:t>
            </w:r>
            <w:r>
              <w:rPr>
                <w:rFonts w:hint="eastAsia" w:ascii="仿宋" w:hAnsi="仿宋" w:eastAsia="仿宋" w:cs="仿宋"/>
                <w:iCs/>
                <w:color w:val="auto"/>
                <w:szCs w:val="21"/>
                <w:highlight w:val="none"/>
              </w:rPr>
              <w:t>服务期内</w:t>
            </w:r>
            <w:r>
              <w:rPr>
                <w:rFonts w:hint="eastAsia" w:ascii="仿宋" w:hAnsi="仿宋" w:eastAsia="仿宋" w:cs="仿宋"/>
                <w:color w:val="auto"/>
                <w:szCs w:val="21"/>
                <w:highlight w:val="none"/>
              </w:rPr>
              <w:t>提供涉诈设备大数据辅助分析和涉网新型行为分析服务</w:t>
            </w:r>
            <w:r>
              <w:rPr>
                <w:rFonts w:hint="eastAsia" w:ascii="仿宋" w:hAnsi="仿宋" w:eastAsia="仿宋" w:cs="仿宋"/>
                <w:color w:val="auto"/>
                <w:szCs w:val="21"/>
                <w:highlight w:val="none"/>
              </w:rPr>
              <w:t>不少于</w:t>
            </w:r>
            <w:r>
              <w:rPr>
                <w:rFonts w:hint="eastAsia" w:ascii="仿宋" w:hAnsi="仿宋" w:eastAsia="仿宋" w:cs="仿宋"/>
                <w:color w:val="auto"/>
                <w:szCs w:val="21"/>
                <w:highlight w:val="none"/>
                <w:lang w:val="en-US" w:eastAsia="zh-CN"/>
              </w:rPr>
              <w:t>1</w:t>
            </w:r>
            <w:r>
              <w:rPr>
                <w:rFonts w:hint="eastAsia" w:ascii="仿宋" w:hAnsi="仿宋" w:eastAsia="仿宋" w:cs="仿宋"/>
                <w:color w:val="auto"/>
                <w:szCs w:val="21"/>
                <w:highlight w:val="none"/>
              </w:rPr>
              <w:t>0次</w:t>
            </w:r>
            <w:r>
              <w:rPr>
                <w:rFonts w:hint="eastAsia" w:ascii="仿宋" w:hAnsi="仿宋" w:eastAsia="仿宋" w:cs="仿宋"/>
                <w:color w:val="auto"/>
                <w:szCs w:val="21"/>
                <w:highlight w:val="none"/>
              </w:rPr>
              <w:t>，</w:t>
            </w:r>
            <w:r>
              <w:rPr>
                <w:rFonts w:hint="eastAsia" w:ascii="仿宋" w:hAnsi="仿宋" w:eastAsia="仿宋"/>
                <w:color w:val="auto"/>
                <w:szCs w:val="21"/>
                <w:highlight w:val="none"/>
              </w:rPr>
              <w:t>输出</w:t>
            </w:r>
            <w:r>
              <w:rPr>
                <w:rFonts w:ascii="仿宋" w:hAnsi="仿宋" w:eastAsia="仿宋"/>
                <w:color w:val="auto"/>
                <w:szCs w:val="21"/>
                <w:highlight w:val="none"/>
              </w:rPr>
              <w:t>C类分析报告</w:t>
            </w:r>
            <w:r>
              <w:rPr>
                <w:rFonts w:ascii="仿宋" w:hAnsi="仿宋" w:eastAsia="仿宋"/>
                <w:color w:val="auto"/>
                <w:szCs w:val="21"/>
                <w:highlight w:val="none"/>
              </w:rPr>
              <w:t>不少于</w:t>
            </w:r>
            <w:r>
              <w:rPr>
                <w:rFonts w:hint="eastAsia" w:ascii="仿宋" w:hAnsi="仿宋" w:eastAsia="仿宋"/>
                <w:color w:val="auto"/>
                <w:szCs w:val="21"/>
                <w:highlight w:val="none"/>
                <w:lang w:val="en-US" w:eastAsia="zh-CN"/>
              </w:rPr>
              <w:t>18</w:t>
            </w:r>
            <w:r>
              <w:rPr>
                <w:rFonts w:ascii="仿宋" w:hAnsi="仿宋" w:eastAsia="仿宋"/>
                <w:color w:val="auto"/>
                <w:szCs w:val="21"/>
                <w:highlight w:val="none"/>
              </w:rPr>
              <w:t>份</w:t>
            </w:r>
            <w:r>
              <w:rPr>
                <w:rFonts w:hint="eastAsia" w:ascii="仿宋" w:hAnsi="仿宋" w:eastAsia="仿宋" w:cs="宋体"/>
                <w:color w:val="auto"/>
                <w:szCs w:val="21"/>
                <w:highlight w:val="none"/>
              </w:rPr>
              <w:t>。</w:t>
            </w:r>
          </w:p>
        </w:tc>
      </w:tr>
      <w:tr w14:paraId="6BA54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861" w:type="dxa"/>
            <w:vMerge w:val="continue"/>
            <w:tcBorders>
              <w:left w:val="single" w:color="auto" w:sz="4" w:space="0"/>
              <w:bottom w:val="single" w:color="auto" w:sz="4" w:space="0"/>
              <w:right w:val="single" w:color="auto" w:sz="4" w:space="0"/>
            </w:tcBorders>
            <w:noWrap/>
            <w:vAlign w:val="center"/>
          </w:tcPr>
          <w:p w14:paraId="1883A699">
            <w:pPr>
              <w:widowControl/>
              <w:spacing w:before="120" w:beforeLines="50" w:line="360" w:lineRule="auto"/>
              <w:jc w:val="center"/>
              <w:outlineLvl w:val="3"/>
              <w:rPr>
                <w:rFonts w:ascii="仿宋" w:hAnsi="仿宋" w:eastAsia="仿宋" w:cs="仿宋"/>
                <w:bCs/>
                <w:color w:val="auto"/>
                <w:szCs w:val="21"/>
                <w:highlight w:val="none"/>
              </w:rPr>
            </w:pPr>
          </w:p>
        </w:tc>
        <w:tc>
          <w:tcPr>
            <w:tcW w:w="1515" w:type="dxa"/>
            <w:vMerge w:val="continue"/>
            <w:tcBorders>
              <w:left w:val="single" w:color="auto" w:sz="4" w:space="0"/>
              <w:bottom w:val="single" w:color="auto" w:sz="4" w:space="0"/>
              <w:right w:val="single" w:color="auto" w:sz="4" w:space="0"/>
            </w:tcBorders>
            <w:noWrap/>
            <w:vAlign w:val="center"/>
          </w:tcPr>
          <w:p w14:paraId="2BAE8D2B">
            <w:pPr>
              <w:widowControl/>
              <w:spacing w:before="120" w:beforeLines="50" w:line="360" w:lineRule="auto"/>
              <w:jc w:val="center"/>
              <w:outlineLvl w:val="3"/>
              <w:rPr>
                <w:rFonts w:ascii="仿宋" w:hAnsi="仿宋" w:eastAsia="仿宋" w:cs="仿宋"/>
                <w:color w:val="auto"/>
                <w:szCs w:val="21"/>
                <w:highlight w:val="none"/>
              </w:rPr>
            </w:pPr>
          </w:p>
        </w:tc>
        <w:tc>
          <w:tcPr>
            <w:tcW w:w="6519" w:type="dxa"/>
            <w:tcBorders>
              <w:top w:val="single" w:color="auto" w:sz="4" w:space="0"/>
              <w:left w:val="single" w:color="auto" w:sz="4" w:space="0"/>
              <w:bottom w:val="single" w:color="auto" w:sz="4" w:space="0"/>
              <w:right w:val="single" w:color="auto" w:sz="4" w:space="0"/>
            </w:tcBorders>
            <w:noWrap w:val="0"/>
            <w:vAlign w:val="center"/>
          </w:tcPr>
          <w:p w14:paraId="6F98A6FB">
            <w:pPr>
              <w:jc w:val="left"/>
              <w:rPr>
                <w:rFonts w:ascii="仿宋" w:hAnsi="仿宋" w:eastAsia="仿宋" w:cs="仿宋"/>
                <w:iCs/>
                <w:color w:val="auto"/>
                <w:szCs w:val="21"/>
                <w:highlight w:val="none"/>
              </w:rPr>
            </w:pPr>
            <w:r>
              <w:rPr>
                <w:rFonts w:hint="eastAsia" w:ascii="仿宋" w:hAnsi="仿宋" w:eastAsia="仿宋" w:cs="宋体"/>
                <w:color w:val="auto"/>
                <w:szCs w:val="21"/>
                <w:highlight w:val="none"/>
              </w:rPr>
              <w:t>新型涉网案件智勘联侦分析系统服务要求验收：提供取证数据推送和分析支撑服务、数据信息查询服务。</w:t>
            </w:r>
            <w:r>
              <w:rPr>
                <w:rFonts w:hint="eastAsia" w:ascii="仿宋" w:hAnsi="仿宋" w:eastAsia="仿宋" w:cs="仿宋"/>
                <w:iCs/>
                <w:color w:val="auto"/>
                <w:szCs w:val="21"/>
                <w:highlight w:val="none"/>
              </w:rPr>
              <w:t>服务期内</w:t>
            </w:r>
            <w:r>
              <w:rPr>
                <w:rFonts w:hint="eastAsia" w:ascii="仿宋" w:hAnsi="仿宋" w:eastAsia="仿宋" w:cs="宋体"/>
                <w:color w:val="auto"/>
                <w:szCs w:val="21"/>
                <w:highlight w:val="none"/>
              </w:rPr>
              <w:t>提供取证数据深度智能分析、研判支撑等案件服务</w:t>
            </w:r>
            <w:r>
              <w:rPr>
                <w:rFonts w:hint="eastAsia" w:ascii="仿宋" w:hAnsi="仿宋" w:eastAsia="仿宋" w:cs="宋体"/>
                <w:color w:val="auto"/>
                <w:szCs w:val="21"/>
                <w:highlight w:val="none"/>
              </w:rPr>
              <w:t>不少于</w:t>
            </w:r>
            <w:r>
              <w:rPr>
                <w:rFonts w:hint="eastAsia" w:ascii="仿宋" w:hAnsi="仿宋" w:eastAsia="仿宋" w:cs="宋体"/>
                <w:color w:val="auto"/>
                <w:szCs w:val="21"/>
                <w:highlight w:val="none"/>
                <w:lang w:val="en-US" w:eastAsia="zh-CN"/>
              </w:rPr>
              <w:t>6</w:t>
            </w:r>
            <w:r>
              <w:rPr>
                <w:rFonts w:hint="eastAsia" w:ascii="仿宋" w:hAnsi="仿宋" w:eastAsia="仿宋" w:cs="宋体"/>
                <w:color w:val="auto"/>
                <w:szCs w:val="21"/>
                <w:highlight w:val="none"/>
              </w:rPr>
              <w:t>个</w:t>
            </w:r>
            <w:r>
              <w:rPr>
                <w:rFonts w:hint="eastAsia" w:ascii="仿宋" w:hAnsi="仿宋" w:eastAsia="仿宋" w:cs="宋体"/>
                <w:color w:val="auto"/>
                <w:szCs w:val="21"/>
                <w:highlight w:val="none"/>
              </w:rPr>
              <w:t>，输出C类分析报告</w:t>
            </w:r>
            <w:r>
              <w:rPr>
                <w:rFonts w:hint="eastAsia" w:ascii="仿宋" w:hAnsi="仿宋" w:eastAsia="仿宋" w:cs="宋体"/>
                <w:color w:val="auto"/>
                <w:szCs w:val="21"/>
                <w:highlight w:val="none"/>
              </w:rPr>
              <w:t>不少于</w:t>
            </w:r>
            <w:r>
              <w:rPr>
                <w:rFonts w:hint="eastAsia" w:ascii="仿宋" w:hAnsi="仿宋" w:eastAsia="仿宋" w:cs="宋体"/>
                <w:color w:val="auto"/>
                <w:szCs w:val="21"/>
                <w:highlight w:val="none"/>
                <w:lang w:val="en-US" w:eastAsia="zh-CN"/>
              </w:rPr>
              <w:t>9</w:t>
            </w:r>
            <w:r>
              <w:rPr>
                <w:rFonts w:hint="eastAsia" w:ascii="仿宋" w:hAnsi="仿宋" w:eastAsia="仿宋" w:cs="宋体"/>
                <w:color w:val="auto"/>
                <w:szCs w:val="21"/>
                <w:highlight w:val="none"/>
              </w:rPr>
              <w:t>份；</w:t>
            </w:r>
            <w:r>
              <w:rPr>
                <w:rFonts w:hint="eastAsia" w:ascii="仿宋" w:hAnsi="仿宋" w:eastAsia="仿宋" w:cs="宋体"/>
                <w:color w:val="auto"/>
                <w:szCs w:val="21"/>
                <w:highlight w:val="none"/>
              </w:rPr>
              <w:t>提供涉案数据推送、数据信息查询等案件服务</w:t>
            </w:r>
            <w:r>
              <w:rPr>
                <w:rFonts w:hint="eastAsia" w:ascii="仿宋" w:hAnsi="仿宋" w:eastAsia="仿宋" w:cs="宋体"/>
                <w:color w:val="auto"/>
                <w:szCs w:val="21"/>
                <w:highlight w:val="none"/>
              </w:rPr>
              <w:t>不少于</w:t>
            </w:r>
            <w:r>
              <w:rPr>
                <w:rFonts w:hint="eastAsia" w:ascii="仿宋" w:hAnsi="仿宋" w:eastAsia="仿宋" w:cs="宋体"/>
                <w:color w:val="auto"/>
                <w:szCs w:val="21"/>
                <w:highlight w:val="none"/>
                <w:lang w:val="en-US" w:eastAsia="zh-CN"/>
              </w:rPr>
              <w:t>5</w:t>
            </w:r>
            <w:r>
              <w:rPr>
                <w:rFonts w:hint="eastAsia" w:ascii="仿宋" w:hAnsi="仿宋" w:eastAsia="仿宋" w:cs="宋体"/>
                <w:color w:val="auto"/>
                <w:szCs w:val="21"/>
                <w:highlight w:val="none"/>
              </w:rPr>
              <w:t>个</w:t>
            </w:r>
            <w:r>
              <w:rPr>
                <w:rFonts w:hint="eastAsia" w:ascii="仿宋" w:hAnsi="仿宋" w:eastAsia="仿宋" w:cs="宋体"/>
                <w:color w:val="auto"/>
                <w:szCs w:val="21"/>
                <w:highlight w:val="none"/>
              </w:rPr>
              <w:t>，输出C类分析报告</w:t>
            </w:r>
            <w:r>
              <w:rPr>
                <w:rFonts w:hint="eastAsia" w:ascii="仿宋" w:hAnsi="仿宋" w:eastAsia="仿宋" w:cs="宋体"/>
                <w:color w:val="auto"/>
                <w:szCs w:val="21"/>
                <w:highlight w:val="none"/>
              </w:rPr>
              <w:t>不少于</w:t>
            </w:r>
            <w:r>
              <w:rPr>
                <w:rFonts w:hint="eastAsia" w:ascii="仿宋" w:hAnsi="仿宋" w:eastAsia="仿宋" w:cs="宋体"/>
                <w:color w:val="auto"/>
                <w:szCs w:val="21"/>
                <w:highlight w:val="none"/>
                <w:lang w:val="en-US" w:eastAsia="zh-CN"/>
              </w:rPr>
              <w:t>8</w:t>
            </w:r>
            <w:r>
              <w:rPr>
                <w:rFonts w:hint="eastAsia" w:ascii="仿宋" w:hAnsi="仿宋" w:eastAsia="仿宋" w:cs="宋体"/>
                <w:color w:val="auto"/>
                <w:szCs w:val="21"/>
                <w:highlight w:val="none"/>
              </w:rPr>
              <w:t>份</w:t>
            </w:r>
            <w:r>
              <w:rPr>
                <w:rFonts w:hint="eastAsia" w:ascii="仿宋" w:hAnsi="仿宋" w:eastAsia="仿宋" w:cs="宋体"/>
                <w:color w:val="auto"/>
                <w:szCs w:val="21"/>
                <w:highlight w:val="none"/>
              </w:rPr>
              <w:t>。</w:t>
            </w:r>
          </w:p>
        </w:tc>
      </w:tr>
      <w:tr w14:paraId="193D0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861" w:type="dxa"/>
            <w:vMerge w:val="continue"/>
            <w:tcBorders>
              <w:top w:val="single" w:color="auto" w:sz="4" w:space="0"/>
              <w:left w:val="single" w:color="auto" w:sz="4" w:space="0"/>
              <w:right w:val="single" w:color="auto" w:sz="4" w:space="0"/>
            </w:tcBorders>
            <w:noWrap/>
            <w:vAlign w:val="center"/>
          </w:tcPr>
          <w:p w14:paraId="04F0FCBB">
            <w:pPr>
              <w:widowControl/>
              <w:spacing w:before="120" w:beforeLines="50" w:line="360" w:lineRule="auto"/>
              <w:jc w:val="center"/>
              <w:outlineLvl w:val="3"/>
              <w:rPr>
                <w:rFonts w:ascii="仿宋" w:hAnsi="仿宋" w:eastAsia="仿宋" w:cs="仿宋"/>
                <w:bCs/>
                <w:color w:val="auto"/>
                <w:szCs w:val="21"/>
                <w:highlight w:val="none"/>
              </w:rPr>
            </w:pPr>
          </w:p>
        </w:tc>
        <w:tc>
          <w:tcPr>
            <w:tcW w:w="1515" w:type="dxa"/>
            <w:vMerge w:val="continue"/>
            <w:tcBorders>
              <w:top w:val="single" w:color="auto" w:sz="4" w:space="0"/>
              <w:left w:val="single" w:color="auto" w:sz="4" w:space="0"/>
              <w:right w:val="single" w:color="auto" w:sz="4" w:space="0"/>
            </w:tcBorders>
            <w:noWrap/>
            <w:vAlign w:val="center"/>
          </w:tcPr>
          <w:p w14:paraId="194A214D">
            <w:pPr>
              <w:widowControl/>
              <w:jc w:val="center"/>
              <w:rPr>
                <w:rFonts w:ascii="仿宋" w:hAnsi="仿宋" w:eastAsia="仿宋" w:cs="仿宋"/>
                <w:bCs/>
                <w:color w:val="auto"/>
                <w:szCs w:val="21"/>
                <w:highlight w:val="none"/>
              </w:rPr>
            </w:pPr>
          </w:p>
        </w:tc>
        <w:tc>
          <w:tcPr>
            <w:tcW w:w="6519" w:type="dxa"/>
            <w:tcBorders>
              <w:top w:val="single" w:color="auto" w:sz="4" w:space="0"/>
              <w:left w:val="single" w:color="auto" w:sz="4" w:space="0"/>
              <w:right w:val="single" w:color="auto" w:sz="4" w:space="0"/>
            </w:tcBorders>
            <w:noWrap w:val="0"/>
            <w:vAlign w:val="top"/>
          </w:tcPr>
          <w:p w14:paraId="2523C649">
            <w:pPr>
              <w:jc w:val="left"/>
              <w:rPr>
                <w:rFonts w:ascii="仿宋" w:hAnsi="仿宋" w:eastAsia="仿宋" w:cs="仿宋"/>
                <w:bCs/>
                <w:color w:val="auto"/>
                <w:szCs w:val="21"/>
                <w:highlight w:val="none"/>
              </w:rPr>
            </w:pPr>
            <w:r>
              <w:rPr>
                <w:rFonts w:hint="eastAsia" w:ascii="仿宋" w:hAnsi="仿宋" w:eastAsia="仿宋" w:cs="仿宋"/>
                <w:bCs/>
                <w:color w:val="auto"/>
                <w:szCs w:val="21"/>
                <w:highlight w:val="none"/>
              </w:rPr>
              <w:t>投标人提供7*24小时的技术支持（包括电话咨询与现场服务）。</w:t>
            </w:r>
          </w:p>
        </w:tc>
      </w:tr>
      <w:tr w14:paraId="56D20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jc w:val="center"/>
        </w:trPr>
        <w:tc>
          <w:tcPr>
            <w:tcW w:w="861" w:type="dxa"/>
            <w:tcBorders>
              <w:top w:val="single" w:color="auto" w:sz="4" w:space="0"/>
              <w:left w:val="single" w:color="auto" w:sz="4" w:space="0"/>
              <w:bottom w:val="single" w:color="auto" w:sz="4" w:space="0"/>
              <w:right w:val="single" w:color="auto" w:sz="4" w:space="0"/>
            </w:tcBorders>
            <w:noWrap/>
            <w:vAlign w:val="center"/>
          </w:tcPr>
          <w:p w14:paraId="2BDFA82F">
            <w:pPr>
              <w:widowControl/>
              <w:spacing w:before="120" w:beforeLines="50" w:line="360" w:lineRule="auto"/>
              <w:jc w:val="center"/>
              <w:outlineLvl w:val="3"/>
              <w:rPr>
                <w:rFonts w:ascii="仿宋" w:hAnsi="仿宋" w:eastAsia="仿宋" w:cs="仿宋"/>
                <w:bCs/>
                <w:color w:val="auto"/>
                <w:szCs w:val="21"/>
                <w:highlight w:val="none"/>
              </w:rPr>
            </w:pPr>
            <w:r>
              <w:rPr>
                <w:rFonts w:ascii="仿宋" w:hAnsi="仿宋" w:eastAsia="仿宋" w:cs="仿宋"/>
                <w:bCs/>
                <w:color w:val="auto"/>
                <w:szCs w:val="21"/>
                <w:highlight w:val="none"/>
              </w:rPr>
              <w:t>4</w:t>
            </w:r>
          </w:p>
        </w:tc>
        <w:tc>
          <w:tcPr>
            <w:tcW w:w="1515" w:type="dxa"/>
            <w:tcBorders>
              <w:top w:val="single" w:color="auto" w:sz="4" w:space="0"/>
              <w:left w:val="single" w:color="auto" w:sz="4" w:space="0"/>
              <w:bottom w:val="single" w:color="auto" w:sz="4" w:space="0"/>
              <w:right w:val="single" w:color="auto" w:sz="4" w:space="0"/>
            </w:tcBorders>
            <w:noWrap/>
            <w:vAlign w:val="center"/>
          </w:tcPr>
          <w:p w14:paraId="2323AA3C">
            <w:pPr>
              <w:widowControl/>
              <w:jc w:val="center"/>
              <w:rPr>
                <w:rFonts w:ascii="仿宋" w:hAnsi="仿宋" w:eastAsia="仿宋" w:cs="仿宋"/>
                <w:bCs/>
                <w:color w:val="auto"/>
                <w:szCs w:val="21"/>
                <w:highlight w:val="none"/>
              </w:rPr>
            </w:pPr>
            <w:r>
              <w:rPr>
                <w:rFonts w:hint="eastAsia" w:ascii="仿宋" w:hAnsi="仿宋" w:eastAsia="仿宋" w:cs="仿宋"/>
                <w:bCs/>
                <w:color w:val="auto"/>
                <w:szCs w:val="21"/>
                <w:highlight w:val="none"/>
              </w:rPr>
              <w:t>人员配备</w:t>
            </w:r>
          </w:p>
        </w:tc>
        <w:tc>
          <w:tcPr>
            <w:tcW w:w="6519" w:type="dxa"/>
            <w:tcBorders>
              <w:top w:val="single" w:color="auto" w:sz="4" w:space="0"/>
              <w:left w:val="single" w:color="auto" w:sz="4" w:space="0"/>
              <w:bottom w:val="single" w:color="auto" w:sz="4" w:space="0"/>
              <w:right w:val="single" w:color="auto" w:sz="4" w:space="0"/>
            </w:tcBorders>
            <w:noWrap w:val="0"/>
            <w:vAlign w:val="center"/>
          </w:tcPr>
          <w:p w14:paraId="3E960FBE">
            <w:pPr>
              <w:jc w:val="left"/>
              <w:rPr>
                <w:rFonts w:ascii="仿宋" w:hAnsi="仿宋" w:eastAsia="仿宋" w:cs="仿宋"/>
                <w:bCs/>
                <w:color w:val="auto"/>
                <w:szCs w:val="21"/>
                <w:highlight w:val="none"/>
              </w:rPr>
            </w:pPr>
            <w:r>
              <w:rPr>
                <w:rFonts w:hint="eastAsia" w:ascii="仿宋" w:hAnsi="仿宋" w:eastAsia="仿宋"/>
                <w:color w:val="auto"/>
                <w:szCs w:val="21"/>
                <w:highlight w:val="none"/>
              </w:rPr>
              <w:t>在服务期间，按合同和投标文件投入相应的团队服务人员（项目负责人1人，案件侦查打击服务技术负责人1人、服务人员2人，大数据智能查控服务技术负责人1人、服务人员2人，资金智能查控服务人员1人，涉网诈骗预感探测数据服务技术负责人1人、服务人员2人，涉网新型案件行为分析服务技术负责人1人、服务人员1人，新型涉网案件智勘联侦分析系统服务技术负责人1人、服务人员1人。其中驻点人员3人（技术负责人1人、服务人员2人））。按合同约定要求进行验收。</w:t>
            </w:r>
          </w:p>
        </w:tc>
      </w:tr>
      <w:tr w14:paraId="0A2BE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861" w:type="dxa"/>
            <w:vMerge w:val="restart"/>
            <w:tcBorders>
              <w:top w:val="single" w:color="auto" w:sz="4" w:space="0"/>
              <w:left w:val="single" w:color="auto" w:sz="4" w:space="0"/>
              <w:right w:val="single" w:color="auto" w:sz="4" w:space="0"/>
            </w:tcBorders>
            <w:noWrap/>
            <w:vAlign w:val="center"/>
          </w:tcPr>
          <w:p w14:paraId="62A5A762">
            <w:pPr>
              <w:widowControl/>
              <w:spacing w:before="120" w:beforeLines="50" w:line="360" w:lineRule="auto"/>
              <w:jc w:val="center"/>
              <w:outlineLvl w:val="3"/>
              <w:rPr>
                <w:rFonts w:ascii="仿宋" w:hAnsi="仿宋" w:eastAsia="仿宋" w:cs="仿宋"/>
                <w:bCs/>
                <w:color w:val="auto"/>
                <w:szCs w:val="21"/>
                <w:highlight w:val="none"/>
              </w:rPr>
            </w:pPr>
            <w:r>
              <w:rPr>
                <w:rFonts w:hint="eastAsia" w:ascii="仿宋" w:hAnsi="仿宋" w:eastAsia="仿宋" w:cs="仿宋"/>
                <w:bCs/>
                <w:color w:val="auto"/>
                <w:szCs w:val="21"/>
                <w:highlight w:val="none"/>
              </w:rPr>
              <w:t>5</w:t>
            </w:r>
          </w:p>
        </w:tc>
        <w:tc>
          <w:tcPr>
            <w:tcW w:w="1515" w:type="dxa"/>
            <w:vMerge w:val="restart"/>
            <w:tcBorders>
              <w:top w:val="single" w:color="auto" w:sz="4" w:space="0"/>
              <w:left w:val="single" w:color="auto" w:sz="4" w:space="0"/>
              <w:right w:val="single" w:color="auto" w:sz="4" w:space="0"/>
            </w:tcBorders>
            <w:noWrap w:val="0"/>
            <w:vAlign w:val="center"/>
          </w:tcPr>
          <w:p w14:paraId="4A4CF1DA">
            <w:pPr>
              <w:widowControl/>
              <w:jc w:val="center"/>
              <w:rPr>
                <w:rFonts w:ascii="仿宋" w:hAnsi="仿宋" w:eastAsia="仿宋" w:cs="仿宋"/>
                <w:bCs/>
                <w:color w:val="auto"/>
                <w:szCs w:val="21"/>
                <w:highlight w:val="none"/>
              </w:rPr>
            </w:pPr>
            <w:r>
              <w:rPr>
                <w:rFonts w:hint="eastAsia" w:ascii="仿宋" w:hAnsi="仿宋" w:eastAsia="仿宋" w:cs="仿宋"/>
                <w:bCs/>
                <w:color w:val="auto"/>
                <w:szCs w:val="21"/>
                <w:highlight w:val="none"/>
              </w:rPr>
              <w:t>服务承诺实现</w:t>
            </w:r>
          </w:p>
        </w:tc>
        <w:tc>
          <w:tcPr>
            <w:tcW w:w="6519" w:type="dxa"/>
            <w:tcBorders>
              <w:top w:val="single" w:color="auto" w:sz="4" w:space="0"/>
              <w:left w:val="single" w:color="auto" w:sz="4" w:space="0"/>
              <w:bottom w:val="single" w:color="auto" w:sz="4" w:space="0"/>
              <w:right w:val="single" w:color="auto" w:sz="4" w:space="0"/>
            </w:tcBorders>
            <w:noWrap w:val="0"/>
            <w:vAlign w:val="center"/>
          </w:tcPr>
          <w:p w14:paraId="03DB0DEE">
            <w:pPr>
              <w:widowControl/>
              <w:rPr>
                <w:rFonts w:ascii="仿宋" w:hAnsi="仿宋" w:eastAsia="仿宋" w:cs="仿宋"/>
                <w:bCs/>
                <w:color w:val="auto"/>
                <w:szCs w:val="21"/>
                <w:highlight w:val="none"/>
              </w:rPr>
            </w:pPr>
            <w:r>
              <w:rPr>
                <w:rFonts w:hint="eastAsia" w:ascii="仿宋" w:hAnsi="仿宋" w:eastAsia="仿宋"/>
                <w:color w:val="auto"/>
                <w:kern w:val="0"/>
                <w:szCs w:val="21"/>
                <w:highlight w:val="none"/>
              </w:rPr>
              <w:t>每次对涉案系统进行扫描、安全测试之前先与采购人书面确认，以确保系统的安全可控；进行服务实施时，在采购人许可的情况下由服务团队人员进行。</w:t>
            </w:r>
          </w:p>
        </w:tc>
      </w:tr>
      <w:tr w14:paraId="32708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861" w:type="dxa"/>
            <w:vMerge w:val="continue"/>
            <w:tcBorders>
              <w:top w:val="single" w:color="auto" w:sz="4" w:space="0"/>
              <w:left w:val="single" w:color="auto" w:sz="4" w:space="0"/>
              <w:right w:val="single" w:color="auto" w:sz="4" w:space="0"/>
            </w:tcBorders>
            <w:noWrap/>
            <w:vAlign w:val="center"/>
          </w:tcPr>
          <w:p w14:paraId="5B974226">
            <w:pPr>
              <w:widowControl/>
              <w:spacing w:before="120" w:beforeLines="50" w:line="360" w:lineRule="auto"/>
              <w:jc w:val="center"/>
              <w:outlineLvl w:val="3"/>
              <w:rPr>
                <w:rFonts w:hint="eastAsia" w:ascii="仿宋" w:hAnsi="仿宋" w:eastAsia="仿宋" w:cs="仿宋"/>
                <w:bCs/>
                <w:color w:val="auto"/>
                <w:szCs w:val="21"/>
                <w:highlight w:val="none"/>
              </w:rPr>
            </w:pPr>
          </w:p>
        </w:tc>
        <w:tc>
          <w:tcPr>
            <w:tcW w:w="1515" w:type="dxa"/>
            <w:vMerge w:val="continue"/>
            <w:tcBorders>
              <w:top w:val="single" w:color="auto" w:sz="4" w:space="0"/>
              <w:left w:val="single" w:color="auto" w:sz="4" w:space="0"/>
              <w:right w:val="single" w:color="auto" w:sz="4" w:space="0"/>
            </w:tcBorders>
            <w:noWrap w:val="0"/>
            <w:vAlign w:val="center"/>
          </w:tcPr>
          <w:p w14:paraId="0A2D019C">
            <w:pPr>
              <w:widowControl/>
              <w:jc w:val="center"/>
              <w:rPr>
                <w:rFonts w:hint="eastAsia" w:ascii="仿宋" w:hAnsi="仿宋" w:eastAsia="仿宋" w:cs="仿宋"/>
                <w:bCs/>
                <w:color w:val="auto"/>
                <w:szCs w:val="21"/>
                <w:highlight w:val="none"/>
              </w:rPr>
            </w:pPr>
          </w:p>
        </w:tc>
        <w:tc>
          <w:tcPr>
            <w:tcW w:w="6519" w:type="dxa"/>
            <w:tcBorders>
              <w:top w:val="single" w:color="auto" w:sz="4" w:space="0"/>
              <w:left w:val="single" w:color="auto" w:sz="4" w:space="0"/>
              <w:right w:val="single" w:color="auto" w:sz="4" w:space="0"/>
            </w:tcBorders>
            <w:noWrap w:val="0"/>
            <w:vAlign w:val="center"/>
          </w:tcPr>
          <w:p w14:paraId="053E5E45">
            <w:pPr>
              <w:widowControl/>
              <w:rPr>
                <w:rFonts w:hint="eastAsia" w:ascii="仿宋" w:hAnsi="仿宋" w:eastAsia="仿宋"/>
                <w:color w:val="auto"/>
                <w:kern w:val="0"/>
                <w:szCs w:val="21"/>
                <w:highlight w:val="none"/>
              </w:rPr>
            </w:pPr>
            <w:r>
              <w:rPr>
                <w:rFonts w:hint="eastAsia" w:ascii="仿宋" w:hAnsi="仿宋" w:eastAsia="仿宋"/>
                <w:color w:val="auto"/>
                <w:kern w:val="0"/>
                <w:szCs w:val="21"/>
                <w:highlight w:val="none"/>
              </w:rPr>
              <w:t>单个分析报告，在接到采购人书面工作指令后5个工作日内出具，并交由采购人审核。</w:t>
            </w:r>
          </w:p>
        </w:tc>
      </w:tr>
      <w:tr w14:paraId="15E77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861" w:type="dxa"/>
            <w:tcBorders>
              <w:top w:val="single" w:color="auto" w:sz="4" w:space="0"/>
              <w:left w:val="single" w:color="auto" w:sz="4" w:space="0"/>
              <w:bottom w:val="single" w:color="auto" w:sz="4" w:space="0"/>
              <w:right w:val="single" w:color="auto" w:sz="4" w:space="0"/>
            </w:tcBorders>
            <w:noWrap/>
            <w:vAlign w:val="center"/>
          </w:tcPr>
          <w:p w14:paraId="1EF10EAB">
            <w:pPr>
              <w:widowControl/>
              <w:spacing w:before="120" w:beforeLines="50" w:line="360" w:lineRule="auto"/>
              <w:jc w:val="center"/>
              <w:outlineLvl w:val="3"/>
              <w:rPr>
                <w:rFonts w:ascii="仿宋" w:hAnsi="仿宋" w:eastAsia="仿宋" w:cs="仿宋"/>
                <w:bCs/>
                <w:color w:val="auto"/>
                <w:szCs w:val="21"/>
                <w:highlight w:val="none"/>
              </w:rPr>
            </w:pPr>
            <w:r>
              <w:rPr>
                <w:rFonts w:ascii="仿宋" w:hAnsi="仿宋" w:eastAsia="仿宋" w:cs="仿宋"/>
                <w:bCs/>
                <w:color w:val="auto"/>
                <w:szCs w:val="21"/>
                <w:highlight w:val="none"/>
              </w:rPr>
              <w:t>6</w:t>
            </w:r>
          </w:p>
        </w:tc>
        <w:tc>
          <w:tcPr>
            <w:tcW w:w="1515" w:type="dxa"/>
            <w:tcBorders>
              <w:top w:val="single" w:color="auto" w:sz="4" w:space="0"/>
              <w:left w:val="single" w:color="auto" w:sz="4" w:space="0"/>
              <w:bottom w:val="single" w:color="auto" w:sz="4" w:space="0"/>
              <w:right w:val="single" w:color="auto" w:sz="4" w:space="0"/>
            </w:tcBorders>
            <w:noWrap w:val="0"/>
            <w:vAlign w:val="center"/>
          </w:tcPr>
          <w:p w14:paraId="00EBAB2D">
            <w:pPr>
              <w:widowControl/>
              <w:jc w:val="center"/>
              <w:rPr>
                <w:rFonts w:ascii="仿宋" w:hAnsi="仿宋" w:eastAsia="仿宋" w:cs="仿宋"/>
                <w:bCs/>
                <w:color w:val="auto"/>
                <w:szCs w:val="21"/>
                <w:highlight w:val="none"/>
              </w:rPr>
            </w:pPr>
            <w:r>
              <w:rPr>
                <w:rFonts w:hint="eastAsia" w:ascii="仿宋" w:hAnsi="仿宋" w:eastAsia="仿宋" w:cs="仿宋"/>
                <w:bCs/>
                <w:color w:val="auto"/>
                <w:szCs w:val="21"/>
                <w:highlight w:val="none"/>
              </w:rPr>
              <w:t>网络安全与责任管理</w:t>
            </w:r>
          </w:p>
        </w:tc>
        <w:tc>
          <w:tcPr>
            <w:tcW w:w="6519" w:type="dxa"/>
            <w:tcBorders>
              <w:top w:val="single" w:color="auto" w:sz="4" w:space="0"/>
              <w:left w:val="single" w:color="auto" w:sz="4" w:space="0"/>
              <w:bottom w:val="single" w:color="auto" w:sz="4" w:space="0"/>
              <w:right w:val="single" w:color="auto" w:sz="4" w:space="0"/>
            </w:tcBorders>
            <w:noWrap w:val="0"/>
            <w:vAlign w:val="center"/>
          </w:tcPr>
          <w:p w14:paraId="131020B7">
            <w:pPr>
              <w:widowControl/>
              <w:rPr>
                <w:rFonts w:ascii="仿宋" w:hAnsi="仿宋" w:eastAsia="仿宋"/>
                <w:color w:val="auto"/>
                <w:kern w:val="0"/>
                <w:szCs w:val="21"/>
                <w:highlight w:val="none"/>
              </w:rPr>
            </w:pPr>
            <w:r>
              <w:rPr>
                <w:rFonts w:hint="eastAsia" w:ascii="仿宋" w:hAnsi="仿宋" w:eastAsia="仿宋"/>
                <w:color w:val="auto"/>
                <w:kern w:val="0"/>
                <w:szCs w:val="21"/>
                <w:highlight w:val="none"/>
              </w:rPr>
              <w:t>1、明确投标人法定代表人为合作事项网络安全第一责任人，具体承担合作事项的部门主要负责人为直接责任人。</w:t>
            </w:r>
          </w:p>
          <w:p w14:paraId="18757059">
            <w:pPr>
              <w:widowControl/>
              <w:rPr>
                <w:rFonts w:ascii="仿宋" w:hAnsi="仿宋" w:eastAsia="仿宋"/>
                <w:color w:val="auto"/>
                <w:kern w:val="0"/>
                <w:szCs w:val="21"/>
                <w:highlight w:val="none"/>
              </w:rPr>
            </w:pPr>
            <w:r>
              <w:rPr>
                <w:rFonts w:hint="eastAsia" w:ascii="仿宋" w:hAnsi="仿宋" w:eastAsia="仿宋"/>
                <w:color w:val="auto"/>
                <w:kern w:val="0"/>
                <w:szCs w:val="21"/>
                <w:highlight w:val="none"/>
              </w:rPr>
              <w:t>2、不得转包合同任务；除非主体、非关键性的</w:t>
            </w:r>
            <w:r>
              <w:rPr>
                <w:rFonts w:hint="eastAsia" w:ascii="仿宋" w:hAnsi="仿宋" w:eastAsia="仿宋"/>
                <w:color w:val="auto"/>
                <w:kern w:val="0"/>
                <w:szCs w:val="21"/>
                <w:highlight w:val="none"/>
              </w:rPr>
              <w:t>“大数据智能查控服务、资金智能查控服务、新型涉网案件智勘联侦分析服务”</w:t>
            </w:r>
            <w:r>
              <w:rPr>
                <w:rFonts w:hint="eastAsia" w:ascii="仿宋" w:hAnsi="仿宋" w:eastAsia="仿宋"/>
                <w:color w:val="auto"/>
                <w:kern w:val="0"/>
                <w:szCs w:val="21"/>
                <w:highlight w:val="none"/>
              </w:rPr>
              <w:t>工作外，不得分包合同任务。</w:t>
            </w:r>
          </w:p>
          <w:p w14:paraId="56BAA986">
            <w:pPr>
              <w:widowControl/>
              <w:rPr>
                <w:rFonts w:ascii="仿宋" w:hAnsi="仿宋" w:eastAsia="仿宋"/>
                <w:color w:val="auto"/>
                <w:kern w:val="0"/>
                <w:szCs w:val="21"/>
                <w:highlight w:val="none"/>
              </w:rPr>
            </w:pPr>
            <w:r>
              <w:rPr>
                <w:rFonts w:hint="eastAsia" w:ascii="仿宋" w:hAnsi="仿宋" w:eastAsia="仿宋"/>
                <w:color w:val="auto"/>
                <w:kern w:val="0"/>
                <w:szCs w:val="21"/>
                <w:highlight w:val="none"/>
              </w:rPr>
              <w:t>3、投标人应制订与合作事项相关的网络安全保障方案和网络安全事件应急预案。</w:t>
            </w:r>
          </w:p>
          <w:p w14:paraId="51076B6C">
            <w:pPr>
              <w:widowControl/>
              <w:rPr>
                <w:rFonts w:ascii="仿宋" w:hAnsi="仿宋" w:eastAsia="仿宋"/>
                <w:color w:val="auto"/>
                <w:kern w:val="0"/>
                <w:szCs w:val="21"/>
                <w:highlight w:val="none"/>
              </w:rPr>
            </w:pPr>
            <w:r>
              <w:rPr>
                <w:rFonts w:hint="eastAsia" w:ascii="仿宋" w:hAnsi="仿宋" w:eastAsia="仿宋"/>
                <w:color w:val="auto"/>
                <w:kern w:val="0"/>
                <w:szCs w:val="21"/>
                <w:highlight w:val="none"/>
              </w:rPr>
              <w:t>4、投标人发现网络安全漏洞、缺陷或者其他严重网络安全风险，应及时向采购人报告。</w:t>
            </w:r>
          </w:p>
          <w:p w14:paraId="5FBCAE74">
            <w:pPr>
              <w:widowControl/>
              <w:rPr>
                <w:rFonts w:ascii="仿宋" w:hAnsi="仿宋" w:eastAsia="仿宋"/>
                <w:color w:val="auto"/>
                <w:kern w:val="0"/>
                <w:szCs w:val="21"/>
                <w:highlight w:val="none"/>
              </w:rPr>
            </w:pPr>
            <w:r>
              <w:rPr>
                <w:rFonts w:hint="eastAsia" w:ascii="仿宋" w:hAnsi="仿宋" w:eastAsia="仿宋"/>
                <w:color w:val="auto"/>
                <w:kern w:val="0"/>
                <w:szCs w:val="21"/>
                <w:highlight w:val="none"/>
              </w:rPr>
              <w:t>5、处理合作事项的信息平台应当优先采用符合安全可靠测评要求的硬件和软件产品。</w:t>
            </w:r>
          </w:p>
          <w:p w14:paraId="1BD37E6C">
            <w:pPr>
              <w:widowControl/>
              <w:rPr>
                <w:rFonts w:ascii="仿宋" w:hAnsi="仿宋" w:eastAsia="仿宋"/>
                <w:color w:val="auto"/>
                <w:kern w:val="0"/>
                <w:szCs w:val="21"/>
                <w:highlight w:val="none"/>
              </w:rPr>
            </w:pPr>
            <w:r>
              <w:rPr>
                <w:rFonts w:hint="eastAsia" w:ascii="仿宋" w:hAnsi="仿宋" w:eastAsia="仿宋"/>
                <w:color w:val="auto"/>
                <w:kern w:val="0"/>
                <w:szCs w:val="21"/>
                <w:highlight w:val="none"/>
              </w:rPr>
              <w:t>6、发生可能影响合作事项的网络安全重大事项，包括负责人及重要工作人员变更、业务转型、合并重组和投资并购等，投标人应提前向采购人报告。</w:t>
            </w:r>
          </w:p>
          <w:p w14:paraId="76CA24EE">
            <w:pPr>
              <w:widowControl/>
              <w:rPr>
                <w:rFonts w:ascii="仿宋" w:hAnsi="仿宋" w:eastAsia="仿宋"/>
                <w:color w:val="auto"/>
                <w:kern w:val="0"/>
                <w:szCs w:val="21"/>
                <w:highlight w:val="none"/>
              </w:rPr>
            </w:pPr>
            <w:r>
              <w:rPr>
                <w:rFonts w:hint="eastAsia" w:ascii="仿宋" w:hAnsi="仿宋" w:eastAsia="仿宋"/>
                <w:color w:val="auto"/>
                <w:kern w:val="0"/>
                <w:szCs w:val="21"/>
                <w:highlight w:val="none"/>
              </w:rPr>
              <w:t>7、采用社会公共网络平台实施合作事项时，严禁涉及国家秘密和警务工作秘密。</w:t>
            </w:r>
          </w:p>
          <w:p w14:paraId="000203C0">
            <w:pPr>
              <w:widowControl/>
              <w:rPr>
                <w:rFonts w:ascii="仿宋" w:hAnsi="仿宋" w:eastAsia="仿宋"/>
                <w:color w:val="auto"/>
                <w:kern w:val="0"/>
                <w:szCs w:val="21"/>
                <w:highlight w:val="none"/>
              </w:rPr>
            </w:pPr>
            <w:r>
              <w:rPr>
                <w:rFonts w:hint="eastAsia" w:ascii="仿宋" w:hAnsi="仿宋" w:eastAsia="仿宋"/>
                <w:color w:val="auto"/>
                <w:kern w:val="0"/>
                <w:szCs w:val="21"/>
                <w:highlight w:val="none"/>
              </w:rPr>
              <w:t>8、</w:t>
            </w:r>
            <w:r>
              <w:rPr>
                <w:rFonts w:ascii="仿宋" w:hAnsi="仿宋" w:eastAsia="仿宋" w:cs="仿宋"/>
                <w:color w:val="auto"/>
                <w:szCs w:val="21"/>
                <w:highlight w:val="none"/>
              </w:rPr>
              <w:t>投标人应</w:t>
            </w:r>
            <w:r>
              <w:rPr>
                <w:rFonts w:hint="eastAsia" w:ascii="仿宋" w:hAnsi="仿宋" w:eastAsia="仿宋" w:cs="仿宋"/>
                <w:color w:val="auto"/>
                <w:szCs w:val="21"/>
                <w:highlight w:val="none"/>
                <w:lang w:val="en-US" w:eastAsia="zh-CN"/>
              </w:rPr>
              <w:t>在每次验收</w:t>
            </w:r>
            <w:r>
              <w:rPr>
                <w:rFonts w:ascii="仿宋" w:hAnsi="仿宋" w:eastAsia="仿宋" w:cs="仿宋"/>
                <w:color w:val="auto"/>
                <w:szCs w:val="21"/>
                <w:highlight w:val="none"/>
              </w:rPr>
              <w:t>之前向采购人提交网络安全报告</w:t>
            </w:r>
            <w:r>
              <w:rPr>
                <w:rFonts w:hint="eastAsia" w:ascii="仿宋" w:hAnsi="仿宋" w:eastAsia="仿宋"/>
                <w:color w:val="auto"/>
                <w:kern w:val="0"/>
                <w:szCs w:val="21"/>
                <w:highlight w:val="none"/>
              </w:rPr>
              <w:t>。</w:t>
            </w:r>
          </w:p>
          <w:p w14:paraId="0F5AA515">
            <w:pPr>
              <w:widowControl/>
              <w:rPr>
                <w:rFonts w:ascii="仿宋" w:hAnsi="仿宋" w:eastAsia="仿宋"/>
                <w:color w:val="auto"/>
                <w:kern w:val="0"/>
                <w:szCs w:val="21"/>
                <w:highlight w:val="none"/>
              </w:rPr>
            </w:pPr>
            <w:r>
              <w:rPr>
                <w:rFonts w:hint="eastAsia" w:ascii="仿宋" w:hAnsi="仿宋" w:eastAsia="仿宋"/>
                <w:color w:val="auto"/>
                <w:kern w:val="0"/>
                <w:szCs w:val="21"/>
                <w:highlight w:val="none"/>
              </w:rPr>
              <w:t>9、其他应当落实的网络安全责任和义务。</w:t>
            </w:r>
          </w:p>
        </w:tc>
      </w:tr>
      <w:tr w14:paraId="70D95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861" w:type="dxa"/>
            <w:tcBorders>
              <w:top w:val="single" w:color="auto" w:sz="4" w:space="0"/>
              <w:left w:val="single" w:color="auto" w:sz="4" w:space="0"/>
              <w:bottom w:val="single" w:color="auto" w:sz="4" w:space="0"/>
              <w:right w:val="single" w:color="auto" w:sz="4" w:space="0"/>
            </w:tcBorders>
            <w:noWrap/>
            <w:vAlign w:val="center"/>
          </w:tcPr>
          <w:p w14:paraId="40633CB7">
            <w:pPr>
              <w:widowControl/>
              <w:spacing w:before="120" w:beforeLines="50" w:line="360" w:lineRule="auto"/>
              <w:jc w:val="center"/>
              <w:outlineLvl w:val="3"/>
              <w:rPr>
                <w:rFonts w:ascii="仿宋" w:hAnsi="仿宋" w:eastAsia="仿宋" w:cs="仿宋"/>
                <w:bCs/>
                <w:color w:val="auto"/>
                <w:szCs w:val="21"/>
                <w:highlight w:val="none"/>
              </w:rPr>
            </w:pPr>
            <w:r>
              <w:rPr>
                <w:rFonts w:ascii="仿宋" w:hAnsi="仿宋" w:eastAsia="仿宋" w:cs="仿宋"/>
                <w:bCs/>
                <w:color w:val="auto"/>
                <w:szCs w:val="21"/>
                <w:highlight w:val="none"/>
              </w:rPr>
              <w:t>7</w:t>
            </w:r>
          </w:p>
        </w:tc>
        <w:tc>
          <w:tcPr>
            <w:tcW w:w="1515" w:type="dxa"/>
            <w:tcBorders>
              <w:top w:val="single" w:color="auto" w:sz="4" w:space="0"/>
              <w:left w:val="single" w:color="auto" w:sz="4" w:space="0"/>
              <w:bottom w:val="single" w:color="auto" w:sz="4" w:space="0"/>
              <w:right w:val="single" w:color="auto" w:sz="4" w:space="0"/>
            </w:tcBorders>
            <w:noWrap w:val="0"/>
            <w:vAlign w:val="center"/>
          </w:tcPr>
          <w:p w14:paraId="7D507EEB">
            <w:pPr>
              <w:widowControl/>
              <w:jc w:val="center"/>
              <w:rPr>
                <w:rFonts w:ascii="仿宋" w:hAnsi="仿宋" w:eastAsia="仿宋" w:cs="仿宋"/>
                <w:bCs/>
                <w:color w:val="auto"/>
                <w:szCs w:val="21"/>
                <w:highlight w:val="none"/>
              </w:rPr>
            </w:pPr>
            <w:r>
              <w:rPr>
                <w:rFonts w:hint="eastAsia" w:ascii="仿宋" w:hAnsi="仿宋" w:eastAsia="仿宋" w:cs="仿宋"/>
                <w:bCs/>
                <w:color w:val="auto"/>
                <w:szCs w:val="21"/>
                <w:highlight w:val="none"/>
              </w:rPr>
              <w:t>保密管理</w:t>
            </w:r>
          </w:p>
        </w:tc>
        <w:tc>
          <w:tcPr>
            <w:tcW w:w="6519" w:type="dxa"/>
            <w:tcBorders>
              <w:top w:val="single" w:color="auto" w:sz="4" w:space="0"/>
              <w:left w:val="single" w:color="auto" w:sz="4" w:space="0"/>
              <w:bottom w:val="single" w:color="auto" w:sz="4" w:space="0"/>
              <w:right w:val="single" w:color="auto" w:sz="4" w:space="0"/>
            </w:tcBorders>
            <w:noWrap w:val="0"/>
            <w:vAlign w:val="center"/>
          </w:tcPr>
          <w:p w14:paraId="0EA8D59F">
            <w:pPr>
              <w:widowControl/>
              <w:rPr>
                <w:rFonts w:ascii="仿宋" w:hAnsi="仿宋" w:eastAsia="仿宋" w:cs="仿宋"/>
                <w:bCs/>
                <w:color w:val="auto"/>
                <w:szCs w:val="21"/>
                <w:highlight w:val="none"/>
              </w:rPr>
            </w:pPr>
            <w:r>
              <w:rPr>
                <w:rFonts w:hint="eastAsia" w:ascii="仿宋" w:hAnsi="仿宋" w:eastAsia="仿宋" w:cs="仿宋"/>
                <w:color w:val="auto"/>
                <w:kern w:val="0"/>
                <w:szCs w:val="21"/>
                <w:highlight w:val="none"/>
              </w:rPr>
              <w:t>满足采购人的保密规定实施，签订单位保密协议、个人保密承诺书，明确具体安全管理内容、安全保密义务和责任，</w:t>
            </w:r>
            <w:r>
              <w:rPr>
                <w:rFonts w:hint="eastAsia" w:ascii="仿宋" w:hAnsi="仿宋" w:eastAsia="仿宋" w:cs="仿宋"/>
                <w:color w:val="auto"/>
                <w:szCs w:val="21"/>
                <w:highlight w:val="none"/>
              </w:rPr>
              <w:t>并做好日常保密教育台账</w:t>
            </w:r>
            <w:r>
              <w:rPr>
                <w:rFonts w:hint="eastAsia" w:ascii="仿宋" w:hAnsi="仿宋" w:eastAsia="仿宋" w:cs="仿宋"/>
                <w:color w:val="auto"/>
                <w:kern w:val="0"/>
                <w:szCs w:val="21"/>
                <w:highlight w:val="none"/>
              </w:rPr>
              <w:t>。投标人及工作人员无违反安全管理要求的情况，未出现各类涉及公安业务的资料等外流泄密的情况。</w:t>
            </w:r>
          </w:p>
        </w:tc>
      </w:tr>
      <w:tr w14:paraId="3B570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861" w:type="dxa"/>
            <w:tcBorders>
              <w:top w:val="single" w:color="auto" w:sz="4" w:space="0"/>
              <w:left w:val="single" w:color="auto" w:sz="4" w:space="0"/>
              <w:bottom w:val="single" w:color="auto" w:sz="4" w:space="0"/>
              <w:right w:val="single" w:color="auto" w:sz="4" w:space="0"/>
            </w:tcBorders>
            <w:noWrap/>
            <w:vAlign w:val="center"/>
          </w:tcPr>
          <w:p w14:paraId="0B79C971">
            <w:pPr>
              <w:widowControl/>
              <w:spacing w:before="120" w:beforeLines="50" w:line="360" w:lineRule="auto"/>
              <w:jc w:val="center"/>
              <w:outlineLvl w:val="3"/>
              <w:rPr>
                <w:rFonts w:ascii="仿宋" w:hAnsi="仿宋" w:eastAsia="仿宋" w:cs="仿宋"/>
                <w:bCs/>
                <w:color w:val="auto"/>
                <w:szCs w:val="21"/>
                <w:highlight w:val="none"/>
              </w:rPr>
            </w:pPr>
            <w:r>
              <w:rPr>
                <w:rFonts w:ascii="仿宋" w:hAnsi="仿宋" w:eastAsia="仿宋" w:cs="仿宋"/>
                <w:bCs/>
                <w:color w:val="auto"/>
                <w:szCs w:val="21"/>
                <w:highlight w:val="none"/>
              </w:rPr>
              <w:t>8</w:t>
            </w:r>
          </w:p>
        </w:tc>
        <w:tc>
          <w:tcPr>
            <w:tcW w:w="1515" w:type="dxa"/>
            <w:tcBorders>
              <w:top w:val="single" w:color="auto" w:sz="4" w:space="0"/>
              <w:left w:val="single" w:color="auto" w:sz="4" w:space="0"/>
              <w:bottom w:val="single" w:color="auto" w:sz="4" w:space="0"/>
              <w:right w:val="single" w:color="auto" w:sz="4" w:space="0"/>
            </w:tcBorders>
            <w:noWrap w:val="0"/>
            <w:vAlign w:val="center"/>
          </w:tcPr>
          <w:p w14:paraId="742D0014">
            <w:pPr>
              <w:widowControl/>
              <w:jc w:val="center"/>
              <w:rPr>
                <w:rFonts w:ascii="仿宋" w:hAnsi="仿宋" w:eastAsia="仿宋" w:cs="仿宋"/>
                <w:bCs/>
                <w:color w:val="auto"/>
                <w:szCs w:val="21"/>
                <w:highlight w:val="none"/>
              </w:rPr>
            </w:pPr>
            <w:r>
              <w:rPr>
                <w:rFonts w:hint="eastAsia" w:ascii="仿宋" w:hAnsi="仿宋" w:eastAsia="仿宋" w:cs="仿宋"/>
                <w:bCs/>
                <w:color w:val="auto"/>
                <w:szCs w:val="21"/>
                <w:highlight w:val="none"/>
              </w:rPr>
              <w:t>合同分包比例</w:t>
            </w:r>
          </w:p>
        </w:tc>
        <w:tc>
          <w:tcPr>
            <w:tcW w:w="6519" w:type="dxa"/>
            <w:tcBorders>
              <w:top w:val="single" w:color="auto" w:sz="4" w:space="0"/>
              <w:left w:val="single" w:color="auto" w:sz="4" w:space="0"/>
              <w:bottom w:val="single" w:color="auto" w:sz="4" w:space="0"/>
              <w:right w:val="single" w:color="auto" w:sz="4" w:space="0"/>
            </w:tcBorders>
            <w:noWrap w:val="0"/>
            <w:vAlign w:val="top"/>
          </w:tcPr>
          <w:p w14:paraId="1AEF75F2">
            <w:pPr>
              <w:widowControl/>
              <w:rPr>
                <w:rFonts w:ascii="仿宋" w:hAnsi="仿宋" w:eastAsia="仿宋" w:cs="仿宋"/>
                <w:bCs/>
                <w:color w:val="auto"/>
                <w:szCs w:val="21"/>
                <w:highlight w:val="none"/>
              </w:rPr>
            </w:pPr>
            <w:r>
              <w:rPr>
                <w:rFonts w:hint="eastAsia" w:ascii="仿宋" w:hAnsi="仿宋" w:eastAsia="仿宋" w:cs="仿宋"/>
                <w:bCs/>
                <w:color w:val="auto"/>
                <w:szCs w:val="21"/>
                <w:highlight w:val="none"/>
              </w:rPr>
              <w:t>本项目履约过程中，要求合同分包，确保中小企业合同金额应当达到</w:t>
            </w:r>
            <w:r>
              <w:rPr>
                <w:rFonts w:ascii="仿宋" w:hAnsi="仿宋" w:eastAsia="仿宋" w:cs="仿宋"/>
                <w:bCs/>
                <w:color w:val="auto"/>
                <w:szCs w:val="21"/>
                <w:highlight w:val="none"/>
              </w:rPr>
              <w:t xml:space="preserve"> 40 % </w:t>
            </w:r>
            <w:r>
              <w:rPr>
                <w:rFonts w:hint="eastAsia" w:ascii="仿宋" w:hAnsi="仿宋" w:eastAsia="仿宋" w:cs="仿宋"/>
                <w:bCs/>
                <w:color w:val="auto"/>
                <w:szCs w:val="21"/>
                <w:highlight w:val="none"/>
              </w:rPr>
              <w:t>，小微企业合同金额应当达到</w:t>
            </w:r>
            <w:r>
              <w:rPr>
                <w:rFonts w:ascii="仿宋" w:hAnsi="仿宋" w:eastAsia="仿宋" w:cs="仿宋"/>
                <w:bCs/>
                <w:color w:val="auto"/>
                <w:szCs w:val="21"/>
                <w:highlight w:val="none"/>
              </w:rPr>
              <w:t xml:space="preserve"> 28 %</w:t>
            </w:r>
          </w:p>
        </w:tc>
      </w:tr>
      <w:tr w14:paraId="55AC5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861" w:type="dxa"/>
            <w:tcBorders>
              <w:top w:val="single" w:color="auto" w:sz="4" w:space="0"/>
              <w:left w:val="single" w:color="auto" w:sz="4" w:space="0"/>
              <w:bottom w:val="single" w:color="auto" w:sz="4" w:space="0"/>
              <w:right w:val="single" w:color="auto" w:sz="4" w:space="0"/>
            </w:tcBorders>
            <w:noWrap/>
            <w:vAlign w:val="center"/>
          </w:tcPr>
          <w:p w14:paraId="19A41A84">
            <w:pPr>
              <w:widowControl/>
              <w:spacing w:before="120" w:beforeLines="50" w:line="360" w:lineRule="auto"/>
              <w:jc w:val="center"/>
              <w:outlineLvl w:val="3"/>
              <w:rPr>
                <w:rFonts w:ascii="仿宋" w:hAnsi="仿宋" w:eastAsia="仿宋" w:cs="仿宋"/>
                <w:bCs/>
                <w:color w:val="auto"/>
                <w:szCs w:val="21"/>
                <w:highlight w:val="none"/>
              </w:rPr>
            </w:pPr>
            <w:r>
              <w:rPr>
                <w:rFonts w:ascii="仿宋" w:hAnsi="仿宋" w:eastAsia="仿宋" w:cs="仿宋"/>
                <w:bCs/>
                <w:color w:val="auto"/>
                <w:szCs w:val="21"/>
                <w:highlight w:val="none"/>
              </w:rPr>
              <w:t>9</w:t>
            </w:r>
          </w:p>
        </w:tc>
        <w:tc>
          <w:tcPr>
            <w:tcW w:w="1515" w:type="dxa"/>
            <w:tcBorders>
              <w:top w:val="single" w:color="auto" w:sz="4" w:space="0"/>
              <w:left w:val="single" w:color="auto" w:sz="4" w:space="0"/>
              <w:bottom w:val="single" w:color="auto" w:sz="4" w:space="0"/>
              <w:right w:val="single" w:color="auto" w:sz="4" w:space="0"/>
            </w:tcBorders>
            <w:noWrap w:val="0"/>
            <w:vAlign w:val="center"/>
          </w:tcPr>
          <w:p w14:paraId="676204EE">
            <w:pPr>
              <w:widowControl/>
              <w:spacing w:before="120" w:beforeLines="50" w:line="360" w:lineRule="auto"/>
              <w:jc w:val="center"/>
              <w:outlineLvl w:val="3"/>
              <w:rPr>
                <w:rFonts w:ascii="仿宋" w:hAnsi="仿宋" w:eastAsia="仿宋" w:cs="仿宋"/>
                <w:bCs/>
                <w:color w:val="auto"/>
                <w:szCs w:val="21"/>
                <w:highlight w:val="none"/>
              </w:rPr>
            </w:pPr>
            <w:r>
              <w:rPr>
                <w:rFonts w:hint="eastAsia" w:ascii="仿宋" w:hAnsi="仿宋" w:eastAsia="仿宋" w:cs="仿宋"/>
                <w:bCs/>
                <w:color w:val="auto"/>
                <w:szCs w:val="21"/>
                <w:highlight w:val="none"/>
              </w:rPr>
              <w:t>其他工作</w:t>
            </w:r>
          </w:p>
        </w:tc>
        <w:tc>
          <w:tcPr>
            <w:tcW w:w="6519" w:type="dxa"/>
            <w:tcBorders>
              <w:top w:val="single" w:color="auto" w:sz="4" w:space="0"/>
              <w:left w:val="single" w:color="auto" w:sz="4" w:space="0"/>
              <w:bottom w:val="single" w:color="auto" w:sz="4" w:space="0"/>
              <w:right w:val="single" w:color="auto" w:sz="4" w:space="0"/>
            </w:tcBorders>
            <w:noWrap w:val="0"/>
            <w:vAlign w:val="center"/>
          </w:tcPr>
          <w:p w14:paraId="5D292888">
            <w:pPr>
              <w:widowControl/>
              <w:spacing w:before="120" w:beforeLines="50" w:line="360" w:lineRule="auto"/>
              <w:jc w:val="left"/>
              <w:outlineLvl w:val="3"/>
              <w:rPr>
                <w:rFonts w:ascii="仿宋" w:hAnsi="仿宋" w:eastAsia="仿宋" w:cs="仿宋"/>
                <w:bCs/>
                <w:color w:val="auto"/>
                <w:szCs w:val="21"/>
                <w:highlight w:val="none"/>
              </w:rPr>
            </w:pPr>
            <w:r>
              <w:rPr>
                <w:rFonts w:hint="eastAsia" w:ascii="仿宋" w:hAnsi="仿宋" w:eastAsia="仿宋" w:cs="仿宋"/>
                <w:bCs/>
                <w:color w:val="auto"/>
                <w:szCs w:val="21"/>
                <w:highlight w:val="none"/>
              </w:rPr>
              <w:t>履行采购文件、投标文件、合同条款中涉及的其他承诺的情况</w:t>
            </w:r>
          </w:p>
        </w:tc>
      </w:tr>
      <w:bookmarkEnd w:id="42"/>
    </w:tbl>
    <w:p w14:paraId="46DE33F7">
      <w:pPr>
        <w:tabs>
          <w:tab w:val="left" w:pos="904"/>
        </w:tabs>
        <w:snapToGrid w:val="0"/>
        <w:spacing w:after="0"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5</w:t>
      </w:r>
      <w:r>
        <w:rPr>
          <w:rFonts w:hint="eastAsia" w:ascii="仿宋" w:hAnsi="仿宋" w:eastAsia="仿宋" w:cs="仿宋"/>
          <w:color w:val="auto"/>
          <w:sz w:val="21"/>
          <w:szCs w:val="21"/>
          <w:highlight w:val="none"/>
        </w:rPr>
        <w:t>.2</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验收资料要求包括（不限于）以下内容：</w:t>
      </w:r>
    </w:p>
    <w:p w14:paraId="36D8AAE8">
      <w:pPr>
        <w:numPr>
          <w:ilvl w:val="0"/>
          <w:numId w:val="5"/>
        </w:numPr>
        <w:tabs>
          <w:tab w:val="left" w:pos="904"/>
        </w:tabs>
        <w:adjustRightInd/>
        <w:snapToGrid w:val="0"/>
        <w:spacing w:line="360" w:lineRule="auto"/>
        <w:jc w:val="left"/>
        <w:rPr>
          <w:rFonts w:ascii="仿宋" w:hAnsi="仿宋" w:eastAsia="仿宋" w:cs="仿宋"/>
          <w:color w:val="auto"/>
          <w:szCs w:val="21"/>
          <w:highlight w:val="none"/>
        </w:rPr>
      </w:pPr>
      <w:r>
        <w:rPr>
          <w:rFonts w:hint="eastAsia" w:ascii="仿宋" w:hAnsi="仿宋" w:eastAsia="仿宋" w:cs="仿宋"/>
          <w:color w:val="auto"/>
          <w:szCs w:val="21"/>
          <w:highlight w:val="none"/>
        </w:rPr>
        <w:t>采购文件</w:t>
      </w:r>
    </w:p>
    <w:p w14:paraId="704049B0">
      <w:pPr>
        <w:numPr>
          <w:ilvl w:val="0"/>
          <w:numId w:val="5"/>
        </w:numPr>
        <w:tabs>
          <w:tab w:val="left" w:pos="904"/>
        </w:tabs>
        <w:adjustRightInd/>
        <w:snapToGrid w:val="0"/>
        <w:spacing w:line="360" w:lineRule="auto"/>
        <w:ind w:left="1146"/>
        <w:jc w:val="left"/>
        <w:rPr>
          <w:rFonts w:ascii="仿宋" w:hAnsi="仿宋" w:eastAsia="仿宋" w:cs="仿宋"/>
          <w:color w:val="auto"/>
          <w:szCs w:val="21"/>
          <w:highlight w:val="none"/>
        </w:rPr>
      </w:pPr>
      <w:r>
        <w:rPr>
          <w:rFonts w:hint="eastAsia" w:ascii="仿宋" w:hAnsi="仿宋" w:eastAsia="仿宋" w:cs="仿宋"/>
          <w:color w:val="auto"/>
          <w:szCs w:val="21"/>
          <w:highlight w:val="none"/>
        </w:rPr>
        <w:t>投标文件</w:t>
      </w:r>
    </w:p>
    <w:p w14:paraId="2A60FE44">
      <w:pPr>
        <w:numPr>
          <w:ilvl w:val="0"/>
          <w:numId w:val="5"/>
        </w:numPr>
        <w:tabs>
          <w:tab w:val="left" w:pos="904"/>
        </w:tabs>
        <w:adjustRightInd/>
        <w:snapToGrid w:val="0"/>
        <w:spacing w:line="360" w:lineRule="auto"/>
        <w:ind w:left="1146"/>
        <w:jc w:val="left"/>
        <w:rPr>
          <w:rFonts w:ascii="仿宋" w:hAnsi="仿宋" w:eastAsia="仿宋" w:cs="仿宋"/>
          <w:color w:val="auto"/>
          <w:szCs w:val="21"/>
          <w:highlight w:val="none"/>
        </w:rPr>
      </w:pPr>
      <w:r>
        <w:rPr>
          <w:rFonts w:hint="eastAsia" w:ascii="仿宋" w:hAnsi="仿宋" w:eastAsia="仿宋" w:cs="仿宋"/>
          <w:color w:val="auto"/>
          <w:szCs w:val="21"/>
          <w:highlight w:val="none"/>
        </w:rPr>
        <w:t>采购合同</w:t>
      </w:r>
    </w:p>
    <w:p w14:paraId="6568D3A4">
      <w:pPr>
        <w:numPr>
          <w:ilvl w:val="0"/>
          <w:numId w:val="5"/>
        </w:numPr>
        <w:tabs>
          <w:tab w:val="left" w:pos="904"/>
        </w:tabs>
        <w:adjustRightInd/>
        <w:snapToGrid w:val="0"/>
        <w:spacing w:line="360" w:lineRule="auto"/>
        <w:ind w:left="1146"/>
        <w:jc w:val="left"/>
        <w:rPr>
          <w:rFonts w:ascii="仿宋" w:hAnsi="仿宋" w:eastAsia="仿宋" w:cs="仿宋"/>
          <w:color w:val="auto"/>
          <w:szCs w:val="21"/>
          <w:highlight w:val="none"/>
        </w:rPr>
      </w:pPr>
      <w:r>
        <w:rPr>
          <w:rFonts w:hint="eastAsia" w:ascii="仿宋" w:hAnsi="仿宋" w:eastAsia="仿宋" w:cs="仿宋"/>
          <w:color w:val="auto"/>
          <w:szCs w:val="21"/>
          <w:highlight w:val="none"/>
        </w:rPr>
        <w:t>考核表：</w:t>
      </w:r>
      <w:r>
        <w:rPr>
          <w:rFonts w:hint="eastAsia" w:ascii="仿宋" w:hAnsi="仿宋" w:eastAsia="仿宋" w:cs="等线"/>
          <w:color w:val="auto"/>
          <w:szCs w:val="21"/>
          <w:highlight w:val="none"/>
        </w:rPr>
        <w:t>每月考核表</w:t>
      </w:r>
      <w:r>
        <w:rPr>
          <w:rFonts w:hint="eastAsia" w:ascii="仿宋" w:hAnsi="仿宋" w:eastAsia="仿宋" w:cs="仿宋"/>
          <w:color w:val="auto"/>
          <w:szCs w:val="21"/>
          <w:highlight w:val="none"/>
        </w:rPr>
        <w:t>（采购人经办人、审核人、投标人签字盖章）；</w:t>
      </w:r>
    </w:p>
    <w:p w14:paraId="1BD3F948">
      <w:pPr>
        <w:numPr>
          <w:ilvl w:val="0"/>
          <w:numId w:val="5"/>
        </w:numPr>
        <w:tabs>
          <w:tab w:val="left" w:pos="904"/>
        </w:tabs>
        <w:adjustRightInd/>
        <w:snapToGrid w:val="0"/>
        <w:spacing w:line="360" w:lineRule="auto"/>
        <w:ind w:left="1146"/>
        <w:jc w:val="left"/>
        <w:rPr>
          <w:rFonts w:ascii="仿宋" w:hAnsi="仿宋" w:eastAsia="仿宋" w:cs="仿宋"/>
          <w:color w:val="auto"/>
          <w:szCs w:val="21"/>
          <w:highlight w:val="none"/>
        </w:rPr>
      </w:pPr>
      <w:r>
        <w:rPr>
          <w:rFonts w:hint="eastAsia" w:ascii="仿宋" w:hAnsi="仿宋" w:eastAsia="仿宋" w:cs="仿宋"/>
          <w:color w:val="auto"/>
          <w:szCs w:val="21"/>
          <w:highlight w:val="none"/>
        </w:rPr>
        <w:t>人员清单：项目实施人员明细清单，</w:t>
      </w:r>
      <w:r>
        <w:rPr>
          <w:rFonts w:hint="eastAsia" w:ascii="仿宋" w:hAnsi="仿宋" w:eastAsia="仿宋" w:cs="仿宋"/>
          <w:color w:val="auto"/>
          <w:szCs w:val="21"/>
          <w:highlight w:val="none"/>
        </w:rPr>
        <w:t>驻点人员每日考勤</w:t>
      </w:r>
      <w:r>
        <w:rPr>
          <w:rFonts w:hint="eastAsia" w:ascii="仿宋" w:hAnsi="仿宋" w:eastAsia="仿宋" w:cs="仿宋"/>
          <w:color w:val="auto"/>
          <w:szCs w:val="21"/>
          <w:highlight w:val="none"/>
          <w:lang w:eastAsia="zh-Hans"/>
        </w:rPr>
        <w:t>签到</w:t>
      </w:r>
      <w:r>
        <w:rPr>
          <w:rFonts w:hint="eastAsia" w:ascii="仿宋" w:hAnsi="仿宋" w:eastAsia="仿宋" w:cs="仿宋"/>
          <w:color w:val="auto"/>
          <w:szCs w:val="21"/>
          <w:highlight w:val="none"/>
        </w:rPr>
        <w:t>记录（需采购人经办人、审核人、中标人签字并盖章）</w:t>
      </w:r>
      <w:r>
        <w:rPr>
          <w:rFonts w:hint="eastAsia" w:ascii="仿宋" w:hAnsi="仿宋" w:eastAsia="仿宋" w:cs="仿宋"/>
          <w:color w:val="auto"/>
          <w:szCs w:val="21"/>
          <w:highlight w:val="none"/>
        </w:rPr>
        <w:t>、人员社保缴纳证明，人员相关资质证书；</w:t>
      </w:r>
    </w:p>
    <w:p w14:paraId="062D5F51">
      <w:pPr>
        <w:numPr>
          <w:ilvl w:val="0"/>
          <w:numId w:val="5"/>
        </w:numPr>
        <w:tabs>
          <w:tab w:val="left" w:pos="904"/>
        </w:tabs>
        <w:adjustRightInd/>
        <w:snapToGrid w:val="0"/>
        <w:spacing w:line="360" w:lineRule="auto"/>
        <w:ind w:left="1146"/>
        <w:jc w:val="left"/>
        <w:rPr>
          <w:rFonts w:ascii="仿宋" w:hAnsi="仿宋" w:eastAsia="仿宋" w:cs="仿宋"/>
          <w:color w:val="auto"/>
          <w:szCs w:val="21"/>
          <w:highlight w:val="none"/>
        </w:rPr>
      </w:pPr>
      <w:r>
        <w:rPr>
          <w:rFonts w:hint="eastAsia" w:ascii="仿宋" w:hAnsi="仿宋" w:eastAsia="仿宋" w:cs="仿宋"/>
          <w:color w:val="auto"/>
          <w:szCs w:val="21"/>
          <w:highlight w:val="none"/>
        </w:rPr>
        <w:t>人员变更审批表；（如有）</w:t>
      </w:r>
    </w:p>
    <w:p w14:paraId="51012DCF">
      <w:pPr>
        <w:numPr>
          <w:ilvl w:val="0"/>
          <w:numId w:val="5"/>
        </w:numPr>
        <w:tabs>
          <w:tab w:val="left" w:pos="904"/>
        </w:tabs>
        <w:adjustRightInd/>
        <w:snapToGrid w:val="0"/>
        <w:spacing w:line="360" w:lineRule="auto"/>
        <w:ind w:left="1146"/>
        <w:jc w:val="left"/>
        <w:rPr>
          <w:rFonts w:ascii="仿宋" w:hAnsi="仿宋" w:eastAsia="仿宋" w:cs="仿宋"/>
          <w:color w:val="auto"/>
          <w:szCs w:val="21"/>
          <w:highlight w:val="none"/>
        </w:rPr>
      </w:pPr>
      <w:r>
        <w:rPr>
          <w:rFonts w:hint="eastAsia" w:ascii="仿宋" w:hAnsi="仿宋" w:eastAsia="仿宋" w:cs="仿宋"/>
          <w:color w:val="auto"/>
          <w:szCs w:val="21"/>
          <w:highlight w:val="none"/>
        </w:rPr>
        <w:t>分析报告汇总表：需采购人经办人、审核人、投标人签字并盖章；</w:t>
      </w:r>
    </w:p>
    <w:p w14:paraId="58FE9702">
      <w:pPr>
        <w:numPr>
          <w:ilvl w:val="0"/>
          <w:numId w:val="5"/>
        </w:numPr>
        <w:tabs>
          <w:tab w:val="left" w:pos="904"/>
        </w:tabs>
        <w:adjustRightInd/>
        <w:snapToGrid w:val="0"/>
        <w:spacing w:line="360" w:lineRule="auto"/>
        <w:ind w:left="1146"/>
        <w:jc w:val="left"/>
        <w:rPr>
          <w:rFonts w:ascii="仿宋" w:hAnsi="仿宋" w:eastAsia="仿宋" w:cs="仿宋"/>
          <w:color w:val="auto"/>
          <w:szCs w:val="21"/>
          <w:highlight w:val="none"/>
        </w:rPr>
      </w:pPr>
      <w:r>
        <w:rPr>
          <w:rFonts w:hint="eastAsia" w:ascii="仿宋" w:hAnsi="仿宋" w:eastAsia="仿宋" w:cs="仿宋"/>
          <w:color w:val="auto"/>
          <w:szCs w:val="21"/>
          <w:highlight w:val="none"/>
        </w:rPr>
        <w:t>单个案件分析报告，每月监测数据确认表（采购人经办人、审核人、投标人签字盖章）</w:t>
      </w:r>
    </w:p>
    <w:p w14:paraId="2B29514A">
      <w:pPr>
        <w:numPr>
          <w:ilvl w:val="0"/>
          <w:numId w:val="5"/>
        </w:numPr>
        <w:tabs>
          <w:tab w:val="left" w:pos="904"/>
        </w:tabs>
        <w:adjustRightInd/>
        <w:snapToGrid w:val="0"/>
        <w:spacing w:line="360" w:lineRule="auto"/>
        <w:ind w:left="1146"/>
        <w:jc w:val="left"/>
        <w:rPr>
          <w:rFonts w:ascii="仿宋" w:hAnsi="仿宋" w:eastAsia="仿宋" w:cs="仿宋"/>
          <w:color w:val="auto"/>
          <w:szCs w:val="21"/>
          <w:highlight w:val="none"/>
        </w:rPr>
      </w:pPr>
      <w:r>
        <w:rPr>
          <w:rFonts w:hint="eastAsia" w:ascii="仿宋" w:hAnsi="仿宋" w:eastAsia="仿宋" w:cs="仿宋"/>
          <w:color w:val="auto"/>
          <w:szCs w:val="21"/>
          <w:highlight w:val="none"/>
        </w:rPr>
        <w:t>网络安全保障方案、网络安全事件应急预案、网络安全风险书面报告（如有）、网络安全重大事项书面报告（如有）、网络安全报告</w:t>
      </w:r>
    </w:p>
    <w:p w14:paraId="56786AF9">
      <w:pPr>
        <w:numPr>
          <w:ilvl w:val="0"/>
          <w:numId w:val="5"/>
        </w:numPr>
        <w:tabs>
          <w:tab w:val="left" w:pos="904"/>
        </w:tabs>
        <w:adjustRightInd/>
        <w:snapToGrid w:val="0"/>
        <w:spacing w:line="360" w:lineRule="auto"/>
        <w:ind w:left="1146"/>
        <w:jc w:val="left"/>
        <w:rPr>
          <w:rFonts w:ascii="仿宋" w:hAnsi="仿宋" w:eastAsia="仿宋" w:cs="仿宋"/>
          <w:color w:val="auto"/>
          <w:szCs w:val="21"/>
          <w:highlight w:val="none"/>
        </w:rPr>
      </w:pPr>
      <w:r>
        <w:rPr>
          <w:rFonts w:hint="eastAsia" w:ascii="仿宋" w:hAnsi="仿宋" w:eastAsia="仿宋" w:cs="仿宋"/>
          <w:color w:val="auto"/>
          <w:szCs w:val="21"/>
          <w:highlight w:val="none"/>
        </w:rPr>
        <w:t>单位保密协议、个人保密承诺书、日常保密教育台账；</w:t>
      </w:r>
    </w:p>
    <w:p w14:paraId="7BFD956E">
      <w:pPr>
        <w:numPr>
          <w:ilvl w:val="0"/>
          <w:numId w:val="5"/>
        </w:numPr>
        <w:tabs>
          <w:tab w:val="left" w:pos="904"/>
        </w:tabs>
        <w:adjustRightInd/>
        <w:snapToGrid w:val="0"/>
        <w:spacing w:line="360" w:lineRule="auto"/>
        <w:ind w:left="1146"/>
        <w:jc w:val="left"/>
        <w:rPr>
          <w:rFonts w:ascii="仿宋" w:hAnsi="仿宋" w:eastAsia="仿宋" w:cs="仿宋"/>
          <w:color w:val="auto"/>
          <w:szCs w:val="21"/>
          <w:highlight w:val="none"/>
        </w:rPr>
      </w:pPr>
      <w:r>
        <w:rPr>
          <w:rFonts w:hint="eastAsia" w:ascii="仿宋" w:hAnsi="仿宋" w:eastAsia="仿宋" w:cs="仿宋"/>
          <w:color w:val="auto"/>
          <w:szCs w:val="21"/>
          <w:highlight w:val="none"/>
        </w:rPr>
        <w:t>服务总结报告；</w:t>
      </w:r>
    </w:p>
    <w:p w14:paraId="19B0C0CE">
      <w:pPr>
        <w:numPr>
          <w:ilvl w:val="0"/>
          <w:numId w:val="5"/>
        </w:numPr>
        <w:tabs>
          <w:tab w:val="left" w:pos="904"/>
        </w:tabs>
        <w:adjustRightInd/>
        <w:snapToGrid w:val="0"/>
        <w:spacing w:line="360" w:lineRule="auto"/>
        <w:ind w:left="1146"/>
        <w:jc w:val="left"/>
        <w:rPr>
          <w:rFonts w:ascii="仿宋" w:hAnsi="仿宋" w:eastAsia="仿宋" w:cs="仿宋"/>
          <w:color w:val="auto"/>
          <w:szCs w:val="21"/>
          <w:highlight w:val="none"/>
        </w:rPr>
      </w:pPr>
      <w:r>
        <w:rPr>
          <w:rFonts w:hint="eastAsia" w:ascii="仿宋" w:hAnsi="仿宋" w:eastAsia="仿宋" w:cs="仿宋"/>
          <w:color w:val="auto"/>
          <w:szCs w:val="21"/>
          <w:highlight w:val="none"/>
        </w:rPr>
        <w:t>分包意向协议、中小企业佐证材料；</w:t>
      </w:r>
    </w:p>
    <w:p w14:paraId="52873520">
      <w:pPr>
        <w:numPr>
          <w:ilvl w:val="0"/>
          <w:numId w:val="5"/>
        </w:numPr>
        <w:tabs>
          <w:tab w:val="left" w:pos="904"/>
        </w:tabs>
        <w:adjustRightInd/>
        <w:snapToGrid w:val="0"/>
        <w:spacing w:line="360" w:lineRule="auto"/>
        <w:ind w:left="1146"/>
        <w:jc w:val="left"/>
        <w:rPr>
          <w:rFonts w:ascii="仿宋" w:hAnsi="仿宋" w:eastAsia="仿宋" w:cs="仿宋"/>
          <w:color w:val="auto"/>
          <w:szCs w:val="21"/>
          <w:highlight w:val="none"/>
        </w:rPr>
      </w:pPr>
      <w:r>
        <w:rPr>
          <w:rFonts w:hint="eastAsia" w:ascii="仿宋" w:hAnsi="仿宋" w:eastAsia="仿宋" w:cs="仿宋"/>
          <w:color w:val="auto"/>
          <w:szCs w:val="21"/>
          <w:highlight w:val="none"/>
        </w:rPr>
        <w:t>其他需提供的相关材料。</w:t>
      </w:r>
    </w:p>
    <w:p w14:paraId="5B1A9359">
      <w:pPr>
        <w:snapToGrid w:val="0"/>
        <w:spacing w:line="360" w:lineRule="auto"/>
        <w:ind w:firstLine="480" w:firstLineChars="200"/>
        <w:jc w:val="left"/>
        <w:rPr>
          <w:rFonts w:ascii="仿宋" w:hAnsi="仿宋" w:eastAsia="仿宋" w:cs="仿宋_GB2312"/>
          <w:color w:val="auto"/>
          <w:sz w:val="24"/>
          <w:highlight w:val="none"/>
        </w:rPr>
      </w:pPr>
      <w:r>
        <w:rPr>
          <w:rFonts w:ascii="仿宋" w:hAnsi="仿宋" w:eastAsia="仿宋" w:cs="仿宋_GB2312"/>
          <w:color w:val="auto"/>
          <w:sz w:val="24"/>
          <w:highlight w:val="none"/>
        </w:rPr>
        <w:t xml:space="preserve"> </w:t>
      </w:r>
    </w:p>
    <w:p w14:paraId="2293A680">
      <w:pPr>
        <w:snapToGrid w:val="0"/>
        <w:spacing w:line="360" w:lineRule="auto"/>
        <w:ind w:firstLine="422" w:firstLineChars="200"/>
        <w:jc w:val="left"/>
        <w:rPr>
          <w:rFonts w:ascii="仿宋" w:hAnsi="仿宋" w:eastAsia="仿宋"/>
          <w:b/>
          <w:color w:val="auto"/>
          <w:szCs w:val="21"/>
          <w:highlight w:val="none"/>
        </w:rPr>
      </w:pPr>
      <w:r>
        <w:rPr>
          <w:rFonts w:hint="eastAsia" w:ascii="仿宋" w:hAnsi="仿宋" w:eastAsia="仿宋"/>
          <w:b/>
          <w:color w:val="auto"/>
          <w:szCs w:val="21"/>
          <w:highlight w:val="none"/>
        </w:rPr>
        <w:t>2、考核：</w:t>
      </w:r>
    </w:p>
    <w:p w14:paraId="2843BFE7">
      <w:pPr>
        <w:snapToGrid w:val="0"/>
        <w:spacing w:line="360" w:lineRule="auto"/>
        <w:ind w:firstLine="420" w:firstLineChars="200"/>
        <w:rPr>
          <w:rFonts w:ascii="仿宋" w:hAnsi="仿宋" w:eastAsia="仿宋" w:cs="仿宋"/>
          <w:color w:val="auto"/>
          <w:szCs w:val="21"/>
          <w:highlight w:val="none"/>
          <w:u w:val="single"/>
          <w:lang w:val="zh-CN"/>
        </w:rPr>
      </w:pPr>
      <w:r>
        <w:rPr>
          <w:rFonts w:hint="eastAsia" w:ascii="仿宋" w:hAnsi="仿宋" w:eastAsia="仿宋" w:cs="仿宋"/>
          <w:color w:val="auto"/>
          <w:szCs w:val="21"/>
          <w:highlight w:val="none"/>
          <w:u w:val="single"/>
          <w:lang w:val="zh-CN"/>
        </w:rPr>
        <w:t>投标人履行项目服务工作内容，采购人负责投标人的管理指导、验收考核等职责，督促其履行合同。</w:t>
      </w:r>
    </w:p>
    <w:p w14:paraId="2701E916">
      <w:pPr>
        <w:snapToGrid w:val="0"/>
        <w:spacing w:line="360" w:lineRule="auto"/>
        <w:ind w:firstLine="420" w:firstLineChars="200"/>
        <w:rPr>
          <w:rFonts w:ascii="仿宋" w:hAnsi="仿宋" w:eastAsia="仿宋" w:cs="仿宋"/>
          <w:color w:val="auto"/>
          <w:szCs w:val="21"/>
          <w:highlight w:val="none"/>
          <w:u w:val="single"/>
          <w:lang w:val="zh-CN"/>
        </w:rPr>
      </w:pPr>
      <w:r>
        <w:rPr>
          <w:rFonts w:hint="eastAsia" w:ascii="仿宋" w:hAnsi="仿宋" w:eastAsia="仿宋" w:cs="仿宋"/>
          <w:color w:val="auto"/>
          <w:szCs w:val="21"/>
          <w:highlight w:val="none"/>
          <w:u w:val="single"/>
          <w:lang w:val="zh-CN"/>
        </w:rPr>
        <w:t>本考核以每月为考核周期，采用百分制计分方式，</w:t>
      </w:r>
      <w:r>
        <w:rPr>
          <w:rFonts w:ascii="仿宋" w:hAnsi="仿宋" w:eastAsia="仿宋" w:cs="仿宋"/>
          <w:color w:val="auto"/>
          <w:szCs w:val="21"/>
          <w:highlight w:val="none"/>
          <w:u w:val="single"/>
          <w:lang w:val="zh-CN"/>
        </w:rPr>
        <w:t>采购人根据逐条考核事项及对应扣分对投标人（人员）进行计分。投标人每被扣1分，扣除违约金1000元，违约金在结算合同</w:t>
      </w:r>
      <w:r>
        <w:rPr>
          <w:rFonts w:hint="eastAsia" w:ascii="仿宋" w:hAnsi="仿宋" w:eastAsia="仿宋" w:cs="仿宋"/>
          <w:color w:val="auto"/>
          <w:szCs w:val="21"/>
          <w:highlight w:val="none"/>
          <w:u w:val="single"/>
          <w:lang w:val="zh-CN"/>
        </w:rPr>
        <w:t>尾</w:t>
      </w:r>
      <w:r>
        <w:rPr>
          <w:rFonts w:ascii="仿宋" w:hAnsi="仿宋" w:eastAsia="仿宋" w:cs="仿宋"/>
          <w:color w:val="auto"/>
          <w:szCs w:val="21"/>
          <w:highlight w:val="none"/>
          <w:u w:val="single"/>
          <w:lang w:val="zh-CN"/>
        </w:rPr>
        <w:t>款时扣除。</w:t>
      </w:r>
      <w:r>
        <w:rPr>
          <w:rFonts w:hint="eastAsia" w:ascii="仿宋" w:hAnsi="仿宋" w:eastAsia="仿宋" w:cs="仿宋"/>
          <w:color w:val="auto"/>
          <w:szCs w:val="21"/>
          <w:highlight w:val="none"/>
          <w:u w:val="single"/>
          <w:lang w:val="zh-CN"/>
        </w:rPr>
        <w:t>考核分值高于</w:t>
      </w:r>
      <w:r>
        <w:rPr>
          <w:rFonts w:ascii="仿宋" w:hAnsi="仿宋" w:eastAsia="仿宋" w:cs="仿宋"/>
          <w:color w:val="auto"/>
          <w:szCs w:val="21"/>
          <w:highlight w:val="none"/>
          <w:u w:val="single"/>
          <w:lang w:val="zh-CN"/>
        </w:rPr>
        <w:t>90分（含90分）视为合格，90分以下视为不合格；如投标人经采购人考</w:t>
      </w:r>
      <w:r>
        <w:rPr>
          <w:rFonts w:hint="eastAsia" w:ascii="仿宋" w:hAnsi="仿宋" w:eastAsia="仿宋" w:cs="仿宋"/>
          <w:color w:val="auto"/>
          <w:szCs w:val="21"/>
          <w:highlight w:val="none"/>
          <w:u w:val="single"/>
          <w:lang w:val="zh-CN"/>
        </w:rPr>
        <w:t>核</w:t>
      </w:r>
      <w:r>
        <w:rPr>
          <w:rFonts w:ascii="仿宋" w:hAnsi="仿宋" w:eastAsia="仿宋" w:cs="仿宋"/>
          <w:color w:val="auto"/>
          <w:szCs w:val="21"/>
          <w:highlight w:val="none"/>
          <w:u w:val="single"/>
          <w:lang w:val="zh-CN"/>
        </w:rPr>
        <w:t>连续两次均为不合格，采购人有权无条件终止合同,并没收投标人全部履约保证金。如给采购人造成损失的有权向投标人提出索赔。</w:t>
      </w:r>
      <w:r>
        <w:rPr>
          <w:rFonts w:hint="eastAsia" w:ascii="仿宋" w:hAnsi="仿宋" w:eastAsia="仿宋" w:cs="仿宋"/>
          <w:color w:val="auto"/>
          <w:szCs w:val="21"/>
          <w:highlight w:val="none"/>
          <w:u w:val="single"/>
          <w:lang w:val="zh-CN"/>
        </w:rPr>
        <w:t>如考核周期内重复出现相同扣分情形，累计计算扣除分值。</w:t>
      </w:r>
    </w:p>
    <w:p w14:paraId="783652A6">
      <w:pPr>
        <w:spacing w:before="120" w:beforeLines="50" w:line="360" w:lineRule="auto"/>
        <w:jc w:val="center"/>
        <w:rPr>
          <w:rFonts w:ascii="仿宋" w:hAnsi="仿宋" w:eastAsia="仿宋" w:cs="等线"/>
          <w:color w:val="auto"/>
          <w:szCs w:val="21"/>
          <w:highlight w:val="none"/>
        </w:rPr>
      </w:pPr>
      <w:r>
        <w:rPr>
          <w:rFonts w:hint="eastAsia" w:ascii="仿宋" w:hAnsi="仿宋" w:eastAsia="仿宋" w:cs="等线"/>
          <w:color w:val="auto"/>
          <w:szCs w:val="21"/>
          <w:highlight w:val="none"/>
        </w:rPr>
        <w:t>每月考核表（</w:t>
      </w:r>
      <w:r>
        <w:rPr>
          <w:rFonts w:ascii="仿宋" w:hAnsi="仿宋" w:eastAsia="仿宋" w:cs="等线"/>
          <w:color w:val="auto"/>
          <w:szCs w:val="21"/>
          <w:highlight w:val="none"/>
        </w:rPr>
        <w:t>202</w:t>
      </w:r>
      <w:r>
        <w:rPr>
          <w:rFonts w:hint="eastAsia" w:ascii="仿宋" w:hAnsi="仿宋" w:eastAsia="仿宋" w:cs="等线"/>
          <w:color w:val="auto"/>
          <w:szCs w:val="21"/>
          <w:highlight w:val="none"/>
        </w:rPr>
        <w:t xml:space="preserve">  </w:t>
      </w:r>
      <w:r>
        <w:rPr>
          <w:rFonts w:ascii="仿宋" w:hAnsi="仿宋" w:eastAsia="仿宋" w:cs="等线"/>
          <w:color w:val="auto"/>
          <w:szCs w:val="21"/>
          <w:highlight w:val="none"/>
        </w:rPr>
        <w:t xml:space="preserve">年  </w:t>
      </w:r>
      <w:r>
        <w:rPr>
          <w:rFonts w:hint="eastAsia" w:ascii="仿宋" w:hAnsi="仿宋" w:eastAsia="仿宋" w:cs="等线"/>
          <w:color w:val="auto"/>
          <w:szCs w:val="21"/>
          <w:highlight w:val="none"/>
        </w:rPr>
        <w:t>月）</w:t>
      </w:r>
    </w:p>
    <w:tbl>
      <w:tblPr>
        <w:tblStyle w:val="80"/>
        <w:tblW w:w="8834"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7"/>
        <w:gridCol w:w="1594"/>
        <w:gridCol w:w="3825"/>
        <w:gridCol w:w="1111"/>
        <w:gridCol w:w="988"/>
        <w:gridCol w:w="659"/>
      </w:tblGrid>
      <w:tr w14:paraId="13BBF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2251" w:type="dxa"/>
            <w:gridSpan w:val="2"/>
            <w:tcBorders>
              <w:top w:val="single" w:color="auto" w:sz="4" w:space="0"/>
              <w:left w:val="single" w:color="auto" w:sz="4" w:space="0"/>
              <w:bottom w:val="single" w:color="auto" w:sz="4" w:space="0"/>
              <w:right w:val="single" w:color="auto" w:sz="4" w:space="0"/>
            </w:tcBorders>
            <w:noWrap w:val="0"/>
            <w:vAlign w:val="center"/>
          </w:tcPr>
          <w:p w14:paraId="1611E37A">
            <w:pPr>
              <w:widowControl/>
              <w:jc w:val="center"/>
              <w:rPr>
                <w:rFonts w:ascii="仿宋" w:hAnsi="仿宋" w:eastAsia="仿宋" w:cs="宋体"/>
                <w:color w:val="auto"/>
                <w:kern w:val="0"/>
                <w:szCs w:val="21"/>
                <w:highlight w:val="none"/>
              </w:rPr>
            </w:pPr>
            <w:bookmarkStart w:id="43" w:name="_Hlk153872619"/>
            <w:r>
              <w:rPr>
                <w:rFonts w:hint="eastAsia" w:ascii="仿宋" w:hAnsi="仿宋" w:eastAsia="仿宋" w:cs="等线"/>
                <w:color w:val="auto"/>
                <w:szCs w:val="21"/>
                <w:highlight w:val="none"/>
              </w:rPr>
              <w:t>中标单位</w:t>
            </w:r>
          </w:p>
        </w:tc>
        <w:tc>
          <w:tcPr>
            <w:tcW w:w="6583" w:type="dxa"/>
            <w:gridSpan w:val="4"/>
            <w:tcBorders>
              <w:top w:val="single" w:color="auto" w:sz="4" w:space="0"/>
              <w:left w:val="single" w:color="auto" w:sz="4" w:space="0"/>
              <w:bottom w:val="single" w:color="auto" w:sz="4" w:space="0"/>
              <w:right w:val="single" w:color="auto" w:sz="4" w:space="0"/>
            </w:tcBorders>
            <w:noWrap w:val="0"/>
            <w:vAlign w:val="center"/>
          </w:tcPr>
          <w:p w14:paraId="4013BB05">
            <w:pPr>
              <w:widowControl/>
              <w:jc w:val="center"/>
              <w:rPr>
                <w:rFonts w:ascii="仿宋" w:hAnsi="仿宋" w:eastAsia="仿宋" w:cs="宋体"/>
                <w:color w:val="auto"/>
                <w:kern w:val="0"/>
                <w:szCs w:val="21"/>
                <w:highlight w:val="none"/>
              </w:rPr>
            </w:pPr>
          </w:p>
        </w:tc>
      </w:tr>
      <w:tr w14:paraId="7F73E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7" w:type="dxa"/>
            <w:tcBorders>
              <w:top w:val="single" w:color="auto" w:sz="4" w:space="0"/>
              <w:left w:val="single" w:color="auto" w:sz="4" w:space="0"/>
              <w:bottom w:val="single" w:color="auto" w:sz="4" w:space="0"/>
              <w:right w:val="single" w:color="auto" w:sz="4" w:space="0"/>
            </w:tcBorders>
            <w:noWrap w:val="0"/>
            <w:vAlign w:val="center"/>
          </w:tcPr>
          <w:p w14:paraId="4C701A19">
            <w:pPr>
              <w:widowControl/>
              <w:jc w:val="center"/>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序号</w:t>
            </w:r>
          </w:p>
        </w:tc>
        <w:tc>
          <w:tcPr>
            <w:tcW w:w="5419" w:type="dxa"/>
            <w:gridSpan w:val="2"/>
            <w:tcBorders>
              <w:top w:val="single" w:color="auto" w:sz="4" w:space="0"/>
              <w:left w:val="single" w:color="auto" w:sz="4" w:space="0"/>
              <w:bottom w:val="single" w:color="auto" w:sz="4" w:space="0"/>
              <w:right w:val="single" w:color="auto" w:sz="4" w:space="0"/>
            </w:tcBorders>
            <w:noWrap w:val="0"/>
            <w:vAlign w:val="center"/>
          </w:tcPr>
          <w:p w14:paraId="3A51E26B">
            <w:pPr>
              <w:widowControl/>
              <w:jc w:val="center"/>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考核内容</w:t>
            </w:r>
          </w:p>
        </w:tc>
        <w:tc>
          <w:tcPr>
            <w:tcW w:w="1111" w:type="dxa"/>
            <w:tcBorders>
              <w:top w:val="single" w:color="auto" w:sz="4" w:space="0"/>
              <w:left w:val="single" w:color="auto" w:sz="4" w:space="0"/>
              <w:bottom w:val="single" w:color="auto" w:sz="4" w:space="0"/>
              <w:right w:val="single" w:color="auto" w:sz="4" w:space="0"/>
            </w:tcBorders>
            <w:noWrap w:val="0"/>
            <w:vAlign w:val="center"/>
          </w:tcPr>
          <w:p w14:paraId="6BA0AF5C">
            <w:pPr>
              <w:widowControl/>
              <w:jc w:val="center"/>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每发生一次对应扣除分值</w:t>
            </w:r>
          </w:p>
        </w:tc>
        <w:tc>
          <w:tcPr>
            <w:tcW w:w="988" w:type="dxa"/>
            <w:tcBorders>
              <w:top w:val="single" w:color="auto" w:sz="4" w:space="0"/>
              <w:left w:val="single" w:color="auto" w:sz="4" w:space="0"/>
              <w:bottom w:val="single" w:color="auto" w:sz="4" w:space="0"/>
              <w:right w:val="single" w:color="auto" w:sz="4" w:space="0"/>
            </w:tcBorders>
            <w:noWrap w:val="0"/>
            <w:vAlign w:val="center"/>
          </w:tcPr>
          <w:p w14:paraId="5B9B9126">
            <w:pPr>
              <w:widowControl/>
              <w:jc w:val="center"/>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当次考核扣分</w:t>
            </w:r>
          </w:p>
        </w:tc>
        <w:tc>
          <w:tcPr>
            <w:tcW w:w="659" w:type="dxa"/>
            <w:tcBorders>
              <w:top w:val="single" w:color="auto" w:sz="4" w:space="0"/>
              <w:left w:val="single" w:color="auto" w:sz="4" w:space="0"/>
              <w:bottom w:val="single" w:color="auto" w:sz="4" w:space="0"/>
              <w:right w:val="single" w:color="auto" w:sz="4" w:space="0"/>
            </w:tcBorders>
            <w:noWrap w:val="0"/>
            <w:vAlign w:val="center"/>
          </w:tcPr>
          <w:p w14:paraId="0EF01B53">
            <w:pPr>
              <w:widowControl/>
              <w:jc w:val="center"/>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备注</w:t>
            </w:r>
          </w:p>
        </w:tc>
      </w:tr>
      <w:tr w14:paraId="412D7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657" w:type="dxa"/>
            <w:tcBorders>
              <w:top w:val="single" w:color="auto" w:sz="4" w:space="0"/>
              <w:left w:val="single" w:color="auto" w:sz="4" w:space="0"/>
              <w:bottom w:val="single" w:color="auto" w:sz="4" w:space="0"/>
              <w:right w:val="single" w:color="auto" w:sz="4" w:space="0"/>
            </w:tcBorders>
            <w:noWrap w:val="0"/>
            <w:vAlign w:val="center"/>
          </w:tcPr>
          <w:p w14:paraId="416DFC39">
            <w:pPr>
              <w:widowControl/>
              <w:jc w:val="center"/>
              <w:rPr>
                <w:rFonts w:ascii="仿宋" w:hAnsi="仿宋" w:eastAsia="仿宋" w:cs="宋体"/>
                <w:color w:val="auto"/>
                <w:kern w:val="0"/>
                <w:szCs w:val="21"/>
                <w:highlight w:val="none"/>
              </w:rPr>
            </w:pPr>
            <w:r>
              <w:rPr>
                <w:rFonts w:ascii="仿宋" w:hAnsi="仿宋" w:eastAsia="仿宋" w:cs="宋体"/>
                <w:color w:val="auto"/>
                <w:kern w:val="0"/>
                <w:szCs w:val="21"/>
                <w:highlight w:val="none"/>
              </w:rPr>
              <w:t>1</w:t>
            </w:r>
          </w:p>
        </w:tc>
        <w:tc>
          <w:tcPr>
            <w:tcW w:w="5419" w:type="dxa"/>
            <w:gridSpan w:val="2"/>
            <w:tcBorders>
              <w:top w:val="single" w:color="auto" w:sz="4" w:space="0"/>
              <w:left w:val="single" w:color="auto" w:sz="4" w:space="0"/>
              <w:bottom w:val="single" w:color="auto" w:sz="4" w:space="0"/>
              <w:right w:val="single" w:color="auto" w:sz="4" w:space="0"/>
            </w:tcBorders>
            <w:noWrap w:val="0"/>
            <w:vAlign w:val="center"/>
          </w:tcPr>
          <w:p w14:paraId="29B0FFAF">
            <w:pPr>
              <w:widowControl/>
              <w:rPr>
                <w:rFonts w:ascii="仿宋" w:hAnsi="仿宋" w:eastAsia="仿宋" w:cs="宋体"/>
                <w:color w:val="auto"/>
                <w:kern w:val="0"/>
                <w:szCs w:val="21"/>
                <w:highlight w:val="none"/>
              </w:rPr>
            </w:pPr>
            <w:r>
              <w:rPr>
                <w:rFonts w:hint="eastAsia" w:ascii="仿宋" w:hAnsi="仿宋" w:eastAsia="仿宋" w:cs="宋体"/>
                <w:color w:val="auto"/>
                <w:szCs w:val="21"/>
                <w:highlight w:val="none"/>
              </w:rPr>
              <w:t>提供人员数量及人员要求不符合合同条款要求的。</w:t>
            </w:r>
          </w:p>
        </w:tc>
        <w:tc>
          <w:tcPr>
            <w:tcW w:w="1111" w:type="dxa"/>
            <w:tcBorders>
              <w:top w:val="single" w:color="auto" w:sz="4" w:space="0"/>
              <w:left w:val="single" w:color="auto" w:sz="4" w:space="0"/>
              <w:bottom w:val="single" w:color="auto" w:sz="4" w:space="0"/>
              <w:right w:val="single" w:color="auto" w:sz="4" w:space="0"/>
            </w:tcBorders>
            <w:noWrap w:val="0"/>
            <w:vAlign w:val="center"/>
          </w:tcPr>
          <w:p w14:paraId="1C41C0F2">
            <w:pPr>
              <w:widowControl/>
              <w:jc w:val="center"/>
              <w:rPr>
                <w:rFonts w:ascii="仿宋" w:hAnsi="仿宋" w:eastAsia="仿宋" w:cs="宋体"/>
                <w:color w:val="auto"/>
                <w:kern w:val="0"/>
                <w:szCs w:val="21"/>
                <w:highlight w:val="none"/>
              </w:rPr>
            </w:pPr>
            <w:r>
              <w:rPr>
                <w:rFonts w:ascii="仿宋" w:hAnsi="仿宋" w:eastAsia="仿宋" w:cs="宋体"/>
                <w:color w:val="auto"/>
                <w:kern w:val="0"/>
                <w:szCs w:val="21"/>
                <w:highlight w:val="none"/>
              </w:rPr>
              <w:t>5</w:t>
            </w:r>
          </w:p>
        </w:tc>
        <w:tc>
          <w:tcPr>
            <w:tcW w:w="988" w:type="dxa"/>
            <w:tcBorders>
              <w:top w:val="single" w:color="auto" w:sz="4" w:space="0"/>
              <w:left w:val="single" w:color="auto" w:sz="4" w:space="0"/>
              <w:bottom w:val="single" w:color="auto" w:sz="4" w:space="0"/>
              <w:right w:val="single" w:color="auto" w:sz="4" w:space="0"/>
            </w:tcBorders>
            <w:noWrap w:val="0"/>
            <w:vAlign w:val="top"/>
          </w:tcPr>
          <w:p w14:paraId="0FA63D3C">
            <w:pPr>
              <w:widowControl/>
              <w:jc w:val="center"/>
              <w:rPr>
                <w:rFonts w:ascii="仿宋" w:hAnsi="仿宋" w:eastAsia="仿宋" w:cs="宋体"/>
                <w:color w:val="auto"/>
                <w:kern w:val="0"/>
                <w:szCs w:val="21"/>
                <w:highlight w:val="none"/>
              </w:rPr>
            </w:pPr>
          </w:p>
        </w:tc>
        <w:tc>
          <w:tcPr>
            <w:tcW w:w="659" w:type="dxa"/>
            <w:tcBorders>
              <w:top w:val="single" w:color="auto" w:sz="4" w:space="0"/>
              <w:left w:val="single" w:color="auto" w:sz="4" w:space="0"/>
              <w:bottom w:val="single" w:color="auto" w:sz="4" w:space="0"/>
              <w:right w:val="single" w:color="auto" w:sz="4" w:space="0"/>
            </w:tcBorders>
            <w:noWrap w:val="0"/>
            <w:vAlign w:val="top"/>
          </w:tcPr>
          <w:p w14:paraId="6DEA0E29">
            <w:pPr>
              <w:widowControl/>
              <w:jc w:val="center"/>
              <w:rPr>
                <w:rFonts w:ascii="仿宋" w:hAnsi="仿宋" w:eastAsia="仿宋" w:cs="宋体"/>
                <w:color w:val="auto"/>
                <w:kern w:val="0"/>
                <w:szCs w:val="21"/>
                <w:highlight w:val="none"/>
              </w:rPr>
            </w:pPr>
          </w:p>
        </w:tc>
      </w:tr>
      <w:tr w14:paraId="6BFE3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657" w:type="dxa"/>
            <w:tcBorders>
              <w:top w:val="single" w:color="auto" w:sz="4" w:space="0"/>
              <w:left w:val="single" w:color="auto" w:sz="4" w:space="0"/>
              <w:bottom w:val="single" w:color="auto" w:sz="4" w:space="0"/>
              <w:right w:val="single" w:color="auto" w:sz="4" w:space="0"/>
            </w:tcBorders>
            <w:noWrap w:val="0"/>
            <w:vAlign w:val="center"/>
          </w:tcPr>
          <w:p w14:paraId="509D84C1">
            <w:pPr>
              <w:widowControl/>
              <w:jc w:val="center"/>
              <w:rPr>
                <w:rFonts w:ascii="仿宋" w:hAnsi="仿宋" w:eastAsia="仿宋" w:cs="宋体"/>
                <w:color w:val="auto"/>
                <w:kern w:val="0"/>
                <w:szCs w:val="21"/>
                <w:highlight w:val="none"/>
              </w:rPr>
            </w:pPr>
            <w:r>
              <w:rPr>
                <w:rFonts w:ascii="仿宋" w:hAnsi="仿宋" w:eastAsia="仿宋" w:cs="宋体"/>
                <w:color w:val="auto"/>
                <w:kern w:val="0"/>
                <w:szCs w:val="21"/>
                <w:highlight w:val="none"/>
              </w:rPr>
              <w:t>2</w:t>
            </w:r>
          </w:p>
        </w:tc>
        <w:tc>
          <w:tcPr>
            <w:tcW w:w="5419" w:type="dxa"/>
            <w:gridSpan w:val="2"/>
            <w:tcBorders>
              <w:top w:val="single" w:color="auto" w:sz="4" w:space="0"/>
              <w:left w:val="single" w:color="auto" w:sz="4" w:space="0"/>
              <w:bottom w:val="single" w:color="auto" w:sz="4" w:space="0"/>
              <w:right w:val="single" w:color="auto" w:sz="4" w:space="0"/>
            </w:tcBorders>
            <w:noWrap w:val="0"/>
            <w:vAlign w:val="center"/>
          </w:tcPr>
          <w:p w14:paraId="258606BB">
            <w:pPr>
              <w:widowControl/>
              <w:rPr>
                <w:rFonts w:ascii="仿宋" w:hAnsi="仿宋" w:eastAsia="仿宋" w:cs="宋体"/>
                <w:color w:val="auto"/>
                <w:szCs w:val="21"/>
                <w:highlight w:val="none"/>
              </w:rPr>
            </w:pPr>
            <w:r>
              <w:rPr>
                <w:rFonts w:hint="eastAsia" w:ascii="仿宋" w:hAnsi="仿宋" w:eastAsia="仿宋" w:cs="宋体"/>
                <w:color w:val="auto"/>
                <w:szCs w:val="21"/>
                <w:highlight w:val="none"/>
              </w:rPr>
              <w:t>人员变更时，不通知采购人，没有审批单的。</w:t>
            </w:r>
          </w:p>
        </w:tc>
        <w:tc>
          <w:tcPr>
            <w:tcW w:w="1111" w:type="dxa"/>
            <w:tcBorders>
              <w:top w:val="single" w:color="auto" w:sz="4" w:space="0"/>
              <w:left w:val="single" w:color="auto" w:sz="4" w:space="0"/>
              <w:bottom w:val="single" w:color="auto" w:sz="4" w:space="0"/>
              <w:right w:val="single" w:color="auto" w:sz="4" w:space="0"/>
            </w:tcBorders>
            <w:noWrap w:val="0"/>
            <w:vAlign w:val="center"/>
          </w:tcPr>
          <w:p w14:paraId="5CE1EE72">
            <w:pPr>
              <w:widowControl/>
              <w:jc w:val="center"/>
              <w:rPr>
                <w:rFonts w:ascii="仿宋" w:hAnsi="仿宋" w:eastAsia="仿宋" w:cs="宋体"/>
                <w:color w:val="auto"/>
                <w:kern w:val="0"/>
                <w:szCs w:val="21"/>
                <w:highlight w:val="none"/>
              </w:rPr>
            </w:pPr>
            <w:r>
              <w:rPr>
                <w:rFonts w:ascii="仿宋" w:hAnsi="仿宋" w:eastAsia="仿宋" w:cs="宋体"/>
                <w:color w:val="auto"/>
                <w:kern w:val="0"/>
                <w:szCs w:val="21"/>
                <w:highlight w:val="none"/>
              </w:rPr>
              <w:t>3</w:t>
            </w:r>
          </w:p>
        </w:tc>
        <w:tc>
          <w:tcPr>
            <w:tcW w:w="988" w:type="dxa"/>
            <w:tcBorders>
              <w:top w:val="single" w:color="auto" w:sz="4" w:space="0"/>
              <w:left w:val="single" w:color="auto" w:sz="4" w:space="0"/>
              <w:bottom w:val="single" w:color="auto" w:sz="4" w:space="0"/>
              <w:right w:val="single" w:color="auto" w:sz="4" w:space="0"/>
            </w:tcBorders>
            <w:noWrap w:val="0"/>
            <w:vAlign w:val="top"/>
          </w:tcPr>
          <w:p w14:paraId="7D9EE8D5">
            <w:pPr>
              <w:widowControl/>
              <w:jc w:val="center"/>
              <w:rPr>
                <w:rFonts w:ascii="仿宋" w:hAnsi="仿宋" w:eastAsia="仿宋" w:cs="宋体"/>
                <w:color w:val="auto"/>
                <w:kern w:val="0"/>
                <w:szCs w:val="21"/>
                <w:highlight w:val="none"/>
              </w:rPr>
            </w:pPr>
          </w:p>
        </w:tc>
        <w:tc>
          <w:tcPr>
            <w:tcW w:w="659" w:type="dxa"/>
            <w:tcBorders>
              <w:top w:val="single" w:color="auto" w:sz="4" w:space="0"/>
              <w:left w:val="single" w:color="auto" w:sz="4" w:space="0"/>
              <w:bottom w:val="single" w:color="auto" w:sz="4" w:space="0"/>
              <w:right w:val="single" w:color="auto" w:sz="4" w:space="0"/>
            </w:tcBorders>
            <w:noWrap w:val="0"/>
            <w:vAlign w:val="top"/>
          </w:tcPr>
          <w:p w14:paraId="17B3D9D6">
            <w:pPr>
              <w:widowControl/>
              <w:jc w:val="center"/>
              <w:rPr>
                <w:rFonts w:ascii="仿宋" w:hAnsi="仿宋" w:eastAsia="仿宋" w:cs="宋体"/>
                <w:color w:val="auto"/>
                <w:kern w:val="0"/>
                <w:szCs w:val="21"/>
                <w:highlight w:val="none"/>
              </w:rPr>
            </w:pPr>
          </w:p>
        </w:tc>
      </w:tr>
      <w:tr w14:paraId="2BD73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657" w:type="dxa"/>
            <w:tcBorders>
              <w:top w:val="single" w:color="auto" w:sz="4" w:space="0"/>
              <w:left w:val="single" w:color="auto" w:sz="4" w:space="0"/>
              <w:bottom w:val="single" w:color="auto" w:sz="4" w:space="0"/>
              <w:right w:val="single" w:color="auto" w:sz="4" w:space="0"/>
            </w:tcBorders>
            <w:noWrap w:val="0"/>
            <w:vAlign w:val="center"/>
          </w:tcPr>
          <w:p w14:paraId="4D5087EF">
            <w:pPr>
              <w:widowControl/>
              <w:jc w:val="center"/>
              <w:rPr>
                <w:rFonts w:ascii="仿宋" w:hAnsi="仿宋" w:eastAsia="仿宋" w:cs="宋体"/>
                <w:color w:val="auto"/>
                <w:kern w:val="0"/>
                <w:szCs w:val="21"/>
                <w:highlight w:val="none"/>
              </w:rPr>
            </w:pPr>
            <w:r>
              <w:rPr>
                <w:rFonts w:ascii="仿宋" w:hAnsi="仿宋" w:eastAsia="仿宋" w:cs="宋体"/>
                <w:color w:val="auto"/>
                <w:kern w:val="0"/>
                <w:szCs w:val="21"/>
                <w:highlight w:val="none"/>
              </w:rPr>
              <w:t>3</w:t>
            </w:r>
          </w:p>
        </w:tc>
        <w:tc>
          <w:tcPr>
            <w:tcW w:w="5419" w:type="dxa"/>
            <w:gridSpan w:val="2"/>
            <w:tcBorders>
              <w:top w:val="single" w:color="auto" w:sz="4" w:space="0"/>
              <w:left w:val="single" w:color="auto" w:sz="4" w:space="0"/>
              <w:bottom w:val="single" w:color="auto" w:sz="4" w:space="0"/>
              <w:right w:val="single" w:color="auto" w:sz="4" w:space="0"/>
            </w:tcBorders>
            <w:noWrap w:val="0"/>
            <w:vAlign w:val="center"/>
          </w:tcPr>
          <w:p w14:paraId="264D54ED">
            <w:pPr>
              <w:widowControl/>
              <w:rPr>
                <w:rFonts w:ascii="仿宋" w:hAnsi="仿宋" w:eastAsia="仿宋" w:cs="宋体"/>
                <w:color w:val="auto"/>
                <w:szCs w:val="21"/>
                <w:highlight w:val="none"/>
              </w:rPr>
            </w:pPr>
            <w:r>
              <w:rPr>
                <w:rFonts w:hint="eastAsia" w:ascii="仿宋" w:hAnsi="仿宋" w:eastAsia="仿宋" w:cs="宋体"/>
                <w:color w:val="auto"/>
                <w:szCs w:val="21"/>
                <w:highlight w:val="none"/>
              </w:rPr>
              <w:t>驻点人员不服从采购人管理，未严格遵守工作时间、工作安排的。</w:t>
            </w:r>
          </w:p>
        </w:tc>
        <w:tc>
          <w:tcPr>
            <w:tcW w:w="1111" w:type="dxa"/>
            <w:tcBorders>
              <w:top w:val="single" w:color="auto" w:sz="4" w:space="0"/>
              <w:left w:val="single" w:color="auto" w:sz="4" w:space="0"/>
              <w:bottom w:val="single" w:color="auto" w:sz="4" w:space="0"/>
              <w:right w:val="single" w:color="auto" w:sz="4" w:space="0"/>
            </w:tcBorders>
            <w:noWrap w:val="0"/>
            <w:vAlign w:val="center"/>
          </w:tcPr>
          <w:p w14:paraId="7E5080E0">
            <w:pPr>
              <w:widowControl/>
              <w:jc w:val="center"/>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2</w:t>
            </w:r>
          </w:p>
        </w:tc>
        <w:tc>
          <w:tcPr>
            <w:tcW w:w="988" w:type="dxa"/>
            <w:tcBorders>
              <w:top w:val="single" w:color="auto" w:sz="4" w:space="0"/>
              <w:left w:val="single" w:color="auto" w:sz="4" w:space="0"/>
              <w:bottom w:val="single" w:color="auto" w:sz="4" w:space="0"/>
              <w:right w:val="single" w:color="auto" w:sz="4" w:space="0"/>
            </w:tcBorders>
            <w:noWrap w:val="0"/>
            <w:vAlign w:val="top"/>
          </w:tcPr>
          <w:p w14:paraId="79BE1B0C">
            <w:pPr>
              <w:widowControl/>
              <w:jc w:val="center"/>
              <w:rPr>
                <w:rFonts w:ascii="仿宋" w:hAnsi="仿宋" w:eastAsia="仿宋" w:cs="宋体"/>
                <w:color w:val="auto"/>
                <w:kern w:val="0"/>
                <w:szCs w:val="21"/>
                <w:highlight w:val="none"/>
              </w:rPr>
            </w:pPr>
          </w:p>
        </w:tc>
        <w:tc>
          <w:tcPr>
            <w:tcW w:w="659" w:type="dxa"/>
            <w:tcBorders>
              <w:top w:val="single" w:color="auto" w:sz="4" w:space="0"/>
              <w:left w:val="single" w:color="auto" w:sz="4" w:space="0"/>
              <w:bottom w:val="single" w:color="auto" w:sz="4" w:space="0"/>
              <w:right w:val="single" w:color="auto" w:sz="4" w:space="0"/>
            </w:tcBorders>
            <w:noWrap w:val="0"/>
            <w:vAlign w:val="top"/>
          </w:tcPr>
          <w:p w14:paraId="13D40305">
            <w:pPr>
              <w:widowControl/>
              <w:jc w:val="center"/>
              <w:rPr>
                <w:rFonts w:ascii="仿宋" w:hAnsi="仿宋" w:eastAsia="仿宋" w:cs="宋体"/>
                <w:color w:val="auto"/>
                <w:kern w:val="0"/>
                <w:szCs w:val="21"/>
                <w:highlight w:val="none"/>
              </w:rPr>
            </w:pPr>
          </w:p>
        </w:tc>
      </w:tr>
      <w:tr w14:paraId="36B1B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657" w:type="dxa"/>
            <w:tcBorders>
              <w:top w:val="single" w:color="auto" w:sz="4" w:space="0"/>
              <w:left w:val="single" w:color="auto" w:sz="4" w:space="0"/>
              <w:bottom w:val="single" w:color="auto" w:sz="4" w:space="0"/>
              <w:right w:val="single" w:color="auto" w:sz="4" w:space="0"/>
            </w:tcBorders>
            <w:noWrap w:val="0"/>
            <w:vAlign w:val="center"/>
          </w:tcPr>
          <w:p w14:paraId="25695E5E">
            <w:pPr>
              <w:widowControl/>
              <w:jc w:val="center"/>
              <w:rPr>
                <w:rFonts w:ascii="仿宋" w:hAnsi="仿宋" w:eastAsia="仿宋" w:cs="宋体"/>
                <w:color w:val="auto"/>
                <w:kern w:val="0"/>
                <w:szCs w:val="21"/>
                <w:highlight w:val="none"/>
              </w:rPr>
            </w:pPr>
            <w:r>
              <w:rPr>
                <w:rFonts w:ascii="仿宋" w:hAnsi="仿宋" w:eastAsia="仿宋" w:cs="宋体"/>
                <w:color w:val="auto"/>
                <w:kern w:val="0"/>
                <w:szCs w:val="21"/>
                <w:highlight w:val="none"/>
              </w:rPr>
              <w:t>4</w:t>
            </w:r>
          </w:p>
        </w:tc>
        <w:tc>
          <w:tcPr>
            <w:tcW w:w="5419" w:type="dxa"/>
            <w:gridSpan w:val="2"/>
            <w:tcBorders>
              <w:top w:val="single" w:color="auto" w:sz="4" w:space="0"/>
              <w:left w:val="single" w:color="auto" w:sz="4" w:space="0"/>
              <w:bottom w:val="single" w:color="auto" w:sz="4" w:space="0"/>
              <w:right w:val="single" w:color="auto" w:sz="4" w:space="0"/>
            </w:tcBorders>
            <w:noWrap w:val="0"/>
            <w:vAlign w:val="center"/>
          </w:tcPr>
          <w:p w14:paraId="0B7BCE2F">
            <w:pPr>
              <w:widowControl/>
              <w:rPr>
                <w:rFonts w:ascii="仿宋" w:hAnsi="仿宋" w:eastAsia="仿宋" w:cs="宋体"/>
                <w:color w:val="auto"/>
                <w:szCs w:val="21"/>
                <w:highlight w:val="none"/>
              </w:rPr>
            </w:pPr>
            <w:r>
              <w:rPr>
                <w:rFonts w:hint="eastAsia" w:ascii="仿宋" w:hAnsi="仿宋" w:eastAsia="仿宋" w:cs="宋体"/>
                <w:color w:val="auto"/>
                <w:szCs w:val="21"/>
                <w:highlight w:val="none"/>
              </w:rPr>
              <w:t>案件侦查打击服务不到位，未能提供任务管理、案件侦查、案件支撑、研判分析、数据还原、数据分析、侦查协助、</w:t>
            </w:r>
            <w:r>
              <w:rPr>
                <w:rFonts w:hint="eastAsia" w:ascii="仿宋" w:hAnsi="仿宋" w:eastAsia="仿宋" w:cs="仿宋"/>
                <w:iCs/>
                <w:color w:val="auto"/>
                <w:szCs w:val="21"/>
                <w:highlight w:val="none"/>
              </w:rPr>
              <w:t>重特大案件专项线索突破</w:t>
            </w:r>
            <w:r>
              <w:rPr>
                <w:rFonts w:hint="eastAsia" w:ascii="仿宋" w:hAnsi="仿宋" w:eastAsia="仿宋" w:cs="宋体"/>
                <w:color w:val="auto"/>
                <w:szCs w:val="21"/>
                <w:highlight w:val="none"/>
              </w:rPr>
              <w:t>等服务的。或提供重特大案件线索、输出A类分析报告；案件侦查打击服务、输出B类分析报告、输出C类分析报告数量不符合合同条款要求的。</w:t>
            </w:r>
          </w:p>
        </w:tc>
        <w:tc>
          <w:tcPr>
            <w:tcW w:w="1111" w:type="dxa"/>
            <w:tcBorders>
              <w:top w:val="single" w:color="auto" w:sz="4" w:space="0"/>
              <w:left w:val="single" w:color="auto" w:sz="4" w:space="0"/>
              <w:bottom w:val="single" w:color="auto" w:sz="4" w:space="0"/>
              <w:right w:val="single" w:color="auto" w:sz="4" w:space="0"/>
            </w:tcBorders>
            <w:noWrap w:val="0"/>
            <w:vAlign w:val="center"/>
          </w:tcPr>
          <w:p w14:paraId="2935DF32">
            <w:pPr>
              <w:widowControl/>
              <w:jc w:val="center"/>
              <w:rPr>
                <w:rFonts w:ascii="仿宋" w:hAnsi="仿宋" w:eastAsia="仿宋" w:cs="宋体"/>
                <w:color w:val="auto"/>
                <w:kern w:val="0"/>
                <w:szCs w:val="21"/>
                <w:highlight w:val="none"/>
              </w:rPr>
            </w:pPr>
            <w:r>
              <w:rPr>
                <w:rFonts w:ascii="仿宋" w:hAnsi="仿宋" w:eastAsia="仿宋" w:cs="宋体"/>
                <w:color w:val="auto"/>
                <w:kern w:val="0"/>
                <w:szCs w:val="21"/>
                <w:highlight w:val="none"/>
              </w:rPr>
              <w:t>3</w:t>
            </w:r>
          </w:p>
        </w:tc>
        <w:tc>
          <w:tcPr>
            <w:tcW w:w="988" w:type="dxa"/>
            <w:tcBorders>
              <w:top w:val="single" w:color="auto" w:sz="4" w:space="0"/>
              <w:left w:val="single" w:color="auto" w:sz="4" w:space="0"/>
              <w:bottom w:val="single" w:color="auto" w:sz="4" w:space="0"/>
              <w:right w:val="single" w:color="auto" w:sz="4" w:space="0"/>
            </w:tcBorders>
            <w:noWrap w:val="0"/>
            <w:vAlign w:val="top"/>
          </w:tcPr>
          <w:p w14:paraId="5DC9E719">
            <w:pPr>
              <w:widowControl/>
              <w:jc w:val="center"/>
              <w:rPr>
                <w:rFonts w:ascii="仿宋" w:hAnsi="仿宋" w:eastAsia="仿宋" w:cs="宋体"/>
                <w:color w:val="auto"/>
                <w:kern w:val="0"/>
                <w:szCs w:val="21"/>
                <w:highlight w:val="none"/>
              </w:rPr>
            </w:pPr>
          </w:p>
        </w:tc>
        <w:tc>
          <w:tcPr>
            <w:tcW w:w="659" w:type="dxa"/>
            <w:tcBorders>
              <w:top w:val="single" w:color="auto" w:sz="4" w:space="0"/>
              <w:left w:val="single" w:color="auto" w:sz="4" w:space="0"/>
              <w:bottom w:val="single" w:color="auto" w:sz="4" w:space="0"/>
              <w:right w:val="single" w:color="auto" w:sz="4" w:space="0"/>
            </w:tcBorders>
            <w:noWrap w:val="0"/>
            <w:vAlign w:val="top"/>
          </w:tcPr>
          <w:p w14:paraId="0F32F389">
            <w:pPr>
              <w:widowControl/>
              <w:jc w:val="center"/>
              <w:rPr>
                <w:rFonts w:ascii="仿宋" w:hAnsi="仿宋" w:eastAsia="仿宋" w:cs="宋体"/>
                <w:color w:val="auto"/>
                <w:kern w:val="0"/>
                <w:szCs w:val="21"/>
                <w:highlight w:val="none"/>
              </w:rPr>
            </w:pPr>
          </w:p>
        </w:tc>
      </w:tr>
      <w:tr w14:paraId="224F4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657" w:type="dxa"/>
            <w:tcBorders>
              <w:top w:val="single" w:color="auto" w:sz="4" w:space="0"/>
              <w:left w:val="single" w:color="auto" w:sz="4" w:space="0"/>
              <w:bottom w:val="single" w:color="auto" w:sz="4" w:space="0"/>
              <w:right w:val="single" w:color="auto" w:sz="4" w:space="0"/>
            </w:tcBorders>
            <w:noWrap w:val="0"/>
            <w:vAlign w:val="center"/>
          </w:tcPr>
          <w:p w14:paraId="72D73884">
            <w:pPr>
              <w:widowControl/>
              <w:jc w:val="center"/>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5</w:t>
            </w:r>
          </w:p>
        </w:tc>
        <w:tc>
          <w:tcPr>
            <w:tcW w:w="5419" w:type="dxa"/>
            <w:gridSpan w:val="2"/>
            <w:tcBorders>
              <w:top w:val="single" w:color="auto" w:sz="4" w:space="0"/>
              <w:left w:val="single" w:color="auto" w:sz="4" w:space="0"/>
              <w:bottom w:val="single" w:color="auto" w:sz="4" w:space="0"/>
              <w:right w:val="single" w:color="auto" w:sz="4" w:space="0"/>
            </w:tcBorders>
            <w:noWrap w:val="0"/>
            <w:vAlign w:val="center"/>
          </w:tcPr>
          <w:p w14:paraId="3BFF4FEC">
            <w:pPr>
              <w:widowControl/>
              <w:rPr>
                <w:rFonts w:ascii="仿宋" w:hAnsi="仿宋" w:eastAsia="仿宋" w:cs="宋体"/>
                <w:color w:val="auto"/>
                <w:szCs w:val="21"/>
                <w:highlight w:val="none"/>
              </w:rPr>
            </w:pPr>
            <w:r>
              <w:rPr>
                <w:rFonts w:hint="eastAsia" w:ascii="仿宋" w:hAnsi="仿宋" w:eastAsia="仿宋" w:cs="仿宋"/>
                <w:color w:val="auto"/>
                <w:szCs w:val="21"/>
                <w:highlight w:val="none"/>
              </w:rPr>
              <w:t>大数据智能查控服务</w:t>
            </w:r>
            <w:r>
              <w:rPr>
                <w:rFonts w:hint="eastAsia" w:ascii="仿宋" w:hAnsi="仿宋" w:eastAsia="仿宋" w:cs="宋体"/>
                <w:color w:val="auto"/>
                <w:szCs w:val="21"/>
                <w:highlight w:val="none"/>
              </w:rPr>
              <w:t>不到位，未能提供任</w:t>
            </w:r>
            <w:r>
              <w:rPr>
                <w:rFonts w:hint="eastAsia" w:ascii="仿宋" w:hAnsi="仿宋" w:eastAsia="仿宋"/>
                <w:color w:val="auto"/>
                <w:szCs w:val="21"/>
                <w:highlight w:val="none"/>
              </w:rPr>
              <w:t>大数据多维</w:t>
            </w:r>
            <w:r>
              <w:rPr>
                <w:rFonts w:ascii="仿宋" w:hAnsi="仿宋" w:eastAsia="仿宋"/>
                <w:color w:val="auto"/>
                <w:szCs w:val="21"/>
                <w:highlight w:val="none"/>
              </w:rPr>
              <w:t>研判</w:t>
            </w:r>
            <w:r>
              <w:rPr>
                <w:rFonts w:hint="eastAsia" w:ascii="仿宋" w:hAnsi="仿宋" w:eastAsia="仿宋"/>
                <w:color w:val="auto"/>
                <w:szCs w:val="21"/>
                <w:highlight w:val="none"/>
              </w:rPr>
              <w:t>、终端溯源嫌疑追踪、案件管理数据分析、态势分析</w:t>
            </w:r>
            <w:r>
              <w:rPr>
                <w:rFonts w:ascii="仿宋" w:hAnsi="仿宋" w:eastAsia="仿宋"/>
                <w:color w:val="auto"/>
                <w:szCs w:val="21"/>
                <w:highlight w:val="none"/>
              </w:rPr>
              <w:t>报告输出</w:t>
            </w:r>
            <w:r>
              <w:rPr>
                <w:rFonts w:hint="eastAsia" w:ascii="仿宋" w:hAnsi="仿宋" w:eastAsia="仿宋" w:cs="宋体"/>
                <w:color w:val="auto"/>
                <w:szCs w:val="21"/>
                <w:highlight w:val="none"/>
              </w:rPr>
              <w:t>等服务的。提供重特大案件服务、输出B类分析报告、提供涉诈网站数据及线索分析服务、输出C类分析报告数量不符合合同条款要求的。</w:t>
            </w:r>
          </w:p>
        </w:tc>
        <w:tc>
          <w:tcPr>
            <w:tcW w:w="1111" w:type="dxa"/>
            <w:tcBorders>
              <w:top w:val="single" w:color="auto" w:sz="4" w:space="0"/>
              <w:left w:val="single" w:color="auto" w:sz="4" w:space="0"/>
              <w:bottom w:val="single" w:color="auto" w:sz="4" w:space="0"/>
              <w:right w:val="single" w:color="auto" w:sz="4" w:space="0"/>
            </w:tcBorders>
            <w:noWrap w:val="0"/>
            <w:vAlign w:val="center"/>
          </w:tcPr>
          <w:p w14:paraId="7D27E657">
            <w:pPr>
              <w:widowControl/>
              <w:jc w:val="center"/>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3</w:t>
            </w:r>
          </w:p>
        </w:tc>
        <w:tc>
          <w:tcPr>
            <w:tcW w:w="988" w:type="dxa"/>
            <w:tcBorders>
              <w:top w:val="single" w:color="auto" w:sz="4" w:space="0"/>
              <w:left w:val="single" w:color="auto" w:sz="4" w:space="0"/>
              <w:bottom w:val="single" w:color="auto" w:sz="4" w:space="0"/>
              <w:right w:val="single" w:color="auto" w:sz="4" w:space="0"/>
            </w:tcBorders>
            <w:noWrap w:val="0"/>
            <w:vAlign w:val="top"/>
          </w:tcPr>
          <w:p w14:paraId="7F956832">
            <w:pPr>
              <w:widowControl/>
              <w:jc w:val="center"/>
              <w:rPr>
                <w:rFonts w:ascii="仿宋" w:hAnsi="仿宋" w:eastAsia="仿宋" w:cs="宋体"/>
                <w:color w:val="auto"/>
                <w:kern w:val="0"/>
                <w:szCs w:val="21"/>
                <w:highlight w:val="none"/>
              </w:rPr>
            </w:pPr>
          </w:p>
        </w:tc>
        <w:tc>
          <w:tcPr>
            <w:tcW w:w="659" w:type="dxa"/>
            <w:tcBorders>
              <w:top w:val="single" w:color="auto" w:sz="4" w:space="0"/>
              <w:left w:val="single" w:color="auto" w:sz="4" w:space="0"/>
              <w:bottom w:val="single" w:color="auto" w:sz="4" w:space="0"/>
              <w:right w:val="single" w:color="auto" w:sz="4" w:space="0"/>
            </w:tcBorders>
            <w:noWrap w:val="0"/>
            <w:vAlign w:val="top"/>
          </w:tcPr>
          <w:p w14:paraId="4590494B">
            <w:pPr>
              <w:widowControl/>
              <w:jc w:val="center"/>
              <w:rPr>
                <w:rFonts w:ascii="仿宋" w:hAnsi="仿宋" w:eastAsia="仿宋" w:cs="宋体"/>
                <w:color w:val="auto"/>
                <w:kern w:val="0"/>
                <w:szCs w:val="21"/>
                <w:highlight w:val="none"/>
              </w:rPr>
            </w:pPr>
          </w:p>
        </w:tc>
      </w:tr>
      <w:tr w14:paraId="7B32DD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657" w:type="dxa"/>
            <w:tcBorders>
              <w:top w:val="single" w:color="auto" w:sz="4" w:space="0"/>
              <w:left w:val="single" w:color="auto" w:sz="4" w:space="0"/>
              <w:bottom w:val="single" w:color="auto" w:sz="4" w:space="0"/>
              <w:right w:val="single" w:color="auto" w:sz="4" w:space="0"/>
            </w:tcBorders>
            <w:noWrap w:val="0"/>
            <w:vAlign w:val="center"/>
          </w:tcPr>
          <w:p w14:paraId="6AD71EEC">
            <w:pPr>
              <w:widowControl/>
              <w:jc w:val="center"/>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6</w:t>
            </w:r>
          </w:p>
        </w:tc>
        <w:tc>
          <w:tcPr>
            <w:tcW w:w="5419" w:type="dxa"/>
            <w:gridSpan w:val="2"/>
            <w:tcBorders>
              <w:top w:val="single" w:color="auto" w:sz="4" w:space="0"/>
              <w:left w:val="single" w:color="auto" w:sz="4" w:space="0"/>
              <w:bottom w:val="single" w:color="auto" w:sz="4" w:space="0"/>
              <w:right w:val="single" w:color="auto" w:sz="4" w:space="0"/>
            </w:tcBorders>
            <w:noWrap w:val="0"/>
            <w:vAlign w:val="center"/>
          </w:tcPr>
          <w:p w14:paraId="640E1141">
            <w:pPr>
              <w:widowControl/>
              <w:rPr>
                <w:rFonts w:ascii="仿宋" w:hAnsi="仿宋" w:eastAsia="仿宋" w:cs="宋体"/>
                <w:color w:val="auto"/>
                <w:szCs w:val="21"/>
                <w:highlight w:val="none"/>
              </w:rPr>
            </w:pPr>
            <w:r>
              <w:rPr>
                <w:rFonts w:hint="eastAsia" w:ascii="仿宋" w:hAnsi="仿宋" w:eastAsia="仿宋" w:cs="仿宋"/>
                <w:color w:val="auto"/>
                <w:szCs w:val="21"/>
                <w:highlight w:val="none"/>
              </w:rPr>
              <w:t>资金智能查控服务</w:t>
            </w:r>
            <w:r>
              <w:rPr>
                <w:rFonts w:hint="eastAsia" w:ascii="仿宋" w:hAnsi="仿宋" w:eastAsia="仿宋" w:cs="宋体"/>
                <w:color w:val="auto"/>
                <w:szCs w:val="21"/>
                <w:highlight w:val="none"/>
              </w:rPr>
              <w:t>不到位，未能提供</w:t>
            </w:r>
            <w:r>
              <w:rPr>
                <w:rFonts w:hint="eastAsia" w:ascii="仿宋" w:hAnsi="仿宋" w:eastAsia="仿宋"/>
                <w:color w:val="auto"/>
                <w:szCs w:val="21"/>
                <w:highlight w:val="none"/>
              </w:rPr>
              <w:t>资金</w:t>
            </w:r>
            <w:r>
              <w:rPr>
                <w:rFonts w:ascii="仿宋" w:hAnsi="仿宋" w:eastAsia="仿宋"/>
                <w:color w:val="auto"/>
                <w:szCs w:val="21"/>
                <w:highlight w:val="none"/>
              </w:rPr>
              <w:t>查控</w:t>
            </w:r>
            <w:r>
              <w:rPr>
                <w:rFonts w:hint="eastAsia" w:ascii="仿宋" w:hAnsi="仿宋" w:eastAsia="仿宋"/>
                <w:color w:val="auto"/>
                <w:szCs w:val="21"/>
                <w:highlight w:val="none"/>
              </w:rPr>
              <w:t>、智能止付、保护性</w:t>
            </w:r>
            <w:r>
              <w:rPr>
                <w:rFonts w:ascii="仿宋" w:hAnsi="仿宋" w:eastAsia="仿宋"/>
                <w:color w:val="auto"/>
                <w:szCs w:val="21"/>
                <w:highlight w:val="none"/>
              </w:rPr>
              <w:t>止付</w:t>
            </w:r>
            <w:r>
              <w:rPr>
                <w:rFonts w:hint="eastAsia" w:ascii="仿宋" w:hAnsi="仿宋" w:eastAsia="仿宋"/>
                <w:color w:val="auto"/>
                <w:szCs w:val="21"/>
                <w:highlight w:val="none"/>
                <w:lang w:eastAsia="zh-CN"/>
              </w:rPr>
              <w:t>、</w:t>
            </w:r>
            <w:r>
              <w:rPr>
                <w:rFonts w:hint="eastAsia" w:ascii="仿宋" w:hAnsi="仿宋" w:eastAsia="仿宋"/>
                <w:color w:val="auto"/>
                <w:szCs w:val="21"/>
                <w:highlight w:val="none"/>
                <w:lang w:eastAsia="zh-CN"/>
              </w:rPr>
              <w:t>虚拟货币资金智能多币多链关联分析</w:t>
            </w:r>
            <w:r>
              <w:rPr>
                <w:rFonts w:hint="eastAsia" w:ascii="仿宋" w:hAnsi="仿宋" w:eastAsia="仿宋" w:cs="宋体"/>
                <w:color w:val="auto"/>
                <w:szCs w:val="21"/>
                <w:highlight w:val="none"/>
              </w:rPr>
              <w:t>等服务的。提供输出C类分析报告数量不符合合同条款要求的。</w:t>
            </w:r>
          </w:p>
        </w:tc>
        <w:tc>
          <w:tcPr>
            <w:tcW w:w="1111" w:type="dxa"/>
            <w:tcBorders>
              <w:top w:val="single" w:color="auto" w:sz="4" w:space="0"/>
              <w:left w:val="single" w:color="auto" w:sz="4" w:space="0"/>
              <w:bottom w:val="single" w:color="auto" w:sz="4" w:space="0"/>
              <w:right w:val="single" w:color="auto" w:sz="4" w:space="0"/>
            </w:tcBorders>
            <w:noWrap w:val="0"/>
            <w:vAlign w:val="center"/>
          </w:tcPr>
          <w:p w14:paraId="078FAA92">
            <w:pPr>
              <w:widowControl/>
              <w:jc w:val="center"/>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3</w:t>
            </w:r>
          </w:p>
        </w:tc>
        <w:tc>
          <w:tcPr>
            <w:tcW w:w="988" w:type="dxa"/>
            <w:tcBorders>
              <w:top w:val="single" w:color="auto" w:sz="4" w:space="0"/>
              <w:left w:val="single" w:color="auto" w:sz="4" w:space="0"/>
              <w:bottom w:val="single" w:color="auto" w:sz="4" w:space="0"/>
              <w:right w:val="single" w:color="auto" w:sz="4" w:space="0"/>
            </w:tcBorders>
            <w:noWrap w:val="0"/>
            <w:vAlign w:val="top"/>
          </w:tcPr>
          <w:p w14:paraId="0D68A717">
            <w:pPr>
              <w:widowControl/>
              <w:jc w:val="center"/>
              <w:rPr>
                <w:rFonts w:ascii="仿宋" w:hAnsi="仿宋" w:eastAsia="仿宋" w:cs="宋体"/>
                <w:color w:val="auto"/>
                <w:kern w:val="0"/>
                <w:szCs w:val="21"/>
                <w:highlight w:val="none"/>
              </w:rPr>
            </w:pPr>
          </w:p>
        </w:tc>
        <w:tc>
          <w:tcPr>
            <w:tcW w:w="659" w:type="dxa"/>
            <w:tcBorders>
              <w:top w:val="single" w:color="auto" w:sz="4" w:space="0"/>
              <w:left w:val="single" w:color="auto" w:sz="4" w:space="0"/>
              <w:bottom w:val="single" w:color="auto" w:sz="4" w:space="0"/>
              <w:right w:val="single" w:color="auto" w:sz="4" w:space="0"/>
            </w:tcBorders>
            <w:noWrap w:val="0"/>
            <w:vAlign w:val="top"/>
          </w:tcPr>
          <w:p w14:paraId="3FEDACF0">
            <w:pPr>
              <w:widowControl/>
              <w:jc w:val="center"/>
              <w:rPr>
                <w:rFonts w:ascii="仿宋" w:hAnsi="仿宋" w:eastAsia="仿宋" w:cs="宋体"/>
                <w:color w:val="auto"/>
                <w:kern w:val="0"/>
                <w:szCs w:val="21"/>
                <w:highlight w:val="none"/>
              </w:rPr>
            </w:pPr>
          </w:p>
        </w:tc>
      </w:tr>
      <w:tr w14:paraId="7CF52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657" w:type="dxa"/>
            <w:tcBorders>
              <w:top w:val="single" w:color="auto" w:sz="4" w:space="0"/>
              <w:left w:val="single" w:color="auto" w:sz="4" w:space="0"/>
              <w:bottom w:val="single" w:color="auto" w:sz="4" w:space="0"/>
              <w:right w:val="single" w:color="auto" w:sz="4" w:space="0"/>
            </w:tcBorders>
            <w:noWrap w:val="0"/>
            <w:vAlign w:val="center"/>
          </w:tcPr>
          <w:p w14:paraId="7D157C24">
            <w:pPr>
              <w:widowControl/>
              <w:jc w:val="center"/>
              <w:rPr>
                <w:rFonts w:ascii="仿宋" w:hAnsi="仿宋" w:eastAsia="仿宋" w:cs="宋体"/>
                <w:color w:val="auto"/>
                <w:kern w:val="0"/>
                <w:szCs w:val="21"/>
                <w:highlight w:val="none"/>
              </w:rPr>
            </w:pPr>
            <w:r>
              <w:rPr>
                <w:rFonts w:ascii="仿宋" w:hAnsi="仿宋" w:eastAsia="仿宋" w:cs="宋体"/>
                <w:color w:val="auto"/>
                <w:kern w:val="0"/>
                <w:szCs w:val="21"/>
                <w:highlight w:val="none"/>
              </w:rPr>
              <w:t>7</w:t>
            </w:r>
          </w:p>
        </w:tc>
        <w:tc>
          <w:tcPr>
            <w:tcW w:w="5419" w:type="dxa"/>
            <w:gridSpan w:val="2"/>
            <w:tcBorders>
              <w:top w:val="single" w:color="auto" w:sz="4" w:space="0"/>
              <w:left w:val="single" w:color="auto" w:sz="4" w:space="0"/>
              <w:bottom w:val="single" w:color="auto" w:sz="4" w:space="0"/>
              <w:right w:val="single" w:color="auto" w:sz="4" w:space="0"/>
            </w:tcBorders>
            <w:noWrap w:val="0"/>
            <w:vAlign w:val="center"/>
          </w:tcPr>
          <w:p w14:paraId="119E779C">
            <w:pPr>
              <w:widowControl/>
              <w:rPr>
                <w:rFonts w:ascii="仿宋" w:hAnsi="仿宋" w:eastAsia="仿宋" w:cs="宋体"/>
                <w:color w:val="auto"/>
                <w:szCs w:val="21"/>
                <w:highlight w:val="none"/>
              </w:rPr>
            </w:pPr>
            <w:r>
              <w:rPr>
                <w:rFonts w:hint="eastAsia" w:ascii="仿宋" w:hAnsi="仿宋" w:eastAsia="仿宋" w:cs="宋体"/>
                <w:color w:val="auto"/>
                <w:szCs w:val="21"/>
                <w:highlight w:val="none"/>
              </w:rPr>
              <w:t>涉网诈骗预感探测数据服务不到位，未能</w:t>
            </w:r>
            <w:r>
              <w:rPr>
                <w:rFonts w:hint="eastAsia" w:ascii="仿宋" w:hAnsi="仿宋" w:eastAsia="仿宋"/>
                <w:color w:val="auto"/>
                <w:szCs w:val="21"/>
                <w:highlight w:val="none"/>
              </w:rPr>
              <w:t>通过大数据感知电信网络诈骗违法犯罪的新特点、新动向，探测具有涉诈特征的网站、</w:t>
            </w:r>
            <w:r>
              <w:rPr>
                <w:rFonts w:ascii="仿宋" w:hAnsi="仿宋" w:eastAsia="仿宋"/>
                <w:color w:val="auto"/>
                <w:szCs w:val="21"/>
                <w:highlight w:val="none"/>
              </w:rPr>
              <w:t>APP</w:t>
            </w:r>
            <w:r>
              <w:rPr>
                <w:rFonts w:hint="eastAsia" w:ascii="仿宋" w:hAnsi="仿宋" w:eastAsia="仿宋"/>
                <w:color w:val="auto"/>
                <w:szCs w:val="21"/>
                <w:highlight w:val="none"/>
              </w:rPr>
              <w:t>、电话、</w:t>
            </w:r>
            <w:r>
              <w:rPr>
                <w:rFonts w:ascii="仿宋" w:hAnsi="仿宋" w:eastAsia="仿宋"/>
                <w:color w:val="auto"/>
                <w:szCs w:val="21"/>
                <w:highlight w:val="none"/>
              </w:rPr>
              <w:t>银行</w:t>
            </w:r>
            <w:r>
              <w:rPr>
                <w:rFonts w:hint="eastAsia" w:ascii="仿宋" w:hAnsi="仿宋" w:eastAsia="仿宋"/>
                <w:color w:val="auto"/>
                <w:szCs w:val="21"/>
                <w:highlight w:val="none"/>
              </w:rPr>
              <w:t>等数据，抓取用于诈骗的</w:t>
            </w:r>
            <w:r>
              <w:rPr>
                <w:rFonts w:ascii="仿宋" w:hAnsi="仿宋" w:eastAsia="仿宋"/>
                <w:color w:val="auto"/>
                <w:szCs w:val="21"/>
                <w:highlight w:val="none"/>
              </w:rPr>
              <w:t>VOIP</w:t>
            </w:r>
            <w:r>
              <w:rPr>
                <w:rFonts w:hint="eastAsia" w:ascii="仿宋" w:hAnsi="仿宋" w:eastAsia="仿宋"/>
                <w:color w:val="auto"/>
                <w:szCs w:val="21"/>
                <w:highlight w:val="none"/>
              </w:rPr>
              <w:t>、</w:t>
            </w:r>
            <w:r>
              <w:rPr>
                <w:rFonts w:ascii="仿宋" w:hAnsi="仿宋" w:eastAsia="仿宋"/>
                <w:color w:val="auto"/>
                <w:szCs w:val="21"/>
                <w:highlight w:val="none"/>
              </w:rPr>
              <w:t>GOIP</w:t>
            </w:r>
            <w:r>
              <w:rPr>
                <w:rFonts w:hint="eastAsia" w:ascii="仿宋" w:hAnsi="仿宋" w:eastAsia="仿宋"/>
                <w:color w:val="auto"/>
                <w:szCs w:val="21"/>
                <w:highlight w:val="none"/>
              </w:rPr>
              <w:t>电话及涉网</w:t>
            </w:r>
            <w:r>
              <w:rPr>
                <w:rFonts w:ascii="仿宋" w:hAnsi="仿宋" w:eastAsia="仿宋"/>
                <w:color w:val="auto"/>
                <w:szCs w:val="21"/>
                <w:highlight w:val="none"/>
              </w:rPr>
              <w:t>犯罪关联</w:t>
            </w:r>
            <w:r>
              <w:rPr>
                <w:rFonts w:hint="eastAsia" w:ascii="仿宋" w:hAnsi="仿宋" w:eastAsia="仿宋"/>
                <w:color w:val="auto"/>
                <w:szCs w:val="21"/>
                <w:highlight w:val="none"/>
              </w:rPr>
              <w:t>银行卡</w:t>
            </w:r>
            <w:r>
              <w:rPr>
                <w:rFonts w:ascii="仿宋" w:hAnsi="仿宋" w:eastAsia="仿宋"/>
                <w:color w:val="auto"/>
                <w:szCs w:val="21"/>
                <w:highlight w:val="none"/>
              </w:rPr>
              <w:t>等</w:t>
            </w:r>
            <w:r>
              <w:rPr>
                <w:rFonts w:hint="eastAsia" w:ascii="仿宋" w:hAnsi="仿宋" w:eastAsia="仿宋"/>
                <w:color w:val="auto"/>
                <w:szCs w:val="21"/>
                <w:highlight w:val="none"/>
              </w:rPr>
              <w:t>其它电信网络技术数据信息，及时收集更新黑样本库，精准发现本地潜在受害人和</w:t>
            </w:r>
            <w:r>
              <w:rPr>
                <w:rFonts w:ascii="仿宋" w:hAnsi="仿宋" w:eastAsia="仿宋"/>
                <w:color w:val="auto"/>
                <w:szCs w:val="21"/>
                <w:highlight w:val="none"/>
              </w:rPr>
              <w:t>其他可疑人员</w:t>
            </w:r>
            <w:r>
              <w:rPr>
                <w:rFonts w:hint="eastAsia" w:ascii="仿宋" w:hAnsi="仿宋" w:eastAsia="仿宋"/>
                <w:color w:val="auto"/>
                <w:szCs w:val="21"/>
                <w:highlight w:val="none"/>
              </w:rPr>
              <w:t>。未能有效支持数据端口接入，将数据信息推送至采购单位开展侦防工作，以便于采购人统计分析，提供数据端口维护服务</w:t>
            </w:r>
          </w:p>
          <w:p w14:paraId="582ACC1B">
            <w:pPr>
              <w:widowControl/>
              <w:rPr>
                <w:rFonts w:ascii="仿宋" w:hAnsi="仿宋" w:eastAsia="仿宋" w:cs="宋体"/>
                <w:color w:val="auto"/>
                <w:szCs w:val="21"/>
                <w:highlight w:val="none"/>
              </w:rPr>
            </w:pPr>
            <w:r>
              <w:rPr>
                <w:rFonts w:hint="eastAsia" w:ascii="仿宋" w:hAnsi="仿宋" w:eastAsia="仿宋" w:cs="宋体"/>
                <w:color w:val="auto"/>
                <w:szCs w:val="21"/>
                <w:highlight w:val="none"/>
              </w:rPr>
              <w:t>数据质量方面不符合采购需求的。</w:t>
            </w:r>
          </w:p>
          <w:p w14:paraId="21851408">
            <w:pPr>
              <w:pStyle w:val="30"/>
              <w:rPr>
                <w:rFonts w:hint="eastAsia"/>
                <w:color w:val="auto"/>
                <w:highlight w:val="none"/>
                <w:lang w:val="en-US"/>
              </w:rPr>
            </w:pPr>
            <w:r>
              <w:rPr>
                <w:rFonts w:hint="eastAsia" w:ascii="仿宋" w:hAnsi="仿宋" w:eastAsia="仿宋" w:cs="宋体"/>
                <w:snapToGrid/>
                <w:color w:val="auto"/>
                <w:sz w:val="21"/>
                <w:highlight w:val="none"/>
                <w:lang w:val="en-US"/>
              </w:rPr>
              <w:t>完成监测数据推送数量不符合合同条款要求的。</w:t>
            </w:r>
          </w:p>
        </w:tc>
        <w:tc>
          <w:tcPr>
            <w:tcW w:w="1111" w:type="dxa"/>
            <w:tcBorders>
              <w:top w:val="single" w:color="auto" w:sz="4" w:space="0"/>
              <w:left w:val="single" w:color="auto" w:sz="4" w:space="0"/>
              <w:bottom w:val="single" w:color="auto" w:sz="4" w:space="0"/>
              <w:right w:val="single" w:color="auto" w:sz="4" w:space="0"/>
            </w:tcBorders>
            <w:noWrap w:val="0"/>
            <w:vAlign w:val="center"/>
          </w:tcPr>
          <w:p w14:paraId="4EDE9E09">
            <w:pPr>
              <w:widowControl/>
              <w:jc w:val="center"/>
              <w:rPr>
                <w:rFonts w:ascii="仿宋" w:hAnsi="仿宋" w:eastAsia="仿宋" w:cs="宋体"/>
                <w:color w:val="auto"/>
                <w:kern w:val="0"/>
                <w:szCs w:val="21"/>
                <w:highlight w:val="none"/>
              </w:rPr>
            </w:pPr>
            <w:r>
              <w:rPr>
                <w:rFonts w:ascii="仿宋" w:hAnsi="仿宋" w:eastAsia="仿宋" w:cs="宋体"/>
                <w:color w:val="auto"/>
                <w:kern w:val="0"/>
                <w:szCs w:val="21"/>
                <w:highlight w:val="none"/>
              </w:rPr>
              <w:t>3</w:t>
            </w:r>
          </w:p>
        </w:tc>
        <w:tc>
          <w:tcPr>
            <w:tcW w:w="988" w:type="dxa"/>
            <w:tcBorders>
              <w:top w:val="single" w:color="auto" w:sz="4" w:space="0"/>
              <w:left w:val="single" w:color="auto" w:sz="4" w:space="0"/>
              <w:bottom w:val="single" w:color="auto" w:sz="4" w:space="0"/>
              <w:right w:val="single" w:color="auto" w:sz="4" w:space="0"/>
            </w:tcBorders>
            <w:noWrap w:val="0"/>
            <w:vAlign w:val="top"/>
          </w:tcPr>
          <w:p w14:paraId="7824DBB8">
            <w:pPr>
              <w:widowControl/>
              <w:jc w:val="center"/>
              <w:rPr>
                <w:rFonts w:ascii="仿宋" w:hAnsi="仿宋" w:eastAsia="仿宋" w:cs="宋体"/>
                <w:color w:val="auto"/>
                <w:kern w:val="0"/>
                <w:szCs w:val="21"/>
                <w:highlight w:val="none"/>
              </w:rPr>
            </w:pPr>
          </w:p>
        </w:tc>
        <w:tc>
          <w:tcPr>
            <w:tcW w:w="659" w:type="dxa"/>
            <w:tcBorders>
              <w:top w:val="single" w:color="auto" w:sz="4" w:space="0"/>
              <w:left w:val="single" w:color="auto" w:sz="4" w:space="0"/>
              <w:bottom w:val="single" w:color="auto" w:sz="4" w:space="0"/>
              <w:right w:val="single" w:color="auto" w:sz="4" w:space="0"/>
            </w:tcBorders>
            <w:noWrap w:val="0"/>
            <w:vAlign w:val="top"/>
          </w:tcPr>
          <w:p w14:paraId="19166361">
            <w:pPr>
              <w:widowControl/>
              <w:jc w:val="center"/>
              <w:rPr>
                <w:rFonts w:ascii="仿宋" w:hAnsi="仿宋" w:eastAsia="仿宋" w:cs="宋体"/>
                <w:color w:val="auto"/>
                <w:kern w:val="0"/>
                <w:szCs w:val="21"/>
                <w:highlight w:val="none"/>
              </w:rPr>
            </w:pPr>
          </w:p>
        </w:tc>
      </w:tr>
      <w:tr w14:paraId="1A607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657" w:type="dxa"/>
            <w:tcBorders>
              <w:top w:val="single" w:color="auto" w:sz="4" w:space="0"/>
              <w:left w:val="single" w:color="auto" w:sz="4" w:space="0"/>
              <w:bottom w:val="single" w:color="auto" w:sz="4" w:space="0"/>
              <w:right w:val="single" w:color="auto" w:sz="4" w:space="0"/>
            </w:tcBorders>
            <w:noWrap w:val="0"/>
            <w:vAlign w:val="center"/>
          </w:tcPr>
          <w:p w14:paraId="275A62A0">
            <w:pPr>
              <w:widowControl/>
              <w:jc w:val="center"/>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8</w:t>
            </w:r>
          </w:p>
        </w:tc>
        <w:tc>
          <w:tcPr>
            <w:tcW w:w="5419" w:type="dxa"/>
            <w:gridSpan w:val="2"/>
            <w:tcBorders>
              <w:top w:val="single" w:color="auto" w:sz="4" w:space="0"/>
              <w:left w:val="single" w:color="auto" w:sz="4" w:space="0"/>
              <w:bottom w:val="single" w:color="auto" w:sz="4" w:space="0"/>
              <w:right w:val="single" w:color="auto" w:sz="4" w:space="0"/>
            </w:tcBorders>
            <w:noWrap w:val="0"/>
            <w:vAlign w:val="center"/>
          </w:tcPr>
          <w:p w14:paraId="61A4312F">
            <w:pPr>
              <w:widowControl/>
              <w:rPr>
                <w:rFonts w:ascii="仿宋" w:hAnsi="仿宋" w:eastAsia="仿宋" w:cs="宋体"/>
                <w:color w:val="auto"/>
                <w:szCs w:val="21"/>
                <w:highlight w:val="none"/>
              </w:rPr>
            </w:pPr>
            <w:r>
              <w:rPr>
                <w:rFonts w:hint="eastAsia" w:ascii="仿宋" w:hAnsi="仿宋" w:eastAsia="仿宋" w:cs="仿宋"/>
                <w:color w:val="auto"/>
                <w:szCs w:val="21"/>
                <w:highlight w:val="none"/>
              </w:rPr>
              <w:t>涉网新型案件行为分析服务</w:t>
            </w:r>
            <w:r>
              <w:rPr>
                <w:rFonts w:hint="eastAsia" w:ascii="仿宋" w:hAnsi="仿宋" w:eastAsia="仿宋" w:cs="宋体"/>
                <w:color w:val="auto"/>
                <w:szCs w:val="21"/>
                <w:highlight w:val="none"/>
              </w:rPr>
              <w:t>不到位，未能提供</w:t>
            </w:r>
            <w:r>
              <w:rPr>
                <w:rFonts w:hint="eastAsia" w:ascii="仿宋" w:hAnsi="仿宋" w:eastAsia="仿宋"/>
                <w:color w:val="auto"/>
                <w:szCs w:val="21"/>
                <w:highlight w:val="none"/>
              </w:rPr>
              <w:t>大数据辅助分析、涉网新型行为分析</w:t>
            </w:r>
            <w:r>
              <w:rPr>
                <w:rFonts w:hint="eastAsia" w:ascii="仿宋" w:hAnsi="仿宋" w:eastAsia="仿宋" w:cs="宋体"/>
                <w:color w:val="auto"/>
                <w:szCs w:val="21"/>
                <w:highlight w:val="none"/>
              </w:rPr>
              <w:t>等服务的。提供涉诈设备大数据辅助分析和涉网新型行为分析服务、提供输出C类分析报告</w:t>
            </w:r>
            <w:r>
              <w:rPr>
                <w:rFonts w:hint="eastAsia" w:ascii="仿宋" w:hAnsi="仿宋" w:eastAsia="仿宋" w:cs="宋体"/>
                <w:color w:val="auto"/>
                <w:highlight w:val="none"/>
              </w:rPr>
              <w:t>数量不符合合同条款要求的。</w:t>
            </w:r>
          </w:p>
        </w:tc>
        <w:tc>
          <w:tcPr>
            <w:tcW w:w="1111" w:type="dxa"/>
            <w:tcBorders>
              <w:top w:val="single" w:color="auto" w:sz="4" w:space="0"/>
              <w:left w:val="single" w:color="auto" w:sz="4" w:space="0"/>
              <w:bottom w:val="single" w:color="auto" w:sz="4" w:space="0"/>
              <w:right w:val="single" w:color="auto" w:sz="4" w:space="0"/>
            </w:tcBorders>
            <w:noWrap w:val="0"/>
            <w:vAlign w:val="center"/>
          </w:tcPr>
          <w:p w14:paraId="640E0DA9">
            <w:pPr>
              <w:widowControl/>
              <w:jc w:val="center"/>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3</w:t>
            </w:r>
          </w:p>
        </w:tc>
        <w:tc>
          <w:tcPr>
            <w:tcW w:w="988" w:type="dxa"/>
            <w:tcBorders>
              <w:top w:val="single" w:color="auto" w:sz="4" w:space="0"/>
              <w:left w:val="single" w:color="auto" w:sz="4" w:space="0"/>
              <w:bottom w:val="single" w:color="auto" w:sz="4" w:space="0"/>
              <w:right w:val="single" w:color="auto" w:sz="4" w:space="0"/>
            </w:tcBorders>
            <w:noWrap w:val="0"/>
            <w:vAlign w:val="top"/>
          </w:tcPr>
          <w:p w14:paraId="2EEE1FDD">
            <w:pPr>
              <w:widowControl/>
              <w:jc w:val="center"/>
              <w:rPr>
                <w:rFonts w:ascii="仿宋" w:hAnsi="仿宋" w:eastAsia="仿宋" w:cs="宋体"/>
                <w:color w:val="auto"/>
                <w:kern w:val="0"/>
                <w:szCs w:val="21"/>
                <w:highlight w:val="none"/>
              </w:rPr>
            </w:pPr>
          </w:p>
        </w:tc>
        <w:tc>
          <w:tcPr>
            <w:tcW w:w="659" w:type="dxa"/>
            <w:tcBorders>
              <w:top w:val="single" w:color="auto" w:sz="4" w:space="0"/>
              <w:left w:val="single" w:color="auto" w:sz="4" w:space="0"/>
              <w:bottom w:val="single" w:color="auto" w:sz="4" w:space="0"/>
              <w:right w:val="single" w:color="auto" w:sz="4" w:space="0"/>
            </w:tcBorders>
            <w:noWrap w:val="0"/>
            <w:vAlign w:val="top"/>
          </w:tcPr>
          <w:p w14:paraId="47C5ED16">
            <w:pPr>
              <w:widowControl/>
              <w:jc w:val="center"/>
              <w:rPr>
                <w:rFonts w:ascii="仿宋" w:hAnsi="仿宋" w:eastAsia="仿宋" w:cs="宋体"/>
                <w:color w:val="auto"/>
                <w:kern w:val="0"/>
                <w:szCs w:val="21"/>
                <w:highlight w:val="none"/>
              </w:rPr>
            </w:pPr>
          </w:p>
        </w:tc>
      </w:tr>
      <w:tr w14:paraId="526A1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657" w:type="dxa"/>
            <w:tcBorders>
              <w:top w:val="single" w:color="auto" w:sz="4" w:space="0"/>
              <w:left w:val="single" w:color="auto" w:sz="4" w:space="0"/>
              <w:bottom w:val="single" w:color="auto" w:sz="4" w:space="0"/>
              <w:right w:val="single" w:color="auto" w:sz="4" w:space="0"/>
            </w:tcBorders>
            <w:noWrap w:val="0"/>
            <w:vAlign w:val="center"/>
          </w:tcPr>
          <w:p w14:paraId="11413770">
            <w:pPr>
              <w:widowControl/>
              <w:jc w:val="center"/>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9</w:t>
            </w:r>
          </w:p>
        </w:tc>
        <w:tc>
          <w:tcPr>
            <w:tcW w:w="5419" w:type="dxa"/>
            <w:gridSpan w:val="2"/>
            <w:tcBorders>
              <w:top w:val="single" w:color="auto" w:sz="4" w:space="0"/>
              <w:left w:val="single" w:color="auto" w:sz="4" w:space="0"/>
              <w:bottom w:val="single" w:color="auto" w:sz="4" w:space="0"/>
              <w:right w:val="single" w:color="auto" w:sz="4" w:space="0"/>
            </w:tcBorders>
            <w:noWrap w:val="0"/>
            <w:vAlign w:val="center"/>
          </w:tcPr>
          <w:p w14:paraId="3B41F29C">
            <w:pPr>
              <w:widowControl/>
              <w:rPr>
                <w:rFonts w:ascii="仿宋" w:hAnsi="仿宋" w:eastAsia="仿宋" w:cs="仿宋"/>
                <w:color w:val="auto"/>
                <w:szCs w:val="21"/>
                <w:highlight w:val="none"/>
              </w:rPr>
            </w:pPr>
            <w:r>
              <w:rPr>
                <w:rFonts w:hint="eastAsia" w:ascii="仿宋" w:hAnsi="仿宋" w:eastAsia="仿宋" w:cs="仿宋"/>
                <w:color w:val="auto"/>
                <w:szCs w:val="21"/>
                <w:highlight w:val="none"/>
              </w:rPr>
              <w:t>新型涉网案件智勘联侦分析系统服务</w:t>
            </w:r>
            <w:r>
              <w:rPr>
                <w:rFonts w:hint="eastAsia" w:ascii="仿宋" w:hAnsi="仿宋" w:eastAsia="仿宋" w:cs="宋体"/>
                <w:color w:val="auto"/>
                <w:szCs w:val="21"/>
                <w:highlight w:val="none"/>
              </w:rPr>
              <w:t>不到位，未能提供</w:t>
            </w:r>
            <w:r>
              <w:rPr>
                <w:rFonts w:hint="eastAsia" w:ascii="仿宋" w:hAnsi="仿宋" w:eastAsia="仿宋"/>
                <w:color w:val="auto"/>
                <w:szCs w:val="21"/>
                <w:highlight w:val="none"/>
              </w:rPr>
              <w:t>取证数据推送和分析支撑、数据信息查询</w:t>
            </w:r>
            <w:r>
              <w:rPr>
                <w:rFonts w:hint="eastAsia" w:ascii="仿宋" w:hAnsi="仿宋" w:eastAsia="仿宋" w:cs="宋体"/>
                <w:color w:val="auto"/>
                <w:szCs w:val="21"/>
                <w:highlight w:val="none"/>
              </w:rPr>
              <w:t>等服务的。提供取证数据深度智能分析、研判支撑等案件服务、涉案数据推送、数据信息查询等案件服务、输出C类分析报告</w:t>
            </w:r>
            <w:r>
              <w:rPr>
                <w:rFonts w:hint="eastAsia" w:ascii="仿宋" w:hAnsi="仿宋" w:eastAsia="仿宋" w:cs="宋体"/>
                <w:color w:val="auto"/>
                <w:highlight w:val="none"/>
              </w:rPr>
              <w:t>数量不符合合同条款要求的。</w:t>
            </w:r>
          </w:p>
        </w:tc>
        <w:tc>
          <w:tcPr>
            <w:tcW w:w="1111" w:type="dxa"/>
            <w:tcBorders>
              <w:top w:val="single" w:color="auto" w:sz="4" w:space="0"/>
              <w:left w:val="single" w:color="auto" w:sz="4" w:space="0"/>
              <w:bottom w:val="single" w:color="auto" w:sz="4" w:space="0"/>
              <w:right w:val="single" w:color="auto" w:sz="4" w:space="0"/>
            </w:tcBorders>
            <w:noWrap w:val="0"/>
            <w:vAlign w:val="center"/>
          </w:tcPr>
          <w:p w14:paraId="273F4360">
            <w:pPr>
              <w:widowControl/>
              <w:jc w:val="center"/>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3</w:t>
            </w:r>
          </w:p>
        </w:tc>
        <w:tc>
          <w:tcPr>
            <w:tcW w:w="988" w:type="dxa"/>
            <w:tcBorders>
              <w:top w:val="single" w:color="auto" w:sz="4" w:space="0"/>
              <w:left w:val="single" w:color="auto" w:sz="4" w:space="0"/>
              <w:bottom w:val="single" w:color="auto" w:sz="4" w:space="0"/>
              <w:right w:val="single" w:color="auto" w:sz="4" w:space="0"/>
            </w:tcBorders>
            <w:noWrap w:val="0"/>
            <w:vAlign w:val="top"/>
          </w:tcPr>
          <w:p w14:paraId="16ADCBE3">
            <w:pPr>
              <w:widowControl/>
              <w:jc w:val="center"/>
              <w:rPr>
                <w:rFonts w:ascii="仿宋" w:hAnsi="仿宋" w:eastAsia="仿宋" w:cs="宋体"/>
                <w:color w:val="auto"/>
                <w:kern w:val="0"/>
                <w:szCs w:val="21"/>
                <w:highlight w:val="none"/>
              </w:rPr>
            </w:pPr>
          </w:p>
        </w:tc>
        <w:tc>
          <w:tcPr>
            <w:tcW w:w="659" w:type="dxa"/>
            <w:tcBorders>
              <w:top w:val="single" w:color="auto" w:sz="4" w:space="0"/>
              <w:left w:val="single" w:color="auto" w:sz="4" w:space="0"/>
              <w:bottom w:val="single" w:color="auto" w:sz="4" w:space="0"/>
              <w:right w:val="single" w:color="auto" w:sz="4" w:space="0"/>
            </w:tcBorders>
            <w:noWrap w:val="0"/>
            <w:vAlign w:val="top"/>
          </w:tcPr>
          <w:p w14:paraId="1DC00C72">
            <w:pPr>
              <w:widowControl/>
              <w:jc w:val="center"/>
              <w:rPr>
                <w:rFonts w:ascii="仿宋" w:hAnsi="仿宋" w:eastAsia="仿宋" w:cs="宋体"/>
                <w:color w:val="auto"/>
                <w:kern w:val="0"/>
                <w:szCs w:val="21"/>
                <w:highlight w:val="none"/>
              </w:rPr>
            </w:pPr>
          </w:p>
        </w:tc>
      </w:tr>
      <w:tr w14:paraId="5DE66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657" w:type="dxa"/>
            <w:tcBorders>
              <w:top w:val="single" w:color="auto" w:sz="4" w:space="0"/>
              <w:left w:val="single" w:color="auto" w:sz="4" w:space="0"/>
              <w:bottom w:val="single" w:color="auto" w:sz="4" w:space="0"/>
              <w:right w:val="single" w:color="auto" w:sz="4" w:space="0"/>
            </w:tcBorders>
            <w:noWrap w:val="0"/>
            <w:vAlign w:val="center"/>
          </w:tcPr>
          <w:p w14:paraId="06F7C1ED">
            <w:pPr>
              <w:widowControl/>
              <w:jc w:val="center"/>
              <w:rPr>
                <w:rFonts w:ascii="仿宋" w:hAnsi="仿宋" w:eastAsia="仿宋" w:cs="宋体"/>
                <w:color w:val="auto"/>
                <w:kern w:val="0"/>
                <w:szCs w:val="21"/>
                <w:highlight w:val="none"/>
              </w:rPr>
            </w:pPr>
            <w:r>
              <w:rPr>
                <w:rFonts w:ascii="仿宋" w:hAnsi="仿宋" w:eastAsia="仿宋" w:cs="宋体"/>
                <w:color w:val="auto"/>
                <w:kern w:val="0"/>
                <w:szCs w:val="21"/>
                <w:highlight w:val="none"/>
              </w:rPr>
              <w:t>10</w:t>
            </w:r>
          </w:p>
        </w:tc>
        <w:tc>
          <w:tcPr>
            <w:tcW w:w="5419" w:type="dxa"/>
            <w:gridSpan w:val="2"/>
            <w:tcBorders>
              <w:top w:val="single" w:color="auto" w:sz="4" w:space="0"/>
              <w:left w:val="single" w:color="auto" w:sz="4" w:space="0"/>
              <w:bottom w:val="single" w:color="auto" w:sz="4" w:space="0"/>
              <w:right w:val="single" w:color="auto" w:sz="4" w:space="0"/>
            </w:tcBorders>
            <w:noWrap w:val="0"/>
            <w:vAlign w:val="center"/>
          </w:tcPr>
          <w:p w14:paraId="4ED38EB6">
            <w:pPr>
              <w:widowControl/>
              <w:rPr>
                <w:rFonts w:ascii="仿宋" w:hAnsi="仿宋" w:eastAsia="仿宋" w:cs="宋体"/>
                <w:color w:val="auto"/>
                <w:szCs w:val="21"/>
                <w:highlight w:val="none"/>
              </w:rPr>
            </w:pPr>
            <w:r>
              <w:rPr>
                <w:rFonts w:hint="eastAsia" w:ascii="仿宋" w:hAnsi="仿宋" w:eastAsia="仿宋" w:cs="宋体"/>
                <w:color w:val="auto"/>
                <w:szCs w:val="21"/>
                <w:highlight w:val="none"/>
              </w:rPr>
              <w:t>投标人未提供7*24小时的技术支持（包括电话咨询与现场服务）的。</w:t>
            </w:r>
          </w:p>
        </w:tc>
        <w:tc>
          <w:tcPr>
            <w:tcW w:w="1111" w:type="dxa"/>
            <w:tcBorders>
              <w:top w:val="single" w:color="auto" w:sz="4" w:space="0"/>
              <w:left w:val="single" w:color="auto" w:sz="4" w:space="0"/>
              <w:bottom w:val="single" w:color="auto" w:sz="4" w:space="0"/>
              <w:right w:val="single" w:color="auto" w:sz="4" w:space="0"/>
            </w:tcBorders>
            <w:noWrap w:val="0"/>
            <w:vAlign w:val="center"/>
          </w:tcPr>
          <w:p w14:paraId="1D6C6E4D">
            <w:pPr>
              <w:widowControl/>
              <w:jc w:val="center"/>
              <w:rPr>
                <w:rFonts w:ascii="仿宋" w:hAnsi="仿宋" w:eastAsia="仿宋" w:cs="宋体"/>
                <w:color w:val="auto"/>
                <w:kern w:val="0"/>
                <w:szCs w:val="21"/>
                <w:highlight w:val="none"/>
              </w:rPr>
            </w:pPr>
            <w:r>
              <w:rPr>
                <w:rFonts w:ascii="仿宋" w:hAnsi="仿宋" w:eastAsia="仿宋" w:cs="宋体"/>
                <w:color w:val="auto"/>
                <w:kern w:val="0"/>
                <w:szCs w:val="21"/>
                <w:highlight w:val="none"/>
              </w:rPr>
              <w:t>2</w:t>
            </w:r>
          </w:p>
        </w:tc>
        <w:tc>
          <w:tcPr>
            <w:tcW w:w="988" w:type="dxa"/>
            <w:tcBorders>
              <w:top w:val="single" w:color="auto" w:sz="4" w:space="0"/>
              <w:left w:val="single" w:color="auto" w:sz="4" w:space="0"/>
              <w:bottom w:val="single" w:color="auto" w:sz="4" w:space="0"/>
              <w:right w:val="single" w:color="auto" w:sz="4" w:space="0"/>
            </w:tcBorders>
            <w:noWrap w:val="0"/>
            <w:vAlign w:val="top"/>
          </w:tcPr>
          <w:p w14:paraId="486484C1">
            <w:pPr>
              <w:widowControl/>
              <w:jc w:val="center"/>
              <w:rPr>
                <w:rFonts w:ascii="仿宋" w:hAnsi="仿宋" w:eastAsia="仿宋" w:cs="宋体"/>
                <w:color w:val="auto"/>
                <w:kern w:val="0"/>
                <w:szCs w:val="21"/>
                <w:highlight w:val="none"/>
              </w:rPr>
            </w:pPr>
          </w:p>
        </w:tc>
        <w:tc>
          <w:tcPr>
            <w:tcW w:w="659" w:type="dxa"/>
            <w:tcBorders>
              <w:top w:val="single" w:color="auto" w:sz="4" w:space="0"/>
              <w:left w:val="single" w:color="auto" w:sz="4" w:space="0"/>
              <w:bottom w:val="single" w:color="auto" w:sz="4" w:space="0"/>
              <w:right w:val="single" w:color="auto" w:sz="4" w:space="0"/>
            </w:tcBorders>
            <w:noWrap w:val="0"/>
            <w:vAlign w:val="top"/>
          </w:tcPr>
          <w:p w14:paraId="637D47A0">
            <w:pPr>
              <w:widowControl/>
              <w:jc w:val="center"/>
              <w:rPr>
                <w:rFonts w:ascii="仿宋" w:hAnsi="仿宋" w:eastAsia="仿宋" w:cs="宋体"/>
                <w:color w:val="auto"/>
                <w:kern w:val="0"/>
                <w:szCs w:val="21"/>
                <w:highlight w:val="none"/>
              </w:rPr>
            </w:pPr>
          </w:p>
        </w:tc>
      </w:tr>
      <w:tr w14:paraId="6FDD6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657" w:type="dxa"/>
            <w:tcBorders>
              <w:top w:val="single" w:color="auto" w:sz="4" w:space="0"/>
              <w:left w:val="single" w:color="auto" w:sz="4" w:space="0"/>
              <w:bottom w:val="single" w:color="auto" w:sz="4" w:space="0"/>
              <w:right w:val="single" w:color="auto" w:sz="4" w:space="0"/>
            </w:tcBorders>
            <w:noWrap w:val="0"/>
            <w:vAlign w:val="center"/>
          </w:tcPr>
          <w:p w14:paraId="224E4E1F">
            <w:pPr>
              <w:widowControl/>
              <w:jc w:val="center"/>
              <w:rPr>
                <w:rFonts w:ascii="仿宋" w:hAnsi="仿宋" w:eastAsia="仿宋" w:cs="宋体"/>
                <w:color w:val="auto"/>
                <w:kern w:val="0"/>
                <w:szCs w:val="21"/>
                <w:highlight w:val="none"/>
              </w:rPr>
            </w:pPr>
            <w:r>
              <w:rPr>
                <w:rFonts w:ascii="仿宋" w:hAnsi="仿宋" w:eastAsia="仿宋" w:cs="宋体"/>
                <w:color w:val="auto"/>
                <w:kern w:val="0"/>
                <w:szCs w:val="21"/>
                <w:highlight w:val="none"/>
              </w:rPr>
              <w:t>11</w:t>
            </w:r>
          </w:p>
        </w:tc>
        <w:tc>
          <w:tcPr>
            <w:tcW w:w="5419" w:type="dxa"/>
            <w:gridSpan w:val="2"/>
            <w:tcBorders>
              <w:top w:val="single" w:color="auto" w:sz="4" w:space="0"/>
              <w:left w:val="single" w:color="auto" w:sz="4" w:space="0"/>
              <w:bottom w:val="single" w:color="auto" w:sz="4" w:space="0"/>
              <w:right w:val="single" w:color="auto" w:sz="4" w:space="0"/>
            </w:tcBorders>
            <w:noWrap w:val="0"/>
            <w:vAlign w:val="center"/>
          </w:tcPr>
          <w:p w14:paraId="776A5B21">
            <w:pPr>
              <w:widowControl/>
              <w:rPr>
                <w:rFonts w:ascii="仿宋" w:hAnsi="仿宋" w:eastAsia="仿宋" w:cs="宋体"/>
                <w:color w:val="auto"/>
                <w:szCs w:val="21"/>
                <w:highlight w:val="none"/>
              </w:rPr>
            </w:pPr>
            <w:r>
              <w:rPr>
                <w:rFonts w:hint="eastAsia" w:ascii="仿宋" w:hAnsi="仿宋" w:eastAsia="仿宋" w:cs="宋体"/>
                <w:color w:val="auto"/>
                <w:szCs w:val="21"/>
                <w:highlight w:val="none"/>
              </w:rPr>
              <w:t>每次对涉案系统进行扫描、安全测试之前未先与采购人书面确认的。</w:t>
            </w:r>
          </w:p>
        </w:tc>
        <w:tc>
          <w:tcPr>
            <w:tcW w:w="1111" w:type="dxa"/>
            <w:tcBorders>
              <w:top w:val="single" w:color="auto" w:sz="4" w:space="0"/>
              <w:left w:val="single" w:color="auto" w:sz="4" w:space="0"/>
              <w:bottom w:val="single" w:color="auto" w:sz="4" w:space="0"/>
              <w:right w:val="single" w:color="auto" w:sz="4" w:space="0"/>
            </w:tcBorders>
            <w:noWrap w:val="0"/>
            <w:vAlign w:val="center"/>
          </w:tcPr>
          <w:p w14:paraId="189070D0">
            <w:pPr>
              <w:widowControl/>
              <w:jc w:val="center"/>
              <w:rPr>
                <w:rFonts w:ascii="仿宋" w:hAnsi="仿宋" w:eastAsia="仿宋" w:cs="宋体"/>
                <w:color w:val="auto"/>
                <w:kern w:val="0"/>
                <w:szCs w:val="21"/>
                <w:highlight w:val="none"/>
              </w:rPr>
            </w:pPr>
            <w:r>
              <w:rPr>
                <w:rFonts w:ascii="仿宋" w:hAnsi="仿宋" w:eastAsia="仿宋" w:cs="宋体"/>
                <w:color w:val="auto"/>
                <w:kern w:val="0"/>
                <w:szCs w:val="21"/>
                <w:highlight w:val="none"/>
              </w:rPr>
              <w:t>3</w:t>
            </w:r>
          </w:p>
        </w:tc>
        <w:tc>
          <w:tcPr>
            <w:tcW w:w="988" w:type="dxa"/>
            <w:tcBorders>
              <w:top w:val="single" w:color="auto" w:sz="4" w:space="0"/>
              <w:left w:val="single" w:color="auto" w:sz="4" w:space="0"/>
              <w:bottom w:val="single" w:color="auto" w:sz="4" w:space="0"/>
              <w:right w:val="single" w:color="auto" w:sz="4" w:space="0"/>
            </w:tcBorders>
            <w:noWrap w:val="0"/>
            <w:vAlign w:val="top"/>
          </w:tcPr>
          <w:p w14:paraId="727136E9">
            <w:pPr>
              <w:widowControl/>
              <w:jc w:val="center"/>
              <w:rPr>
                <w:rFonts w:ascii="仿宋" w:hAnsi="仿宋" w:eastAsia="仿宋" w:cs="宋体"/>
                <w:color w:val="auto"/>
                <w:kern w:val="0"/>
                <w:szCs w:val="21"/>
                <w:highlight w:val="none"/>
              </w:rPr>
            </w:pPr>
          </w:p>
        </w:tc>
        <w:tc>
          <w:tcPr>
            <w:tcW w:w="659" w:type="dxa"/>
            <w:tcBorders>
              <w:top w:val="single" w:color="auto" w:sz="4" w:space="0"/>
              <w:left w:val="single" w:color="auto" w:sz="4" w:space="0"/>
              <w:bottom w:val="single" w:color="auto" w:sz="4" w:space="0"/>
              <w:right w:val="single" w:color="auto" w:sz="4" w:space="0"/>
            </w:tcBorders>
            <w:noWrap w:val="0"/>
            <w:vAlign w:val="top"/>
          </w:tcPr>
          <w:p w14:paraId="2BABA801">
            <w:pPr>
              <w:widowControl/>
              <w:jc w:val="center"/>
              <w:rPr>
                <w:rFonts w:ascii="仿宋" w:hAnsi="仿宋" w:eastAsia="仿宋" w:cs="宋体"/>
                <w:color w:val="auto"/>
                <w:kern w:val="0"/>
                <w:szCs w:val="21"/>
                <w:highlight w:val="none"/>
              </w:rPr>
            </w:pPr>
          </w:p>
        </w:tc>
      </w:tr>
      <w:tr w14:paraId="6A13D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657" w:type="dxa"/>
            <w:tcBorders>
              <w:top w:val="single" w:color="auto" w:sz="4" w:space="0"/>
              <w:left w:val="single" w:color="auto" w:sz="4" w:space="0"/>
              <w:bottom w:val="single" w:color="auto" w:sz="4" w:space="0"/>
              <w:right w:val="single" w:color="auto" w:sz="4" w:space="0"/>
            </w:tcBorders>
            <w:noWrap w:val="0"/>
            <w:vAlign w:val="center"/>
          </w:tcPr>
          <w:p w14:paraId="76DB5AD4">
            <w:pPr>
              <w:widowControl/>
              <w:jc w:val="center"/>
              <w:rPr>
                <w:rFonts w:ascii="仿宋" w:hAnsi="仿宋" w:eastAsia="仿宋" w:cs="宋体"/>
                <w:color w:val="auto"/>
                <w:kern w:val="0"/>
                <w:szCs w:val="21"/>
                <w:highlight w:val="none"/>
              </w:rPr>
            </w:pPr>
            <w:r>
              <w:rPr>
                <w:rFonts w:ascii="仿宋" w:hAnsi="仿宋" w:eastAsia="仿宋" w:cs="宋体"/>
                <w:color w:val="auto"/>
                <w:kern w:val="0"/>
                <w:szCs w:val="21"/>
                <w:highlight w:val="none"/>
              </w:rPr>
              <w:t>12</w:t>
            </w:r>
          </w:p>
        </w:tc>
        <w:tc>
          <w:tcPr>
            <w:tcW w:w="5419" w:type="dxa"/>
            <w:gridSpan w:val="2"/>
            <w:tcBorders>
              <w:top w:val="single" w:color="auto" w:sz="4" w:space="0"/>
              <w:left w:val="single" w:color="auto" w:sz="4" w:space="0"/>
              <w:bottom w:val="single" w:color="auto" w:sz="4" w:space="0"/>
              <w:right w:val="single" w:color="auto" w:sz="4" w:space="0"/>
            </w:tcBorders>
            <w:noWrap w:val="0"/>
            <w:vAlign w:val="center"/>
          </w:tcPr>
          <w:p w14:paraId="36D2B332">
            <w:pPr>
              <w:widowControl/>
              <w:rPr>
                <w:rFonts w:ascii="仿宋" w:hAnsi="仿宋" w:eastAsia="仿宋" w:cs="宋体"/>
                <w:color w:val="auto"/>
                <w:szCs w:val="21"/>
                <w:highlight w:val="none"/>
              </w:rPr>
            </w:pPr>
            <w:r>
              <w:rPr>
                <w:rFonts w:hint="eastAsia" w:ascii="仿宋" w:hAnsi="仿宋" w:eastAsia="仿宋" w:cs="宋体"/>
                <w:color w:val="auto"/>
                <w:szCs w:val="21"/>
                <w:highlight w:val="none"/>
              </w:rPr>
              <w:t>进行服务实施时，未在采购人许可的情况下进行的。</w:t>
            </w:r>
          </w:p>
        </w:tc>
        <w:tc>
          <w:tcPr>
            <w:tcW w:w="1111" w:type="dxa"/>
            <w:tcBorders>
              <w:top w:val="single" w:color="auto" w:sz="4" w:space="0"/>
              <w:left w:val="single" w:color="auto" w:sz="4" w:space="0"/>
              <w:bottom w:val="single" w:color="auto" w:sz="4" w:space="0"/>
              <w:right w:val="single" w:color="auto" w:sz="4" w:space="0"/>
            </w:tcBorders>
            <w:noWrap w:val="0"/>
            <w:vAlign w:val="center"/>
          </w:tcPr>
          <w:p w14:paraId="4DE79D04">
            <w:pPr>
              <w:widowControl/>
              <w:jc w:val="center"/>
              <w:rPr>
                <w:rFonts w:ascii="仿宋" w:hAnsi="仿宋" w:eastAsia="仿宋" w:cs="宋体"/>
                <w:color w:val="auto"/>
                <w:kern w:val="0"/>
                <w:szCs w:val="21"/>
                <w:highlight w:val="none"/>
              </w:rPr>
            </w:pPr>
            <w:r>
              <w:rPr>
                <w:rFonts w:ascii="仿宋" w:hAnsi="仿宋" w:eastAsia="仿宋" w:cs="宋体"/>
                <w:color w:val="auto"/>
                <w:kern w:val="0"/>
                <w:szCs w:val="21"/>
                <w:highlight w:val="none"/>
              </w:rPr>
              <w:t>3</w:t>
            </w:r>
          </w:p>
        </w:tc>
        <w:tc>
          <w:tcPr>
            <w:tcW w:w="988" w:type="dxa"/>
            <w:tcBorders>
              <w:top w:val="single" w:color="auto" w:sz="4" w:space="0"/>
              <w:left w:val="single" w:color="auto" w:sz="4" w:space="0"/>
              <w:bottom w:val="single" w:color="auto" w:sz="4" w:space="0"/>
              <w:right w:val="single" w:color="auto" w:sz="4" w:space="0"/>
            </w:tcBorders>
            <w:noWrap w:val="0"/>
            <w:vAlign w:val="top"/>
          </w:tcPr>
          <w:p w14:paraId="52851FCE">
            <w:pPr>
              <w:widowControl/>
              <w:jc w:val="center"/>
              <w:rPr>
                <w:rFonts w:ascii="仿宋" w:hAnsi="仿宋" w:eastAsia="仿宋" w:cs="宋体"/>
                <w:color w:val="auto"/>
                <w:kern w:val="0"/>
                <w:szCs w:val="21"/>
                <w:highlight w:val="none"/>
              </w:rPr>
            </w:pPr>
          </w:p>
        </w:tc>
        <w:tc>
          <w:tcPr>
            <w:tcW w:w="659" w:type="dxa"/>
            <w:tcBorders>
              <w:top w:val="single" w:color="auto" w:sz="4" w:space="0"/>
              <w:left w:val="single" w:color="auto" w:sz="4" w:space="0"/>
              <w:bottom w:val="single" w:color="auto" w:sz="4" w:space="0"/>
              <w:right w:val="single" w:color="auto" w:sz="4" w:space="0"/>
            </w:tcBorders>
            <w:noWrap w:val="0"/>
            <w:vAlign w:val="top"/>
          </w:tcPr>
          <w:p w14:paraId="7D259256">
            <w:pPr>
              <w:widowControl/>
              <w:jc w:val="center"/>
              <w:rPr>
                <w:rFonts w:ascii="仿宋" w:hAnsi="仿宋" w:eastAsia="仿宋" w:cs="宋体"/>
                <w:color w:val="auto"/>
                <w:kern w:val="0"/>
                <w:szCs w:val="21"/>
                <w:highlight w:val="none"/>
              </w:rPr>
            </w:pPr>
          </w:p>
        </w:tc>
      </w:tr>
      <w:tr w14:paraId="7EFEC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657" w:type="dxa"/>
            <w:tcBorders>
              <w:top w:val="single" w:color="auto" w:sz="4" w:space="0"/>
              <w:left w:val="single" w:color="auto" w:sz="4" w:space="0"/>
              <w:bottom w:val="single" w:color="auto" w:sz="4" w:space="0"/>
              <w:right w:val="single" w:color="auto" w:sz="4" w:space="0"/>
            </w:tcBorders>
            <w:noWrap w:val="0"/>
            <w:vAlign w:val="center"/>
          </w:tcPr>
          <w:p w14:paraId="7601600F">
            <w:pPr>
              <w:widowControl/>
              <w:jc w:val="center"/>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1</w:t>
            </w:r>
            <w:r>
              <w:rPr>
                <w:rFonts w:ascii="仿宋" w:hAnsi="仿宋" w:eastAsia="仿宋" w:cs="宋体"/>
                <w:color w:val="auto"/>
                <w:kern w:val="0"/>
                <w:szCs w:val="21"/>
                <w:highlight w:val="none"/>
              </w:rPr>
              <w:t>3</w:t>
            </w:r>
          </w:p>
        </w:tc>
        <w:tc>
          <w:tcPr>
            <w:tcW w:w="5419" w:type="dxa"/>
            <w:gridSpan w:val="2"/>
            <w:tcBorders>
              <w:top w:val="single" w:color="auto" w:sz="4" w:space="0"/>
              <w:left w:val="single" w:color="auto" w:sz="4" w:space="0"/>
              <w:bottom w:val="single" w:color="auto" w:sz="4" w:space="0"/>
              <w:right w:val="single" w:color="auto" w:sz="4" w:space="0"/>
            </w:tcBorders>
            <w:noWrap w:val="0"/>
            <w:vAlign w:val="center"/>
          </w:tcPr>
          <w:p w14:paraId="3BF7311D">
            <w:pPr>
              <w:widowControl/>
              <w:rPr>
                <w:rFonts w:hint="eastAsia" w:ascii="仿宋" w:hAnsi="仿宋" w:eastAsia="仿宋" w:cs="宋体"/>
                <w:color w:val="auto"/>
                <w:szCs w:val="21"/>
                <w:highlight w:val="none"/>
              </w:rPr>
            </w:pPr>
            <w:r>
              <w:rPr>
                <w:rFonts w:hint="eastAsia" w:ascii="仿宋" w:hAnsi="仿宋" w:eastAsia="仿宋" w:cs="宋体"/>
                <w:color w:val="auto"/>
                <w:szCs w:val="21"/>
                <w:highlight w:val="none"/>
              </w:rPr>
              <w:t>单个分析报告，未在接到采购人书面工作指令后5个工作日内出具，并交由采购人审核的。</w:t>
            </w:r>
          </w:p>
        </w:tc>
        <w:tc>
          <w:tcPr>
            <w:tcW w:w="1111" w:type="dxa"/>
            <w:tcBorders>
              <w:top w:val="single" w:color="auto" w:sz="4" w:space="0"/>
              <w:left w:val="single" w:color="auto" w:sz="4" w:space="0"/>
              <w:bottom w:val="single" w:color="auto" w:sz="4" w:space="0"/>
              <w:right w:val="single" w:color="auto" w:sz="4" w:space="0"/>
            </w:tcBorders>
            <w:noWrap w:val="0"/>
            <w:vAlign w:val="center"/>
          </w:tcPr>
          <w:p w14:paraId="315E5FFC">
            <w:pPr>
              <w:widowControl/>
              <w:jc w:val="center"/>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3</w:t>
            </w:r>
          </w:p>
        </w:tc>
        <w:tc>
          <w:tcPr>
            <w:tcW w:w="988" w:type="dxa"/>
            <w:tcBorders>
              <w:top w:val="single" w:color="auto" w:sz="4" w:space="0"/>
              <w:left w:val="single" w:color="auto" w:sz="4" w:space="0"/>
              <w:bottom w:val="single" w:color="auto" w:sz="4" w:space="0"/>
              <w:right w:val="single" w:color="auto" w:sz="4" w:space="0"/>
            </w:tcBorders>
            <w:noWrap w:val="0"/>
            <w:vAlign w:val="top"/>
          </w:tcPr>
          <w:p w14:paraId="18BBDC26">
            <w:pPr>
              <w:widowControl/>
              <w:jc w:val="center"/>
              <w:rPr>
                <w:rFonts w:ascii="仿宋" w:hAnsi="仿宋" w:eastAsia="仿宋" w:cs="宋体"/>
                <w:color w:val="auto"/>
                <w:kern w:val="0"/>
                <w:szCs w:val="21"/>
                <w:highlight w:val="none"/>
              </w:rPr>
            </w:pPr>
          </w:p>
        </w:tc>
        <w:tc>
          <w:tcPr>
            <w:tcW w:w="659" w:type="dxa"/>
            <w:tcBorders>
              <w:top w:val="single" w:color="auto" w:sz="4" w:space="0"/>
              <w:left w:val="single" w:color="auto" w:sz="4" w:space="0"/>
              <w:bottom w:val="single" w:color="auto" w:sz="4" w:space="0"/>
              <w:right w:val="single" w:color="auto" w:sz="4" w:space="0"/>
            </w:tcBorders>
            <w:noWrap w:val="0"/>
            <w:vAlign w:val="top"/>
          </w:tcPr>
          <w:p w14:paraId="0D9B14DD">
            <w:pPr>
              <w:widowControl/>
              <w:jc w:val="center"/>
              <w:rPr>
                <w:rFonts w:ascii="仿宋" w:hAnsi="仿宋" w:eastAsia="仿宋" w:cs="宋体"/>
                <w:color w:val="auto"/>
                <w:kern w:val="0"/>
                <w:szCs w:val="21"/>
                <w:highlight w:val="none"/>
              </w:rPr>
            </w:pPr>
          </w:p>
        </w:tc>
      </w:tr>
      <w:tr w14:paraId="77A71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657" w:type="dxa"/>
            <w:tcBorders>
              <w:top w:val="single" w:color="auto" w:sz="4" w:space="0"/>
              <w:left w:val="single" w:color="auto" w:sz="4" w:space="0"/>
              <w:bottom w:val="single" w:color="auto" w:sz="4" w:space="0"/>
              <w:right w:val="single" w:color="auto" w:sz="4" w:space="0"/>
            </w:tcBorders>
            <w:noWrap w:val="0"/>
            <w:vAlign w:val="center"/>
          </w:tcPr>
          <w:p w14:paraId="79B4C0C8">
            <w:pPr>
              <w:widowControl/>
              <w:jc w:val="center"/>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1</w:t>
            </w:r>
            <w:r>
              <w:rPr>
                <w:rFonts w:ascii="仿宋" w:hAnsi="仿宋" w:eastAsia="仿宋" w:cs="宋体"/>
                <w:color w:val="auto"/>
                <w:kern w:val="0"/>
                <w:szCs w:val="21"/>
                <w:highlight w:val="none"/>
              </w:rPr>
              <w:t>4</w:t>
            </w:r>
          </w:p>
        </w:tc>
        <w:tc>
          <w:tcPr>
            <w:tcW w:w="5419" w:type="dxa"/>
            <w:gridSpan w:val="2"/>
            <w:tcBorders>
              <w:top w:val="single" w:color="auto" w:sz="4" w:space="0"/>
              <w:left w:val="single" w:color="auto" w:sz="4" w:space="0"/>
              <w:bottom w:val="single" w:color="auto" w:sz="4" w:space="0"/>
              <w:right w:val="single" w:color="auto" w:sz="4" w:space="0"/>
            </w:tcBorders>
            <w:noWrap w:val="0"/>
            <w:vAlign w:val="center"/>
          </w:tcPr>
          <w:p w14:paraId="72C9EB9E">
            <w:pPr>
              <w:widowControl/>
              <w:rPr>
                <w:rFonts w:ascii="仿宋" w:hAnsi="仿宋" w:eastAsia="仿宋" w:cs="宋体"/>
                <w:color w:val="auto"/>
                <w:szCs w:val="21"/>
                <w:highlight w:val="none"/>
              </w:rPr>
            </w:pPr>
            <w:r>
              <w:rPr>
                <w:rFonts w:hint="eastAsia" w:ascii="仿宋" w:hAnsi="仿宋" w:eastAsia="仿宋" w:cs="宋体"/>
                <w:color w:val="auto"/>
                <w:szCs w:val="21"/>
                <w:highlight w:val="none"/>
              </w:rPr>
              <w:t>投标人未按网络安全履行责任和义务的，每发生一次扣除违约金</w:t>
            </w:r>
            <w:r>
              <w:rPr>
                <w:rFonts w:ascii="仿宋" w:hAnsi="仿宋" w:eastAsia="仿宋" w:cs="宋体"/>
                <w:color w:val="auto"/>
                <w:szCs w:val="21"/>
                <w:highlight w:val="none"/>
              </w:rPr>
              <w:t>10000元。</w:t>
            </w:r>
            <w:r>
              <w:rPr>
                <w:rFonts w:hint="eastAsia" w:ascii="仿宋" w:hAnsi="仿宋" w:eastAsia="仿宋" w:cs="宋体"/>
                <w:color w:val="auto"/>
                <w:szCs w:val="21"/>
                <w:highlight w:val="none"/>
              </w:rPr>
              <w:t>未按保密管理条款规定执行的，每发现一次处违约金10000元，如发生泄密事件，除赔偿采购人损失外，还应承担全部法律责任。</w:t>
            </w:r>
          </w:p>
        </w:tc>
        <w:tc>
          <w:tcPr>
            <w:tcW w:w="1111" w:type="dxa"/>
            <w:tcBorders>
              <w:top w:val="single" w:color="auto" w:sz="4" w:space="0"/>
              <w:left w:val="single" w:color="auto" w:sz="4" w:space="0"/>
              <w:bottom w:val="single" w:color="auto" w:sz="4" w:space="0"/>
              <w:right w:val="single" w:color="auto" w:sz="4" w:space="0"/>
            </w:tcBorders>
            <w:noWrap w:val="0"/>
            <w:vAlign w:val="center"/>
          </w:tcPr>
          <w:p w14:paraId="7B0D6152">
            <w:pPr>
              <w:widowControl/>
              <w:jc w:val="center"/>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w:t>
            </w:r>
          </w:p>
        </w:tc>
        <w:tc>
          <w:tcPr>
            <w:tcW w:w="988" w:type="dxa"/>
            <w:tcBorders>
              <w:top w:val="single" w:color="auto" w:sz="4" w:space="0"/>
              <w:left w:val="single" w:color="auto" w:sz="4" w:space="0"/>
              <w:bottom w:val="single" w:color="auto" w:sz="4" w:space="0"/>
              <w:right w:val="single" w:color="auto" w:sz="4" w:space="0"/>
            </w:tcBorders>
            <w:noWrap w:val="0"/>
            <w:vAlign w:val="center"/>
          </w:tcPr>
          <w:p w14:paraId="4B63BA77">
            <w:pPr>
              <w:widowControl/>
              <w:jc w:val="center"/>
              <w:rPr>
                <w:rFonts w:ascii="仿宋" w:hAnsi="仿宋" w:eastAsia="仿宋" w:cs="宋体"/>
                <w:color w:val="auto"/>
                <w:kern w:val="0"/>
                <w:szCs w:val="21"/>
                <w:highlight w:val="none"/>
              </w:rPr>
            </w:pPr>
          </w:p>
        </w:tc>
        <w:tc>
          <w:tcPr>
            <w:tcW w:w="659" w:type="dxa"/>
            <w:tcBorders>
              <w:top w:val="single" w:color="auto" w:sz="4" w:space="0"/>
              <w:left w:val="single" w:color="auto" w:sz="4" w:space="0"/>
              <w:bottom w:val="single" w:color="auto" w:sz="4" w:space="0"/>
              <w:right w:val="single" w:color="auto" w:sz="4" w:space="0"/>
            </w:tcBorders>
            <w:noWrap w:val="0"/>
            <w:vAlign w:val="top"/>
          </w:tcPr>
          <w:p w14:paraId="7DABFD3D">
            <w:pPr>
              <w:widowControl/>
              <w:jc w:val="center"/>
              <w:rPr>
                <w:rFonts w:ascii="仿宋" w:hAnsi="仿宋" w:eastAsia="仿宋" w:cs="宋体"/>
                <w:color w:val="auto"/>
                <w:kern w:val="0"/>
                <w:szCs w:val="21"/>
                <w:highlight w:val="none"/>
              </w:rPr>
            </w:pPr>
          </w:p>
        </w:tc>
      </w:tr>
      <w:tr w14:paraId="3A5BD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657" w:type="dxa"/>
            <w:tcBorders>
              <w:top w:val="single" w:color="auto" w:sz="4" w:space="0"/>
              <w:left w:val="single" w:color="auto" w:sz="4" w:space="0"/>
              <w:bottom w:val="single" w:color="auto" w:sz="4" w:space="0"/>
              <w:right w:val="single" w:color="auto" w:sz="4" w:space="0"/>
            </w:tcBorders>
            <w:noWrap w:val="0"/>
            <w:vAlign w:val="center"/>
          </w:tcPr>
          <w:p w14:paraId="7FCF7E05">
            <w:pPr>
              <w:widowControl/>
              <w:jc w:val="center"/>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1</w:t>
            </w:r>
            <w:r>
              <w:rPr>
                <w:rFonts w:ascii="仿宋" w:hAnsi="仿宋" w:eastAsia="仿宋" w:cs="宋体"/>
                <w:color w:val="auto"/>
                <w:kern w:val="0"/>
                <w:szCs w:val="21"/>
                <w:highlight w:val="none"/>
              </w:rPr>
              <w:t>5</w:t>
            </w:r>
          </w:p>
        </w:tc>
        <w:tc>
          <w:tcPr>
            <w:tcW w:w="5419" w:type="dxa"/>
            <w:gridSpan w:val="2"/>
            <w:tcBorders>
              <w:top w:val="single" w:color="auto" w:sz="4" w:space="0"/>
              <w:left w:val="single" w:color="auto" w:sz="4" w:space="0"/>
              <w:bottom w:val="single" w:color="auto" w:sz="4" w:space="0"/>
              <w:right w:val="single" w:color="auto" w:sz="4" w:space="0"/>
            </w:tcBorders>
            <w:noWrap w:val="0"/>
            <w:vAlign w:val="top"/>
          </w:tcPr>
          <w:p w14:paraId="3870391A">
            <w:pPr>
              <w:widowControl/>
              <w:rPr>
                <w:rFonts w:ascii="仿宋" w:hAnsi="仿宋" w:eastAsia="仿宋" w:cs="宋体"/>
                <w:color w:val="auto"/>
                <w:szCs w:val="21"/>
                <w:highlight w:val="none"/>
              </w:rPr>
            </w:pPr>
            <w:r>
              <w:rPr>
                <w:rFonts w:hint="eastAsia" w:ascii="仿宋" w:hAnsi="仿宋" w:eastAsia="仿宋" w:cs="宋体"/>
                <w:color w:val="auto"/>
                <w:kern w:val="0"/>
                <w:szCs w:val="21"/>
                <w:highlight w:val="none"/>
              </w:rPr>
              <w:t>本项目履约过程中，投标人按承诺进行合同分包，分包意向协议内中小企业合同金额应当达到</w:t>
            </w:r>
            <w:r>
              <w:rPr>
                <w:rFonts w:ascii="仿宋" w:hAnsi="仿宋" w:eastAsia="仿宋" w:cs="宋体"/>
                <w:color w:val="auto"/>
                <w:kern w:val="0"/>
                <w:szCs w:val="21"/>
                <w:highlight w:val="none"/>
              </w:rPr>
              <w:t xml:space="preserve"> 40 % </w:t>
            </w:r>
            <w:r>
              <w:rPr>
                <w:rFonts w:hint="eastAsia" w:ascii="仿宋" w:hAnsi="仿宋" w:eastAsia="仿宋" w:cs="宋体"/>
                <w:color w:val="auto"/>
                <w:kern w:val="0"/>
                <w:szCs w:val="21"/>
                <w:highlight w:val="none"/>
              </w:rPr>
              <w:t>，小微企业合同金额应当达到</w:t>
            </w:r>
            <w:r>
              <w:rPr>
                <w:rFonts w:ascii="仿宋" w:hAnsi="仿宋" w:eastAsia="仿宋" w:cs="宋体"/>
                <w:color w:val="auto"/>
                <w:kern w:val="0"/>
                <w:szCs w:val="21"/>
                <w:highlight w:val="none"/>
              </w:rPr>
              <w:t xml:space="preserve"> 28 %，若未达到</w:t>
            </w:r>
            <w:r>
              <w:rPr>
                <w:rFonts w:hint="eastAsia" w:ascii="仿宋" w:hAnsi="仿宋" w:eastAsia="仿宋" w:cs="宋体"/>
                <w:color w:val="auto"/>
                <w:kern w:val="0"/>
                <w:szCs w:val="21"/>
                <w:highlight w:val="none"/>
              </w:rPr>
              <w:t>此</w:t>
            </w:r>
            <w:r>
              <w:rPr>
                <w:rFonts w:ascii="仿宋" w:hAnsi="仿宋" w:eastAsia="仿宋" w:cs="宋体"/>
                <w:color w:val="auto"/>
                <w:kern w:val="0"/>
                <w:szCs w:val="21"/>
                <w:highlight w:val="none"/>
              </w:rPr>
              <w:t>要求</w:t>
            </w:r>
            <w:r>
              <w:rPr>
                <w:rFonts w:hint="eastAsia" w:ascii="仿宋" w:hAnsi="仿宋" w:eastAsia="仿宋" w:cs="宋体"/>
                <w:color w:val="auto"/>
                <w:kern w:val="0"/>
                <w:szCs w:val="21"/>
                <w:highlight w:val="none"/>
              </w:rPr>
              <w:t>，</w:t>
            </w:r>
            <w:r>
              <w:rPr>
                <w:rFonts w:hint="eastAsia" w:ascii="仿宋" w:hAnsi="仿宋" w:eastAsia="仿宋" w:cs="宋体"/>
                <w:bCs/>
                <w:color w:val="auto"/>
                <w:szCs w:val="21"/>
                <w:highlight w:val="none"/>
              </w:rPr>
              <w:t>采购人有权没收全部履约保证金，追究相关责任，且投标人应向采购人支付合同总价</w:t>
            </w:r>
            <w:r>
              <w:rPr>
                <w:rFonts w:ascii="仿宋" w:hAnsi="仿宋" w:eastAsia="仿宋" w:cs="宋体"/>
                <w:bCs/>
                <w:color w:val="auto"/>
                <w:szCs w:val="21"/>
                <w:highlight w:val="none"/>
              </w:rPr>
              <w:t>30%的违约金。</w:t>
            </w:r>
          </w:p>
        </w:tc>
        <w:tc>
          <w:tcPr>
            <w:tcW w:w="1111" w:type="dxa"/>
            <w:tcBorders>
              <w:top w:val="single" w:color="auto" w:sz="4" w:space="0"/>
              <w:left w:val="single" w:color="auto" w:sz="4" w:space="0"/>
              <w:bottom w:val="single" w:color="auto" w:sz="4" w:space="0"/>
              <w:right w:val="single" w:color="auto" w:sz="4" w:space="0"/>
            </w:tcBorders>
            <w:noWrap w:val="0"/>
            <w:vAlign w:val="center"/>
          </w:tcPr>
          <w:p w14:paraId="76C7D383">
            <w:pPr>
              <w:widowControl/>
              <w:jc w:val="center"/>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w:t>
            </w:r>
          </w:p>
        </w:tc>
        <w:tc>
          <w:tcPr>
            <w:tcW w:w="988" w:type="dxa"/>
            <w:tcBorders>
              <w:top w:val="single" w:color="auto" w:sz="4" w:space="0"/>
              <w:left w:val="single" w:color="auto" w:sz="4" w:space="0"/>
              <w:bottom w:val="single" w:color="auto" w:sz="4" w:space="0"/>
              <w:right w:val="single" w:color="auto" w:sz="4" w:space="0"/>
            </w:tcBorders>
            <w:noWrap w:val="0"/>
            <w:vAlign w:val="center"/>
          </w:tcPr>
          <w:p w14:paraId="39DB08E7">
            <w:pPr>
              <w:widowControl/>
              <w:jc w:val="center"/>
              <w:rPr>
                <w:rFonts w:ascii="仿宋" w:hAnsi="仿宋" w:eastAsia="仿宋" w:cs="宋体"/>
                <w:color w:val="auto"/>
                <w:kern w:val="0"/>
                <w:szCs w:val="21"/>
                <w:highlight w:val="none"/>
              </w:rPr>
            </w:pPr>
          </w:p>
        </w:tc>
        <w:tc>
          <w:tcPr>
            <w:tcW w:w="659" w:type="dxa"/>
            <w:tcBorders>
              <w:top w:val="single" w:color="auto" w:sz="4" w:space="0"/>
              <w:left w:val="single" w:color="auto" w:sz="4" w:space="0"/>
              <w:bottom w:val="single" w:color="auto" w:sz="4" w:space="0"/>
              <w:right w:val="single" w:color="auto" w:sz="4" w:space="0"/>
            </w:tcBorders>
            <w:noWrap w:val="0"/>
            <w:vAlign w:val="top"/>
          </w:tcPr>
          <w:p w14:paraId="75B2DF0C">
            <w:pPr>
              <w:widowControl/>
              <w:jc w:val="center"/>
              <w:rPr>
                <w:rFonts w:ascii="仿宋" w:hAnsi="仿宋" w:eastAsia="仿宋" w:cs="宋体"/>
                <w:color w:val="auto"/>
                <w:kern w:val="0"/>
                <w:szCs w:val="21"/>
                <w:highlight w:val="none"/>
              </w:rPr>
            </w:pPr>
          </w:p>
        </w:tc>
      </w:tr>
      <w:tr w14:paraId="004A1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6076" w:type="dxa"/>
            <w:gridSpan w:val="3"/>
            <w:tcBorders>
              <w:top w:val="single" w:color="auto" w:sz="4" w:space="0"/>
              <w:left w:val="single" w:color="auto" w:sz="4" w:space="0"/>
              <w:bottom w:val="single" w:color="auto" w:sz="4" w:space="0"/>
              <w:right w:val="single" w:color="auto" w:sz="4" w:space="0"/>
            </w:tcBorders>
            <w:noWrap w:val="0"/>
            <w:vAlign w:val="top"/>
          </w:tcPr>
          <w:p w14:paraId="6A8C304A">
            <w:pPr>
              <w:widowControl/>
              <w:jc w:val="center"/>
              <w:rPr>
                <w:rFonts w:ascii="仿宋" w:hAnsi="仿宋" w:eastAsia="仿宋" w:cs="宋体"/>
                <w:color w:val="auto"/>
                <w:kern w:val="0"/>
                <w:szCs w:val="21"/>
                <w:highlight w:val="none"/>
              </w:rPr>
            </w:pPr>
            <w:r>
              <w:rPr>
                <w:rFonts w:hint="eastAsia" w:ascii="仿宋" w:hAnsi="仿宋" w:eastAsia="仿宋" w:cs="宋体"/>
                <w:b/>
                <w:bCs/>
                <w:color w:val="auto"/>
                <w:szCs w:val="21"/>
                <w:highlight w:val="none"/>
              </w:rPr>
              <w:t>扣分总计</w:t>
            </w:r>
          </w:p>
        </w:tc>
        <w:tc>
          <w:tcPr>
            <w:tcW w:w="2758" w:type="dxa"/>
            <w:gridSpan w:val="3"/>
            <w:tcBorders>
              <w:top w:val="single" w:color="auto" w:sz="4" w:space="0"/>
              <w:left w:val="single" w:color="auto" w:sz="4" w:space="0"/>
              <w:bottom w:val="single" w:color="auto" w:sz="4" w:space="0"/>
              <w:right w:val="single" w:color="auto" w:sz="4" w:space="0"/>
            </w:tcBorders>
            <w:noWrap w:val="0"/>
            <w:vAlign w:val="top"/>
          </w:tcPr>
          <w:p w14:paraId="38108F3B">
            <w:pPr>
              <w:widowControl/>
              <w:jc w:val="center"/>
              <w:rPr>
                <w:rFonts w:ascii="仿宋" w:hAnsi="仿宋" w:eastAsia="仿宋" w:cs="宋体"/>
                <w:color w:val="auto"/>
                <w:kern w:val="0"/>
                <w:szCs w:val="21"/>
                <w:highlight w:val="none"/>
              </w:rPr>
            </w:pPr>
            <w:r>
              <w:rPr>
                <w:rFonts w:ascii="仿宋" w:hAnsi="仿宋" w:eastAsia="仿宋" w:cs="宋体"/>
                <w:color w:val="auto"/>
                <w:kern w:val="0"/>
                <w:szCs w:val="21"/>
                <w:highlight w:val="none"/>
              </w:rPr>
              <w:t xml:space="preserve">                 分</w:t>
            </w:r>
          </w:p>
        </w:tc>
      </w:tr>
      <w:tr w14:paraId="3BAFA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0" w:hRule="atLeast"/>
        </w:trPr>
        <w:tc>
          <w:tcPr>
            <w:tcW w:w="8834" w:type="dxa"/>
            <w:gridSpan w:val="6"/>
            <w:tcBorders>
              <w:top w:val="single" w:color="auto" w:sz="4" w:space="0"/>
              <w:left w:val="single" w:color="auto" w:sz="4" w:space="0"/>
              <w:bottom w:val="single" w:color="auto" w:sz="4" w:space="0"/>
              <w:right w:val="single" w:color="auto" w:sz="4" w:space="0"/>
            </w:tcBorders>
            <w:noWrap w:val="0"/>
            <w:vAlign w:val="top"/>
          </w:tcPr>
          <w:p w14:paraId="4BCD044D">
            <w:pPr>
              <w:widowControl/>
              <w:jc w:val="left"/>
              <w:textAlignment w:val="center"/>
              <w:rPr>
                <w:rFonts w:ascii="仿宋" w:hAnsi="仿宋" w:eastAsia="仿宋" w:cs="等线"/>
                <w:color w:val="auto"/>
                <w:kern w:val="0"/>
                <w:szCs w:val="21"/>
                <w:highlight w:val="none"/>
              </w:rPr>
            </w:pPr>
            <w:r>
              <w:rPr>
                <w:rFonts w:hint="eastAsia" w:ascii="仿宋" w:hAnsi="仿宋" w:eastAsia="仿宋" w:cs="等线"/>
                <w:color w:val="auto"/>
                <w:kern w:val="0"/>
                <w:szCs w:val="21"/>
                <w:highlight w:val="none"/>
              </w:rPr>
              <w:t>采购人项目经办人（签字）：</w:t>
            </w:r>
          </w:p>
          <w:p w14:paraId="4095F0B9">
            <w:pPr>
              <w:widowControl/>
              <w:jc w:val="left"/>
              <w:textAlignment w:val="center"/>
              <w:rPr>
                <w:rFonts w:ascii="仿宋" w:hAnsi="仿宋" w:eastAsia="仿宋" w:cs="等线"/>
                <w:color w:val="auto"/>
                <w:kern w:val="0"/>
                <w:szCs w:val="21"/>
                <w:highlight w:val="none"/>
              </w:rPr>
            </w:pPr>
            <w:r>
              <w:rPr>
                <w:rFonts w:hint="eastAsia" w:ascii="仿宋" w:hAnsi="仿宋" w:eastAsia="仿宋" w:cs="等线"/>
                <w:color w:val="auto"/>
                <w:kern w:val="0"/>
                <w:szCs w:val="21"/>
                <w:highlight w:val="none"/>
              </w:rPr>
              <w:t>采购人项目审核人（签字、盖章）：</w:t>
            </w:r>
            <w:r>
              <w:rPr>
                <w:rFonts w:ascii="仿宋" w:hAnsi="仿宋" w:eastAsia="仿宋" w:cs="等线"/>
                <w:color w:val="auto"/>
                <w:kern w:val="0"/>
                <w:szCs w:val="21"/>
                <w:highlight w:val="none"/>
              </w:rPr>
              <w:t xml:space="preserve">         </w:t>
            </w:r>
            <w:r>
              <w:rPr>
                <w:rFonts w:hint="eastAsia" w:ascii="仿宋" w:hAnsi="仿宋" w:eastAsia="仿宋" w:cs="等线"/>
                <w:color w:val="auto"/>
                <w:kern w:val="0"/>
                <w:szCs w:val="21"/>
                <w:highlight w:val="none"/>
              </w:rPr>
              <w:t>中标人项目负责人（签字、盖章）：</w:t>
            </w:r>
          </w:p>
          <w:p w14:paraId="3A66D37C">
            <w:pPr>
              <w:pStyle w:val="31"/>
              <w:rPr>
                <w:rFonts w:ascii="仿宋" w:hAnsi="仿宋" w:eastAsia="仿宋" w:cs="宋体"/>
                <w:color w:val="auto"/>
                <w:kern w:val="0"/>
                <w:szCs w:val="21"/>
                <w:highlight w:val="none"/>
              </w:rPr>
            </w:pPr>
            <w:r>
              <w:rPr>
                <w:rFonts w:hint="eastAsia" w:ascii="仿宋" w:hAnsi="仿宋" w:eastAsia="仿宋" w:cs="等线"/>
                <w:color w:val="auto"/>
                <w:kern w:val="0"/>
                <w:szCs w:val="21"/>
                <w:highlight w:val="none"/>
              </w:rPr>
              <w:t>日</w:t>
            </w:r>
            <w:r>
              <w:rPr>
                <w:rFonts w:ascii="仿宋" w:hAnsi="仿宋" w:eastAsia="仿宋" w:cs="等线"/>
                <w:color w:val="auto"/>
                <w:kern w:val="0"/>
                <w:szCs w:val="21"/>
                <w:highlight w:val="none"/>
              </w:rPr>
              <w:t xml:space="preserve">  </w:t>
            </w:r>
            <w:r>
              <w:rPr>
                <w:rFonts w:hint="eastAsia" w:ascii="仿宋" w:hAnsi="仿宋" w:eastAsia="仿宋" w:cs="等线"/>
                <w:color w:val="auto"/>
                <w:kern w:val="0"/>
                <w:szCs w:val="21"/>
                <w:highlight w:val="none"/>
              </w:rPr>
              <w:t>期：</w:t>
            </w:r>
            <w:r>
              <w:rPr>
                <w:rFonts w:ascii="仿宋" w:hAnsi="仿宋" w:eastAsia="仿宋" w:cs="等线"/>
                <w:color w:val="auto"/>
                <w:kern w:val="0"/>
                <w:szCs w:val="21"/>
                <w:highlight w:val="none"/>
              </w:rPr>
              <w:t xml:space="preserve">                                  </w:t>
            </w:r>
            <w:r>
              <w:rPr>
                <w:rFonts w:hint="eastAsia" w:ascii="仿宋" w:hAnsi="仿宋" w:eastAsia="仿宋" w:cs="等线"/>
                <w:color w:val="auto"/>
                <w:kern w:val="0"/>
                <w:szCs w:val="21"/>
                <w:highlight w:val="none"/>
              </w:rPr>
              <w:t>日</w:t>
            </w:r>
            <w:r>
              <w:rPr>
                <w:rFonts w:ascii="仿宋" w:hAnsi="仿宋" w:eastAsia="仿宋" w:cs="等线"/>
                <w:color w:val="auto"/>
                <w:kern w:val="0"/>
                <w:szCs w:val="21"/>
                <w:highlight w:val="none"/>
              </w:rPr>
              <w:t xml:space="preserve">  </w:t>
            </w:r>
            <w:r>
              <w:rPr>
                <w:rFonts w:hint="eastAsia" w:ascii="仿宋" w:hAnsi="仿宋" w:eastAsia="仿宋" w:cs="等线"/>
                <w:color w:val="auto"/>
                <w:kern w:val="0"/>
                <w:szCs w:val="21"/>
                <w:highlight w:val="none"/>
              </w:rPr>
              <w:t>期：</w:t>
            </w:r>
          </w:p>
        </w:tc>
      </w:tr>
      <w:bookmarkEnd w:id="43"/>
    </w:tbl>
    <w:p w14:paraId="1421935C">
      <w:pPr>
        <w:pStyle w:val="74"/>
        <w:snapToGrid w:val="0"/>
        <w:spacing w:before="0" w:beforeAutospacing="0" w:after="0" w:afterAutospacing="0" w:line="360" w:lineRule="auto"/>
        <w:jc w:val="both"/>
        <w:rPr>
          <w:rFonts w:ascii="仿宋" w:hAnsi="仿宋" w:eastAsia="仿宋" w:cs="仿宋_GB2312"/>
          <w:b/>
          <w:color w:val="auto"/>
          <w:sz w:val="21"/>
          <w:szCs w:val="21"/>
          <w:highlight w:val="none"/>
        </w:rPr>
      </w:pPr>
    </w:p>
    <w:p w14:paraId="66397DB0">
      <w:pPr>
        <w:rPr>
          <w:rFonts w:hint="eastAsia" w:ascii="仿宋" w:hAnsi="仿宋" w:eastAsia="仿宋" w:cs="仿宋"/>
          <w:snapToGrid w:val="0"/>
          <w:color w:val="auto"/>
          <w:kern w:val="0"/>
          <w:sz w:val="24"/>
          <w:highlight w:val="none"/>
        </w:rPr>
      </w:pPr>
    </w:p>
    <w:p w14:paraId="3969EA99">
      <w:pPr>
        <w:pStyle w:val="31"/>
        <w:rPr>
          <w:rFonts w:hint="eastAsia" w:ascii="仿宋" w:hAnsi="仿宋" w:eastAsia="仿宋" w:cs="仿宋"/>
          <w:snapToGrid w:val="0"/>
          <w:color w:val="auto"/>
          <w:kern w:val="0"/>
          <w:sz w:val="24"/>
          <w:highlight w:val="none"/>
        </w:rPr>
      </w:pPr>
    </w:p>
    <w:p w14:paraId="0E63B626">
      <w:pPr>
        <w:rPr>
          <w:rFonts w:hint="eastAsia"/>
          <w:color w:val="auto"/>
          <w:highlight w:val="none"/>
        </w:rPr>
      </w:pPr>
    </w:p>
    <w:p w14:paraId="7AEB71ED">
      <w:pPr>
        <w:spacing w:line="360" w:lineRule="auto"/>
        <w:jc w:val="center"/>
        <w:outlineLvl w:val="0"/>
        <w:rPr>
          <w:rFonts w:hint="eastAsia" w:ascii="仿宋" w:hAnsi="仿宋" w:eastAsia="仿宋" w:cs="仿宋"/>
          <w:b/>
          <w:color w:val="auto"/>
          <w:sz w:val="36"/>
          <w:szCs w:val="36"/>
          <w:highlight w:val="none"/>
        </w:rPr>
      </w:pPr>
      <w:r>
        <w:rPr>
          <w:rFonts w:hint="eastAsia" w:ascii="仿宋" w:hAnsi="仿宋" w:eastAsia="仿宋" w:cs="仿宋"/>
          <w:b/>
          <w:color w:val="auto"/>
          <w:sz w:val="24"/>
          <w:highlight w:val="none"/>
        </w:rPr>
        <w:br w:type="page"/>
      </w:r>
      <w:r>
        <w:rPr>
          <w:rFonts w:hint="eastAsia" w:ascii="仿宋" w:hAnsi="仿宋" w:eastAsia="仿宋" w:cs="仿宋"/>
          <w:b/>
          <w:color w:val="auto"/>
          <w:sz w:val="36"/>
          <w:szCs w:val="36"/>
          <w:highlight w:val="none"/>
        </w:rPr>
        <w:t xml:space="preserve">第四部分   </w:t>
      </w:r>
      <w:bookmarkStart w:id="44" w:name="_Toc184314469"/>
      <w:bookmarkEnd w:id="44"/>
      <w:bookmarkStart w:id="45" w:name="_Toc184313273"/>
      <w:bookmarkEnd w:id="45"/>
      <w:bookmarkStart w:id="46" w:name="_Toc184314433"/>
      <w:bookmarkEnd w:id="46"/>
      <w:bookmarkStart w:id="47" w:name="_Toc184308108"/>
      <w:bookmarkEnd w:id="47"/>
      <w:bookmarkStart w:id="48" w:name="_Toc184314413"/>
      <w:bookmarkEnd w:id="48"/>
      <w:bookmarkStart w:id="49" w:name="_Toc184314463"/>
      <w:bookmarkEnd w:id="49"/>
      <w:bookmarkStart w:id="50" w:name="_Toc184313244"/>
      <w:bookmarkEnd w:id="50"/>
      <w:bookmarkStart w:id="51" w:name="_Toc184310280"/>
      <w:bookmarkEnd w:id="51"/>
      <w:bookmarkStart w:id="52" w:name="_Toc184312111"/>
      <w:bookmarkEnd w:id="52"/>
      <w:bookmarkStart w:id="53" w:name="_Toc184310322"/>
      <w:bookmarkEnd w:id="53"/>
      <w:bookmarkStart w:id="54" w:name="_Toc184310296"/>
      <w:bookmarkEnd w:id="54"/>
      <w:bookmarkStart w:id="55" w:name="_Toc184310323"/>
      <w:bookmarkEnd w:id="55"/>
      <w:bookmarkStart w:id="56" w:name="_Toc184314424"/>
      <w:bookmarkEnd w:id="56"/>
      <w:bookmarkStart w:id="57" w:name="_Toc184312074"/>
      <w:bookmarkEnd w:id="57"/>
      <w:bookmarkStart w:id="58" w:name="_Toc184313238"/>
      <w:bookmarkEnd w:id="58"/>
      <w:bookmarkStart w:id="59" w:name="_Toc184308044"/>
      <w:bookmarkEnd w:id="59"/>
      <w:bookmarkStart w:id="60" w:name="_Toc184312109"/>
      <w:bookmarkEnd w:id="60"/>
      <w:bookmarkStart w:id="61" w:name="_Toc184314422"/>
      <w:bookmarkEnd w:id="61"/>
      <w:bookmarkStart w:id="62" w:name="_Toc184308055"/>
      <w:bookmarkEnd w:id="62"/>
      <w:bookmarkStart w:id="63" w:name="_Toc184312080"/>
      <w:bookmarkEnd w:id="63"/>
      <w:bookmarkStart w:id="64" w:name="_Toc184313303"/>
      <w:bookmarkEnd w:id="64"/>
      <w:bookmarkStart w:id="65" w:name="_Toc184313272"/>
      <w:bookmarkEnd w:id="65"/>
      <w:bookmarkStart w:id="66" w:name="_Toc184312122"/>
      <w:bookmarkEnd w:id="66"/>
      <w:bookmarkStart w:id="67" w:name="_Toc184312077"/>
      <w:bookmarkEnd w:id="67"/>
      <w:bookmarkStart w:id="68" w:name="_Toc184313298"/>
      <w:bookmarkEnd w:id="68"/>
      <w:bookmarkStart w:id="69" w:name="_Toc184312098"/>
      <w:bookmarkEnd w:id="69"/>
      <w:bookmarkStart w:id="70" w:name="_Toc184310289"/>
      <w:bookmarkEnd w:id="70"/>
      <w:bookmarkStart w:id="71" w:name="_Toc184313246"/>
      <w:bookmarkEnd w:id="71"/>
      <w:bookmarkStart w:id="72" w:name="_Toc184308071"/>
      <w:bookmarkEnd w:id="72"/>
      <w:bookmarkStart w:id="73" w:name="_Toc184314481"/>
      <w:bookmarkEnd w:id="73"/>
      <w:bookmarkStart w:id="74" w:name="_Toc184314449"/>
      <w:bookmarkEnd w:id="74"/>
      <w:bookmarkStart w:id="75" w:name="_Toc184313269"/>
      <w:bookmarkEnd w:id="75"/>
      <w:bookmarkStart w:id="76" w:name="_Toc184312129"/>
      <w:bookmarkEnd w:id="76"/>
      <w:bookmarkStart w:id="77" w:name="_Toc184308096"/>
      <w:bookmarkEnd w:id="77"/>
      <w:bookmarkStart w:id="78" w:name="_Toc184314411"/>
      <w:bookmarkEnd w:id="78"/>
      <w:bookmarkStart w:id="79" w:name="_Toc184310312"/>
      <w:bookmarkEnd w:id="79"/>
      <w:bookmarkStart w:id="80" w:name="_Toc184310278"/>
      <w:bookmarkEnd w:id="80"/>
      <w:bookmarkStart w:id="81" w:name="_Toc184310292"/>
      <w:bookmarkEnd w:id="81"/>
      <w:bookmarkStart w:id="82" w:name="_Toc184312125"/>
      <w:bookmarkEnd w:id="82"/>
      <w:bookmarkStart w:id="83" w:name="_Toc184312110"/>
      <w:bookmarkEnd w:id="83"/>
      <w:bookmarkStart w:id="84" w:name="_Toc184310306"/>
      <w:bookmarkEnd w:id="84"/>
      <w:bookmarkStart w:id="85" w:name="_Toc184312102"/>
      <w:bookmarkEnd w:id="85"/>
      <w:bookmarkStart w:id="86" w:name="_Toc184310337"/>
      <w:bookmarkEnd w:id="86"/>
      <w:bookmarkStart w:id="87" w:name="_Toc184310320"/>
      <w:bookmarkEnd w:id="87"/>
      <w:bookmarkStart w:id="88" w:name="_Toc184313310"/>
      <w:bookmarkEnd w:id="88"/>
      <w:bookmarkStart w:id="89" w:name="_Toc184313289"/>
      <w:bookmarkEnd w:id="89"/>
      <w:bookmarkStart w:id="90" w:name="_Toc184313287"/>
      <w:bookmarkEnd w:id="90"/>
      <w:bookmarkStart w:id="91" w:name="_Toc184308074"/>
      <w:bookmarkEnd w:id="91"/>
      <w:bookmarkStart w:id="92" w:name="_Toc184313239"/>
      <w:bookmarkEnd w:id="92"/>
      <w:bookmarkStart w:id="93" w:name="_Toc184313271"/>
      <w:bookmarkEnd w:id="93"/>
      <w:bookmarkStart w:id="94" w:name="_Toc184313242"/>
      <w:bookmarkEnd w:id="94"/>
      <w:bookmarkStart w:id="95" w:name="_Toc184310311"/>
      <w:bookmarkEnd w:id="95"/>
      <w:bookmarkStart w:id="96" w:name="_Toc184312121"/>
      <w:bookmarkEnd w:id="96"/>
      <w:bookmarkStart w:id="97" w:name="_Toc184308104"/>
      <w:bookmarkEnd w:id="97"/>
      <w:bookmarkStart w:id="98" w:name="_Toc184312067"/>
      <w:bookmarkEnd w:id="98"/>
      <w:bookmarkStart w:id="99" w:name="_Toc184308079"/>
      <w:bookmarkEnd w:id="99"/>
      <w:bookmarkStart w:id="100" w:name="_Toc184313286"/>
      <w:bookmarkEnd w:id="100"/>
      <w:bookmarkStart w:id="101" w:name="_Toc184314458"/>
      <w:bookmarkEnd w:id="101"/>
      <w:bookmarkStart w:id="102" w:name="_Toc184313276"/>
      <w:bookmarkEnd w:id="102"/>
      <w:bookmarkStart w:id="103" w:name="_Toc184310324"/>
      <w:bookmarkEnd w:id="103"/>
      <w:bookmarkStart w:id="104" w:name="_Toc184314479"/>
      <w:bookmarkEnd w:id="104"/>
      <w:bookmarkStart w:id="105" w:name="_Toc184314482"/>
      <w:bookmarkEnd w:id="105"/>
      <w:bookmarkStart w:id="106" w:name="_Toc184313277"/>
      <w:bookmarkEnd w:id="106"/>
      <w:bookmarkStart w:id="107" w:name="_Toc184314475"/>
      <w:bookmarkEnd w:id="107"/>
      <w:bookmarkStart w:id="108" w:name="_Toc184314443"/>
      <w:bookmarkEnd w:id="108"/>
      <w:bookmarkStart w:id="109" w:name="_Toc184313306"/>
      <w:bookmarkEnd w:id="109"/>
      <w:bookmarkStart w:id="110" w:name="_Toc184312119"/>
      <w:bookmarkEnd w:id="110"/>
      <w:bookmarkStart w:id="111" w:name="_Toc184308040"/>
      <w:bookmarkEnd w:id="111"/>
      <w:bookmarkStart w:id="112" w:name="_Toc184308107"/>
      <w:bookmarkEnd w:id="112"/>
      <w:bookmarkStart w:id="113" w:name="_Toc184310300"/>
      <w:bookmarkEnd w:id="113"/>
      <w:bookmarkStart w:id="114" w:name="_Toc184312069"/>
      <w:bookmarkEnd w:id="114"/>
      <w:bookmarkStart w:id="115" w:name="_Toc184310333"/>
      <w:bookmarkEnd w:id="115"/>
      <w:bookmarkStart w:id="116" w:name="_Toc184314470"/>
      <w:bookmarkEnd w:id="116"/>
      <w:bookmarkStart w:id="117" w:name="_Toc184314429"/>
      <w:bookmarkEnd w:id="117"/>
      <w:bookmarkStart w:id="118" w:name="_Toc184313280"/>
      <w:bookmarkEnd w:id="118"/>
      <w:bookmarkStart w:id="119" w:name="_Toc184313270"/>
      <w:bookmarkEnd w:id="119"/>
      <w:bookmarkStart w:id="120" w:name="_Toc184308038"/>
      <w:bookmarkEnd w:id="120"/>
      <w:bookmarkStart w:id="121" w:name="_Toc184313299"/>
      <w:bookmarkEnd w:id="121"/>
      <w:bookmarkStart w:id="122" w:name="_Toc184313251"/>
      <w:bookmarkEnd w:id="122"/>
      <w:bookmarkStart w:id="123" w:name="_Toc184312089"/>
      <w:bookmarkEnd w:id="123"/>
      <w:bookmarkStart w:id="124" w:name="_Toc184310307"/>
      <w:bookmarkEnd w:id="124"/>
      <w:bookmarkStart w:id="125" w:name="_Toc184314434"/>
      <w:bookmarkEnd w:id="125"/>
      <w:bookmarkStart w:id="126" w:name="_Toc184312096"/>
      <w:bookmarkEnd w:id="126"/>
      <w:bookmarkStart w:id="127" w:name="_Toc184310293"/>
      <w:bookmarkEnd w:id="127"/>
      <w:bookmarkStart w:id="128" w:name="_Toc184308058"/>
      <w:bookmarkEnd w:id="128"/>
      <w:bookmarkStart w:id="129" w:name="_Toc184313278"/>
      <w:bookmarkEnd w:id="129"/>
      <w:bookmarkStart w:id="130" w:name="_Toc184312095"/>
      <w:bookmarkEnd w:id="130"/>
      <w:bookmarkStart w:id="131" w:name="_Toc184312126"/>
      <w:bookmarkEnd w:id="131"/>
      <w:bookmarkStart w:id="132" w:name="_Toc184308052"/>
      <w:bookmarkEnd w:id="132"/>
      <w:bookmarkStart w:id="133" w:name="_Toc184310314"/>
      <w:bookmarkEnd w:id="133"/>
      <w:bookmarkStart w:id="134" w:name="_Toc184308048"/>
      <w:bookmarkEnd w:id="134"/>
      <w:bookmarkStart w:id="135" w:name="_Toc184313279"/>
      <w:bookmarkEnd w:id="135"/>
      <w:bookmarkStart w:id="136" w:name="_Toc184312101"/>
      <w:bookmarkEnd w:id="136"/>
      <w:bookmarkStart w:id="137" w:name="_Toc184314467"/>
      <w:bookmarkEnd w:id="137"/>
      <w:bookmarkStart w:id="138" w:name="_Toc184310304"/>
      <w:bookmarkEnd w:id="138"/>
      <w:bookmarkStart w:id="139" w:name="_Toc184314444"/>
      <w:bookmarkEnd w:id="139"/>
      <w:bookmarkStart w:id="140" w:name="_Toc184312116"/>
      <w:bookmarkEnd w:id="140"/>
      <w:bookmarkStart w:id="141" w:name="_Toc184308060"/>
      <w:bookmarkEnd w:id="141"/>
      <w:bookmarkStart w:id="142" w:name="_Toc184314456"/>
      <w:bookmarkEnd w:id="142"/>
      <w:bookmarkStart w:id="143" w:name="_Toc184310297"/>
      <w:bookmarkEnd w:id="143"/>
      <w:bookmarkStart w:id="144" w:name="_Toc184310302"/>
      <w:bookmarkEnd w:id="144"/>
      <w:bookmarkStart w:id="145" w:name="_Toc184314452"/>
      <w:bookmarkEnd w:id="145"/>
      <w:bookmarkStart w:id="146" w:name="_Toc184313305"/>
      <w:bookmarkEnd w:id="146"/>
      <w:bookmarkStart w:id="147" w:name="_Toc184312100"/>
      <w:bookmarkEnd w:id="147"/>
      <w:bookmarkStart w:id="148" w:name="_Toc184308100"/>
      <w:bookmarkEnd w:id="148"/>
      <w:bookmarkStart w:id="149" w:name="_Toc184308063"/>
      <w:bookmarkEnd w:id="149"/>
      <w:bookmarkStart w:id="150" w:name="_Toc184312112"/>
      <w:bookmarkEnd w:id="150"/>
      <w:bookmarkStart w:id="151" w:name="_Toc184310318"/>
      <w:bookmarkEnd w:id="151"/>
      <w:bookmarkStart w:id="152" w:name="_Toc184314468"/>
      <w:bookmarkEnd w:id="152"/>
      <w:bookmarkStart w:id="153" w:name="_Toc184308075"/>
      <w:bookmarkEnd w:id="153"/>
      <w:bookmarkStart w:id="154" w:name="_Toc184312072"/>
      <w:bookmarkEnd w:id="154"/>
      <w:bookmarkStart w:id="155" w:name="_Toc184308084"/>
      <w:bookmarkEnd w:id="155"/>
      <w:bookmarkStart w:id="156" w:name="_Toc184314412"/>
      <w:bookmarkEnd w:id="156"/>
      <w:bookmarkStart w:id="157" w:name="_Toc184313268"/>
      <w:bookmarkEnd w:id="157"/>
      <w:bookmarkStart w:id="158" w:name="_Toc184313260"/>
      <w:bookmarkEnd w:id="158"/>
      <w:bookmarkStart w:id="159" w:name="_Toc184314451"/>
      <w:bookmarkEnd w:id="159"/>
      <w:bookmarkStart w:id="160" w:name="_Toc184314441"/>
      <w:bookmarkEnd w:id="160"/>
      <w:bookmarkStart w:id="161" w:name="_Toc184314471"/>
      <w:bookmarkEnd w:id="161"/>
      <w:bookmarkStart w:id="162" w:name="_Toc184310294"/>
      <w:bookmarkEnd w:id="162"/>
      <w:bookmarkStart w:id="163" w:name="_Toc184314438"/>
      <w:bookmarkEnd w:id="163"/>
      <w:bookmarkStart w:id="164" w:name="_Toc184312107"/>
      <w:bookmarkEnd w:id="164"/>
      <w:bookmarkStart w:id="165" w:name="_Toc184314460"/>
      <w:bookmarkEnd w:id="165"/>
      <w:bookmarkStart w:id="166" w:name="_Toc184314426"/>
      <w:bookmarkEnd w:id="166"/>
      <w:bookmarkStart w:id="167" w:name="_Toc184308093"/>
      <w:bookmarkEnd w:id="167"/>
      <w:bookmarkStart w:id="168" w:name="_Toc184308098"/>
      <w:bookmarkEnd w:id="168"/>
      <w:bookmarkStart w:id="169" w:name="_Toc184310275"/>
      <w:bookmarkEnd w:id="169"/>
      <w:bookmarkStart w:id="170" w:name="_Toc184314431"/>
      <w:bookmarkEnd w:id="170"/>
      <w:bookmarkStart w:id="171" w:name="_Toc184308077"/>
      <w:bookmarkEnd w:id="171"/>
      <w:bookmarkStart w:id="172" w:name="_Toc184313257"/>
      <w:bookmarkEnd w:id="172"/>
      <w:bookmarkStart w:id="173" w:name="_Toc184314439"/>
      <w:bookmarkEnd w:id="173"/>
      <w:bookmarkStart w:id="174" w:name="_Toc184313250"/>
      <w:bookmarkEnd w:id="174"/>
      <w:bookmarkStart w:id="175" w:name="_Toc184313295"/>
      <w:bookmarkEnd w:id="175"/>
      <w:bookmarkStart w:id="176" w:name="_Toc184314457"/>
      <w:bookmarkEnd w:id="176"/>
      <w:bookmarkStart w:id="177" w:name="_Toc184314477"/>
      <w:bookmarkEnd w:id="177"/>
      <w:bookmarkStart w:id="178" w:name="_Toc184310344"/>
      <w:bookmarkEnd w:id="178"/>
      <w:bookmarkStart w:id="179" w:name="_Toc184313308"/>
      <w:bookmarkEnd w:id="179"/>
      <w:bookmarkStart w:id="180" w:name="_Toc184313294"/>
      <w:bookmarkEnd w:id="180"/>
      <w:bookmarkStart w:id="181" w:name="_Toc184310331"/>
      <w:bookmarkEnd w:id="181"/>
      <w:bookmarkStart w:id="182" w:name="_Toc184310281"/>
      <w:bookmarkEnd w:id="182"/>
      <w:bookmarkStart w:id="183" w:name="_Toc184308066"/>
      <w:bookmarkEnd w:id="183"/>
      <w:bookmarkStart w:id="184" w:name="_Toc184313285"/>
      <w:bookmarkEnd w:id="184"/>
      <w:bookmarkStart w:id="185" w:name="_Toc184308090"/>
      <w:bookmarkEnd w:id="185"/>
      <w:bookmarkStart w:id="186" w:name="_Toc184313297"/>
      <w:bookmarkEnd w:id="186"/>
      <w:bookmarkStart w:id="187" w:name="_Toc184308039"/>
      <w:bookmarkEnd w:id="187"/>
      <w:bookmarkStart w:id="188" w:name="_Toc184310287"/>
      <w:bookmarkEnd w:id="188"/>
      <w:bookmarkStart w:id="189" w:name="_Toc184313302"/>
      <w:bookmarkEnd w:id="189"/>
      <w:bookmarkStart w:id="190" w:name="_Toc184314480"/>
      <w:bookmarkEnd w:id="190"/>
      <w:bookmarkStart w:id="191" w:name="_Toc184314417"/>
      <w:bookmarkEnd w:id="191"/>
      <w:bookmarkStart w:id="192" w:name="_Toc184313301"/>
      <w:bookmarkEnd w:id="192"/>
      <w:bookmarkStart w:id="193" w:name="_Toc184308081"/>
      <w:bookmarkEnd w:id="193"/>
      <w:bookmarkStart w:id="194" w:name="_Toc184308041"/>
      <w:bookmarkEnd w:id="194"/>
      <w:bookmarkStart w:id="195" w:name="_Toc184310342"/>
      <w:bookmarkEnd w:id="195"/>
      <w:bookmarkStart w:id="196" w:name="_Toc184310301"/>
      <w:bookmarkEnd w:id="196"/>
      <w:bookmarkStart w:id="197" w:name="_Toc184314478"/>
      <w:bookmarkEnd w:id="197"/>
      <w:bookmarkStart w:id="198" w:name="_Toc184313261"/>
      <w:bookmarkEnd w:id="198"/>
      <w:bookmarkStart w:id="199" w:name="_Toc184308070"/>
      <w:bookmarkEnd w:id="199"/>
      <w:bookmarkStart w:id="200" w:name="_Toc184313281"/>
      <w:bookmarkEnd w:id="200"/>
      <w:bookmarkStart w:id="201" w:name="_Toc184308103"/>
      <w:bookmarkEnd w:id="201"/>
      <w:bookmarkStart w:id="202" w:name="_Toc184310313"/>
      <w:bookmarkEnd w:id="202"/>
      <w:bookmarkStart w:id="203" w:name="_Toc184313291"/>
      <w:bookmarkEnd w:id="203"/>
      <w:bookmarkStart w:id="204" w:name="_Toc184314476"/>
      <w:bookmarkEnd w:id="204"/>
      <w:bookmarkStart w:id="205" w:name="_Toc184308045"/>
      <w:bookmarkEnd w:id="205"/>
      <w:bookmarkStart w:id="206" w:name="_Toc184312124"/>
      <w:bookmarkEnd w:id="206"/>
      <w:bookmarkStart w:id="207" w:name="_Toc184308083"/>
      <w:bookmarkEnd w:id="207"/>
      <w:bookmarkStart w:id="208" w:name="_Toc184314448"/>
      <w:bookmarkEnd w:id="208"/>
      <w:bookmarkStart w:id="209" w:name="_Toc184310327"/>
      <w:bookmarkEnd w:id="209"/>
      <w:bookmarkStart w:id="210" w:name="_Toc184314440"/>
      <w:bookmarkEnd w:id="210"/>
      <w:bookmarkStart w:id="211" w:name="_Toc184314466"/>
      <w:bookmarkEnd w:id="211"/>
      <w:bookmarkStart w:id="212" w:name="_Toc184308082"/>
      <w:bookmarkEnd w:id="212"/>
      <w:bookmarkStart w:id="213" w:name="_Toc184308047"/>
      <w:bookmarkEnd w:id="213"/>
      <w:bookmarkStart w:id="214" w:name="_Toc184310285"/>
      <w:bookmarkEnd w:id="214"/>
      <w:bookmarkStart w:id="215" w:name="_Toc184310334"/>
      <w:bookmarkEnd w:id="215"/>
      <w:bookmarkStart w:id="216" w:name="_Toc184313300"/>
      <w:bookmarkEnd w:id="216"/>
      <w:bookmarkStart w:id="217" w:name="_Toc184313258"/>
      <w:bookmarkEnd w:id="217"/>
      <w:bookmarkStart w:id="218" w:name="_Toc184314418"/>
      <w:bookmarkEnd w:id="218"/>
      <w:bookmarkStart w:id="219" w:name="_Toc184310282"/>
      <w:bookmarkEnd w:id="219"/>
      <w:bookmarkStart w:id="220" w:name="_Toc184313274"/>
      <w:bookmarkEnd w:id="220"/>
      <w:bookmarkStart w:id="221" w:name="_Toc184308053"/>
      <w:bookmarkEnd w:id="221"/>
      <w:bookmarkStart w:id="222" w:name="_Toc184310332"/>
      <w:bookmarkEnd w:id="222"/>
      <w:bookmarkStart w:id="223" w:name="_Toc184310273"/>
      <w:bookmarkEnd w:id="223"/>
      <w:bookmarkStart w:id="224" w:name="_Toc184314453"/>
      <w:bookmarkEnd w:id="224"/>
      <w:bookmarkStart w:id="225" w:name="_Toc184310310"/>
      <w:bookmarkEnd w:id="225"/>
      <w:bookmarkStart w:id="226" w:name="_Toc184312085"/>
      <w:bookmarkEnd w:id="226"/>
      <w:bookmarkStart w:id="227" w:name="_Toc184312137"/>
      <w:bookmarkEnd w:id="227"/>
      <w:bookmarkStart w:id="228" w:name="_Toc184308095"/>
      <w:bookmarkEnd w:id="228"/>
      <w:bookmarkStart w:id="229" w:name="_Toc184310299"/>
      <w:bookmarkEnd w:id="229"/>
      <w:bookmarkStart w:id="230" w:name="_Toc184314445"/>
      <w:bookmarkEnd w:id="230"/>
      <w:bookmarkStart w:id="231" w:name="_Toc184314432"/>
      <w:bookmarkEnd w:id="231"/>
      <w:bookmarkStart w:id="232" w:name="_Toc184313284"/>
      <w:bookmarkEnd w:id="232"/>
      <w:bookmarkStart w:id="233" w:name="_Toc184310276"/>
      <w:bookmarkEnd w:id="233"/>
      <w:bookmarkStart w:id="234" w:name="_Toc184310288"/>
      <w:bookmarkEnd w:id="234"/>
      <w:bookmarkStart w:id="235" w:name="_Toc184310274"/>
      <w:bookmarkEnd w:id="235"/>
      <w:bookmarkStart w:id="236" w:name="_Toc184310305"/>
      <w:bookmarkEnd w:id="236"/>
      <w:bookmarkStart w:id="237" w:name="_Toc184308089"/>
      <w:bookmarkEnd w:id="237"/>
      <w:bookmarkStart w:id="238" w:name="_Toc184313240"/>
      <w:bookmarkEnd w:id="238"/>
      <w:bookmarkStart w:id="239" w:name="_Toc184314446"/>
      <w:bookmarkEnd w:id="239"/>
      <w:bookmarkStart w:id="240" w:name="_Toc184312097"/>
      <w:bookmarkEnd w:id="240"/>
      <w:bookmarkStart w:id="241" w:name="_Toc184310272"/>
      <w:bookmarkEnd w:id="241"/>
      <w:bookmarkStart w:id="242" w:name="_Toc184308102"/>
      <w:bookmarkEnd w:id="242"/>
      <w:bookmarkStart w:id="243" w:name="_Toc184312136"/>
      <w:bookmarkEnd w:id="243"/>
      <w:bookmarkStart w:id="244" w:name="_Toc184310279"/>
      <w:bookmarkEnd w:id="244"/>
      <w:bookmarkStart w:id="245" w:name="_Toc184312123"/>
      <w:bookmarkEnd w:id="245"/>
      <w:bookmarkStart w:id="246" w:name="_Toc184312103"/>
      <w:bookmarkEnd w:id="246"/>
      <w:bookmarkStart w:id="247" w:name="_Toc184308061"/>
      <w:bookmarkEnd w:id="247"/>
      <w:bookmarkStart w:id="248" w:name="_Toc184310338"/>
      <w:bookmarkEnd w:id="248"/>
      <w:bookmarkStart w:id="249" w:name="_Toc184310340"/>
      <w:bookmarkEnd w:id="249"/>
      <w:bookmarkStart w:id="250" w:name="_Toc184312134"/>
      <w:bookmarkEnd w:id="250"/>
      <w:bookmarkStart w:id="251" w:name="_Toc184314442"/>
      <w:bookmarkEnd w:id="251"/>
      <w:bookmarkStart w:id="252" w:name="_Toc184308062"/>
      <w:bookmarkEnd w:id="252"/>
      <w:bookmarkStart w:id="253" w:name="_Toc184312073"/>
      <w:bookmarkEnd w:id="253"/>
      <w:bookmarkStart w:id="254" w:name="_Toc184313307"/>
      <w:bookmarkEnd w:id="254"/>
      <w:bookmarkStart w:id="255" w:name="_Toc184313254"/>
      <w:bookmarkEnd w:id="255"/>
      <w:bookmarkStart w:id="256" w:name="_Toc184310284"/>
      <w:bookmarkEnd w:id="256"/>
      <w:bookmarkStart w:id="257" w:name="_Toc184312138"/>
      <w:bookmarkEnd w:id="257"/>
      <w:bookmarkStart w:id="258" w:name="_Toc184314461"/>
      <w:bookmarkEnd w:id="258"/>
      <w:bookmarkStart w:id="259" w:name="_Toc184312088"/>
      <w:bookmarkEnd w:id="259"/>
      <w:bookmarkStart w:id="260" w:name="_Toc184312127"/>
      <w:bookmarkEnd w:id="260"/>
      <w:bookmarkStart w:id="261" w:name="_Toc184314419"/>
      <w:bookmarkEnd w:id="261"/>
      <w:bookmarkStart w:id="262" w:name="_Toc184312082"/>
      <w:bookmarkEnd w:id="262"/>
      <w:bookmarkStart w:id="263" w:name="_Toc184310343"/>
      <w:bookmarkEnd w:id="263"/>
      <w:bookmarkStart w:id="264" w:name="_Toc184308037"/>
      <w:bookmarkEnd w:id="264"/>
      <w:bookmarkStart w:id="265" w:name="_Toc184313275"/>
      <w:bookmarkEnd w:id="265"/>
      <w:bookmarkStart w:id="266" w:name="_Toc184308101"/>
      <w:bookmarkEnd w:id="266"/>
      <w:bookmarkStart w:id="267" w:name="_Toc184314423"/>
      <w:bookmarkEnd w:id="267"/>
      <w:bookmarkStart w:id="268" w:name="_Toc184308056"/>
      <w:bookmarkEnd w:id="268"/>
      <w:bookmarkStart w:id="269" w:name="_Toc184310308"/>
      <w:bookmarkEnd w:id="269"/>
      <w:bookmarkStart w:id="270" w:name="_Toc184314430"/>
      <w:bookmarkEnd w:id="270"/>
      <w:bookmarkStart w:id="271" w:name="_Toc184308091"/>
      <w:bookmarkEnd w:id="271"/>
      <w:bookmarkStart w:id="272" w:name="_Toc184310339"/>
      <w:bookmarkEnd w:id="272"/>
      <w:bookmarkStart w:id="273" w:name="_Toc184314435"/>
      <w:bookmarkEnd w:id="273"/>
      <w:bookmarkStart w:id="274" w:name="_Toc184313245"/>
      <w:bookmarkEnd w:id="274"/>
      <w:bookmarkStart w:id="275" w:name="_Toc184312131"/>
      <w:bookmarkEnd w:id="275"/>
      <w:bookmarkStart w:id="276" w:name="_Toc184312093"/>
      <w:bookmarkEnd w:id="276"/>
      <w:bookmarkStart w:id="277" w:name="_Toc184308057"/>
      <w:bookmarkEnd w:id="277"/>
      <w:bookmarkStart w:id="278" w:name="_Toc184308087"/>
      <w:bookmarkEnd w:id="278"/>
      <w:bookmarkStart w:id="279" w:name="_Toc184313309"/>
      <w:bookmarkEnd w:id="279"/>
      <w:bookmarkStart w:id="280" w:name="_Toc184312108"/>
      <w:bookmarkEnd w:id="280"/>
      <w:bookmarkStart w:id="281" w:name="_Toc184313265"/>
      <w:bookmarkEnd w:id="281"/>
      <w:bookmarkStart w:id="282" w:name="_Toc184314436"/>
      <w:bookmarkEnd w:id="282"/>
      <w:bookmarkStart w:id="283" w:name="_Toc184314427"/>
      <w:bookmarkEnd w:id="283"/>
      <w:bookmarkStart w:id="284" w:name="_Toc184310316"/>
      <w:bookmarkEnd w:id="284"/>
      <w:bookmarkStart w:id="285" w:name="_Toc184312071"/>
      <w:bookmarkEnd w:id="285"/>
      <w:bookmarkStart w:id="286" w:name="_Toc184308065"/>
      <w:bookmarkEnd w:id="286"/>
      <w:bookmarkStart w:id="287" w:name="_Toc184312120"/>
      <w:bookmarkEnd w:id="287"/>
      <w:bookmarkStart w:id="288" w:name="_Toc184308073"/>
      <w:bookmarkEnd w:id="288"/>
      <w:bookmarkStart w:id="289" w:name="_Toc184310283"/>
      <w:bookmarkEnd w:id="289"/>
      <w:bookmarkStart w:id="290" w:name="_Toc184313264"/>
      <w:bookmarkEnd w:id="290"/>
      <w:bookmarkStart w:id="291" w:name="_Toc184308106"/>
      <w:bookmarkEnd w:id="291"/>
      <w:bookmarkStart w:id="292" w:name="_Toc184312139"/>
      <w:bookmarkEnd w:id="292"/>
      <w:bookmarkStart w:id="293" w:name="_Toc184313267"/>
      <w:bookmarkEnd w:id="293"/>
      <w:bookmarkStart w:id="294" w:name="_Toc184313288"/>
      <w:bookmarkEnd w:id="294"/>
      <w:bookmarkStart w:id="295" w:name="_Toc184308036"/>
      <w:bookmarkEnd w:id="295"/>
      <w:bookmarkStart w:id="296" w:name="_Toc184312090"/>
      <w:bookmarkEnd w:id="296"/>
      <w:bookmarkStart w:id="297" w:name="_Toc184313262"/>
      <w:bookmarkEnd w:id="297"/>
      <w:bookmarkStart w:id="298" w:name="_Toc184308094"/>
      <w:bookmarkEnd w:id="298"/>
      <w:bookmarkStart w:id="299" w:name="_Toc184310309"/>
      <w:bookmarkEnd w:id="299"/>
      <w:bookmarkStart w:id="300" w:name="_Toc184312133"/>
      <w:bookmarkEnd w:id="300"/>
      <w:bookmarkStart w:id="301" w:name="_Toc184308067"/>
      <w:bookmarkEnd w:id="301"/>
      <w:bookmarkStart w:id="302" w:name="_Toc184312128"/>
      <w:bookmarkEnd w:id="302"/>
      <w:bookmarkStart w:id="303" w:name="_Toc184313263"/>
      <w:bookmarkEnd w:id="303"/>
      <w:bookmarkStart w:id="304" w:name="_Toc184314410"/>
      <w:bookmarkEnd w:id="304"/>
      <w:bookmarkStart w:id="305" w:name="_Toc184308086"/>
      <w:bookmarkEnd w:id="305"/>
      <w:bookmarkStart w:id="306" w:name="_Toc184314447"/>
      <w:bookmarkEnd w:id="306"/>
      <w:bookmarkStart w:id="307" w:name="_Toc184310329"/>
      <w:bookmarkEnd w:id="307"/>
      <w:bookmarkStart w:id="308" w:name="_Toc184308076"/>
      <w:bookmarkEnd w:id="308"/>
      <w:bookmarkStart w:id="309" w:name="_Toc184312114"/>
      <w:bookmarkEnd w:id="309"/>
      <w:bookmarkStart w:id="310" w:name="_Toc184308088"/>
      <w:bookmarkEnd w:id="310"/>
      <w:bookmarkStart w:id="311" w:name="_Toc184308092"/>
      <w:bookmarkEnd w:id="311"/>
      <w:bookmarkStart w:id="312" w:name="_Toc184308069"/>
      <w:bookmarkEnd w:id="312"/>
      <w:bookmarkStart w:id="313" w:name="_Toc184313259"/>
      <w:bookmarkEnd w:id="313"/>
      <w:bookmarkStart w:id="314" w:name="_Toc184313247"/>
      <w:bookmarkEnd w:id="314"/>
      <w:bookmarkStart w:id="315" w:name="_Toc184312094"/>
      <w:bookmarkEnd w:id="315"/>
      <w:bookmarkStart w:id="316" w:name="_Toc184308049"/>
      <w:bookmarkEnd w:id="316"/>
      <w:bookmarkStart w:id="317" w:name="_Toc184308054"/>
      <w:bookmarkEnd w:id="317"/>
      <w:bookmarkStart w:id="318" w:name="_Toc184310315"/>
      <w:bookmarkEnd w:id="318"/>
      <w:bookmarkStart w:id="319" w:name="_Toc184308085"/>
      <w:bookmarkEnd w:id="319"/>
      <w:bookmarkStart w:id="320" w:name="_Toc184312076"/>
      <w:bookmarkEnd w:id="320"/>
      <w:bookmarkStart w:id="321" w:name="_Toc184308043"/>
      <w:bookmarkEnd w:id="321"/>
      <w:bookmarkStart w:id="322" w:name="_Toc184308046"/>
      <w:bookmarkEnd w:id="322"/>
      <w:bookmarkStart w:id="323" w:name="_Toc184312113"/>
      <w:bookmarkEnd w:id="323"/>
      <w:bookmarkStart w:id="324" w:name="_Toc184314465"/>
      <w:bookmarkEnd w:id="324"/>
      <w:bookmarkStart w:id="325" w:name="_Toc184313241"/>
      <w:bookmarkEnd w:id="325"/>
      <w:bookmarkStart w:id="326" w:name="_Toc184310325"/>
      <w:bookmarkEnd w:id="326"/>
      <w:bookmarkStart w:id="327" w:name="_Toc184310303"/>
      <w:bookmarkEnd w:id="327"/>
      <w:bookmarkStart w:id="328" w:name="_Toc184312079"/>
      <w:bookmarkEnd w:id="328"/>
      <w:bookmarkStart w:id="329" w:name="_Toc184314474"/>
      <w:bookmarkEnd w:id="329"/>
      <w:bookmarkStart w:id="330" w:name="_Toc184314473"/>
      <w:bookmarkEnd w:id="330"/>
      <w:bookmarkStart w:id="331" w:name="_Toc184308072"/>
      <w:bookmarkEnd w:id="331"/>
      <w:bookmarkStart w:id="332" w:name="_Toc184313266"/>
      <w:bookmarkEnd w:id="332"/>
      <w:bookmarkStart w:id="333" w:name="_Toc184308042"/>
      <w:bookmarkEnd w:id="333"/>
      <w:bookmarkStart w:id="334" w:name="_Toc184314414"/>
      <w:bookmarkEnd w:id="334"/>
      <w:bookmarkStart w:id="335" w:name="_Toc184314421"/>
      <w:bookmarkEnd w:id="335"/>
      <w:bookmarkStart w:id="336" w:name="_Toc184312075"/>
      <w:bookmarkEnd w:id="336"/>
      <w:bookmarkStart w:id="337" w:name="_Toc184313256"/>
      <w:bookmarkEnd w:id="337"/>
      <w:bookmarkStart w:id="338" w:name="_Toc184308068"/>
      <w:bookmarkEnd w:id="338"/>
      <w:bookmarkStart w:id="339" w:name="_Toc184313252"/>
      <w:bookmarkEnd w:id="339"/>
      <w:bookmarkStart w:id="340" w:name="_Toc184313296"/>
      <w:bookmarkEnd w:id="340"/>
      <w:bookmarkStart w:id="341" w:name="_Toc184313293"/>
      <w:bookmarkEnd w:id="341"/>
      <w:bookmarkStart w:id="342" w:name="_Toc184313304"/>
      <w:bookmarkEnd w:id="342"/>
      <w:bookmarkStart w:id="343" w:name="_Toc184308105"/>
      <w:bookmarkEnd w:id="343"/>
      <w:bookmarkStart w:id="344" w:name="_Toc184310330"/>
      <w:bookmarkEnd w:id="344"/>
      <w:bookmarkStart w:id="345" w:name="_Toc184314425"/>
      <w:bookmarkEnd w:id="345"/>
      <w:bookmarkStart w:id="346" w:name="_Toc184310335"/>
      <w:bookmarkEnd w:id="346"/>
      <w:bookmarkStart w:id="347" w:name="_Toc184308064"/>
      <w:bookmarkEnd w:id="347"/>
      <w:bookmarkStart w:id="348" w:name="_Toc184312086"/>
      <w:bookmarkEnd w:id="348"/>
      <w:bookmarkStart w:id="349" w:name="_Toc184312083"/>
      <w:bookmarkEnd w:id="349"/>
      <w:bookmarkStart w:id="350" w:name="_Toc184312130"/>
      <w:bookmarkEnd w:id="350"/>
      <w:bookmarkStart w:id="351" w:name="_Toc184312070"/>
      <w:bookmarkEnd w:id="351"/>
      <w:bookmarkStart w:id="352" w:name="_Toc184314428"/>
      <w:bookmarkEnd w:id="352"/>
      <w:bookmarkStart w:id="353" w:name="_Toc184314455"/>
      <w:bookmarkEnd w:id="353"/>
      <w:bookmarkStart w:id="354" w:name="_Toc184310326"/>
      <w:bookmarkEnd w:id="354"/>
      <w:bookmarkStart w:id="355" w:name="_Toc184312084"/>
      <w:bookmarkEnd w:id="355"/>
      <w:bookmarkStart w:id="356" w:name="_Toc184310336"/>
      <w:bookmarkEnd w:id="356"/>
      <w:bookmarkStart w:id="357" w:name="_Toc184310319"/>
      <w:bookmarkEnd w:id="357"/>
      <w:bookmarkStart w:id="358" w:name="_Toc184312091"/>
      <w:bookmarkEnd w:id="358"/>
      <w:bookmarkStart w:id="359" w:name="_Toc184310328"/>
      <w:bookmarkEnd w:id="359"/>
      <w:bookmarkStart w:id="360" w:name="_Toc184310341"/>
      <w:bookmarkEnd w:id="360"/>
      <w:bookmarkStart w:id="361" w:name="_Toc184308078"/>
      <w:bookmarkEnd w:id="361"/>
      <w:bookmarkStart w:id="362" w:name="_Toc184312068"/>
      <w:bookmarkEnd w:id="362"/>
      <w:bookmarkStart w:id="363" w:name="_Toc184312117"/>
      <w:bookmarkEnd w:id="363"/>
      <w:bookmarkStart w:id="364" w:name="_Toc184312118"/>
      <w:bookmarkEnd w:id="364"/>
      <w:bookmarkStart w:id="365" w:name="_Toc184313243"/>
      <w:bookmarkEnd w:id="365"/>
      <w:bookmarkStart w:id="366" w:name="_Toc184314472"/>
      <w:bookmarkEnd w:id="366"/>
      <w:bookmarkStart w:id="367" w:name="_Toc184312105"/>
      <w:bookmarkEnd w:id="367"/>
      <w:bookmarkStart w:id="368" w:name="_Toc184308097"/>
      <w:bookmarkEnd w:id="368"/>
      <w:bookmarkStart w:id="369" w:name="_Toc184314454"/>
      <w:bookmarkEnd w:id="369"/>
      <w:bookmarkStart w:id="370" w:name="_Toc184314462"/>
      <w:bookmarkEnd w:id="370"/>
      <w:bookmarkStart w:id="371" w:name="_Toc184314459"/>
      <w:bookmarkEnd w:id="371"/>
      <w:bookmarkStart w:id="372" w:name="_Toc184312132"/>
      <w:bookmarkEnd w:id="372"/>
      <w:bookmarkStart w:id="373" w:name="_Toc184312078"/>
      <w:bookmarkEnd w:id="373"/>
      <w:bookmarkStart w:id="374" w:name="_Toc184312106"/>
      <w:bookmarkEnd w:id="374"/>
      <w:bookmarkStart w:id="375" w:name="_Toc184308050"/>
      <w:bookmarkEnd w:id="375"/>
      <w:bookmarkStart w:id="376" w:name="_Toc184312115"/>
      <w:bookmarkEnd w:id="376"/>
      <w:bookmarkStart w:id="377" w:name="_Toc184313290"/>
      <w:bookmarkEnd w:id="377"/>
      <w:bookmarkStart w:id="378" w:name="_Toc184310298"/>
      <w:bookmarkEnd w:id="378"/>
      <w:bookmarkStart w:id="379" w:name="_Toc184312099"/>
      <w:bookmarkEnd w:id="379"/>
      <w:bookmarkStart w:id="380" w:name="_Toc184310291"/>
      <w:bookmarkEnd w:id="380"/>
      <w:bookmarkStart w:id="381" w:name="_Toc184314415"/>
      <w:bookmarkEnd w:id="381"/>
      <w:bookmarkStart w:id="382" w:name="_Toc184312092"/>
      <w:bookmarkEnd w:id="382"/>
      <w:bookmarkStart w:id="383" w:name="_Toc184312087"/>
      <w:bookmarkEnd w:id="383"/>
      <w:bookmarkStart w:id="384" w:name="_Toc184314416"/>
      <w:bookmarkEnd w:id="384"/>
      <w:bookmarkStart w:id="385" w:name="_Toc184313253"/>
      <w:bookmarkEnd w:id="385"/>
      <w:bookmarkStart w:id="386" w:name="_Toc184314420"/>
      <w:bookmarkEnd w:id="386"/>
      <w:bookmarkStart w:id="387" w:name="_Toc184310290"/>
      <w:bookmarkEnd w:id="387"/>
      <w:bookmarkStart w:id="388" w:name="_Toc184313255"/>
      <w:bookmarkEnd w:id="388"/>
      <w:bookmarkStart w:id="389" w:name="_Toc184310321"/>
      <w:bookmarkEnd w:id="389"/>
      <w:bookmarkStart w:id="390" w:name="_Toc184313248"/>
      <w:bookmarkEnd w:id="390"/>
      <w:bookmarkStart w:id="391" w:name="_Toc184310277"/>
      <w:bookmarkEnd w:id="391"/>
      <w:bookmarkStart w:id="392" w:name="_Toc184310317"/>
      <w:bookmarkEnd w:id="392"/>
      <w:bookmarkStart w:id="393" w:name="_Toc184313282"/>
      <w:bookmarkEnd w:id="393"/>
      <w:bookmarkStart w:id="394" w:name="_Toc184314464"/>
      <w:bookmarkEnd w:id="394"/>
      <w:bookmarkStart w:id="395" w:name="_Toc184313292"/>
      <w:bookmarkEnd w:id="395"/>
      <w:bookmarkStart w:id="396" w:name="_Toc184312135"/>
      <w:bookmarkEnd w:id="396"/>
      <w:bookmarkStart w:id="397" w:name="_Toc184308080"/>
      <w:bookmarkEnd w:id="397"/>
      <w:bookmarkStart w:id="398" w:name="_Toc184310286"/>
      <w:bookmarkEnd w:id="398"/>
      <w:bookmarkStart w:id="399" w:name="_Toc184308099"/>
      <w:bookmarkEnd w:id="399"/>
      <w:bookmarkStart w:id="400" w:name="_Toc184308051"/>
      <w:bookmarkEnd w:id="400"/>
      <w:bookmarkStart w:id="401" w:name="_Toc184313249"/>
      <w:bookmarkEnd w:id="401"/>
      <w:bookmarkStart w:id="402" w:name="_Toc184310295"/>
      <w:bookmarkEnd w:id="402"/>
      <w:bookmarkStart w:id="403" w:name="_Toc184314437"/>
      <w:bookmarkEnd w:id="403"/>
      <w:bookmarkStart w:id="404" w:name="_Toc184308059"/>
      <w:bookmarkEnd w:id="404"/>
      <w:bookmarkStart w:id="405" w:name="_Toc184314450"/>
      <w:bookmarkEnd w:id="405"/>
      <w:bookmarkStart w:id="406" w:name="_Toc184313283"/>
      <w:bookmarkEnd w:id="406"/>
      <w:bookmarkStart w:id="407" w:name="_Toc184312104"/>
      <w:bookmarkEnd w:id="407"/>
      <w:bookmarkStart w:id="408" w:name="_Toc184312081"/>
      <w:bookmarkEnd w:id="408"/>
      <w:r>
        <w:rPr>
          <w:rFonts w:hint="eastAsia" w:ascii="仿宋" w:hAnsi="仿宋" w:eastAsia="仿宋" w:cs="仿宋"/>
          <w:b/>
          <w:color w:val="auto"/>
          <w:sz w:val="36"/>
          <w:szCs w:val="36"/>
          <w:highlight w:val="none"/>
        </w:rPr>
        <w:t>评标办法</w:t>
      </w:r>
    </w:p>
    <w:p w14:paraId="56F98CC0">
      <w:pPr>
        <w:snapToGrid w:val="0"/>
        <w:spacing w:line="360" w:lineRule="auto"/>
        <w:jc w:val="center"/>
        <w:rPr>
          <w:rFonts w:hint="eastAsia" w:ascii="仿宋" w:hAnsi="仿宋" w:eastAsia="仿宋" w:cs="仿宋"/>
          <w:b/>
          <w:color w:val="auto"/>
          <w:sz w:val="32"/>
          <w:szCs w:val="20"/>
          <w:highlight w:val="none"/>
        </w:rPr>
      </w:pPr>
      <w:r>
        <w:rPr>
          <w:rFonts w:hint="eastAsia" w:ascii="仿宋" w:hAnsi="仿宋" w:eastAsia="仿宋" w:cs="仿宋"/>
          <w:b/>
          <w:color w:val="auto"/>
          <w:sz w:val="32"/>
          <w:szCs w:val="20"/>
          <w:highlight w:val="none"/>
        </w:rPr>
        <w:t>评标办法前附表</w:t>
      </w:r>
    </w:p>
    <w:tbl>
      <w:tblPr>
        <w:tblStyle w:val="80"/>
        <w:tblW w:w="101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1"/>
        <w:gridCol w:w="6602"/>
        <w:gridCol w:w="709"/>
        <w:gridCol w:w="1042"/>
        <w:gridCol w:w="1339"/>
      </w:tblGrid>
      <w:tr w14:paraId="2A858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481" w:type="dxa"/>
            <w:noWrap w:val="0"/>
            <w:vAlign w:val="center"/>
          </w:tcPr>
          <w:p w14:paraId="10DEBE7B">
            <w:pPr>
              <w:snapToGrid w:val="0"/>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序号</w:t>
            </w:r>
          </w:p>
        </w:tc>
        <w:tc>
          <w:tcPr>
            <w:tcW w:w="6602" w:type="dxa"/>
            <w:noWrap w:val="0"/>
            <w:vAlign w:val="center"/>
          </w:tcPr>
          <w:p w14:paraId="1B5EFE8A">
            <w:pPr>
              <w:snapToGrid w:val="0"/>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评标标准</w:t>
            </w:r>
          </w:p>
        </w:tc>
        <w:tc>
          <w:tcPr>
            <w:tcW w:w="709" w:type="dxa"/>
            <w:noWrap w:val="0"/>
            <w:vAlign w:val="center"/>
          </w:tcPr>
          <w:p w14:paraId="3176B5A8">
            <w:pPr>
              <w:snapToGrid w:val="0"/>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权重</w:t>
            </w:r>
          </w:p>
        </w:tc>
        <w:tc>
          <w:tcPr>
            <w:tcW w:w="1042" w:type="dxa"/>
            <w:noWrap w:val="0"/>
            <w:vAlign w:val="center"/>
          </w:tcPr>
          <w:p w14:paraId="2FA789E8">
            <w:pPr>
              <w:snapToGrid w:val="0"/>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主观分/客观分属性</w:t>
            </w:r>
          </w:p>
        </w:tc>
        <w:tc>
          <w:tcPr>
            <w:tcW w:w="1339" w:type="dxa"/>
            <w:noWrap w:val="0"/>
            <w:vAlign w:val="center"/>
          </w:tcPr>
          <w:p w14:paraId="71143766">
            <w:pPr>
              <w:snapToGrid w:val="0"/>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投标文件中评标标准相应的商务技术资料目录</w:t>
            </w:r>
            <w:r>
              <w:rPr>
                <w:rFonts w:ascii="Calibri" w:hAnsi="Calibri" w:eastAsia="仿宋" w:cs="Calibri"/>
                <w:b/>
                <w:bCs/>
                <w:color w:val="auto"/>
                <w:szCs w:val="21"/>
                <w:highlight w:val="none"/>
              </w:rPr>
              <w:t> </w:t>
            </w:r>
            <w:r>
              <w:rPr>
                <w:rFonts w:ascii="仿宋" w:hAnsi="仿宋" w:eastAsia="仿宋" w:cs="仿宋"/>
                <w:b/>
                <w:bCs/>
                <w:color w:val="auto"/>
                <w:szCs w:val="21"/>
                <w:highlight w:val="none"/>
              </w:rPr>
              <w:t>*</w:t>
            </w:r>
          </w:p>
        </w:tc>
      </w:tr>
      <w:tr w14:paraId="1C55C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jc w:val="center"/>
        </w:trPr>
        <w:tc>
          <w:tcPr>
            <w:tcW w:w="481" w:type="dxa"/>
            <w:noWrap w:val="0"/>
            <w:vAlign w:val="center"/>
          </w:tcPr>
          <w:p w14:paraId="61DAE1C3">
            <w:pPr>
              <w:snapToGrid w:val="0"/>
              <w:jc w:val="center"/>
              <w:rPr>
                <w:rFonts w:ascii="仿宋" w:hAnsi="仿宋" w:eastAsia="仿宋" w:cs="仿宋"/>
                <w:b/>
                <w:color w:val="auto"/>
                <w:szCs w:val="21"/>
                <w:highlight w:val="none"/>
              </w:rPr>
            </w:pPr>
            <w:r>
              <w:rPr>
                <w:rFonts w:hint="eastAsia" w:ascii="仿宋" w:hAnsi="仿宋" w:eastAsia="仿宋" w:cs="仿宋"/>
                <w:b/>
                <w:color w:val="auto"/>
                <w:szCs w:val="21"/>
                <w:highlight w:val="none"/>
              </w:rPr>
              <w:t>一</w:t>
            </w:r>
          </w:p>
        </w:tc>
        <w:tc>
          <w:tcPr>
            <w:tcW w:w="6602" w:type="dxa"/>
            <w:noWrap w:val="0"/>
            <w:vAlign w:val="center"/>
          </w:tcPr>
          <w:p w14:paraId="43BE1B12">
            <w:pPr>
              <w:snapToGrid w:val="0"/>
              <w:rPr>
                <w:rFonts w:ascii="仿宋" w:hAnsi="仿宋" w:eastAsia="仿宋" w:cs="仿宋"/>
                <w:b/>
                <w:color w:val="auto"/>
                <w:szCs w:val="21"/>
                <w:highlight w:val="none"/>
              </w:rPr>
            </w:pPr>
            <w:r>
              <w:rPr>
                <w:rFonts w:hint="eastAsia" w:ascii="仿宋" w:hAnsi="仿宋" w:eastAsia="仿宋" w:cs="仿宋"/>
                <w:b/>
                <w:color w:val="auto"/>
                <w:szCs w:val="21"/>
                <w:highlight w:val="none"/>
              </w:rPr>
              <w:t>技术和服务方案：</w:t>
            </w:r>
            <w:r>
              <w:rPr>
                <w:rFonts w:hint="eastAsia" w:ascii="仿宋" w:hAnsi="仿宋" w:eastAsia="仿宋" w:cs="仿宋"/>
                <w:color w:val="auto"/>
                <w:szCs w:val="21"/>
                <w:highlight w:val="none"/>
              </w:rPr>
              <w:t>主要包含方案的先进性、科学性和完整性，与需求的符合程度等情况，以及服务人员情况、对项目熟悉程度等方面的因素。</w:t>
            </w:r>
          </w:p>
        </w:tc>
        <w:tc>
          <w:tcPr>
            <w:tcW w:w="709" w:type="dxa"/>
            <w:noWrap w:val="0"/>
            <w:vAlign w:val="center"/>
          </w:tcPr>
          <w:p w14:paraId="64986AC9">
            <w:pPr>
              <w:snapToGrid w:val="0"/>
              <w:jc w:val="center"/>
              <w:rPr>
                <w:rFonts w:ascii="仿宋" w:hAnsi="仿宋" w:eastAsia="仿宋" w:cs="仿宋"/>
                <w:b/>
                <w:color w:val="auto"/>
                <w:szCs w:val="21"/>
                <w:highlight w:val="none"/>
              </w:rPr>
            </w:pPr>
          </w:p>
        </w:tc>
        <w:tc>
          <w:tcPr>
            <w:tcW w:w="1042" w:type="dxa"/>
            <w:noWrap w:val="0"/>
            <w:vAlign w:val="top"/>
          </w:tcPr>
          <w:p w14:paraId="46A1521F">
            <w:pPr>
              <w:snapToGrid w:val="0"/>
              <w:jc w:val="center"/>
              <w:rPr>
                <w:rFonts w:ascii="仿宋" w:hAnsi="仿宋" w:eastAsia="仿宋" w:cs="仿宋"/>
                <w:b/>
                <w:color w:val="auto"/>
                <w:szCs w:val="21"/>
                <w:highlight w:val="none"/>
              </w:rPr>
            </w:pPr>
          </w:p>
        </w:tc>
        <w:tc>
          <w:tcPr>
            <w:tcW w:w="1339" w:type="dxa"/>
            <w:noWrap w:val="0"/>
            <w:vAlign w:val="center"/>
          </w:tcPr>
          <w:p w14:paraId="5DA38B02">
            <w:pPr>
              <w:snapToGrid w:val="0"/>
              <w:jc w:val="center"/>
              <w:rPr>
                <w:rFonts w:ascii="仿宋" w:hAnsi="仿宋" w:eastAsia="仿宋" w:cs="仿宋"/>
                <w:b/>
                <w:color w:val="auto"/>
                <w:szCs w:val="21"/>
                <w:highlight w:val="none"/>
              </w:rPr>
            </w:pPr>
          </w:p>
        </w:tc>
      </w:tr>
      <w:tr w14:paraId="4A630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 w:hRule="atLeast"/>
          <w:jc w:val="center"/>
        </w:trPr>
        <w:tc>
          <w:tcPr>
            <w:tcW w:w="481" w:type="dxa"/>
            <w:noWrap w:val="0"/>
            <w:vAlign w:val="center"/>
          </w:tcPr>
          <w:p w14:paraId="6985D6A9">
            <w:pPr>
              <w:snapToGrid w:val="0"/>
              <w:jc w:val="center"/>
              <w:rPr>
                <w:rFonts w:ascii="仿宋" w:hAnsi="仿宋" w:eastAsia="仿宋" w:cs="仿宋"/>
                <w:color w:val="auto"/>
                <w:szCs w:val="21"/>
                <w:highlight w:val="none"/>
              </w:rPr>
            </w:pPr>
            <w:r>
              <w:rPr>
                <w:rFonts w:ascii="仿宋" w:hAnsi="仿宋" w:eastAsia="仿宋" w:cs="仿宋"/>
                <w:color w:val="auto"/>
                <w:szCs w:val="21"/>
                <w:highlight w:val="none"/>
              </w:rPr>
              <w:t>1</w:t>
            </w:r>
          </w:p>
        </w:tc>
        <w:tc>
          <w:tcPr>
            <w:tcW w:w="6602" w:type="dxa"/>
            <w:noWrap w:val="0"/>
            <w:vAlign w:val="center"/>
          </w:tcPr>
          <w:p w14:paraId="5065D492">
            <w:pPr>
              <w:ind w:firstLine="210" w:firstLineChars="100"/>
              <w:rPr>
                <w:rFonts w:ascii="仿宋" w:hAnsi="仿宋" w:eastAsia="仿宋" w:cs="仿宋"/>
                <w:color w:val="auto"/>
                <w:szCs w:val="21"/>
                <w:highlight w:val="none"/>
              </w:rPr>
            </w:pPr>
            <w:r>
              <w:rPr>
                <w:rFonts w:hint="eastAsia" w:ascii="仿宋" w:hAnsi="仿宋" w:eastAsia="仿宋" w:cs="仿宋"/>
                <w:color w:val="auto"/>
                <w:szCs w:val="21"/>
                <w:highlight w:val="none"/>
              </w:rPr>
              <w:t>投标人针对</w:t>
            </w:r>
            <w:r>
              <w:rPr>
                <w:rFonts w:hint="eastAsia" w:ascii="仿宋" w:hAnsi="仿宋" w:eastAsia="仿宋" w:cs="仿宋"/>
                <w:b/>
                <w:color w:val="auto"/>
                <w:szCs w:val="21"/>
                <w:highlight w:val="none"/>
              </w:rPr>
              <w:t>案件侦查打击服务</w:t>
            </w:r>
            <w:r>
              <w:rPr>
                <w:rFonts w:hint="eastAsia" w:ascii="仿宋" w:hAnsi="仿宋" w:eastAsia="仿宋" w:cs="仿宋"/>
                <w:color w:val="auto"/>
                <w:szCs w:val="21"/>
                <w:highlight w:val="none"/>
              </w:rPr>
              <w:t>方案与需求的吻合程度情况，包括①任务管理，②案件侦查，③案件支撑，</w:t>
            </w:r>
            <w:r>
              <w:rPr>
                <w:rFonts w:ascii="仿宋" w:hAnsi="仿宋" w:eastAsia="仿宋" w:cs="仿宋"/>
                <w:color w:val="auto"/>
                <w:szCs w:val="21"/>
                <w:highlight w:val="none"/>
              </w:rPr>
              <w:fldChar w:fldCharType="begin"/>
            </w:r>
            <w:r>
              <w:rPr>
                <w:rFonts w:ascii="仿宋" w:hAnsi="仿宋" w:eastAsia="仿宋" w:cs="仿宋"/>
                <w:color w:val="auto"/>
                <w:szCs w:val="21"/>
                <w:highlight w:val="none"/>
              </w:rPr>
              <w:instrText xml:space="preserve"> </w:instrText>
            </w:r>
            <w:r>
              <w:rPr>
                <w:rFonts w:hint="eastAsia" w:ascii="仿宋" w:hAnsi="仿宋" w:eastAsia="仿宋" w:cs="仿宋"/>
                <w:color w:val="auto"/>
                <w:szCs w:val="21"/>
                <w:highlight w:val="none"/>
              </w:rPr>
              <w:instrText xml:space="preserve">= 4 \* GB3</w:instrText>
            </w:r>
            <w:r>
              <w:rPr>
                <w:rFonts w:ascii="仿宋" w:hAnsi="仿宋" w:eastAsia="仿宋" w:cs="仿宋"/>
                <w:color w:val="auto"/>
                <w:szCs w:val="21"/>
                <w:highlight w:val="none"/>
              </w:rPr>
              <w:instrText xml:space="preserve"> </w:instrText>
            </w:r>
            <w:r>
              <w:rPr>
                <w:rFonts w:ascii="仿宋" w:hAnsi="仿宋" w:eastAsia="仿宋" w:cs="仿宋"/>
                <w:color w:val="auto"/>
                <w:szCs w:val="21"/>
                <w:highlight w:val="none"/>
              </w:rPr>
              <w:fldChar w:fldCharType="separate"/>
            </w:r>
            <w:r>
              <w:rPr>
                <w:rFonts w:hint="eastAsia" w:ascii="仿宋" w:hAnsi="仿宋" w:eastAsia="仿宋" w:cs="仿宋"/>
                <w:color w:val="auto"/>
                <w:szCs w:val="21"/>
                <w:highlight w:val="none"/>
              </w:rPr>
              <w:t>④</w:t>
            </w:r>
            <w:r>
              <w:rPr>
                <w:rFonts w:ascii="仿宋" w:hAnsi="仿宋" w:eastAsia="仿宋" w:cs="仿宋"/>
                <w:color w:val="auto"/>
                <w:szCs w:val="21"/>
                <w:highlight w:val="none"/>
              </w:rPr>
              <w:fldChar w:fldCharType="end"/>
            </w:r>
            <w:r>
              <w:rPr>
                <w:rFonts w:hint="eastAsia" w:ascii="仿宋" w:hAnsi="仿宋" w:eastAsia="仿宋" w:cs="仿宋"/>
                <w:color w:val="auto"/>
                <w:szCs w:val="21"/>
                <w:highlight w:val="none"/>
              </w:rPr>
              <w:t>研判分析，</w:t>
            </w:r>
            <w:r>
              <w:rPr>
                <w:rFonts w:ascii="仿宋" w:hAnsi="仿宋" w:eastAsia="仿宋" w:cs="仿宋"/>
                <w:color w:val="auto"/>
                <w:szCs w:val="21"/>
                <w:highlight w:val="none"/>
              </w:rPr>
              <w:fldChar w:fldCharType="begin"/>
            </w:r>
            <w:r>
              <w:rPr>
                <w:rFonts w:ascii="仿宋" w:hAnsi="仿宋" w:eastAsia="仿宋" w:cs="仿宋"/>
                <w:color w:val="auto"/>
                <w:szCs w:val="21"/>
                <w:highlight w:val="none"/>
              </w:rPr>
              <w:instrText xml:space="preserve"> </w:instrText>
            </w:r>
            <w:r>
              <w:rPr>
                <w:rFonts w:hint="eastAsia" w:ascii="仿宋" w:hAnsi="仿宋" w:eastAsia="仿宋" w:cs="仿宋"/>
                <w:color w:val="auto"/>
                <w:szCs w:val="21"/>
                <w:highlight w:val="none"/>
              </w:rPr>
              <w:instrText xml:space="preserve">= 5 \* GB3</w:instrText>
            </w:r>
            <w:r>
              <w:rPr>
                <w:rFonts w:ascii="仿宋" w:hAnsi="仿宋" w:eastAsia="仿宋" w:cs="仿宋"/>
                <w:color w:val="auto"/>
                <w:szCs w:val="21"/>
                <w:highlight w:val="none"/>
              </w:rPr>
              <w:instrText xml:space="preserve"> </w:instrText>
            </w:r>
            <w:r>
              <w:rPr>
                <w:rFonts w:ascii="仿宋" w:hAnsi="仿宋" w:eastAsia="仿宋" w:cs="仿宋"/>
                <w:color w:val="auto"/>
                <w:szCs w:val="21"/>
                <w:highlight w:val="none"/>
              </w:rPr>
              <w:fldChar w:fldCharType="separate"/>
            </w:r>
            <w:r>
              <w:rPr>
                <w:rFonts w:hint="eastAsia" w:ascii="仿宋" w:hAnsi="仿宋" w:eastAsia="仿宋" w:cs="仿宋"/>
                <w:color w:val="auto"/>
                <w:szCs w:val="21"/>
                <w:highlight w:val="none"/>
              </w:rPr>
              <w:t>⑤</w:t>
            </w:r>
            <w:r>
              <w:rPr>
                <w:rFonts w:ascii="仿宋" w:hAnsi="仿宋" w:eastAsia="仿宋" w:cs="仿宋"/>
                <w:color w:val="auto"/>
                <w:szCs w:val="21"/>
                <w:highlight w:val="none"/>
              </w:rPr>
              <w:fldChar w:fldCharType="end"/>
            </w:r>
            <w:r>
              <w:rPr>
                <w:rFonts w:hint="eastAsia" w:ascii="仿宋" w:hAnsi="仿宋" w:eastAsia="仿宋" w:cs="仿宋"/>
                <w:color w:val="auto"/>
                <w:szCs w:val="21"/>
                <w:highlight w:val="none"/>
              </w:rPr>
              <w:t>数据还原，</w:t>
            </w:r>
            <w:r>
              <w:rPr>
                <w:rFonts w:ascii="仿宋" w:hAnsi="仿宋" w:eastAsia="仿宋" w:cs="仿宋"/>
                <w:color w:val="auto"/>
                <w:szCs w:val="21"/>
                <w:highlight w:val="none"/>
              </w:rPr>
              <w:fldChar w:fldCharType="begin"/>
            </w:r>
            <w:r>
              <w:rPr>
                <w:rFonts w:ascii="仿宋" w:hAnsi="仿宋" w:eastAsia="仿宋" w:cs="仿宋"/>
                <w:color w:val="auto"/>
                <w:szCs w:val="21"/>
                <w:highlight w:val="none"/>
              </w:rPr>
              <w:instrText xml:space="preserve"> </w:instrText>
            </w:r>
            <w:r>
              <w:rPr>
                <w:rFonts w:hint="eastAsia" w:ascii="仿宋" w:hAnsi="仿宋" w:eastAsia="仿宋" w:cs="仿宋"/>
                <w:color w:val="auto"/>
                <w:szCs w:val="21"/>
                <w:highlight w:val="none"/>
              </w:rPr>
              <w:instrText xml:space="preserve">= 6 \* GB3</w:instrText>
            </w:r>
            <w:r>
              <w:rPr>
                <w:rFonts w:ascii="仿宋" w:hAnsi="仿宋" w:eastAsia="仿宋" w:cs="仿宋"/>
                <w:color w:val="auto"/>
                <w:szCs w:val="21"/>
                <w:highlight w:val="none"/>
              </w:rPr>
              <w:instrText xml:space="preserve"> </w:instrText>
            </w:r>
            <w:r>
              <w:rPr>
                <w:rFonts w:ascii="仿宋" w:hAnsi="仿宋" w:eastAsia="仿宋" w:cs="仿宋"/>
                <w:color w:val="auto"/>
                <w:szCs w:val="21"/>
                <w:highlight w:val="none"/>
              </w:rPr>
              <w:fldChar w:fldCharType="separate"/>
            </w:r>
            <w:r>
              <w:rPr>
                <w:rFonts w:hint="eastAsia" w:ascii="仿宋" w:hAnsi="仿宋" w:eastAsia="仿宋" w:cs="仿宋"/>
                <w:color w:val="auto"/>
                <w:szCs w:val="21"/>
                <w:highlight w:val="none"/>
              </w:rPr>
              <w:t>⑥</w:t>
            </w:r>
            <w:r>
              <w:rPr>
                <w:rFonts w:ascii="仿宋" w:hAnsi="仿宋" w:eastAsia="仿宋" w:cs="仿宋"/>
                <w:color w:val="auto"/>
                <w:szCs w:val="21"/>
                <w:highlight w:val="none"/>
              </w:rPr>
              <w:fldChar w:fldCharType="end"/>
            </w:r>
            <w:r>
              <w:rPr>
                <w:rFonts w:hint="eastAsia" w:ascii="仿宋" w:hAnsi="仿宋" w:eastAsia="仿宋" w:cs="仿宋"/>
                <w:color w:val="auto"/>
                <w:szCs w:val="21"/>
                <w:highlight w:val="none"/>
              </w:rPr>
              <w:t>数据分析，</w:t>
            </w:r>
            <w:r>
              <w:rPr>
                <w:rFonts w:ascii="仿宋" w:hAnsi="仿宋" w:eastAsia="仿宋" w:cs="仿宋"/>
                <w:color w:val="auto"/>
                <w:szCs w:val="21"/>
                <w:highlight w:val="none"/>
              </w:rPr>
              <w:fldChar w:fldCharType="begin"/>
            </w:r>
            <w:r>
              <w:rPr>
                <w:rFonts w:ascii="仿宋" w:hAnsi="仿宋" w:eastAsia="仿宋" w:cs="仿宋"/>
                <w:color w:val="auto"/>
                <w:szCs w:val="21"/>
                <w:highlight w:val="none"/>
              </w:rPr>
              <w:instrText xml:space="preserve"> </w:instrText>
            </w:r>
            <w:r>
              <w:rPr>
                <w:rFonts w:hint="eastAsia" w:ascii="仿宋" w:hAnsi="仿宋" w:eastAsia="仿宋" w:cs="仿宋"/>
                <w:color w:val="auto"/>
                <w:szCs w:val="21"/>
                <w:highlight w:val="none"/>
              </w:rPr>
              <w:instrText xml:space="preserve">= 7 \* GB3</w:instrText>
            </w:r>
            <w:r>
              <w:rPr>
                <w:rFonts w:ascii="仿宋" w:hAnsi="仿宋" w:eastAsia="仿宋" w:cs="仿宋"/>
                <w:color w:val="auto"/>
                <w:szCs w:val="21"/>
                <w:highlight w:val="none"/>
              </w:rPr>
              <w:instrText xml:space="preserve"> </w:instrText>
            </w:r>
            <w:r>
              <w:rPr>
                <w:rFonts w:ascii="仿宋" w:hAnsi="仿宋" w:eastAsia="仿宋" w:cs="仿宋"/>
                <w:color w:val="auto"/>
                <w:szCs w:val="21"/>
                <w:highlight w:val="none"/>
              </w:rPr>
              <w:fldChar w:fldCharType="separate"/>
            </w:r>
            <w:r>
              <w:rPr>
                <w:rFonts w:hint="eastAsia" w:ascii="仿宋" w:hAnsi="仿宋" w:eastAsia="仿宋" w:cs="仿宋"/>
                <w:color w:val="auto"/>
                <w:szCs w:val="21"/>
                <w:highlight w:val="none"/>
              </w:rPr>
              <w:t>⑦</w:t>
            </w:r>
            <w:r>
              <w:rPr>
                <w:rFonts w:ascii="仿宋" w:hAnsi="仿宋" w:eastAsia="仿宋" w:cs="仿宋"/>
                <w:color w:val="auto"/>
                <w:szCs w:val="21"/>
                <w:highlight w:val="none"/>
              </w:rPr>
              <w:fldChar w:fldCharType="end"/>
            </w:r>
            <w:r>
              <w:rPr>
                <w:rFonts w:hint="eastAsia" w:ascii="仿宋" w:hAnsi="仿宋" w:eastAsia="仿宋" w:cs="仿宋"/>
                <w:color w:val="auto"/>
                <w:szCs w:val="21"/>
                <w:highlight w:val="none"/>
              </w:rPr>
              <w:t>侦查协助；根据提供的方案内容进行评分，每一项方案详细、合理，符合采购需求的得</w:t>
            </w:r>
            <w:r>
              <w:rPr>
                <w:rFonts w:ascii="仿宋" w:hAnsi="仿宋" w:eastAsia="仿宋" w:cs="仿宋"/>
                <w:color w:val="auto"/>
                <w:szCs w:val="21"/>
                <w:highlight w:val="none"/>
              </w:rPr>
              <w:t>1</w:t>
            </w:r>
            <w:r>
              <w:rPr>
                <w:rFonts w:hint="eastAsia" w:ascii="仿宋" w:hAnsi="仿宋" w:eastAsia="仿宋" w:cs="仿宋"/>
                <w:color w:val="auto"/>
                <w:szCs w:val="21"/>
                <w:highlight w:val="none"/>
              </w:rPr>
              <w:t>分，方案不详细、不合理，不符合采购需求的不得分，</w:t>
            </w:r>
            <w:r>
              <w:rPr>
                <w:rFonts w:hint="eastAsia" w:ascii="仿宋" w:hAnsi="仿宋" w:eastAsia="仿宋" w:cs="仿宋"/>
                <w:b/>
                <w:color w:val="auto"/>
                <w:szCs w:val="21"/>
                <w:highlight w:val="none"/>
              </w:rPr>
              <w:t>最高得</w:t>
            </w:r>
            <w:r>
              <w:rPr>
                <w:rFonts w:ascii="仿宋" w:hAnsi="仿宋" w:eastAsia="仿宋" w:cs="仿宋"/>
                <w:b/>
                <w:color w:val="auto"/>
                <w:szCs w:val="21"/>
                <w:highlight w:val="none"/>
              </w:rPr>
              <w:t>7</w:t>
            </w:r>
            <w:r>
              <w:rPr>
                <w:rFonts w:hint="eastAsia" w:ascii="仿宋" w:hAnsi="仿宋" w:eastAsia="仿宋" w:cs="仿宋"/>
                <w:b/>
                <w:color w:val="auto"/>
                <w:szCs w:val="21"/>
                <w:highlight w:val="none"/>
              </w:rPr>
              <w:t>分</w:t>
            </w:r>
            <w:r>
              <w:rPr>
                <w:rFonts w:hint="eastAsia" w:ascii="仿宋" w:hAnsi="仿宋" w:eastAsia="仿宋" w:cs="仿宋"/>
                <w:color w:val="auto"/>
                <w:szCs w:val="21"/>
                <w:highlight w:val="none"/>
              </w:rPr>
              <w:t>。</w:t>
            </w:r>
          </w:p>
        </w:tc>
        <w:tc>
          <w:tcPr>
            <w:tcW w:w="709" w:type="dxa"/>
            <w:noWrap w:val="0"/>
            <w:vAlign w:val="center"/>
          </w:tcPr>
          <w:p w14:paraId="562994D9">
            <w:pPr>
              <w:snapToGrid w:val="0"/>
              <w:jc w:val="center"/>
              <w:rPr>
                <w:rFonts w:ascii="仿宋" w:hAnsi="仿宋" w:eastAsia="仿宋" w:cs="仿宋"/>
                <w:b/>
                <w:color w:val="auto"/>
                <w:szCs w:val="21"/>
                <w:highlight w:val="none"/>
              </w:rPr>
            </w:pPr>
            <w:r>
              <w:rPr>
                <w:rFonts w:ascii="仿宋" w:hAnsi="仿宋" w:eastAsia="仿宋" w:cs="仿宋"/>
                <w:b/>
                <w:color w:val="auto"/>
                <w:szCs w:val="21"/>
                <w:highlight w:val="none"/>
              </w:rPr>
              <w:t>7</w:t>
            </w:r>
          </w:p>
        </w:tc>
        <w:tc>
          <w:tcPr>
            <w:tcW w:w="1042" w:type="dxa"/>
            <w:noWrap w:val="0"/>
            <w:vAlign w:val="center"/>
          </w:tcPr>
          <w:p w14:paraId="3B1B517D">
            <w:pPr>
              <w:snapToGrid w:val="0"/>
              <w:rPr>
                <w:rFonts w:ascii="仿宋" w:hAnsi="仿宋" w:eastAsia="仿宋" w:cs="仿宋"/>
                <w:b/>
                <w:color w:val="auto"/>
                <w:szCs w:val="21"/>
                <w:highlight w:val="none"/>
              </w:rPr>
            </w:pPr>
            <w:r>
              <w:rPr>
                <w:rFonts w:hint="eastAsia" w:ascii="仿宋" w:hAnsi="仿宋" w:eastAsia="仿宋" w:cs="仿宋_GB2312"/>
                <w:b/>
                <w:bCs/>
                <w:color w:val="auto"/>
                <w:szCs w:val="21"/>
                <w:highlight w:val="none"/>
              </w:rPr>
              <w:t>主观分</w:t>
            </w:r>
          </w:p>
        </w:tc>
        <w:tc>
          <w:tcPr>
            <w:tcW w:w="1339" w:type="dxa"/>
            <w:vMerge w:val="restart"/>
            <w:noWrap w:val="0"/>
            <w:vAlign w:val="center"/>
          </w:tcPr>
          <w:p w14:paraId="007FB46D">
            <w:pPr>
              <w:snapToGrid w:val="0"/>
              <w:rPr>
                <w:rFonts w:ascii="仿宋" w:hAnsi="仿宋" w:eastAsia="仿宋" w:cs="仿宋"/>
                <w:b/>
                <w:color w:val="auto"/>
                <w:szCs w:val="21"/>
                <w:highlight w:val="none"/>
              </w:rPr>
            </w:pPr>
            <w:r>
              <w:rPr>
                <w:rFonts w:hint="eastAsia" w:ascii="仿宋" w:hAnsi="仿宋" w:eastAsia="仿宋" w:cs="仿宋"/>
                <w:b/>
                <w:color w:val="auto"/>
                <w:szCs w:val="21"/>
                <w:highlight w:val="none"/>
              </w:rPr>
              <w:t>一、服务方案优势情况</w:t>
            </w:r>
          </w:p>
        </w:tc>
      </w:tr>
      <w:tr w14:paraId="42909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481" w:type="dxa"/>
            <w:noWrap w:val="0"/>
            <w:vAlign w:val="center"/>
          </w:tcPr>
          <w:p w14:paraId="2633A705">
            <w:pPr>
              <w:snapToGrid w:val="0"/>
              <w:jc w:val="center"/>
              <w:rPr>
                <w:rFonts w:ascii="仿宋" w:hAnsi="仿宋" w:eastAsia="仿宋" w:cs="仿宋"/>
                <w:color w:val="auto"/>
                <w:szCs w:val="21"/>
                <w:highlight w:val="none"/>
              </w:rPr>
            </w:pPr>
            <w:r>
              <w:rPr>
                <w:rFonts w:ascii="仿宋" w:hAnsi="仿宋" w:eastAsia="仿宋" w:cs="仿宋"/>
                <w:color w:val="auto"/>
                <w:szCs w:val="21"/>
                <w:highlight w:val="none"/>
              </w:rPr>
              <w:t>2</w:t>
            </w:r>
          </w:p>
        </w:tc>
        <w:tc>
          <w:tcPr>
            <w:tcW w:w="6602" w:type="dxa"/>
            <w:noWrap w:val="0"/>
            <w:vAlign w:val="center"/>
          </w:tcPr>
          <w:p w14:paraId="50E5D7C3">
            <w:pPr>
              <w:pStyle w:val="79"/>
              <w:ind w:left="0" w:leftChars="0" w:firstLineChars="100"/>
              <w:rPr>
                <w:rFonts w:ascii="仿宋" w:hAnsi="仿宋" w:eastAsia="仿宋" w:cs="仿宋"/>
                <w:color w:val="auto"/>
                <w:szCs w:val="21"/>
                <w:highlight w:val="none"/>
              </w:rPr>
            </w:pPr>
            <w:r>
              <w:rPr>
                <w:rFonts w:hint="eastAsia" w:ascii="仿宋" w:hAnsi="仿宋" w:eastAsia="仿宋" w:cs="仿宋"/>
                <w:color w:val="auto"/>
                <w:szCs w:val="21"/>
                <w:highlight w:val="none"/>
              </w:rPr>
              <w:t>投标人针对</w:t>
            </w:r>
            <w:r>
              <w:rPr>
                <w:rFonts w:hint="eastAsia" w:ascii="仿宋" w:hAnsi="仿宋" w:eastAsia="仿宋" w:cs="仿宋"/>
                <w:b/>
                <w:color w:val="auto"/>
                <w:szCs w:val="21"/>
                <w:highlight w:val="none"/>
              </w:rPr>
              <w:t>大数据智能查控服务</w:t>
            </w:r>
            <w:r>
              <w:rPr>
                <w:rFonts w:hint="eastAsia" w:ascii="仿宋" w:hAnsi="仿宋" w:eastAsia="仿宋" w:cs="仿宋"/>
                <w:color w:val="auto"/>
                <w:szCs w:val="21"/>
                <w:highlight w:val="none"/>
              </w:rPr>
              <w:t>方案与需求的吻合程度情况，包括①大数据多维研判，②终端溯源嫌疑追踪，③案件管理数据分析，④态势分析报告输出；根据提供的方案内容进行评分，每一项方案详细、合理，符合采购需求的得</w:t>
            </w:r>
            <w:r>
              <w:rPr>
                <w:rFonts w:ascii="仿宋" w:hAnsi="仿宋" w:eastAsia="仿宋" w:cs="仿宋"/>
                <w:color w:val="auto"/>
                <w:szCs w:val="21"/>
                <w:highlight w:val="none"/>
              </w:rPr>
              <w:t>1.5</w:t>
            </w:r>
            <w:r>
              <w:rPr>
                <w:rFonts w:hint="eastAsia" w:ascii="仿宋" w:hAnsi="仿宋" w:eastAsia="仿宋" w:cs="仿宋"/>
                <w:color w:val="auto"/>
                <w:szCs w:val="21"/>
                <w:highlight w:val="none"/>
              </w:rPr>
              <w:t>分，方案不详细、不合理，不符合采购需求的不得分，</w:t>
            </w:r>
            <w:r>
              <w:rPr>
                <w:rFonts w:hint="eastAsia" w:ascii="仿宋" w:hAnsi="仿宋" w:eastAsia="仿宋" w:cs="仿宋"/>
                <w:b/>
                <w:color w:val="auto"/>
                <w:szCs w:val="21"/>
                <w:highlight w:val="none"/>
              </w:rPr>
              <w:t>最高得</w:t>
            </w:r>
            <w:r>
              <w:rPr>
                <w:rFonts w:ascii="仿宋" w:hAnsi="仿宋" w:eastAsia="仿宋" w:cs="仿宋"/>
                <w:b/>
                <w:color w:val="auto"/>
                <w:szCs w:val="21"/>
                <w:highlight w:val="none"/>
              </w:rPr>
              <w:t>6</w:t>
            </w:r>
            <w:r>
              <w:rPr>
                <w:rFonts w:hint="eastAsia" w:ascii="仿宋" w:hAnsi="仿宋" w:eastAsia="仿宋" w:cs="仿宋"/>
                <w:b/>
                <w:color w:val="auto"/>
                <w:szCs w:val="21"/>
                <w:highlight w:val="none"/>
              </w:rPr>
              <w:t>分</w:t>
            </w:r>
            <w:r>
              <w:rPr>
                <w:rFonts w:hint="eastAsia" w:ascii="仿宋" w:hAnsi="仿宋" w:eastAsia="仿宋" w:cs="仿宋"/>
                <w:color w:val="auto"/>
                <w:szCs w:val="21"/>
                <w:highlight w:val="none"/>
              </w:rPr>
              <w:t>。</w:t>
            </w:r>
          </w:p>
        </w:tc>
        <w:tc>
          <w:tcPr>
            <w:tcW w:w="709" w:type="dxa"/>
            <w:noWrap w:val="0"/>
            <w:vAlign w:val="center"/>
          </w:tcPr>
          <w:p w14:paraId="18D87335">
            <w:pPr>
              <w:snapToGrid w:val="0"/>
              <w:jc w:val="center"/>
              <w:rPr>
                <w:rFonts w:ascii="仿宋" w:hAnsi="仿宋" w:eastAsia="仿宋" w:cs="仿宋"/>
                <w:b/>
                <w:color w:val="auto"/>
                <w:szCs w:val="21"/>
                <w:highlight w:val="none"/>
              </w:rPr>
            </w:pPr>
            <w:r>
              <w:rPr>
                <w:rFonts w:ascii="仿宋" w:hAnsi="仿宋" w:eastAsia="仿宋" w:cs="仿宋"/>
                <w:b/>
                <w:color w:val="auto"/>
                <w:szCs w:val="21"/>
                <w:highlight w:val="none"/>
              </w:rPr>
              <w:t>6</w:t>
            </w:r>
          </w:p>
        </w:tc>
        <w:tc>
          <w:tcPr>
            <w:tcW w:w="1042" w:type="dxa"/>
            <w:noWrap w:val="0"/>
            <w:vAlign w:val="center"/>
          </w:tcPr>
          <w:p w14:paraId="6E83B5D2">
            <w:pPr>
              <w:snapToGrid w:val="0"/>
              <w:jc w:val="center"/>
              <w:rPr>
                <w:rFonts w:ascii="仿宋" w:hAnsi="仿宋" w:eastAsia="仿宋" w:cs="仿宋"/>
                <w:b/>
                <w:color w:val="auto"/>
                <w:szCs w:val="21"/>
                <w:highlight w:val="none"/>
              </w:rPr>
            </w:pPr>
            <w:r>
              <w:rPr>
                <w:rFonts w:hint="eastAsia" w:ascii="仿宋" w:hAnsi="仿宋" w:eastAsia="仿宋" w:cs="仿宋_GB2312"/>
                <w:b/>
                <w:bCs/>
                <w:color w:val="auto"/>
                <w:szCs w:val="21"/>
                <w:highlight w:val="none"/>
              </w:rPr>
              <w:t>主观分</w:t>
            </w:r>
          </w:p>
        </w:tc>
        <w:tc>
          <w:tcPr>
            <w:tcW w:w="1339" w:type="dxa"/>
            <w:vMerge w:val="continue"/>
            <w:noWrap w:val="0"/>
            <w:vAlign w:val="center"/>
          </w:tcPr>
          <w:p w14:paraId="1E1BC493">
            <w:pPr>
              <w:snapToGrid w:val="0"/>
              <w:jc w:val="center"/>
              <w:rPr>
                <w:rFonts w:ascii="仿宋" w:hAnsi="仿宋" w:eastAsia="仿宋" w:cs="仿宋"/>
                <w:b/>
                <w:color w:val="auto"/>
                <w:szCs w:val="21"/>
                <w:highlight w:val="none"/>
              </w:rPr>
            </w:pPr>
          </w:p>
        </w:tc>
      </w:tr>
      <w:tr w14:paraId="546EF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481" w:type="dxa"/>
            <w:noWrap w:val="0"/>
            <w:vAlign w:val="center"/>
          </w:tcPr>
          <w:p w14:paraId="68C8FE80">
            <w:pPr>
              <w:snapToGrid w:val="0"/>
              <w:jc w:val="center"/>
              <w:rPr>
                <w:rFonts w:ascii="仿宋" w:hAnsi="仿宋" w:eastAsia="仿宋" w:cs="仿宋"/>
                <w:color w:val="auto"/>
                <w:szCs w:val="21"/>
                <w:highlight w:val="none"/>
              </w:rPr>
            </w:pPr>
            <w:r>
              <w:rPr>
                <w:rFonts w:ascii="仿宋" w:hAnsi="仿宋" w:eastAsia="仿宋" w:cs="仿宋"/>
                <w:color w:val="auto"/>
                <w:szCs w:val="21"/>
                <w:highlight w:val="none"/>
              </w:rPr>
              <w:t>3</w:t>
            </w:r>
          </w:p>
        </w:tc>
        <w:tc>
          <w:tcPr>
            <w:tcW w:w="6602" w:type="dxa"/>
            <w:noWrap w:val="0"/>
            <w:vAlign w:val="center"/>
          </w:tcPr>
          <w:p w14:paraId="2682628D">
            <w:pPr>
              <w:pStyle w:val="79"/>
              <w:ind w:left="0" w:leftChars="0" w:firstLine="226" w:firstLineChars="108"/>
              <w:rPr>
                <w:rFonts w:ascii="仿宋" w:hAnsi="仿宋" w:eastAsia="仿宋" w:cs="仿宋"/>
                <w:color w:val="auto"/>
                <w:szCs w:val="21"/>
                <w:highlight w:val="none"/>
              </w:rPr>
            </w:pPr>
            <w:r>
              <w:rPr>
                <w:rFonts w:hint="eastAsia" w:ascii="仿宋" w:hAnsi="仿宋" w:eastAsia="仿宋" w:cs="仿宋"/>
                <w:color w:val="auto"/>
                <w:szCs w:val="21"/>
                <w:highlight w:val="none"/>
              </w:rPr>
              <w:t>投标人针对</w:t>
            </w:r>
            <w:r>
              <w:rPr>
                <w:rFonts w:hint="eastAsia" w:ascii="仿宋" w:hAnsi="仿宋" w:eastAsia="仿宋" w:cs="仿宋"/>
                <w:b/>
                <w:color w:val="auto"/>
                <w:szCs w:val="21"/>
                <w:highlight w:val="none"/>
              </w:rPr>
              <w:t>资金智能查控服务</w:t>
            </w:r>
            <w:r>
              <w:rPr>
                <w:rFonts w:hint="eastAsia" w:ascii="仿宋" w:hAnsi="仿宋" w:eastAsia="仿宋" w:cs="仿宋"/>
                <w:color w:val="auto"/>
                <w:szCs w:val="21"/>
                <w:highlight w:val="none"/>
              </w:rPr>
              <w:t>方案与需求的吻合程度情况，包括①</w:t>
            </w:r>
            <w:r>
              <w:rPr>
                <w:rFonts w:hint="eastAsia" w:ascii="仿宋" w:hAnsi="仿宋" w:eastAsia="仿宋"/>
                <w:color w:val="auto"/>
                <w:kern w:val="0"/>
                <w:szCs w:val="21"/>
                <w:highlight w:val="none"/>
              </w:rPr>
              <w:t>资金查控</w:t>
            </w:r>
            <w:r>
              <w:rPr>
                <w:rFonts w:hint="eastAsia" w:ascii="仿宋" w:hAnsi="仿宋" w:eastAsia="仿宋" w:cs="仿宋"/>
                <w:color w:val="auto"/>
                <w:szCs w:val="21"/>
                <w:highlight w:val="none"/>
              </w:rPr>
              <w:t>，②</w:t>
            </w:r>
            <w:r>
              <w:rPr>
                <w:rFonts w:hint="eastAsia" w:ascii="仿宋" w:hAnsi="仿宋" w:eastAsia="仿宋" w:cs="仿宋"/>
                <w:color w:val="auto"/>
                <w:kern w:val="0"/>
                <w:szCs w:val="21"/>
                <w:highlight w:val="none"/>
                <w:lang w:bidi="ar"/>
              </w:rPr>
              <w:t>智能止付</w:t>
            </w:r>
            <w:r>
              <w:rPr>
                <w:rFonts w:hint="eastAsia" w:ascii="仿宋" w:hAnsi="仿宋" w:eastAsia="仿宋" w:cs="仿宋"/>
                <w:color w:val="auto"/>
                <w:szCs w:val="21"/>
                <w:highlight w:val="none"/>
              </w:rPr>
              <w:t>，③保护性止付；根据提供的方案内容进行评分，每一项方案详细、合理，符合采购需求的得</w:t>
            </w:r>
            <w:r>
              <w:rPr>
                <w:rFonts w:ascii="仿宋" w:hAnsi="仿宋" w:eastAsia="仿宋" w:cs="仿宋"/>
                <w:color w:val="auto"/>
                <w:szCs w:val="21"/>
                <w:highlight w:val="none"/>
              </w:rPr>
              <w:t>1</w:t>
            </w:r>
            <w:r>
              <w:rPr>
                <w:rFonts w:hint="eastAsia" w:ascii="仿宋" w:hAnsi="仿宋" w:eastAsia="仿宋" w:cs="仿宋"/>
                <w:color w:val="auto"/>
                <w:szCs w:val="21"/>
                <w:highlight w:val="none"/>
              </w:rPr>
              <w:t>分，方案不详细、不合理，不符合采购需求的不得分，</w:t>
            </w:r>
            <w:r>
              <w:rPr>
                <w:rFonts w:hint="eastAsia" w:ascii="仿宋" w:hAnsi="仿宋" w:eastAsia="仿宋" w:cs="仿宋"/>
                <w:b/>
                <w:color w:val="auto"/>
                <w:szCs w:val="21"/>
                <w:highlight w:val="none"/>
              </w:rPr>
              <w:t>最高得</w:t>
            </w:r>
            <w:r>
              <w:rPr>
                <w:rFonts w:ascii="仿宋" w:hAnsi="仿宋" w:eastAsia="仿宋" w:cs="仿宋"/>
                <w:b/>
                <w:color w:val="auto"/>
                <w:szCs w:val="21"/>
                <w:highlight w:val="none"/>
              </w:rPr>
              <w:t>3</w:t>
            </w:r>
            <w:r>
              <w:rPr>
                <w:rFonts w:hint="eastAsia" w:ascii="仿宋" w:hAnsi="仿宋" w:eastAsia="仿宋" w:cs="仿宋"/>
                <w:b/>
                <w:color w:val="auto"/>
                <w:szCs w:val="21"/>
                <w:highlight w:val="none"/>
              </w:rPr>
              <w:t>分</w:t>
            </w:r>
            <w:r>
              <w:rPr>
                <w:rFonts w:hint="eastAsia" w:ascii="仿宋" w:hAnsi="仿宋" w:eastAsia="仿宋" w:cs="仿宋"/>
                <w:color w:val="auto"/>
                <w:szCs w:val="21"/>
                <w:highlight w:val="none"/>
              </w:rPr>
              <w:t>。</w:t>
            </w:r>
          </w:p>
        </w:tc>
        <w:tc>
          <w:tcPr>
            <w:tcW w:w="709" w:type="dxa"/>
            <w:noWrap w:val="0"/>
            <w:vAlign w:val="center"/>
          </w:tcPr>
          <w:p w14:paraId="35A2B06F">
            <w:pPr>
              <w:snapToGrid w:val="0"/>
              <w:jc w:val="center"/>
              <w:rPr>
                <w:rFonts w:ascii="仿宋" w:hAnsi="仿宋" w:eastAsia="仿宋" w:cs="仿宋"/>
                <w:b/>
                <w:color w:val="auto"/>
                <w:szCs w:val="21"/>
                <w:highlight w:val="none"/>
              </w:rPr>
            </w:pPr>
            <w:r>
              <w:rPr>
                <w:rFonts w:ascii="仿宋" w:hAnsi="仿宋" w:eastAsia="仿宋" w:cs="仿宋"/>
                <w:b/>
                <w:color w:val="auto"/>
                <w:szCs w:val="21"/>
                <w:highlight w:val="none"/>
              </w:rPr>
              <w:t>3</w:t>
            </w:r>
          </w:p>
        </w:tc>
        <w:tc>
          <w:tcPr>
            <w:tcW w:w="1042" w:type="dxa"/>
            <w:noWrap w:val="0"/>
            <w:vAlign w:val="center"/>
          </w:tcPr>
          <w:p w14:paraId="0FE4DE8F">
            <w:pPr>
              <w:snapToGrid w:val="0"/>
              <w:jc w:val="center"/>
              <w:rPr>
                <w:rFonts w:ascii="仿宋" w:hAnsi="仿宋" w:eastAsia="仿宋" w:cs="仿宋"/>
                <w:b/>
                <w:color w:val="auto"/>
                <w:szCs w:val="21"/>
                <w:highlight w:val="none"/>
              </w:rPr>
            </w:pPr>
            <w:r>
              <w:rPr>
                <w:rFonts w:hint="eastAsia" w:ascii="仿宋" w:hAnsi="仿宋" w:eastAsia="仿宋" w:cs="仿宋_GB2312"/>
                <w:b/>
                <w:bCs/>
                <w:color w:val="auto"/>
                <w:szCs w:val="21"/>
                <w:highlight w:val="none"/>
              </w:rPr>
              <w:t>主观分</w:t>
            </w:r>
          </w:p>
        </w:tc>
        <w:tc>
          <w:tcPr>
            <w:tcW w:w="1339" w:type="dxa"/>
            <w:vMerge w:val="continue"/>
            <w:noWrap w:val="0"/>
            <w:vAlign w:val="center"/>
          </w:tcPr>
          <w:p w14:paraId="5703AFCE">
            <w:pPr>
              <w:snapToGrid w:val="0"/>
              <w:jc w:val="center"/>
              <w:rPr>
                <w:rFonts w:ascii="仿宋" w:hAnsi="仿宋" w:eastAsia="仿宋" w:cs="仿宋"/>
                <w:b/>
                <w:color w:val="auto"/>
                <w:szCs w:val="21"/>
                <w:highlight w:val="none"/>
              </w:rPr>
            </w:pPr>
          </w:p>
        </w:tc>
      </w:tr>
      <w:tr w14:paraId="59EC9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481" w:type="dxa"/>
            <w:noWrap w:val="0"/>
            <w:vAlign w:val="center"/>
          </w:tcPr>
          <w:p w14:paraId="0C113E91">
            <w:pPr>
              <w:snapToGrid w:val="0"/>
              <w:jc w:val="center"/>
              <w:rPr>
                <w:rFonts w:ascii="仿宋" w:hAnsi="仿宋" w:eastAsia="仿宋" w:cs="仿宋"/>
                <w:color w:val="auto"/>
                <w:szCs w:val="21"/>
                <w:highlight w:val="none"/>
              </w:rPr>
            </w:pPr>
            <w:r>
              <w:rPr>
                <w:rFonts w:hint="eastAsia" w:ascii="仿宋" w:hAnsi="仿宋" w:eastAsia="仿宋" w:cs="仿宋"/>
                <w:color w:val="auto"/>
                <w:szCs w:val="21"/>
                <w:highlight w:val="none"/>
              </w:rPr>
              <w:t>4</w:t>
            </w:r>
          </w:p>
        </w:tc>
        <w:tc>
          <w:tcPr>
            <w:tcW w:w="6602" w:type="dxa"/>
            <w:noWrap w:val="0"/>
            <w:vAlign w:val="center"/>
          </w:tcPr>
          <w:p w14:paraId="5B9E8DB5">
            <w:pPr>
              <w:pStyle w:val="79"/>
              <w:ind w:left="0" w:leftChars="0" w:firstLine="226" w:firstLineChars="108"/>
              <w:rPr>
                <w:rFonts w:ascii="仿宋" w:hAnsi="仿宋" w:eastAsia="仿宋" w:cs="仿宋"/>
                <w:color w:val="auto"/>
                <w:szCs w:val="21"/>
                <w:highlight w:val="none"/>
              </w:rPr>
            </w:pPr>
            <w:r>
              <w:rPr>
                <w:rFonts w:hint="eastAsia" w:ascii="仿宋" w:hAnsi="仿宋" w:eastAsia="仿宋" w:cs="仿宋"/>
                <w:color w:val="auto"/>
                <w:szCs w:val="21"/>
                <w:highlight w:val="none"/>
              </w:rPr>
              <w:t>投标人针对</w:t>
            </w:r>
            <w:r>
              <w:rPr>
                <w:rFonts w:hint="eastAsia" w:ascii="仿宋" w:hAnsi="仿宋" w:eastAsia="仿宋" w:cs="仿宋"/>
                <w:b/>
                <w:color w:val="auto"/>
                <w:szCs w:val="21"/>
                <w:highlight w:val="none"/>
              </w:rPr>
              <w:t>涉网诈骗预感探测数据服务</w:t>
            </w:r>
            <w:r>
              <w:rPr>
                <w:rFonts w:hint="eastAsia" w:ascii="仿宋" w:hAnsi="仿宋" w:eastAsia="仿宋" w:cs="仿宋"/>
                <w:color w:val="auto"/>
                <w:szCs w:val="21"/>
                <w:highlight w:val="none"/>
              </w:rPr>
              <w:t>方案与需求的吻合程度情况，</w:t>
            </w:r>
            <w:r>
              <w:rPr>
                <w:rFonts w:hint="eastAsia" w:ascii="仿宋" w:hAnsi="仿宋" w:eastAsia="仿宋"/>
                <w:color w:val="auto"/>
                <w:kern w:val="0"/>
                <w:szCs w:val="21"/>
                <w:highlight w:val="none"/>
              </w:rPr>
              <w:t>包括①提供涉网诈骗预感探测数据服务，②数据质量方面的承诺符合采购需求；</w:t>
            </w:r>
            <w:r>
              <w:rPr>
                <w:rFonts w:hint="eastAsia" w:ascii="仿宋" w:hAnsi="仿宋" w:eastAsia="仿宋" w:cs="仿宋"/>
                <w:color w:val="auto"/>
                <w:szCs w:val="21"/>
                <w:highlight w:val="none"/>
              </w:rPr>
              <w:t>根据提供的方案内容进行评分，根据提供的方案内容进行评分，每一项方案详细、合理，符合采购需求的得</w:t>
            </w:r>
            <w:r>
              <w:rPr>
                <w:rFonts w:ascii="仿宋" w:hAnsi="仿宋" w:eastAsia="仿宋" w:cs="仿宋"/>
                <w:color w:val="auto"/>
                <w:szCs w:val="21"/>
                <w:highlight w:val="none"/>
              </w:rPr>
              <w:t>2</w:t>
            </w:r>
            <w:r>
              <w:rPr>
                <w:rFonts w:hint="eastAsia" w:ascii="仿宋" w:hAnsi="仿宋" w:eastAsia="仿宋" w:cs="仿宋"/>
                <w:color w:val="auto"/>
                <w:szCs w:val="21"/>
                <w:highlight w:val="none"/>
              </w:rPr>
              <w:t>分，方案不详细、不合理，不符合采购需求的不得分，</w:t>
            </w:r>
            <w:r>
              <w:rPr>
                <w:rFonts w:hint="eastAsia" w:ascii="仿宋" w:hAnsi="仿宋" w:eastAsia="仿宋" w:cs="仿宋"/>
                <w:b/>
                <w:color w:val="auto"/>
                <w:szCs w:val="21"/>
                <w:highlight w:val="none"/>
              </w:rPr>
              <w:t>最高得</w:t>
            </w:r>
            <w:r>
              <w:rPr>
                <w:rFonts w:ascii="仿宋" w:hAnsi="仿宋" w:eastAsia="仿宋" w:cs="仿宋"/>
                <w:b/>
                <w:color w:val="auto"/>
                <w:szCs w:val="21"/>
                <w:highlight w:val="none"/>
              </w:rPr>
              <w:t>4</w:t>
            </w:r>
            <w:r>
              <w:rPr>
                <w:rFonts w:hint="eastAsia" w:ascii="仿宋" w:hAnsi="仿宋" w:eastAsia="仿宋" w:cs="仿宋"/>
                <w:b/>
                <w:color w:val="auto"/>
                <w:szCs w:val="21"/>
                <w:highlight w:val="none"/>
              </w:rPr>
              <w:t>分</w:t>
            </w:r>
            <w:r>
              <w:rPr>
                <w:rFonts w:hint="eastAsia" w:ascii="仿宋" w:hAnsi="仿宋" w:eastAsia="仿宋" w:cs="仿宋"/>
                <w:color w:val="auto"/>
                <w:szCs w:val="21"/>
                <w:highlight w:val="none"/>
              </w:rPr>
              <w:t>。</w:t>
            </w:r>
          </w:p>
        </w:tc>
        <w:tc>
          <w:tcPr>
            <w:tcW w:w="709" w:type="dxa"/>
            <w:noWrap w:val="0"/>
            <w:vAlign w:val="center"/>
          </w:tcPr>
          <w:p w14:paraId="38E0C7F8">
            <w:pPr>
              <w:snapToGrid w:val="0"/>
              <w:jc w:val="center"/>
              <w:rPr>
                <w:rFonts w:ascii="仿宋" w:hAnsi="仿宋" w:eastAsia="仿宋" w:cs="仿宋"/>
                <w:b/>
                <w:color w:val="auto"/>
                <w:szCs w:val="21"/>
                <w:highlight w:val="none"/>
              </w:rPr>
            </w:pPr>
            <w:r>
              <w:rPr>
                <w:rFonts w:ascii="仿宋" w:hAnsi="仿宋" w:eastAsia="仿宋" w:cs="仿宋"/>
                <w:b/>
                <w:color w:val="auto"/>
                <w:szCs w:val="21"/>
                <w:highlight w:val="none"/>
              </w:rPr>
              <w:t>4</w:t>
            </w:r>
          </w:p>
        </w:tc>
        <w:tc>
          <w:tcPr>
            <w:tcW w:w="1042" w:type="dxa"/>
            <w:noWrap w:val="0"/>
            <w:vAlign w:val="center"/>
          </w:tcPr>
          <w:p w14:paraId="2E63E8BC">
            <w:pPr>
              <w:snapToGrid w:val="0"/>
              <w:jc w:val="center"/>
              <w:rPr>
                <w:rFonts w:ascii="仿宋" w:hAnsi="仿宋" w:eastAsia="仿宋" w:cs="仿宋"/>
                <w:b/>
                <w:color w:val="auto"/>
                <w:szCs w:val="21"/>
                <w:highlight w:val="none"/>
              </w:rPr>
            </w:pPr>
            <w:r>
              <w:rPr>
                <w:rFonts w:hint="eastAsia" w:ascii="仿宋" w:hAnsi="仿宋" w:eastAsia="仿宋" w:cs="仿宋_GB2312"/>
                <w:b/>
                <w:bCs/>
                <w:color w:val="auto"/>
                <w:szCs w:val="21"/>
                <w:highlight w:val="none"/>
              </w:rPr>
              <w:t>主观分</w:t>
            </w:r>
          </w:p>
        </w:tc>
        <w:tc>
          <w:tcPr>
            <w:tcW w:w="1339" w:type="dxa"/>
            <w:vMerge w:val="continue"/>
            <w:noWrap w:val="0"/>
            <w:vAlign w:val="center"/>
          </w:tcPr>
          <w:p w14:paraId="66979398">
            <w:pPr>
              <w:snapToGrid w:val="0"/>
              <w:jc w:val="center"/>
              <w:rPr>
                <w:rFonts w:ascii="仿宋" w:hAnsi="仿宋" w:eastAsia="仿宋" w:cs="仿宋"/>
                <w:b/>
                <w:color w:val="auto"/>
                <w:szCs w:val="21"/>
                <w:highlight w:val="none"/>
              </w:rPr>
            </w:pPr>
          </w:p>
        </w:tc>
      </w:tr>
      <w:tr w14:paraId="7210B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481" w:type="dxa"/>
            <w:noWrap w:val="0"/>
            <w:vAlign w:val="center"/>
          </w:tcPr>
          <w:p w14:paraId="75092743">
            <w:pPr>
              <w:snapToGrid w:val="0"/>
              <w:jc w:val="center"/>
              <w:rPr>
                <w:rFonts w:ascii="仿宋" w:hAnsi="仿宋" w:eastAsia="仿宋" w:cs="仿宋"/>
                <w:color w:val="auto"/>
                <w:szCs w:val="21"/>
                <w:highlight w:val="none"/>
              </w:rPr>
            </w:pPr>
            <w:r>
              <w:rPr>
                <w:rFonts w:hint="eastAsia" w:ascii="仿宋" w:hAnsi="仿宋" w:eastAsia="仿宋" w:cs="仿宋"/>
                <w:color w:val="auto"/>
                <w:szCs w:val="21"/>
                <w:highlight w:val="none"/>
              </w:rPr>
              <w:t>5</w:t>
            </w:r>
          </w:p>
        </w:tc>
        <w:tc>
          <w:tcPr>
            <w:tcW w:w="6602" w:type="dxa"/>
            <w:noWrap w:val="0"/>
            <w:vAlign w:val="center"/>
          </w:tcPr>
          <w:p w14:paraId="764A3BB6">
            <w:pPr>
              <w:pStyle w:val="79"/>
              <w:ind w:left="0" w:leftChars="0" w:firstLine="226" w:firstLineChars="108"/>
              <w:rPr>
                <w:rFonts w:ascii="仿宋" w:hAnsi="仿宋" w:eastAsia="仿宋" w:cs="仿宋"/>
                <w:color w:val="auto"/>
                <w:szCs w:val="21"/>
                <w:highlight w:val="none"/>
              </w:rPr>
            </w:pPr>
            <w:r>
              <w:rPr>
                <w:rFonts w:hint="eastAsia" w:ascii="仿宋" w:hAnsi="仿宋" w:eastAsia="仿宋" w:cs="仿宋"/>
                <w:color w:val="auto"/>
                <w:szCs w:val="21"/>
                <w:highlight w:val="none"/>
              </w:rPr>
              <w:t>投标人针对</w:t>
            </w:r>
            <w:r>
              <w:rPr>
                <w:rFonts w:hint="eastAsia" w:ascii="仿宋" w:hAnsi="仿宋" w:eastAsia="仿宋" w:cs="仿宋"/>
                <w:b/>
                <w:color w:val="auto"/>
                <w:szCs w:val="21"/>
                <w:highlight w:val="none"/>
              </w:rPr>
              <w:t>涉网新型案件行为分析服务</w:t>
            </w:r>
            <w:r>
              <w:rPr>
                <w:rFonts w:hint="eastAsia" w:ascii="仿宋" w:hAnsi="仿宋" w:eastAsia="仿宋" w:cs="仿宋"/>
                <w:color w:val="auto"/>
                <w:szCs w:val="21"/>
                <w:highlight w:val="none"/>
              </w:rPr>
              <w:t>方案与需求的吻合程度情况，包括①</w:t>
            </w:r>
            <w:r>
              <w:rPr>
                <w:rFonts w:hint="eastAsia" w:ascii="仿宋" w:hAnsi="仿宋" w:eastAsia="仿宋" w:cs="宋体"/>
                <w:color w:val="auto"/>
                <w:kern w:val="0"/>
                <w:szCs w:val="21"/>
                <w:highlight w:val="none"/>
              </w:rPr>
              <w:t>大数据辅助分析服务</w:t>
            </w:r>
            <w:r>
              <w:rPr>
                <w:rFonts w:hint="eastAsia" w:ascii="仿宋" w:hAnsi="仿宋" w:eastAsia="仿宋" w:cs="仿宋"/>
                <w:color w:val="auto"/>
                <w:szCs w:val="21"/>
                <w:highlight w:val="none"/>
              </w:rPr>
              <w:t>，②</w:t>
            </w:r>
            <w:r>
              <w:rPr>
                <w:rFonts w:hint="eastAsia" w:ascii="仿宋" w:hAnsi="仿宋" w:eastAsia="仿宋" w:cs="宋体"/>
                <w:color w:val="auto"/>
                <w:kern w:val="0"/>
                <w:szCs w:val="21"/>
                <w:highlight w:val="none"/>
              </w:rPr>
              <w:t>涉网新型行为分析服务</w:t>
            </w:r>
            <w:r>
              <w:rPr>
                <w:rFonts w:hint="eastAsia" w:ascii="仿宋" w:hAnsi="仿宋" w:eastAsia="仿宋" w:cs="仿宋"/>
                <w:color w:val="auto"/>
                <w:szCs w:val="21"/>
                <w:highlight w:val="none"/>
              </w:rPr>
              <w:t>；根据提供的方案内容进行评分，每一项方案详细、合理，符合采购需求的得</w:t>
            </w:r>
            <w:r>
              <w:rPr>
                <w:rFonts w:ascii="仿宋" w:hAnsi="仿宋" w:eastAsia="仿宋" w:cs="仿宋"/>
                <w:color w:val="auto"/>
                <w:szCs w:val="21"/>
                <w:highlight w:val="none"/>
              </w:rPr>
              <w:t>1</w:t>
            </w:r>
            <w:r>
              <w:rPr>
                <w:rFonts w:hint="eastAsia" w:ascii="仿宋" w:hAnsi="仿宋" w:eastAsia="仿宋" w:cs="仿宋"/>
                <w:color w:val="auto"/>
                <w:szCs w:val="21"/>
                <w:highlight w:val="none"/>
              </w:rPr>
              <w:t>分，方案不详细、不合理，不符合采购需求的不得分，</w:t>
            </w:r>
            <w:r>
              <w:rPr>
                <w:rFonts w:hint="eastAsia" w:ascii="仿宋" w:hAnsi="仿宋" w:eastAsia="仿宋" w:cs="仿宋"/>
                <w:b/>
                <w:color w:val="auto"/>
                <w:szCs w:val="21"/>
                <w:highlight w:val="none"/>
              </w:rPr>
              <w:t>最高得</w:t>
            </w:r>
            <w:r>
              <w:rPr>
                <w:rFonts w:ascii="仿宋" w:hAnsi="仿宋" w:eastAsia="仿宋" w:cs="仿宋"/>
                <w:b/>
                <w:color w:val="auto"/>
                <w:szCs w:val="21"/>
                <w:highlight w:val="none"/>
              </w:rPr>
              <w:t>2</w:t>
            </w:r>
            <w:r>
              <w:rPr>
                <w:rFonts w:hint="eastAsia" w:ascii="仿宋" w:hAnsi="仿宋" w:eastAsia="仿宋" w:cs="仿宋"/>
                <w:b/>
                <w:color w:val="auto"/>
                <w:szCs w:val="21"/>
                <w:highlight w:val="none"/>
              </w:rPr>
              <w:t>分</w:t>
            </w:r>
            <w:r>
              <w:rPr>
                <w:rFonts w:hint="eastAsia" w:ascii="仿宋" w:hAnsi="仿宋" w:eastAsia="仿宋" w:cs="仿宋"/>
                <w:color w:val="auto"/>
                <w:szCs w:val="21"/>
                <w:highlight w:val="none"/>
              </w:rPr>
              <w:t>。</w:t>
            </w:r>
          </w:p>
        </w:tc>
        <w:tc>
          <w:tcPr>
            <w:tcW w:w="709" w:type="dxa"/>
            <w:noWrap w:val="0"/>
            <w:vAlign w:val="center"/>
          </w:tcPr>
          <w:p w14:paraId="46511337">
            <w:pPr>
              <w:snapToGrid w:val="0"/>
              <w:jc w:val="center"/>
              <w:rPr>
                <w:rFonts w:ascii="仿宋" w:hAnsi="仿宋" w:eastAsia="仿宋" w:cs="仿宋"/>
                <w:b/>
                <w:color w:val="auto"/>
                <w:szCs w:val="21"/>
                <w:highlight w:val="none"/>
              </w:rPr>
            </w:pPr>
            <w:r>
              <w:rPr>
                <w:rFonts w:ascii="仿宋" w:hAnsi="仿宋" w:eastAsia="仿宋" w:cs="仿宋"/>
                <w:b/>
                <w:color w:val="auto"/>
                <w:szCs w:val="21"/>
                <w:highlight w:val="none"/>
              </w:rPr>
              <w:t>2</w:t>
            </w:r>
          </w:p>
        </w:tc>
        <w:tc>
          <w:tcPr>
            <w:tcW w:w="1042" w:type="dxa"/>
            <w:noWrap w:val="0"/>
            <w:vAlign w:val="center"/>
          </w:tcPr>
          <w:p w14:paraId="272C9642">
            <w:pPr>
              <w:snapToGrid w:val="0"/>
              <w:jc w:val="center"/>
              <w:rPr>
                <w:rFonts w:ascii="仿宋" w:hAnsi="仿宋" w:eastAsia="仿宋" w:cs="仿宋"/>
                <w:b/>
                <w:color w:val="auto"/>
                <w:szCs w:val="21"/>
                <w:highlight w:val="none"/>
              </w:rPr>
            </w:pPr>
            <w:r>
              <w:rPr>
                <w:rFonts w:hint="eastAsia" w:ascii="仿宋" w:hAnsi="仿宋" w:eastAsia="仿宋" w:cs="仿宋_GB2312"/>
                <w:b/>
                <w:bCs/>
                <w:color w:val="auto"/>
                <w:szCs w:val="21"/>
                <w:highlight w:val="none"/>
              </w:rPr>
              <w:t>主观分</w:t>
            </w:r>
          </w:p>
        </w:tc>
        <w:tc>
          <w:tcPr>
            <w:tcW w:w="1339" w:type="dxa"/>
            <w:vMerge w:val="continue"/>
            <w:noWrap w:val="0"/>
            <w:vAlign w:val="center"/>
          </w:tcPr>
          <w:p w14:paraId="7D8C3FD5">
            <w:pPr>
              <w:snapToGrid w:val="0"/>
              <w:jc w:val="center"/>
              <w:rPr>
                <w:rFonts w:ascii="仿宋" w:hAnsi="仿宋" w:eastAsia="仿宋" w:cs="仿宋"/>
                <w:b/>
                <w:color w:val="auto"/>
                <w:szCs w:val="21"/>
                <w:highlight w:val="none"/>
              </w:rPr>
            </w:pPr>
          </w:p>
        </w:tc>
      </w:tr>
      <w:tr w14:paraId="60908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481" w:type="dxa"/>
            <w:noWrap w:val="0"/>
            <w:vAlign w:val="center"/>
          </w:tcPr>
          <w:p w14:paraId="3471EB91">
            <w:pPr>
              <w:snapToGrid w:val="0"/>
              <w:jc w:val="center"/>
              <w:rPr>
                <w:rFonts w:ascii="仿宋" w:hAnsi="仿宋" w:eastAsia="仿宋" w:cs="仿宋"/>
                <w:color w:val="auto"/>
                <w:szCs w:val="21"/>
                <w:highlight w:val="none"/>
              </w:rPr>
            </w:pPr>
            <w:r>
              <w:rPr>
                <w:rFonts w:ascii="仿宋" w:hAnsi="仿宋" w:eastAsia="仿宋" w:cs="仿宋"/>
                <w:color w:val="auto"/>
                <w:szCs w:val="21"/>
                <w:highlight w:val="none"/>
              </w:rPr>
              <w:t>6</w:t>
            </w:r>
          </w:p>
        </w:tc>
        <w:tc>
          <w:tcPr>
            <w:tcW w:w="6602" w:type="dxa"/>
            <w:noWrap w:val="0"/>
            <w:vAlign w:val="center"/>
          </w:tcPr>
          <w:p w14:paraId="72D37665">
            <w:pPr>
              <w:pStyle w:val="79"/>
              <w:ind w:left="0" w:leftChars="0" w:firstLine="226" w:firstLineChars="108"/>
              <w:rPr>
                <w:rFonts w:ascii="仿宋" w:hAnsi="仿宋" w:eastAsia="仿宋" w:cs="仿宋"/>
                <w:color w:val="auto"/>
                <w:szCs w:val="21"/>
                <w:highlight w:val="none"/>
              </w:rPr>
            </w:pPr>
            <w:r>
              <w:rPr>
                <w:rFonts w:hint="eastAsia" w:ascii="仿宋" w:hAnsi="仿宋" w:eastAsia="仿宋" w:cs="仿宋"/>
                <w:color w:val="auto"/>
                <w:szCs w:val="21"/>
                <w:highlight w:val="none"/>
              </w:rPr>
              <w:t>投标人针对</w:t>
            </w:r>
            <w:r>
              <w:rPr>
                <w:rFonts w:hint="eastAsia" w:ascii="仿宋" w:hAnsi="仿宋" w:eastAsia="仿宋" w:cs="仿宋"/>
                <w:b/>
                <w:color w:val="auto"/>
                <w:szCs w:val="21"/>
                <w:highlight w:val="none"/>
              </w:rPr>
              <w:t>新型涉网案件智勘联侦分析系统服务</w:t>
            </w:r>
            <w:r>
              <w:rPr>
                <w:rFonts w:hint="eastAsia" w:ascii="仿宋" w:hAnsi="仿宋" w:eastAsia="仿宋" w:cs="仿宋"/>
                <w:color w:val="auto"/>
                <w:szCs w:val="21"/>
                <w:highlight w:val="none"/>
              </w:rPr>
              <w:t>方案与需求的吻合程度情况，包括①</w:t>
            </w:r>
            <w:r>
              <w:rPr>
                <w:rFonts w:hint="eastAsia" w:ascii="仿宋" w:hAnsi="仿宋" w:eastAsia="仿宋" w:cs="宋体"/>
                <w:color w:val="auto"/>
                <w:kern w:val="0"/>
                <w:szCs w:val="21"/>
                <w:highlight w:val="none"/>
              </w:rPr>
              <w:t>取证数据推送和分析支撑服务</w:t>
            </w:r>
            <w:r>
              <w:rPr>
                <w:rFonts w:hint="eastAsia" w:ascii="仿宋" w:hAnsi="仿宋" w:eastAsia="仿宋" w:cs="仿宋"/>
                <w:color w:val="auto"/>
                <w:szCs w:val="21"/>
                <w:highlight w:val="none"/>
              </w:rPr>
              <w:t>，②</w:t>
            </w:r>
            <w:r>
              <w:rPr>
                <w:rFonts w:hint="eastAsia" w:ascii="仿宋" w:hAnsi="仿宋" w:eastAsia="仿宋" w:cs="宋体"/>
                <w:color w:val="auto"/>
                <w:kern w:val="0"/>
                <w:szCs w:val="21"/>
                <w:highlight w:val="none"/>
              </w:rPr>
              <w:t>数据信息查询服务</w:t>
            </w:r>
            <w:r>
              <w:rPr>
                <w:rFonts w:hint="eastAsia" w:ascii="仿宋" w:hAnsi="仿宋" w:eastAsia="仿宋" w:cs="仿宋"/>
                <w:color w:val="auto"/>
                <w:szCs w:val="21"/>
                <w:highlight w:val="none"/>
              </w:rPr>
              <w:t>；根据提供的方案内容进行评分，每一项方案详细、合理，符合采购需求的得</w:t>
            </w:r>
            <w:r>
              <w:rPr>
                <w:rFonts w:ascii="仿宋" w:hAnsi="仿宋" w:eastAsia="仿宋" w:cs="仿宋"/>
                <w:color w:val="auto"/>
                <w:szCs w:val="21"/>
                <w:highlight w:val="none"/>
              </w:rPr>
              <w:t>1</w:t>
            </w:r>
            <w:r>
              <w:rPr>
                <w:rFonts w:hint="eastAsia" w:ascii="仿宋" w:hAnsi="仿宋" w:eastAsia="仿宋" w:cs="仿宋"/>
                <w:color w:val="auto"/>
                <w:szCs w:val="21"/>
                <w:highlight w:val="none"/>
              </w:rPr>
              <w:t>分，方案不详细、不合理，不符合采购需求的不得分，</w:t>
            </w:r>
            <w:r>
              <w:rPr>
                <w:rFonts w:hint="eastAsia" w:ascii="仿宋" w:hAnsi="仿宋" w:eastAsia="仿宋" w:cs="仿宋"/>
                <w:b/>
                <w:color w:val="auto"/>
                <w:szCs w:val="21"/>
                <w:highlight w:val="none"/>
              </w:rPr>
              <w:t>最高得</w:t>
            </w:r>
            <w:r>
              <w:rPr>
                <w:rFonts w:ascii="仿宋" w:hAnsi="仿宋" w:eastAsia="仿宋" w:cs="仿宋"/>
                <w:b/>
                <w:color w:val="auto"/>
                <w:szCs w:val="21"/>
                <w:highlight w:val="none"/>
              </w:rPr>
              <w:t>2</w:t>
            </w:r>
            <w:r>
              <w:rPr>
                <w:rFonts w:hint="eastAsia" w:ascii="仿宋" w:hAnsi="仿宋" w:eastAsia="仿宋" w:cs="仿宋"/>
                <w:b/>
                <w:color w:val="auto"/>
                <w:szCs w:val="21"/>
                <w:highlight w:val="none"/>
              </w:rPr>
              <w:t>分</w:t>
            </w:r>
            <w:r>
              <w:rPr>
                <w:rFonts w:hint="eastAsia" w:ascii="仿宋" w:hAnsi="仿宋" w:eastAsia="仿宋" w:cs="仿宋"/>
                <w:color w:val="auto"/>
                <w:szCs w:val="21"/>
                <w:highlight w:val="none"/>
              </w:rPr>
              <w:t>。</w:t>
            </w:r>
          </w:p>
        </w:tc>
        <w:tc>
          <w:tcPr>
            <w:tcW w:w="709" w:type="dxa"/>
            <w:noWrap w:val="0"/>
            <w:vAlign w:val="center"/>
          </w:tcPr>
          <w:p w14:paraId="76D278FF">
            <w:pPr>
              <w:snapToGrid w:val="0"/>
              <w:jc w:val="center"/>
              <w:rPr>
                <w:rFonts w:ascii="仿宋" w:hAnsi="仿宋" w:eastAsia="仿宋" w:cs="仿宋"/>
                <w:b/>
                <w:color w:val="auto"/>
                <w:szCs w:val="21"/>
                <w:highlight w:val="none"/>
              </w:rPr>
            </w:pPr>
            <w:r>
              <w:rPr>
                <w:rFonts w:ascii="仿宋" w:hAnsi="仿宋" w:eastAsia="仿宋" w:cs="仿宋"/>
                <w:b/>
                <w:color w:val="auto"/>
                <w:szCs w:val="21"/>
                <w:highlight w:val="none"/>
              </w:rPr>
              <w:t>2</w:t>
            </w:r>
          </w:p>
        </w:tc>
        <w:tc>
          <w:tcPr>
            <w:tcW w:w="1042" w:type="dxa"/>
            <w:noWrap w:val="0"/>
            <w:vAlign w:val="center"/>
          </w:tcPr>
          <w:p w14:paraId="14D63AE2">
            <w:pPr>
              <w:snapToGrid w:val="0"/>
              <w:jc w:val="center"/>
              <w:rPr>
                <w:rFonts w:ascii="仿宋" w:hAnsi="仿宋" w:eastAsia="仿宋" w:cs="仿宋"/>
                <w:b/>
                <w:color w:val="auto"/>
                <w:szCs w:val="21"/>
                <w:highlight w:val="none"/>
              </w:rPr>
            </w:pPr>
            <w:r>
              <w:rPr>
                <w:rFonts w:hint="eastAsia" w:ascii="仿宋" w:hAnsi="仿宋" w:eastAsia="仿宋" w:cs="仿宋_GB2312"/>
                <w:b/>
                <w:bCs/>
                <w:color w:val="auto"/>
                <w:szCs w:val="21"/>
                <w:highlight w:val="none"/>
              </w:rPr>
              <w:t>主观分</w:t>
            </w:r>
          </w:p>
        </w:tc>
        <w:tc>
          <w:tcPr>
            <w:tcW w:w="1339" w:type="dxa"/>
            <w:vMerge w:val="continue"/>
            <w:noWrap w:val="0"/>
            <w:vAlign w:val="center"/>
          </w:tcPr>
          <w:p w14:paraId="38EB284A">
            <w:pPr>
              <w:snapToGrid w:val="0"/>
              <w:jc w:val="center"/>
              <w:rPr>
                <w:rFonts w:ascii="仿宋" w:hAnsi="仿宋" w:eastAsia="仿宋" w:cs="仿宋"/>
                <w:b/>
                <w:color w:val="auto"/>
                <w:szCs w:val="21"/>
                <w:highlight w:val="none"/>
              </w:rPr>
            </w:pPr>
          </w:p>
        </w:tc>
      </w:tr>
      <w:tr w14:paraId="62AE5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481" w:type="dxa"/>
            <w:noWrap w:val="0"/>
            <w:vAlign w:val="center"/>
          </w:tcPr>
          <w:p w14:paraId="7D034788">
            <w:pPr>
              <w:snapToGrid w:val="0"/>
              <w:jc w:val="center"/>
              <w:rPr>
                <w:rFonts w:ascii="仿宋" w:hAnsi="仿宋" w:eastAsia="仿宋" w:cs="仿宋"/>
                <w:color w:val="auto"/>
                <w:szCs w:val="21"/>
                <w:highlight w:val="none"/>
              </w:rPr>
            </w:pPr>
            <w:r>
              <w:rPr>
                <w:rFonts w:hint="eastAsia" w:ascii="仿宋" w:hAnsi="仿宋" w:eastAsia="仿宋" w:cs="仿宋"/>
                <w:color w:val="auto"/>
                <w:szCs w:val="21"/>
                <w:highlight w:val="none"/>
              </w:rPr>
              <w:t>7</w:t>
            </w:r>
          </w:p>
        </w:tc>
        <w:tc>
          <w:tcPr>
            <w:tcW w:w="6602" w:type="dxa"/>
            <w:noWrap w:val="0"/>
            <w:vAlign w:val="center"/>
          </w:tcPr>
          <w:p w14:paraId="1EA70E65">
            <w:pPr>
              <w:pStyle w:val="79"/>
              <w:ind w:left="0" w:leftChars="0" w:firstLine="254" w:firstLineChars="121"/>
              <w:rPr>
                <w:rFonts w:ascii="仿宋" w:hAnsi="仿宋" w:eastAsia="仿宋" w:cs="仿宋"/>
                <w:color w:val="auto"/>
                <w:szCs w:val="21"/>
                <w:highlight w:val="none"/>
              </w:rPr>
            </w:pPr>
            <w:r>
              <w:rPr>
                <w:rFonts w:hint="eastAsia" w:ascii="仿宋" w:hAnsi="仿宋" w:eastAsia="仿宋" w:cs="仿宋"/>
                <w:color w:val="auto"/>
                <w:szCs w:val="21"/>
                <w:highlight w:val="none"/>
              </w:rPr>
              <w:t>投标人针对</w:t>
            </w:r>
            <w:r>
              <w:rPr>
                <w:rFonts w:hint="eastAsia" w:ascii="仿宋" w:hAnsi="仿宋" w:eastAsia="仿宋" w:cs="仿宋"/>
                <w:b/>
                <w:color w:val="auto"/>
                <w:szCs w:val="21"/>
                <w:highlight w:val="none"/>
              </w:rPr>
              <w:t>案件侦查打击服务</w:t>
            </w:r>
            <w:r>
              <w:rPr>
                <w:rFonts w:hint="eastAsia" w:ascii="仿宋" w:hAnsi="仿宋" w:eastAsia="仿宋" w:cs="仿宋"/>
                <w:bCs/>
                <w:color w:val="auto"/>
                <w:szCs w:val="21"/>
                <w:highlight w:val="none"/>
              </w:rPr>
              <w:t>承诺</w:t>
            </w:r>
            <w:r>
              <w:rPr>
                <w:rFonts w:hint="eastAsia" w:ascii="仿宋" w:hAnsi="仿宋" w:eastAsia="仿宋" w:cs="仿宋"/>
                <w:b/>
                <w:color w:val="auto"/>
                <w:szCs w:val="21"/>
                <w:highlight w:val="none"/>
              </w:rPr>
              <w:t>，</w:t>
            </w:r>
            <w:r>
              <w:rPr>
                <w:rFonts w:hint="eastAsia" w:ascii="仿宋" w:hAnsi="仿宋" w:eastAsia="仿宋" w:cs="仿宋"/>
                <w:color w:val="auto"/>
                <w:highlight w:val="none"/>
                <w:lang w:val="zh-CN"/>
              </w:rPr>
              <w:t>①</w:t>
            </w:r>
            <w:r>
              <w:rPr>
                <w:rFonts w:hint="eastAsia" w:ascii="仿宋" w:hAnsi="仿宋" w:eastAsia="仿宋"/>
                <w:color w:val="auto"/>
                <w:szCs w:val="21"/>
                <w:highlight w:val="none"/>
              </w:rPr>
              <w:t>提供</w:t>
            </w:r>
            <w:r>
              <w:rPr>
                <w:rFonts w:hint="eastAsia" w:ascii="仿宋" w:hAnsi="仿宋" w:eastAsia="仿宋" w:cs="仿宋"/>
                <w:color w:val="auto"/>
                <w:kern w:val="0"/>
                <w:szCs w:val="21"/>
                <w:highlight w:val="none"/>
                <w:lang w:bidi="ar"/>
              </w:rPr>
              <w:t>重特大案件线索</w:t>
            </w:r>
            <w:r>
              <w:rPr>
                <w:rFonts w:hint="eastAsia" w:ascii="仿宋" w:hAnsi="仿宋" w:eastAsia="仿宋" w:cs="仿宋"/>
                <w:color w:val="auto"/>
                <w:kern w:val="0"/>
                <w:szCs w:val="21"/>
                <w:highlight w:val="none"/>
                <w:lang w:bidi="ar"/>
              </w:rPr>
              <w:t>不少于</w:t>
            </w:r>
            <w:r>
              <w:rPr>
                <w:rFonts w:hint="eastAsia" w:ascii="仿宋" w:hAnsi="仿宋" w:eastAsia="仿宋" w:cs="仿宋"/>
                <w:color w:val="auto"/>
                <w:kern w:val="0"/>
                <w:szCs w:val="21"/>
                <w:highlight w:val="none"/>
                <w:lang w:val="en-US" w:eastAsia="zh-CN" w:bidi="ar"/>
              </w:rPr>
              <w:t>5</w:t>
            </w:r>
            <w:r>
              <w:rPr>
                <w:rFonts w:hint="eastAsia" w:ascii="仿宋" w:hAnsi="仿宋" w:eastAsia="仿宋" w:cs="仿宋"/>
                <w:color w:val="auto"/>
                <w:kern w:val="0"/>
                <w:szCs w:val="21"/>
                <w:highlight w:val="none"/>
                <w:lang w:bidi="ar"/>
              </w:rPr>
              <w:t>起</w:t>
            </w:r>
            <w:r>
              <w:rPr>
                <w:rFonts w:hint="eastAsia" w:ascii="仿宋" w:hAnsi="仿宋" w:eastAsia="仿宋" w:cs="仿宋"/>
                <w:color w:val="auto"/>
                <w:kern w:val="0"/>
                <w:szCs w:val="21"/>
                <w:highlight w:val="none"/>
                <w:lang w:bidi="ar"/>
              </w:rPr>
              <w:t>，</w:t>
            </w:r>
            <w:r>
              <w:rPr>
                <w:rFonts w:ascii="仿宋" w:hAnsi="仿宋" w:eastAsia="仿宋"/>
                <w:color w:val="auto"/>
                <w:szCs w:val="21"/>
                <w:highlight w:val="none"/>
              </w:rPr>
              <w:t xml:space="preserve"> A类分析报告</w:t>
            </w:r>
            <w:r>
              <w:rPr>
                <w:rFonts w:ascii="仿宋" w:hAnsi="仿宋" w:eastAsia="仿宋"/>
                <w:color w:val="auto"/>
                <w:szCs w:val="21"/>
                <w:highlight w:val="none"/>
              </w:rPr>
              <w:t>不少于</w:t>
            </w:r>
            <w:r>
              <w:rPr>
                <w:rFonts w:hint="eastAsia" w:ascii="仿宋" w:hAnsi="仿宋" w:eastAsia="仿宋"/>
                <w:color w:val="auto"/>
                <w:szCs w:val="21"/>
                <w:highlight w:val="none"/>
                <w:lang w:val="en-US" w:eastAsia="zh-CN"/>
              </w:rPr>
              <w:t>8</w:t>
            </w:r>
            <w:r>
              <w:rPr>
                <w:rFonts w:hint="eastAsia" w:ascii="仿宋" w:hAnsi="仿宋" w:eastAsia="仿宋"/>
                <w:color w:val="auto"/>
                <w:szCs w:val="21"/>
                <w:highlight w:val="none"/>
              </w:rPr>
              <w:t>份</w:t>
            </w:r>
            <w:r>
              <w:rPr>
                <w:rFonts w:hint="eastAsia" w:ascii="仿宋" w:hAnsi="仿宋" w:eastAsia="仿宋" w:cs="仿宋"/>
                <w:color w:val="auto"/>
                <w:szCs w:val="21"/>
                <w:highlight w:val="none"/>
              </w:rPr>
              <w:t>；②</w:t>
            </w:r>
            <w:r>
              <w:rPr>
                <w:rFonts w:hint="eastAsia" w:ascii="仿宋" w:hAnsi="仿宋" w:eastAsia="仿宋" w:cs="仿宋"/>
                <w:color w:val="auto"/>
                <w:kern w:val="0"/>
                <w:szCs w:val="21"/>
                <w:highlight w:val="none"/>
                <w:lang w:bidi="ar"/>
              </w:rPr>
              <w:t>提供案件侦查打击服务</w:t>
            </w:r>
            <w:r>
              <w:rPr>
                <w:rFonts w:hint="eastAsia" w:ascii="仿宋" w:hAnsi="仿宋" w:eastAsia="仿宋" w:cs="仿宋"/>
                <w:color w:val="auto"/>
                <w:kern w:val="0"/>
                <w:szCs w:val="21"/>
                <w:highlight w:val="none"/>
                <w:lang w:bidi="ar"/>
              </w:rPr>
              <w:t>不少于20起</w:t>
            </w:r>
            <w:r>
              <w:rPr>
                <w:rFonts w:hint="eastAsia" w:ascii="仿宋" w:hAnsi="仿宋" w:eastAsia="仿宋" w:cs="仿宋"/>
                <w:color w:val="auto"/>
                <w:kern w:val="0"/>
                <w:szCs w:val="21"/>
                <w:highlight w:val="none"/>
                <w:lang w:bidi="ar"/>
              </w:rPr>
              <w:t>，</w:t>
            </w:r>
            <w:r>
              <w:rPr>
                <w:rFonts w:hint="eastAsia" w:ascii="仿宋" w:hAnsi="仿宋" w:eastAsia="仿宋"/>
                <w:color w:val="auto"/>
                <w:szCs w:val="21"/>
                <w:highlight w:val="none"/>
              </w:rPr>
              <w:t>输出</w:t>
            </w:r>
            <w:r>
              <w:rPr>
                <w:rFonts w:ascii="仿宋" w:hAnsi="仿宋" w:eastAsia="仿宋"/>
                <w:color w:val="auto"/>
                <w:szCs w:val="21"/>
                <w:highlight w:val="none"/>
              </w:rPr>
              <w:t>B类分析报告</w:t>
            </w:r>
            <w:r>
              <w:rPr>
                <w:rFonts w:ascii="仿宋" w:hAnsi="仿宋" w:eastAsia="仿宋"/>
                <w:color w:val="auto"/>
                <w:szCs w:val="21"/>
                <w:highlight w:val="none"/>
              </w:rPr>
              <w:t>不少于</w:t>
            </w:r>
            <w:r>
              <w:rPr>
                <w:rFonts w:hint="eastAsia" w:ascii="仿宋" w:hAnsi="仿宋" w:eastAsia="仿宋"/>
                <w:color w:val="auto"/>
                <w:szCs w:val="21"/>
                <w:highlight w:val="none"/>
                <w:lang w:val="en-US" w:eastAsia="zh-CN"/>
              </w:rPr>
              <w:t>18</w:t>
            </w:r>
            <w:r>
              <w:rPr>
                <w:rFonts w:hint="eastAsia" w:ascii="仿宋" w:hAnsi="仿宋" w:eastAsia="仿宋"/>
                <w:color w:val="auto"/>
                <w:szCs w:val="21"/>
                <w:highlight w:val="none"/>
              </w:rPr>
              <w:t>份</w:t>
            </w:r>
            <w:r>
              <w:rPr>
                <w:rFonts w:hint="eastAsia" w:ascii="仿宋" w:hAnsi="仿宋" w:eastAsia="仿宋"/>
                <w:color w:val="auto"/>
                <w:szCs w:val="21"/>
                <w:highlight w:val="none"/>
              </w:rPr>
              <w:t>、输出</w:t>
            </w:r>
            <w:r>
              <w:rPr>
                <w:rFonts w:ascii="仿宋" w:hAnsi="仿宋" w:eastAsia="仿宋"/>
                <w:color w:val="auto"/>
                <w:szCs w:val="21"/>
                <w:highlight w:val="none"/>
              </w:rPr>
              <w:t>C类分析报告</w:t>
            </w:r>
            <w:r>
              <w:rPr>
                <w:rFonts w:ascii="仿宋" w:hAnsi="仿宋" w:eastAsia="仿宋"/>
                <w:color w:val="auto"/>
                <w:szCs w:val="21"/>
                <w:highlight w:val="none"/>
              </w:rPr>
              <w:t>不少于</w:t>
            </w:r>
            <w:r>
              <w:rPr>
                <w:rFonts w:hint="eastAsia" w:ascii="仿宋" w:hAnsi="仿宋" w:eastAsia="仿宋"/>
                <w:color w:val="auto"/>
                <w:szCs w:val="21"/>
                <w:highlight w:val="none"/>
                <w:lang w:val="en-US" w:eastAsia="zh-CN"/>
              </w:rPr>
              <w:t>30</w:t>
            </w:r>
            <w:r>
              <w:rPr>
                <w:rFonts w:hint="eastAsia" w:ascii="仿宋" w:hAnsi="仿宋" w:eastAsia="仿宋"/>
                <w:color w:val="auto"/>
                <w:szCs w:val="21"/>
                <w:highlight w:val="none"/>
              </w:rPr>
              <w:t>份</w:t>
            </w:r>
            <w:r>
              <w:rPr>
                <w:rFonts w:hint="eastAsia" w:ascii="仿宋" w:hAnsi="仿宋" w:eastAsia="仿宋"/>
                <w:color w:val="auto"/>
                <w:szCs w:val="21"/>
                <w:highlight w:val="none"/>
              </w:rPr>
              <w:t>。</w:t>
            </w:r>
            <w:r>
              <w:rPr>
                <w:rFonts w:hint="eastAsia" w:ascii="仿宋" w:hAnsi="仿宋" w:eastAsia="仿宋" w:cs="仿宋"/>
                <w:color w:val="auto"/>
                <w:highlight w:val="none"/>
              </w:rPr>
              <w:t>提供承诺并符合要求的每一项满足得</w:t>
            </w:r>
            <w:r>
              <w:rPr>
                <w:rFonts w:ascii="仿宋" w:hAnsi="仿宋" w:eastAsia="仿宋" w:cs="仿宋"/>
                <w:color w:val="auto"/>
                <w:highlight w:val="none"/>
              </w:rPr>
              <w:t>3</w:t>
            </w:r>
            <w:r>
              <w:rPr>
                <w:rFonts w:hint="eastAsia" w:ascii="仿宋" w:hAnsi="仿宋" w:eastAsia="仿宋" w:cs="仿宋"/>
                <w:color w:val="auto"/>
                <w:highlight w:val="none"/>
              </w:rPr>
              <w:t>分，未提供或不满足的不得分，</w:t>
            </w:r>
            <w:r>
              <w:rPr>
                <w:rFonts w:hint="eastAsia" w:ascii="仿宋" w:hAnsi="仿宋" w:eastAsia="仿宋" w:cs="仿宋"/>
                <w:b/>
                <w:color w:val="auto"/>
                <w:highlight w:val="none"/>
              </w:rPr>
              <w:t>最高得</w:t>
            </w:r>
            <w:r>
              <w:rPr>
                <w:rFonts w:ascii="仿宋" w:hAnsi="仿宋" w:eastAsia="仿宋" w:cs="仿宋"/>
                <w:b/>
                <w:color w:val="auto"/>
                <w:highlight w:val="none"/>
              </w:rPr>
              <w:t>6</w:t>
            </w:r>
            <w:r>
              <w:rPr>
                <w:rFonts w:hint="eastAsia" w:ascii="仿宋" w:hAnsi="仿宋" w:eastAsia="仿宋" w:cs="仿宋"/>
                <w:b/>
                <w:color w:val="auto"/>
                <w:highlight w:val="none"/>
              </w:rPr>
              <w:t>分。</w:t>
            </w:r>
          </w:p>
        </w:tc>
        <w:tc>
          <w:tcPr>
            <w:tcW w:w="709" w:type="dxa"/>
            <w:noWrap w:val="0"/>
            <w:vAlign w:val="center"/>
          </w:tcPr>
          <w:p w14:paraId="1E849E6D">
            <w:pPr>
              <w:snapToGrid w:val="0"/>
              <w:jc w:val="center"/>
              <w:rPr>
                <w:rFonts w:ascii="仿宋" w:hAnsi="仿宋" w:eastAsia="仿宋" w:cs="仿宋"/>
                <w:b/>
                <w:color w:val="auto"/>
                <w:szCs w:val="21"/>
                <w:highlight w:val="none"/>
              </w:rPr>
            </w:pPr>
            <w:r>
              <w:rPr>
                <w:rFonts w:ascii="仿宋" w:hAnsi="仿宋" w:eastAsia="仿宋" w:cs="仿宋"/>
                <w:b/>
                <w:color w:val="auto"/>
                <w:szCs w:val="21"/>
                <w:highlight w:val="none"/>
              </w:rPr>
              <w:t>6</w:t>
            </w:r>
          </w:p>
        </w:tc>
        <w:tc>
          <w:tcPr>
            <w:tcW w:w="1042" w:type="dxa"/>
            <w:noWrap w:val="0"/>
            <w:vAlign w:val="center"/>
          </w:tcPr>
          <w:p w14:paraId="7871D06F">
            <w:pPr>
              <w:snapToGrid w:val="0"/>
              <w:jc w:val="center"/>
              <w:rPr>
                <w:rFonts w:ascii="仿宋" w:hAnsi="仿宋" w:eastAsia="仿宋" w:cs="仿宋_GB2312"/>
                <w:b/>
                <w:bCs/>
                <w:color w:val="auto"/>
                <w:szCs w:val="21"/>
                <w:highlight w:val="none"/>
              </w:rPr>
            </w:pPr>
            <w:r>
              <w:rPr>
                <w:rFonts w:hint="eastAsia" w:ascii="仿宋" w:hAnsi="仿宋" w:eastAsia="仿宋" w:cs="仿宋_GB2312"/>
                <w:b/>
                <w:bCs/>
                <w:color w:val="auto"/>
                <w:szCs w:val="21"/>
                <w:highlight w:val="none"/>
              </w:rPr>
              <w:t>客观分</w:t>
            </w:r>
          </w:p>
        </w:tc>
        <w:tc>
          <w:tcPr>
            <w:tcW w:w="1339" w:type="dxa"/>
            <w:vMerge w:val="restart"/>
            <w:noWrap w:val="0"/>
            <w:vAlign w:val="center"/>
          </w:tcPr>
          <w:p w14:paraId="1D102CE1">
            <w:pPr>
              <w:snapToGrid w:val="0"/>
              <w:jc w:val="center"/>
              <w:rPr>
                <w:rFonts w:ascii="仿宋" w:hAnsi="仿宋" w:eastAsia="仿宋" w:cs="仿宋"/>
                <w:b/>
                <w:color w:val="auto"/>
                <w:szCs w:val="21"/>
                <w:highlight w:val="none"/>
              </w:rPr>
            </w:pPr>
            <w:r>
              <w:rPr>
                <w:rFonts w:hint="eastAsia" w:ascii="仿宋" w:hAnsi="仿宋" w:eastAsia="仿宋" w:cs="仿宋"/>
                <w:b/>
                <w:color w:val="auto"/>
                <w:szCs w:val="21"/>
                <w:highlight w:val="none"/>
              </w:rPr>
              <w:t>二、服务次数、交付分析承诺</w:t>
            </w:r>
          </w:p>
        </w:tc>
      </w:tr>
      <w:tr w14:paraId="30C85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481" w:type="dxa"/>
            <w:noWrap w:val="0"/>
            <w:vAlign w:val="center"/>
          </w:tcPr>
          <w:p w14:paraId="5C07DAA3">
            <w:pPr>
              <w:snapToGrid w:val="0"/>
              <w:jc w:val="center"/>
              <w:rPr>
                <w:rFonts w:ascii="仿宋" w:hAnsi="仿宋" w:eastAsia="仿宋" w:cs="仿宋"/>
                <w:color w:val="auto"/>
                <w:szCs w:val="21"/>
                <w:highlight w:val="none"/>
              </w:rPr>
            </w:pPr>
            <w:r>
              <w:rPr>
                <w:rFonts w:hint="eastAsia" w:ascii="仿宋" w:hAnsi="仿宋" w:eastAsia="仿宋" w:cs="仿宋"/>
                <w:color w:val="auto"/>
                <w:szCs w:val="21"/>
                <w:highlight w:val="none"/>
              </w:rPr>
              <w:t>8</w:t>
            </w:r>
          </w:p>
        </w:tc>
        <w:tc>
          <w:tcPr>
            <w:tcW w:w="6602" w:type="dxa"/>
            <w:noWrap w:val="0"/>
            <w:vAlign w:val="center"/>
          </w:tcPr>
          <w:p w14:paraId="1BD94572">
            <w:pPr>
              <w:pStyle w:val="79"/>
              <w:ind w:left="0" w:leftChars="0" w:firstLine="226" w:firstLineChars="108"/>
              <w:rPr>
                <w:rFonts w:ascii="仿宋" w:hAnsi="仿宋" w:eastAsia="仿宋" w:cs="仿宋"/>
                <w:color w:val="auto"/>
                <w:szCs w:val="21"/>
                <w:highlight w:val="none"/>
              </w:rPr>
            </w:pPr>
            <w:r>
              <w:rPr>
                <w:rFonts w:hint="eastAsia" w:ascii="仿宋" w:hAnsi="仿宋" w:eastAsia="仿宋" w:cs="仿宋"/>
                <w:color w:val="auto"/>
                <w:szCs w:val="21"/>
                <w:highlight w:val="none"/>
              </w:rPr>
              <w:t>投标人针对</w:t>
            </w:r>
            <w:r>
              <w:rPr>
                <w:rFonts w:hint="eastAsia" w:ascii="仿宋" w:hAnsi="仿宋" w:eastAsia="仿宋" w:cs="仿宋"/>
                <w:b/>
                <w:color w:val="auto"/>
                <w:szCs w:val="21"/>
                <w:highlight w:val="none"/>
              </w:rPr>
              <w:t>大数据智能查控服务</w:t>
            </w:r>
            <w:r>
              <w:rPr>
                <w:rFonts w:hint="eastAsia" w:ascii="仿宋" w:hAnsi="仿宋" w:eastAsia="仿宋" w:cs="仿宋"/>
                <w:bCs/>
                <w:color w:val="auto"/>
                <w:szCs w:val="21"/>
                <w:highlight w:val="none"/>
              </w:rPr>
              <w:t>承诺</w:t>
            </w:r>
            <w:r>
              <w:rPr>
                <w:rFonts w:hint="eastAsia" w:ascii="仿宋" w:hAnsi="仿宋" w:eastAsia="仿宋" w:cs="仿宋"/>
                <w:b/>
                <w:color w:val="auto"/>
                <w:szCs w:val="21"/>
                <w:highlight w:val="none"/>
              </w:rPr>
              <w:t>，</w:t>
            </w:r>
            <w:r>
              <w:rPr>
                <w:rFonts w:hint="eastAsia" w:ascii="仿宋" w:hAnsi="仿宋" w:eastAsia="仿宋" w:cs="仿宋"/>
                <w:color w:val="auto"/>
                <w:highlight w:val="none"/>
                <w:lang w:val="zh-CN"/>
              </w:rPr>
              <w:t>①</w:t>
            </w:r>
            <w:r>
              <w:rPr>
                <w:rFonts w:hint="eastAsia" w:ascii="仿宋" w:hAnsi="仿宋" w:eastAsia="仿宋" w:cs="仿宋"/>
                <w:color w:val="auto"/>
                <w:kern w:val="0"/>
                <w:szCs w:val="21"/>
                <w:highlight w:val="none"/>
                <w:lang w:bidi="ar"/>
              </w:rPr>
              <w:t>提供重特大案件服务不少</w:t>
            </w:r>
            <w:r>
              <w:rPr>
                <w:rFonts w:hint="eastAsia" w:ascii="仿宋" w:hAnsi="仿宋" w:eastAsia="仿宋" w:cs="仿宋"/>
                <w:color w:val="auto"/>
                <w:kern w:val="0"/>
                <w:szCs w:val="21"/>
                <w:highlight w:val="none"/>
                <w:lang w:bidi="ar"/>
              </w:rPr>
              <w:t>于10次</w:t>
            </w:r>
            <w:r>
              <w:rPr>
                <w:rFonts w:hint="eastAsia" w:ascii="仿宋" w:hAnsi="仿宋" w:eastAsia="仿宋" w:cs="仿宋"/>
                <w:color w:val="auto"/>
                <w:kern w:val="0"/>
                <w:szCs w:val="21"/>
                <w:highlight w:val="none"/>
                <w:lang w:bidi="ar"/>
              </w:rPr>
              <w:t>，输出B类分析报告</w:t>
            </w:r>
            <w:r>
              <w:rPr>
                <w:rFonts w:hint="eastAsia" w:ascii="仿宋" w:hAnsi="仿宋" w:eastAsia="仿宋" w:cs="仿宋"/>
                <w:color w:val="auto"/>
                <w:kern w:val="0"/>
                <w:szCs w:val="21"/>
                <w:highlight w:val="none"/>
                <w:lang w:bidi="ar"/>
              </w:rPr>
              <w:t>不少于2</w:t>
            </w:r>
            <w:r>
              <w:rPr>
                <w:rFonts w:hint="eastAsia" w:ascii="仿宋" w:hAnsi="仿宋" w:eastAsia="仿宋" w:cs="仿宋"/>
                <w:color w:val="auto"/>
                <w:kern w:val="0"/>
                <w:szCs w:val="21"/>
                <w:highlight w:val="none"/>
                <w:lang w:val="en-US" w:eastAsia="zh-CN" w:bidi="ar"/>
              </w:rPr>
              <w:t>0</w:t>
            </w:r>
            <w:r>
              <w:rPr>
                <w:rFonts w:hint="eastAsia" w:ascii="仿宋" w:hAnsi="仿宋" w:eastAsia="仿宋" w:cs="仿宋"/>
                <w:color w:val="auto"/>
                <w:kern w:val="0"/>
                <w:szCs w:val="21"/>
                <w:highlight w:val="none"/>
                <w:lang w:bidi="ar"/>
              </w:rPr>
              <w:t>份</w:t>
            </w:r>
            <w:r>
              <w:rPr>
                <w:rFonts w:hint="eastAsia" w:ascii="仿宋" w:hAnsi="仿宋" w:eastAsia="仿宋" w:cs="仿宋"/>
                <w:color w:val="auto"/>
                <w:kern w:val="0"/>
                <w:szCs w:val="21"/>
                <w:highlight w:val="none"/>
                <w:lang w:bidi="ar"/>
              </w:rPr>
              <w:t>；</w:t>
            </w:r>
            <w:r>
              <w:rPr>
                <w:rFonts w:hint="eastAsia" w:ascii="仿宋" w:hAnsi="仿宋" w:eastAsia="仿宋" w:cs="仿宋"/>
                <w:color w:val="auto"/>
                <w:highlight w:val="none"/>
                <w:lang w:val="zh-CN"/>
              </w:rPr>
              <w:t>②</w:t>
            </w:r>
            <w:r>
              <w:rPr>
                <w:rFonts w:hint="eastAsia" w:ascii="仿宋" w:hAnsi="仿宋" w:eastAsia="仿宋"/>
                <w:color w:val="auto"/>
                <w:szCs w:val="21"/>
                <w:highlight w:val="none"/>
              </w:rPr>
              <w:t>提供涉诈网站数据及线索分析服务</w:t>
            </w:r>
            <w:r>
              <w:rPr>
                <w:rFonts w:hint="eastAsia" w:ascii="仿宋" w:hAnsi="仿宋" w:eastAsia="仿宋"/>
                <w:color w:val="auto"/>
                <w:szCs w:val="21"/>
                <w:highlight w:val="none"/>
              </w:rPr>
              <w:t>不少于20次</w:t>
            </w:r>
            <w:r>
              <w:rPr>
                <w:rFonts w:hint="eastAsia" w:ascii="仿宋" w:hAnsi="仿宋" w:eastAsia="仿宋"/>
                <w:color w:val="auto"/>
                <w:szCs w:val="21"/>
                <w:highlight w:val="none"/>
              </w:rPr>
              <w:t>，输出C类分析报告</w:t>
            </w:r>
            <w:r>
              <w:rPr>
                <w:rFonts w:hint="eastAsia" w:ascii="仿宋" w:hAnsi="仿宋" w:eastAsia="仿宋"/>
                <w:color w:val="auto"/>
                <w:szCs w:val="21"/>
                <w:highlight w:val="none"/>
              </w:rPr>
              <w:t>不少于</w:t>
            </w:r>
            <w:r>
              <w:rPr>
                <w:rFonts w:hint="eastAsia" w:ascii="仿宋" w:hAnsi="仿宋" w:eastAsia="仿宋"/>
                <w:color w:val="auto"/>
                <w:szCs w:val="21"/>
                <w:highlight w:val="none"/>
                <w:lang w:val="en-US" w:eastAsia="zh-CN"/>
              </w:rPr>
              <w:t>40</w:t>
            </w:r>
            <w:r>
              <w:rPr>
                <w:rFonts w:hint="eastAsia" w:ascii="仿宋" w:hAnsi="仿宋" w:eastAsia="仿宋"/>
                <w:color w:val="auto"/>
                <w:szCs w:val="21"/>
                <w:highlight w:val="none"/>
              </w:rPr>
              <w:t>份</w:t>
            </w:r>
            <w:r>
              <w:rPr>
                <w:rFonts w:hint="eastAsia" w:ascii="仿宋" w:hAnsi="仿宋" w:eastAsia="仿宋"/>
                <w:color w:val="auto"/>
                <w:szCs w:val="21"/>
                <w:highlight w:val="none"/>
              </w:rPr>
              <w:t>。</w:t>
            </w:r>
            <w:r>
              <w:rPr>
                <w:rFonts w:hint="eastAsia" w:ascii="仿宋" w:hAnsi="仿宋" w:eastAsia="仿宋" w:cs="仿宋"/>
                <w:color w:val="auto"/>
                <w:highlight w:val="none"/>
              </w:rPr>
              <w:t>提供承诺并符合要求的每一项满足得</w:t>
            </w:r>
            <w:r>
              <w:rPr>
                <w:rFonts w:ascii="仿宋" w:hAnsi="仿宋" w:eastAsia="仿宋" w:cs="仿宋"/>
                <w:color w:val="auto"/>
                <w:highlight w:val="none"/>
              </w:rPr>
              <w:t>2</w:t>
            </w:r>
            <w:r>
              <w:rPr>
                <w:rFonts w:hint="eastAsia" w:ascii="仿宋" w:hAnsi="仿宋" w:eastAsia="仿宋" w:cs="仿宋"/>
                <w:color w:val="auto"/>
                <w:highlight w:val="none"/>
              </w:rPr>
              <w:t>分，未提供或不满足的不得分，</w:t>
            </w:r>
            <w:r>
              <w:rPr>
                <w:rFonts w:hint="eastAsia" w:ascii="仿宋" w:hAnsi="仿宋" w:eastAsia="仿宋" w:cs="仿宋"/>
                <w:b/>
                <w:color w:val="auto"/>
                <w:highlight w:val="none"/>
              </w:rPr>
              <w:t>最高得</w:t>
            </w:r>
            <w:r>
              <w:rPr>
                <w:rFonts w:ascii="仿宋" w:hAnsi="仿宋" w:eastAsia="仿宋" w:cs="仿宋"/>
                <w:b/>
                <w:color w:val="auto"/>
                <w:highlight w:val="none"/>
              </w:rPr>
              <w:t>4</w:t>
            </w:r>
            <w:r>
              <w:rPr>
                <w:rFonts w:hint="eastAsia" w:ascii="仿宋" w:hAnsi="仿宋" w:eastAsia="仿宋" w:cs="仿宋"/>
                <w:b/>
                <w:color w:val="auto"/>
                <w:highlight w:val="none"/>
              </w:rPr>
              <w:t>分。</w:t>
            </w:r>
          </w:p>
        </w:tc>
        <w:tc>
          <w:tcPr>
            <w:tcW w:w="709" w:type="dxa"/>
            <w:noWrap w:val="0"/>
            <w:vAlign w:val="center"/>
          </w:tcPr>
          <w:p w14:paraId="76D9A8FC">
            <w:pPr>
              <w:snapToGrid w:val="0"/>
              <w:jc w:val="center"/>
              <w:rPr>
                <w:rFonts w:ascii="仿宋" w:hAnsi="仿宋" w:eastAsia="仿宋" w:cs="仿宋"/>
                <w:b/>
                <w:color w:val="auto"/>
                <w:szCs w:val="21"/>
                <w:highlight w:val="none"/>
              </w:rPr>
            </w:pPr>
            <w:r>
              <w:rPr>
                <w:rFonts w:ascii="仿宋" w:hAnsi="仿宋" w:eastAsia="仿宋" w:cs="仿宋"/>
                <w:b/>
                <w:color w:val="auto"/>
                <w:szCs w:val="21"/>
                <w:highlight w:val="none"/>
              </w:rPr>
              <w:t>4</w:t>
            </w:r>
          </w:p>
        </w:tc>
        <w:tc>
          <w:tcPr>
            <w:tcW w:w="1042" w:type="dxa"/>
            <w:noWrap w:val="0"/>
            <w:vAlign w:val="center"/>
          </w:tcPr>
          <w:p w14:paraId="05E3E8B2">
            <w:pPr>
              <w:snapToGrid w:val="0"/>
              <w:jc w:val="center"/>
              <w:rPr>
                <w:rFonts w:ascii="仿宋" w:hAnsi="仿宋" w:eastAsia="仿宋" w:cs="仿宋_GB2312"/>
                <w:b/>
                <w:bCs/>
                <w:color w:val="auto"/>
                <w:szCs w:val="21"/>
                <w:highlight w:val="none"/>
              </w:rPr>
            </w:pPr>
            <w:r>
              <w:rPr>
                <w:rFonts w:hint="eastAsia" w:ascii="仿宋" w:hAnsi="仿宋" w:eastAsia="仿宋" w:cs="仿宋_GB2312"/>
                <w:b/>
                <w:bCs/>
                <w:color w:val="auto"/>
                <w:szCs w:val="21"/>
                <w:highlight w:val="none"/>
              </w:rPr>
              <w:t>客观分</w:t>
            </w:r>
          </w:p>
        </w:tc>
        <w:tc>
          <w:tcPr>
            <w:tcW w:w="1339" w:type="dxa"/>
            <w:vMerge w:val="continue"/>
            <w:noWrap w:val="0"/>
            <w:vAlign w:val="center"/>
          </w:tcPr>
          <w:p w14:paraId="59FFC363">
            <w:pPr>
              <w:snapToGrid w:val="0"/>
              <w:jc w:val="center"/>
              <w:rPr>
                <w:rFonts w:ascii="仿宋" w:hAnsi="仿宋" w:eastAsia="仿宋" w:cs="仿宋"/>
                <w:b/>
                <w:color w:val="auto"/>
                <w:szCs w:val="21"/>
                <w:highlight w:val="none"/>
              </w:rPr>
            </w:pPr>
          </w:p>
        </w:tc>
      </w:tr>
      <w:tr w14:paraId="581C7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481" w:type="dxa"/>
            <w:noWrap w:val="0"/>
            <w:vAlign w:val="center"/>
          </w:tcPr>
          <w:p w14:paraId="727E31FA">
            <w:pPr>
              <w:snapToGrid w:val="0"/>
              <w:jc w:val="center"/>
              <w:rPr>
                <w:rFonts w:ascii="仿宋" w:hAnsi="仿宋" w:eastAsia="仿宋" w:cs="仿宋"/>
                <w:color w:val="auto"/>
                <w:szCs w:val="21"/>
                <w:highlight w:val="none"/>
              </w:rPr>
            </w:pPr>
            <w:r>
              <w:rPr>
                <w:rFonts w:hint="eastAsia" w:ascii="仿宋" w:hAnsi="仿宋" w:eastAsia="仿宋" w:cs="仿宋"/>
                <w:color w:val="auto"/>
                <w:szCs w:val="21"/>
                <w:highlight w:val="none"/>
              </w:rPr>
              <w:t>9</w:t>
            </w:r>
          </w:p>
        </w:tc>
        <w:tc>
          <w:tcPr>
            <w:tcW w:w="6602" w:type="dxa"/>
            <w:noWrap w:val="0"/>
            <w:vAlign w:val="center"/>
          </w:tcPr>
          <w:p w14:paraId="7EA9AE06">
            <w:pPr>
              <w:pStyle w:val="79"/>
              <w:ind w:left="0" w:leftChars="0" w:firstLine="226" w:firstLineChars="108"/>
              <w:rPr>
                <w:rFonts w:ascii="仿宋" w:hAnsi="仿宋" w:eastAsia="仿宋" w:cs="仿宋"/>
                <w:color w:val="auto"/>
                <w:szCs w:val="21"/>
                <w:highlight w:val="none"/>
              </w:rPr>
            </w:pPr>
            <w:r>
              <w:rPr>
                <w:rFonts w:hint="eastAsia" w:ascii="仿宋" w:hAnsi="仿宋" w:eastAsia="仿宋" w:cs="仿宋"/>
                <w:color w:val="auto"/>
                <w:szCs w:val="21"/>
                <w:highlight w:val="none"/>
              </w:rPr>
              <w:t>投标人针对</w:t>
            </w:r>
            <w:r>
              <w:rPr>
                <w:rFonts w:hint="eastAsia" w:ascii="仿宋" w:hAnsi="仿宋" w:eastAsia="仿宋" w:cs="仿宋"/>
                <w:b/>
                <w:color w:val="auto"/>
                <w:szCs w:val="21"/>
                <w:highlight w:val="none"/>
              </w:rPr>
              <w:t>资金智能查控服务</w:t>
            </w:r>
            <w:r>
              <w:rPr>
                <w:rFonts w:hint="eastAsia" w:ascii="仿宋" w:hAnsi="仿宋" w:eastAsia="仿宋" w:cs="仿宋"/>
                <w:bCs/>
                <w:color w:val="auto"/>
                <w:szCs w:val="21"/>
                <w:highlight w:val="none"/>
              </w:rPr>
              <w:t>承诺</w:t>
            </w:r>
            <w:r>
              <w:rPr>
                <w:rFonts w:hint="eastAsia" w:ascii="仿宋" w:hAnsi="仿宋" w:eastAsia="仿宋" w:cs="仿宋"/>
                <w:b/>
                <w:color w:val="auto"/>
                <w:szCs w:val="21"/>
                <w:highlight w:val="none"/>
              </w:rPr>
              <w:t>，</w:t>
            </w:r>
            <w:r>
              <w:rPr>
                <w:rFonts w:hint="eastAsia" w:ascii="仿宋" w:hAnsi="仿宋" w:eastAsia="仿宋" w:cs="仿宋"/>
                <w:color w:val="auto"/>
                <w:highlight w:val="none"/>
                <w:lang w:val="zh-CN"/>
              </w:rPr>
              <w:t>①</w:t>
            </w:r>
            <w:r>
              <w:rPr>
                <w:rFonts w:hint="eastAsia" w:ascii="仿宋" w:hAnsi="仿宋" w:eastAsia="仿宋"/>
                <w:color w:val="auto"/>
                <w:szCs w:val="21"/>
                <w:highlight w:val="none"/>
              </w:rPr>
              <w:t>资金查控服务输出</w:t>
            </w:r>
            <w:r>
              <w:rPr>
                <w:rFonts w:ascii="仿宋" w:hAnsi="仿宋" w:eastAsia="仿宋"/>
                <w:color w:val="auto"/>
                <w:szCs w:val="21"/>
                <w:highlight w:val="none"/>
              </w:rPr>
              <w:t>C类分析报告</w:t>
            </w:r>
            <w:r>
              <w:rPr>
                <w:rFonts w:hint="eastAsia" w:ascii="仿宋" w:hAnsi="仿宋" w:eastAsia="仿宋"/>
                <w:color w:val="auto"/>
                <w:szCs w:val="21"/>
                <w:highlight w:val="none"/>
              </w:rPr>
              <w:t>不少于</w:t>
            </w:r>
            <w:r>
              <w:rPr>
                <w:rFonts w:hint="eastAsia" w:ascii="仿宋" w:hAnsi="仿宋" w:eastAsia="仿宋"/>
                <w:color w:val="auto"/>
                <w:szCs w:val="21"/>
                <w:highlight w:val="none"/>
                <w:lang w:val="en-US" w:eastAsia="zh-CN"/>
              </w:rPr>
              <w:t>2</w:t>
            </w:r>
            <w:r>
              <w:rPr>
                <w:rFonts w:hint="eastAsia" w:ascii="仿宋" w:hAnsi="仿宋" w:eastAsia="仿宋"/>
                <w:color w:val="auto"/>
                <w:szCs w:val="21"/>
                <w:highlight w:val="none"/>
              </w:rPr>
              <w:t>份</w:t>
            </w:r>
            <w:r>
              <w:rPr>
                <w:rFonts w:hint="eastAsia" w:ascii="仿宋" w:hAnsi="仿宋" w:eastAsia="仿宋" w:cs="仿宋"/>
                <w:color w:val="auto"/>
                <w:szCs w:val="21"/>
                <w:highlight w:val="none"/>
              </w:rPr>
              <w:t>；</w:t>
            </w:r>
            <w:r>
              <w:rPr>
                <w:rFonts w:hint="eastAsia" w:ascii="仿宋" w:hAnsi="仿宋" w:eastAsia="仿宋" w:cs="仿宋"/>
                <w:color w:val="auto"/>
                <w:highlight w:val="none"/>
                <w:lang w:val="zh-CN"/>
              </w:rPr>
              <w:t>②</w:t>
            </w:r>
            <w:r>
              <w:rPr>
                <w:rFonts w:hint="eastAsia" w:ascii="仿宋" w:hAnsi="仿宋" w:eastAsia="仿宋"/>
                <w:color w:val="auto"/>
                <w:szCs w:val="21"/>
                <w:highlight w:val="none"/>
              </w:rPr>
              <w:t>智能止付服务输出</w:t>
            </w:r>
            <w:r>
              <w:rPr>
                <w:rFonts w:ascii="仿宋" w:hAnsi="仿宋" w:eastAsia="仿宋"/>
                <w:color w:val="auto"/>
                <w:szCs w:val="21"/>
                <w:highlight w:val="none"/>
              </w:rPr>
              <w:t>C类分析报告</w:t>
            </w:r>
            <w:r>
              <w:rPr>
                <w:rFonts w:hint="eastAsia" w:ascii="仿宋" w:hAnsi="仿宋" w:eastAsia="仿宋"/>
                <w:color w:val="auto"/>
                <w:szCs w:val="21"/>
                <w:highlight w:val="none"/>
              </w:rPr>
              <w:t>不少于</w:t>
            </w:r>
            <w:r>
              <w:rPr>
                <w:rFonts w:hint="eastAsia" w:ascii="仿宋" w:hAnsi="仿宋" w:eastAsia="仿宋"/>
                <w:color w:val="auto"/>
                <w:szCs w:val="21"/>
                <w:highlight w:val="none"/>
                <w:lang w:val="en-US" w:eastAsia="zh-CN"/>
              </w:rPr>
              <w:t>2</w:t>
            </w:r>
            <w:r>
              <w:rPr>
                <w:rFonts w:hint="eastAsia" w:ascii="仿宋" w:hAnsi="仿宋" w:eastAsia="仿宋"/>
                <w:color w:val="auto"/>
                <w:szCs w:val="21"/>
                <w:highlight w:val="none"/>
              </w:rPr>
              <w:t>份</w:t>
            </w:r>
            <w:r>
              <w:rPr>
                <w:rFonts w:hint="eastAsia" w:ascii="仿宋" w:hAnsi="仿宋" w:eastAsia="仿宋" w:cs="仿宋"/>
                <w:color w:val="auto"/>
                <w:szCs w:val="21"/>
                <w:highlight w:val="none"/>
              </w:rPr>
              <w:t>；</w:t>
            </w:r>
            <w:r>
              <w:rPr>
                <w:rFonts w:ascii="仿宋" w:hAnsi="仿宋" w:eastAsia="仿宋" w:cs="仿宋"/>
                <w:bCs/>
                <w:color w:val="auto"/>
                <w:highlight w:val="none"/>
              </w:rPr>
              <w:fldChar w:fldCharType="begin"/>
            </w:r>
            <w:r>
              <w:rPr>
                <w:rFonts w:ascii="仿宋" w:hAnsi="仿宋" w:eastAsia="仿宋" w:cs="仿宋"/>
                <w:bCs/>
                <w:color w:val="auto"/>
                <w:highlight w:val="none"/>
              </w:rPr>
              <w:instrText xml:space="preserve"> </w:instrText>
            </w:r>
            <w:r>
              <w:rPr>
                <w:rFonts w:hint="eastAsia" w:ascii="仿宋" w:hAnsi="仿宋" w:eastAsia="仿宋" w:cs="仿宋"/>
                <w:bCs/>
                <w:color w:val="auto"/>
                <w:highlight w:val="none"/>
              </w:rPr>
              <w:instrText xml:space="preserve">= 3 \* GB3</w:instrText>
            </w:r>
            <w:r>
              <w:rPr>
                <w:rFonts w:ascii="仿宋" w:hAnsi="仿宋" w:eastAsia="仿宋" w:cs="仿宋"/>
                <w:bCs/>
                <w:color w:val="auto"/>
                <w:highlight w:val="none"/>
              </w:rPr>
              <w:instrText xml:space="preserve"> </w:instrText>
            </w:r>
            <w:r>
              <w:rPr>
                <w:rFonts w:ascii="仿宋" w:hAnsi="仿宋" w:eastAsia="仿宋" w:cs="仿宋"/>
                <w:bCs/>
                <w:color w:val="auto"/>
                <w:highlight w:val="none"/>
              </w:rPr>
              <w:fldChar w:fldCharType="separate"/>
            </w:r>
            <w:r>
              <w:rPr>
                <w:rFonts w:hint="eastAsia" w:ascii="仿宋" w:hAnsi="仿宋" w:eastAsia="仿宋" w:cs="仿宋"/>
                <w:bCs/>
                <w:color w:val="auto"/>
                <w:highlight w:val="none"/>
              </w:rPr>
              <w:t>③</w:t>
            </w:r>
            <w:r>
              <w:rPr>
                <w:rFonts w:ascii="仿宋" w:hAnsi="仿宋" w:eastAsia="仿宋" w:cs="仿宋"/>
                <w:bCs/>
                <w:color w:val="auto"/>
                <w:highlight w:val="none"/>
              </w:rPr>
              <w:fldChar w:fldCharType="end"/>
            </w:r>
            <w:r>
              <w:rPr>
                <w:rFonts w:hint="eastAsia" w:ascii="仿宋" w:hAnsi="仿宋" w:eastAsia="仿宋"/>
                <w:color w:val="auto"/>
                <w:szCs w:val="21"/>
                <w:highlight w:val="none"/>
              </w:rPr>
              <w:t>保护性止付服务输出</w:t>
            </w:r>
            <w:r>
              <w:rPr>
                <w:rFonts w:ascii="仿宋" w:hAnsi="仿宋" w:eastAsia="仿宋"/>
                <w:color w:val="auto"/>
                <w:szCs w:val="21"/>
                <w:highlight w:val="none"/>
              </w:rPr>
              <w:t>C类分析报告</w:t>
            </w:r>
            <w:r>
              <w:rPr>
                <w:rFonts w:hint="eastAsia" w:ascii="仿宋" w:hAnsi="仿宋" w:eastAsia="仿宋"/>
                <w:color w:val="auto"/>
                <w:szCs w:val="21"/>
                <w:highlight w:val="none"/>
              </w:rPr>
              <w:t>不少于</w:t>
            </w:r>
            <w:r>
              <w:rPr>
                <w:rFonts w:hint="eastAsia" w:ascii="仿宋" w:hAnsi="仿宋" w:eastAsia="仿宋"/>
                <w:color w:val="auto"/>
                <w:szCs w:val="21"/>
                <w:highlight w:val="none"/>
                <w:lang w:val="en-US" w:eastAsia="zh-CN"/>
              </w:rPr>
              <w:t>5</w:t>
            </w:r>
            <w:r>
              <w:rPr>
                <w:rFonts w:hint="eastAsia" w:ascii="仿宋" w:hAnsi="仿宋" w:eastAsia="仿宋"/>
                <w:color w:val="auto"/>
                <w:szCs w:val="21"/>
                <w:highlight w:val="none"/>
              </w:rPr>
              <w:t>份</w:t>
            </w:r>
            <w:r>
              <w:rPr>
                <w:rFonts w:hint="eastAsia" w:ascii="仿宋" w:hAnsi="仿宋" w:eastAsia="仿宋" w:cs="仿宋"/>
                <w:color w:val="auto"/>
                <w:szCs w:val="21"/>
                <w:highlight w:val="none"/>
              </w:rPr>
              <w:t>；</w:t>
            </w:r>
            <w:r>
              <w:rPr>
                <w:rFonts w:hint="eastAsia" w:ascii="仿宋" w:hAnsi="仿宋" w:eastAsia="仿宋" w:cs="仿宋"/>
                <w:color w:val="auto"/>
                <w:highlight w:val="none"/>
              </w:rPr>
              <w:t>提供承诺并符合要求的每一项满足得</w:t>
            </w:r>
            <w:r>
              <w:rPr>
                <w:rFonts w:ascii="仿宋" w:hAnsi="仿宋" w:eastAsia="仿宋" w:cs="仿宋"/>
                <w:color w:val="auto"/>
                <w:highlight w:val="none"/>
              </w:rPr>
              <w:t>1</w:t>
            </w:r>
            <w:r>
              <w:rPr>
                <w:rFonts w:hint="eastAsia" w:ascii="仿宋" w:hAnsi="仿宋" w:eastAsia="仿宋" w:cs="仿宋"/>
                <w:color w:val="auto"/>
                <w:highlight w:val="none"/>
              </w:rPr>
              <w:t>分，未提供或不满足的不得分，</w:t>
            </w:r>
            <w:r>
              <w:rPr>
                <w:rFonts w:hint="eastAsia" w:ascii="仿宋" w:hAnsi="仿宋" w:eastAsia="仿宋" w:cs="仿宋"/>
                <w:b/>
                <w:color w:val="auto"/>
                <w:highlight w:val="none"/>
              </w:rPr>
              <w:t>最高得</w:t>
            </w:r>
            <w:r>
              <w:rPr>
                <w:rFonts w:ascii="仿宋" w:hAnsi="仿宋" w:eastAsia="仿宋" w:cs="仿宋"/>
                <w:b/>
                <w:color w:val="auto"/>
                <w:highlight w:val="none"/>
              </w:rPr>
              <w:t>3</w:t>
            </w:r>
            <w:r>
              <w:rPr>
                <w:rFonts w:hint="eastAsia" w:ascii="仿宋" w:hAnsi="仿宋" w:eastAsia="仿宋" w:cs="仿宋"/>
                <w:b/>
                <w:color w:val="auto"/>
                <w:highlight w:val="none"/>
              </w:rPr>
              <w:t>分。</w:t>
            </w:r>
          </w:p>
        </w:tc>
        <w:tc>
          <w:tcPr>
            <w:tcW w:w="709" w:type="dxa"/>
            <w:noWrap w:val="0"/>
            <w:vAlign w:val="center"/>
          </w:tcPr>
          <w:p w14:paraId="51F6C55C">
            <w:pPr>
              <w:snapToGrid w:val="0"/>
              <w:jc w:val="center"/>
              <w:rPr>
                <w:rFonts w:ascii="仿宋" w:hAnsi="仿宋" w:eastAsia="仿宋" w:cs="仿宋"/>
                <w:b/>
                <w:color w:val="auto"/>
                <w:szCs w:val="21"/>
                <w:highlight w:val="none"/>
              </w:rPr>
            </w:pPr>
            <w:r>
              <w:rPr>
                <w:rFonts w:ascii="仿宋" w:hAnsi="仿宋" w:eastAsia="仿宋" w:cs="仿宋"/>
                <w:b/>
                <w:color w:val="auto"/>
                <w:szCs w:val="21"/>
                <w:highlight w:val="none"/>
              </w:rPr>
              <w:t>3</w:t>
            </w:r>
          </w:p>
        </w:tc>
        <w:tc>
          <w:tcPr>
            <w:tcW w:w="1042" w:type="dxa"/>
            <w:noWrap w:val="0"/>
            <w:vAlign w:val="center"/>
          </w:tcPr>
          <w:p w14:paraId="2C34C0A9">
            <w:pPr>
              <w:snapToGrid w:val="0"/>
              <w:jc w:val="center"/>
              <w:rPr>
                <w:rFonts w:ascii="仿宋" w:hAnsi="仿宋" w:eastAsia="仿宋" w:cs="仿宋_GB2312"/>
                <w:b/>
                <w:bCs/>
                <w:color w:val="auto"/>
                <w:szCs w:val="21"/>
                <w:highlight w:val="none"/>
              </w:rPr>
            </w:pPr>
            <w:r>
              <w:rPr>
                <w:rFonts w:hint="eastAsia" w:ascii="仿宋" w:hAnsi="仿宋" w:eastAsia="仿宋" w:cs="仿宋_GB2312"/>
                <w:b/>
                <w:bCs/>
                <w:color w:val="auto"/>
                <w:szCs w:val="21"/>
                <w:highlight w:val="none"/>
              </w:rPr>
              <w:t>客观分</w:t>
            </w:r>
          </w:p>
        </w:tc>
        <w:tc>
          <w:tcPr>
            <w:tcW w:w="1339" w:type="dxa"/>
            <w:vMerge w:val="continue"/>
            <w:noWrap w:val="0"/>
            <w:vAlign w:val="center"/>
          </w:tcPr>
          <w:p w14:paraId="52B4A3FE">
            <w:pPr>
              <w:snapToGrid w:val="0"/>
              <w:jc w:val="center"/>
              <w:rPr>
                <w:rFonts w:ascii="仿宋" w:hAnsi="仿宋" w:eastAsia="仿宋" w:cs="仿宋"/>
                <w:b/>
                <w:color w:val="auto"/>
                <w:szCs w:val="21"/>
                <w:highlight w:val="none"/>
              </w:rPr>
            </w:pPr>
          </w:p>
        </w:tc>
      </w:tr>
      <w:tr w14:paraId="57CE3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481" w:type="dxa"/>
            <w:noWrap w:val="0"/>
            <w:vAlign w:val="center"/>
          </w:tcPr>
          <w:p w14:paraId="0D60BC4C">
            <w:pPr>
              <w:snapToGrid w:val="0"/>
              <w:jc w:val="center"/>
              <w:rPr>
                <w:rFonts w:ascii="仿宋" w:hAnsi="仿宋" w:eastAsia="仿宋" w:cs="仿宋"/>
                <w:color w:val="auto"/>
                <w:szCs w:val="21"/>
                <w:highlight w:val="none"/>
              </w:rPr>
            </w:pPr>
            <w:r>
              <w:rPr>
                <w:rFonts w:hint="eastAsia" w:ascii="仿宋" w:hAnsi="仿宋" w:eastAsia="仿宋" w:cs="仿宋"/>
                <w:color w:val="auto"/>
                <w:szCs w:val="21"/>
                <w:highlight w:val="none"/>
              </w:rPr>
              <w:t>1</w:t>
            </w:r>
            <w:r>
              <w:rPr>
                <w:rFonts w:ascii="仿宋" w:hAnsi="仿宋" w:eastAsia="仿宋" w:cs="仿宋"/>
                <w:color w:val="auto"/>
                <w:szCs w:val="21"/>
                <w:highlight w:val="none"/>
              </w:rPr>
              <w:t>0</w:t>
            </w:r>
          </w:p>
        </w:tc>
        <w:tc>
          <w:tcPr>
            <w:tcW w:w="6602" w:type="dxa"/>
            <w:noWrap w:val="0"/>
            <w:vAlign w:val="center"/>
          </w:tcPr>
          <w:p w14:paraId="1DCCAD8B">
            <w:pPr>
              <w:pStyle w:val="79"/>
              <w:ind w:left="0" w:leftChars="0" w:firstLine="226" w:firstLineChars="108"/>
              <w:rPr>
                <w:rFonts w:ascii="仿宋" w:hAnsi="仿宋" w:eastAsia="仿宋" w:cs="仿宋"/>
                <w:color w:val="auto"/>
                <w:szCs w:val="21"/>
                <w:highlight w:val="none"/>
              </w:rPr>
            </w:pPr>
            <w:r>
              <w:rPr>
                <w:rFonts w:hint="eastAsia" w:ascii="仿宋" w:hAnsi="仿宋" w:eastAsia="仿宋" w:cs="仿宋"/>
                <w:color w:val="auto"/>
                <w:szCs w:val="21"/>
                <w:highlight w:val="none"/>
              </w:rPr>
              <w:t>投标人针对</w:t>
            </w:r>
            <w:r>
              <w:rPr>
                <w:rFonts w:hint="eastAsia" w:ascii="仿宋" w:hAnsi="仿宋" w:eastAsia="仿宋" w:cs="仿宋"/>
                <w:b/>
                <w:color w:val="auto"/>
                <w:szCs w:val="21"/>
                <w:highlight w:val="none"/>
              </w:rPr>
              <w:t>涉网诈骗预感探测数据服务</w:t>
            </w:r>
            <w:r>
              <w:rPr>
                <w:rFonts w:hint="eastAsia" w:ascii="仿宋" w:hAnsi="仿宋" w:eastAsia="仿宋" w:cs="仿宋"/>
                <w:bCs/>
                <w:color w:val="auto"/>
                <w:szCs w:val="21"/>
                <w:highlight w:val="none"/>
              </w:rPr>
              <w:t>承诺</w:t>
            </w:r>
            <w:r>
              <w:rPr>
                <w:rFonts w:hint="eastAsia" w:ascii="仿宋" w:hAnsi="仿宋" w:eastAsia="仿宋" w:cs="仿宋"/>
                <w:b/>
                <w:color w:val="auto"/>
                <w:szCs w:val="21"/>
                <w:highlight w:val="none"/>
              </w:rPr>
              <w:t>，</w:t>
            </w:r>
            <w:r>
              <w:rPr>
                <w:rFonts w:hint="eastAsia" w:ascii="仿宋" w:hAnsi="仿宋" w:eastAsia="仿宋"/>
                <w:color w:val="auto"/>
                <w:szCs w:val="21"/>
                <w:highlight w:val="none"/>
              </w:rPr>
              <w:t>服务期内完成监测数据推送</w:t>
            </w:r>
            <w:r>
              <w:rPr>
                <w:rFonts w:hint="eastAsia" w:ascii="仿宋" w:hAnsi="仿宋" w:eastAsia="仿宋"/>
                <w:color w:val="auto"/>
                <w:szCs w:val="21"/>
                <w:highlight w:val="none"/>
              </w:rPr>
              <w:t>不少于</w:t>
            </w:r>
            <w:r>
              <w:rPr>
                <w:rFonts w:hint="eastAsia" w:ascii="仿宋" w:hAnsi="仿宋" w:eastAsia="仿宋"/>
                <w:color w:val="auto"/>
                <w:szCs w:val="21"/>
                <w:highlight w:val="none"/>
                <w:lang w:val="en-US" w:eastAsia="zh-CN"/>
              </w:rPr>
              <w:t>38</w:t>
            </w:r>
            <w:r>
              <w:rPr>
                <w:rFonts w:hint="eastAsia" w:ascii="仿宋" w:hAnsi="仿宋" w:eastAsia="仿宋"/>
                <w:color w:val="auto"/>
                <w:szCs w:val="21"/>
                <w:highlight w:val="none"/>
              </w:rPr>
              <w:t>0000条</w:t>
            </w:r>
            <w:r>
              <w:rPr>
                <w:rFonts w:hint="eastAsia" w:ascii="仿宋" w:hAnsi="仿宋" w:eastAsia="仿宋" w:cs="仿宋"/>
                <w:color w:val="auto"/>
                <w:szCs w:val="21"/>
                <w:highlight w:val="none"/>
              </w:rPr>
              <w:t>。</w:t>
            </w:r>
            <w:r>
              <w:rPr>
                <w:rFonts w:hint="eastAsia" w:ascii="仿宋" w:hAnsi="仿宋" w:eastAsia="仿宋"/>
                <w:color w:val="auto"/>
                <w:highlight w:val="none"/>
              </w:rPr>
              <w:t>提供承诺并全部符合采购需求的得</w:t>
            </w:r>
            <w:r>
              <w:rPr>
                <w:rFonts w:ascii="仿宋" w:hAnsi="仿宋" w:eastAsia="仿宋"/>
                <w:color w:val="auto"/>
                <w:highlight w:val="none"/>
              </w:rPr>
              <w:t>3</w:t>
            </w:r>
            <w:r>
              <w:rPr>
                <w:rFonts w:hint="eastAsia" w:ascii="仿宋" w:hAnsi="仿宋" w:eastAsia="仿宋"/>
                <w:color w:val="auto"/>
                <w:highlight w:val="none"/>
              </w:rPr>
              <w:t>分，无承诺或未全部满足的不得分。</w:t>
            </w:r>
          </w:p>
        </w:tc>
        <w:tc>
          <w:tcPr>
            <w:tcW w:w="709" w:type="dxa"/>
            <w:noWrap w:val="0"/>
            <w:vAlign w:val="center"/>
          </w:tcPr>
          <w:p w14:paraId="11755D6D">
            <w:pPr>
              <w:snapToGrid w:val="0"/>
              <w:jc w:val="center"/>
              <w:rPr>
                <w:rFonts w:ascii="仿宋" w:hAnsi="仿宋" w:eastAsia="仿宋" w:cs="仿宋"/>
                <w:b/>
                <w:color w:val="auto"/>
                <w:szCs w:val="21"/>
                <w:highlight w:val="none"/>
              </w:rPr>
            </w:pPr>
            <w:r>
              <w:rPr>
                <w:rFonts w:ascii="仿宋" w:hAnsi="仿宋" w:eastAsia="仿宋" w:cs="仿宋"/>
                <w:b/>
                <w:color w:val="auto"/>
                <w:szCs w:val="21"/>
                <w:highlight w:val="none"/>
              </w:rPr>
              <w:t>3</w:t>
            </w:r>
          </w:p>
        </w:tc>
        <w:tc>
          <w:tcPr>
            <w:tcW w:w="1042" w:type="dxa"/>
            <w:noWrap w:val="0"/>
            <w:vAlign w:val="center"/>
          </w:tcPr>
          <w:p w14:paraId="1ECA578F">
            <w:pPr>
              <w:snapToGrid w:val="0"/>
              <w:jc w:val="center"/>
              <w:rPr>
                <w:rFonts w:ascii="仿宋" w:hAnsi="仿宋" w:eastAsia="仿宋" w:cs="仿宋_GB2312"/>
                <w:b/>
                <w:bCs/>
                <w:color w:val="auto"/>
                <w:szCs w:val="21"/>
                <w:highlight w:val="none"/>
              </w:rPr>
            </w:pPr>
            <w:r>
              <w:rPr>
                <w:rFonts w:hint="eastAsia" w:ascii="仿宋" w:hAnsi="仿宋" w:eastAsia="仿宋" w:cs="仿宋_GB2312"/>
                <w:b/>
                <w:bCs/>
                <w:color w:val="auto"/>
                <w:szCs w:val="21"/>
                <w:highlight w:val="none"/>
              </w:rPr>
              <w:t>客观分</w:t>
            </w:r>
          </w:p>
        </w:tc>
        <w:tc>
          <w:tcPr>
            <w:tcW w:w="1339" w:type="dxa"/>
            <w:vMerge w:val="continue"/>
            <w:noWrap w:val="0"/>
            <w:vAlign w:val="center"/>
          </w:tcPr>
          <w:p w14:paraId="114C9AE8">
            <w:pPr>
              <w:snapToGrid w:val="0"/>
              <w:jc w:val="center"/>
              <w:rPr>
                <w:rFonts w:ascii="仿宋" w:hAnsi="仿宋" w:eastAsia="仿宋" w:cs="仿宋"/>
                <w:b/>
                <w:color w:val="auto"/>
                <w:szCs w:val="21"/>
                <w:highlight w:val="none"/>
              </w:rPr>
            </w:pPr>
          </w:p>
        </w:tc>
      </w:tr>
      <w:tr w14:paraId="69C2A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481" w:type="dxa"/>
            <w:noWrap w:val="0"/>
            <w:vAlign w:val="center"/>
          </w:tcPr>
          <w:p w14:paraId="6275D462">
            <w:pPr>
              <w:snapToGrid w:val="0"/>
              <w:jc w:val="center"/>
              <w:rPr>
                <w:rFonts w:ascii="仿宋" w:hAnsi="仿宋" w:eastAsia="仿宋" w:cs="仿宋"/>
                <w:color w:val="auto"/>
                <w:szCs w:val="21"/>
                <w:highlight w:val="none"/>
              </w:rPr>
            </w:pPr>
            <w:r>
              <w:rPr>
                <w:rFonts w:hint="eastAsia" w:ascii="仿宋" w:hAnsi="仿宋" w:eastAsia="仿宋" w:cs="仿宋"/>
                <w:color w:val="auto"/>
                <w:szCs w:val="21"/>
                <w:highlight w:val="none"/>
              </w:rPr>
              <w:t>1</w:t>
            </w:r>
            <w:r>
              <w:rPr>
                <w:rFonts w:ascii="仿宋" w:hAnsi="仿宋" w:eastAsia="仿宋" w:cs="仿宋"/>
                <w:color w:val="auto"/>
                <w:szCs w:val="21"/>
                <w:highlight w:val="none"/>
              </w:rPr>
              <w:t>1</w:t>
            </w:r>
          </w:p>
        </w:tc>
        <w:tc>
          <w:tcPr>
            <w:tcW w:w="6602" w:type="dxa"/>
            <w:noWrap w:val="0"/>
            <w:vAlign w:val="center"/>
          </w:tcPr>
          <w:p w14:paraId="79C92FE8">
            <w:pPr>
              <w:pStyle w:val="79"/>
              <w:ind w:left="0" w:leftChars="0" w:firstLine="226" w:firstLineChars="108"/>
              <w:rPr>
                <w:rFonts w:ascii="仿宋" w:hAnsi="仿宋" w:eastAsia="仿宋" w:cs="仿宋"/>
                <w:color w:val="auto"/>
                <w:szCs w:val="21"/>
                <w:highlight w:val="none"/>
              </w:rPr>
            </w:pPr>
            <w:r>
              <w:rPr>
                <w:rFonts w:hint="eastAsia" w:ascii="仿宋" w:hAnsi="仿宋" w:eastAsia="仿宋" w:cs="仿宋"/>
                <w:color w:val="auto"/>
                <w:szCs w:val="21"/>
                <w:highlight w:val="none"/>
              </w:rPr>
              <w:t>投标人针对</w:t>
            </w:r>
            <w:r>
              <w:rPr>
                <w:rFonts w:hint="eastAsia" w:ascii="仿宋" w:hAnsi="仿宋" w:eastAsia="仿宋" w:cs="仿宋"/>
                <w:b/>
                <w:color w:val="auto"/>
                <w:szCs w:val="21"/>
                <w:highlight w:val="none"/>
              </w:rPr>
              <w:t>涉网新型案件行为分析服务</w:t>
            </w:r>
            <w:r>
              <w:rPr>
                <w:rFonts w:hint="eastAsia" w:ascii="仿宋" w:hAnsi="仿宋" w:eastAsia="仿宋" w:cs="仿宋"/>
                <w:bCs/>
                <w:color w:val="auto"/>
                <w:szCs w:val="21"/>
                <w:highlight w:val="none"/>
              </w:rPr>
              <w:t>承诺</w:t>
            </w:r>
            <w:r>
              <w:rPr>
                <w:rFonts w:hint="eastAsia" w:ascii="仿宋" w:hAnsi="仿宋" w:eastAsia="仿宋" w:cs="仿宋"/>
                <w:b/>
                <w:color w:val="auto"/>
                <w:szCs w:val="21"/>
                <w:highlight w:val="none"/>
              </w:rPr>
              <w:t>，</w:t>
            </w:r>
            <w:r>
              <w:rPr>
                <w:rFonts w:hint="eastAsia" w:ascii="仿宋" w:hAnsi="仿宋" w:eastAsia="仿宋" w:cs="仿宋"/>
                <w:color w:val="auto"/>
                <w:highlight w:val="none"/>
                <w:lang w:val="zh-CN"/>
              </w:rPr>
              <w:t>①</w:t>
            </w:r>
            <w:r>
              <w:rPr>
                <w:rFonts w:hint="eastAsia" w:ascii="仿宋" w:hAnsi="仿宋" w:eastAsia="仿宋" w:cs="仿宋"/>
                <w:color w:val="auto"/>
                <w:szCs w:val="21"/>
                <w:highlight w:val="none"/>
              </w:rPr>
              <w:t>提供涉诈设备大数据辅助分析和涉网新型行为分析服务</w:t>
            </w:r>
            <w:r>
              <w:rPr>
                <w:rFonts w:hint="eastAsia" w:ascii="仿宋" w:hAnsi="仿宋" w:eastAsia="仿宋" w:cs="仿宋"/>
                <w:color w:val="auto"/>
                <w:szCs w:val="21"/>
                <w:highlight w:val="none"/>
              </w:rPr>
              <w:t>不少于</w:t>
            </w:r>
            <w:r>
              <w:rPr>
                <w:rFonts w:hint="eastAsia" w:ascii="仿宋" w:hAnsi="仿宋" w:eastAsia="仿宋" w:cs="仿宋"/>
                <w:color w:val="auto"/>
                <w:szCs w:val="21"/>
                <w:highlight w:val="none"/>
                <w:lang w:val="en-US" w:eastAsia="zh-CN"/>
              </w:rPr>
              <w:t>10</w:t>
            </w:r>
            <w:r>
              <w:rPr>
                <w:rFonts w:hint="eastAsia" w:ascii="仿宋" w:hAnsi="仿宋" w:eastAsia="仿宋" w:cs="仿宋"/>
                <w:color w:val="auto"/>
                <w:szCs w:val="21"/>
                <w:highlight w:val="none"/>
              </w:rPr>
              <w:t>次</w:t>
            </w:r>
            <w:r>
              <w:rPr>
                <w:rFonts w:hint="eastAsia" w:ascii="仿宋" w:hAnsi="仿宋" w:eastAsia="仿宋" w:cs="仿宋"/>
                <w:color w:val="auto"/>
                <w:szCs w:val="21"/>
                <w:highlight w:val="none"/>
              </w:rPr>
              <w:t>；</w:t>
            </w:r>
            <w:r>
              <w:rPr>
                <w:rFonts w:hint="eastAsia" w:ascii="仿宋" w:hAnsi="仿宋" w:eastAsia="仿宋" w:cs="仿宋"/>
                <w:color w:val="auto"/>
                <w:highlight w:val="none"/>
                <w:lang w:val="zh-CN"/>
              </w:rPr>
              <w:t>②</w:t>
            </w:r>
            <w:r>
              <w:rPr>
                <w:rFonts w:hint="eastAsia" w:ascii="仿宋" w:hAnsi="仿宋" w:eastAsia="仿宋"/>
                <w:color w:val="auto"/>
                <w:szCs w:val="21"/>
                <w:highlight w:val="none"/>
              </w:rPr>
              <w:t>提供输出</w:t>
            </w:r>
            <w:r>
              <w:rPr>
                <w:rFonts w:ascii="仿宋" w:hAnsi="仿宋" w:eastAsia="仿宋"/>
                <w:color w:val="auto"/>
                <w:szCs w:val="21"/>
                <w:highlight w:val="none"/>
              </w:rPr>
              <w:t>C类分析报告</w:t>
            </w:r>
            <w:r>
              <w:rPr>
                <w:rFonts w:ascii="仿宋" w:hAnsi="仿宋" w:eastAsia="仿宋"/>
                <w:color w:val="auto"/>
                <w:szCs w:val="21"/>
                <w:highlight w:val="none"/>
              </w:rPr>
              <w:t>不少于</w:t>
            </w:r>
            <w:r>
              <w:rPr>
                <w:rFonts w:hint="eastAsia" w:ascii="仿宋" w:hAnsi="仿宋" w:eastAsia="仿宋"/>
                <w:color w:val="auto"/>
                <w:szCs w:val="21"/>
                <w:highlight w:val="none"/>
                <w:lang w:val="en-US" w:eastAsia="zh-CN"/>
              </w:rPr>
              <w:t>18</w:t>
            </w:r>
            <w:r>
              <w:rPr>
                <w:rFonts w:ascii="仿宋" w:hAnsi="仿宋" w:eastAsia="仿宋"/>
                <w:color w:val="auto"/>
                <w:szCs w:val="21"/>
                <w:highlight w:val="none"/>
              </w:rPr>
              <w:t>份</w:t>
            </w:r>
            <w:r>
              <w:rPr>
                <w:rFonts w:hint="eastAsia" w:ascii="仿宋" w:hAnsi="仿宋" w:eastAsia="仿宋" w:cs="仿宋"/>
                <w:color w:val="auto"/>
                <w:szCs w:val="21"/>
                <w:highlight w:val="none"/>
              </w:rPr>
              <w:t>；</w:t>
            </w:r>
            <w:r>
              <w:rPr>
                <w:rFonts w:hint="eastAsia" w:ascii="仿宋" w:hAnsi="仿宋" w:eastAsia="仿宋" w:cs="仿宋"/>
                <w:color w:val="auto"/>
                <w:highlight w:val="none"/>
              </w:rPr>
              <w:t>提供承诺并符合要求的每一项满足得</w:t>
            </w:r>
            <w:r>
              <w:rPr>
                <w:rFonts w:ascii="仿宋" w:hAnsi="仿宋" w:eastAsia="仿宋" w:cs="仿宋"/>
                <w:color w:val="auto"/>
                <w:highlight w:val="none"/>
              </w:rPr>
              <w:t>2</w:t>
            </w:r>
            <w:r>
              <w:rPr>
                <w:rFonts w:hint="eastAsia" w:ascii="仿宋" w:hAnsi="仿宋" w:eastAsia="仿宋" w:cs="仿宋"/>
                <w:color w:val="auto"/>
                <w:highlight w:val="none"/>
              </w:rPr>
              <w:t>分，未提供或不满足的不得分，</w:t>
            </w:r>
            <w:r>
              <w:rPr>
                <w:rFonts w:hint="eastAsia" w:ascii="仿宋" w:hAnsi="仿宋" w:eastAsia="仿宋" w:cs="仿宋"/>
                <w:b/>
                <w:color w:val="auto"/>
                <w:highlight w:val="none"/>
              </w:rPr>
              <w:t>最高得</w:t>
            </w:r>
            <w:r>
              <w:rPr>
                <w:rFonts w:ascii="仿宋" w:hAnsi="仿宋" w:eastAsia="仿宋" w:cs="仿宋"/>
                <w:b/>
                <w:color w:val="auto"/>
                <w:highlight w:val="none"/>
              </w:rPr>
              <w:t>4</w:t>
            </w:r>
            <w:r>
              <w:rPr>
                <w:rFonts w:hint="eastAsia" w:ascii="仿宋" w:hAnsi="仿宋" w:eastAsia="仿宋" w:cs="仿宋"/>
                <w:b/>
                <w:color w:val="auto"/>
                <w:highlight w:val="none"/>
              </w:rPr>
              <w:t>分。</w:t>
            </w:r>
          </w:p>
        </w:tc>
        <w:tc>
          <w:tcPr>
            <w:tcW w:w="709" w:type="dxa"/>
            <w:noWrap w:val="0"/>
            <w:vAlign w:val="center"/>
          </w:tcPr>
          <w:p w14:paraId="435E2053">
            <w:pPr>
              <w:snapToGrid w:val="0"/>
              <w:jc w:val="center"/>
              <w:rPr>
                <w:rFonts w:ascii="仿宋" w:hAnsi="仿宋" w:eastAsia="仿宋" w:cs="仿宋"/>
                <w:b/>
                <w:color w:val="auto"/>
                <w:szCs w:val="21"/>
                <w:highlight w:val="none"/>
              </w:rPr>
            </w:pPr>
            <w:r>
              <w:rPr>
                <w:rFonts w:ascii="仿宋" w:hAnsi="仿宋" w:eastAsia="仿宋" w:cs="仿宋"/>
                <w:b/>
                <w:color w:val="auto"/>
                <w:szCs w:val="21"/>
                <w:highlight w:val="none"/>
              </w:rPr>
              <w:t>4</w:t>
            </w:r>
          </w:p>
        </w:tc>
        <w:tc>
          <w:tcPr>
            <w:tcW w:w="1042" w:type="dxa"/>
            <w:noWrap w:val="0"/>
            <w:vAlign w:val="center"/>
          </w:tcPr>
          <w:p w14:paraId="2BE587B3">
            <w:pPr>
              <w:snapToGrid w:val="0"/>
              <w:jc w:val="center"/>
              <w:rPr>
                <w:rFonts w:ascii="仿宋" w:hAnsi="仿宋" w:eastAsia="仿宋" w:cs="仿宋_GB2312"/>
                <w:b/>
                <w:bCs/>
                <w:color w:val="auto"/>
                <w:szCs w:val="21"/>
                <w:highlight w:val="none"/>
              </w:rPr>
            </w:pPr>
            <w:r>
              <w:rPr>
                <w:rFonts w:hint="eastAsia" w:ascii="仿宋" w:hAnsi="仿宋" w:eastAsia="仿宋" w:cs="仿宋_GB2312"/>
                <w:b/>
                <w:bCs/>
                <w:color w:val="auto"/>
                <w:szCs w:val="21"/>
                <w:highlight w:val="none"/>
              </w:rPr>
              <w:t>客观分</w:t>
            </w:r>
          </w:p>
        </w:tc>
        <w:tc>
          <w:tcPr>
            <w:tcW w:w="1339" w:type="dxa"/>
            <w:vMerge w:val="continue"/>
            <w:noWrap w:val="0"/>
            <w:vAlign w:val="center"/>
          </w:tcPr>
          <w:p w14:paraId="7D2695EE">
            <w:pPr>
              <w:snapToGrid w:val="0"/>
              <w:jc w:val="center"/>
              <w:rPr>
                <w:rFonts w:ascii="仿宋" w:hAnsi="仿宋" w:eastAsia="仿宋" w:cs="仿宋"/>
                <w:b/>
                <w:color w:val="auto"/>
                <w:szCs w:val="21"/>
                <w:highlight w:val="none"/>
              </w:rPr>
            </w:pPr>
          </w:p>
        </w:tc>
      </w:tr>
      <w:tr w14:paraId="25379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481" w:type="dxa"/>
            <w:noWrap w:val="0"/>
            <w:vAlign w:val="center"/>
          </w:tcPr>
          <w:p w14:paraId="07AC1C20">
            <w:pPr>
              <w:snapToGrid w:val="0"/>
              <w:jc w:val="center"/>
              <w:rPr>
                <w:rFonts w:ascii="仿宋" w:hAnsi="仿宋" w:eastAsia="仿宋" w:cs="仿宋"/>
                <w:color w:val="auto"/>
                <w:szCs w:val="21"/>
                <w:highlight w:val="none"/>
              </w:rPr>
            </w:pPr>
            <w:r>
              <w:rPr>
                <w:rFonts w:hint="eastAsia" w:ascii="仿宋" w:hAnsi="仿宋" w:eastAsia="仿宋" w:cs="仿宋"/>
                <w:color w:val="auto"/>
                <w:szCs w:val="21"/>
                <w:highlight w:val="none"/>
              </w:rPr>
              <w:t>1</w:t>
            </w:r>
            <w:r>
              <w:rPr>
                <w:rFonts w:ascii="仿宋" w:hAnsi="仿宋" w:eastAsia="仿宋" w:cs="仿宋"/>
                <w:color w:val="auto"/>
                <w:szCs w:val="21"/>
                <w:highlight w:val="none"/>
              </w:rPr>
              <w:t>2</w:t>
            </w:r>
          </w:p>
        </w:tc>
        <w:tc>
          <w:tcPr>
            <w:tcW w:w="6602" w:type="dxa"/>
            <w:noWrap w:val="0"/>
            <w:vAlign w:val="center"/>
          </w:tcPr>
          <w:p w14:paraId="305ACCC8">
            <w:pPr>
              <w:pStyle w:val="79"/>
              <w:ind w:left="0" w:leftChars="0" w:firstLine="226" w:firstLineChars="108"/>
              <w:rPr>
                <w:rFonts w:ascii="仿宋" w:hAnsi="仿宋" w:eastAsia="仿宋" w:cs="仿宋"/>
                <w:color w:val="auto"/>
                <w:szCs w:val="21"/>
                <w:highlight w:val="none"/>
              </w:rPr>
            </w:pPr>
            <w:r>
              <w:rPr>
                <w:rFonts w:hint="eastAsia" w:ascii="仿宋" w:hAnsi="仿宋" w:eastAsia="仿宋" w:cs="仿宋"/>
                <w:color w:val="auto"/>
                <w:szCs w:val="21"/>
                <w:highlight w:val="none"/>
              </w:rPr>
              <w:t>投标人针对</w:t>
            </w:r>
            <w:r>
              <w:rPr>
                <w:rFonts w:hint="eastAsia" w:ascii="仿宋" w:hAnsi="仿宋" w:eastAsia="仿宋" w:cs="仿宋"/>
                <w:b/>
                <w:color w:val="auto"/>
                <w:szCs w:val="21"/>
                <w:highlight w:val="none"/>
              </w:rPr>
              <w:t>新型涉网案件智勘联侦分析服务</w:t>
            </w:r>
            <w:r>
              <w:rPr>
                <w:rFonts w:hint="eastAsia" w:ascii="仿宋" w:hAnsi="仿宋" w:eastAsia="仿宋" w:cs="仿宋"/>
                <w:bCs/>
                <w:color w:val="auto"/>
                <w:szCs w:val="21"/>
                <w:highlight w:val="none"/>
              </w:rPr>
              <w:t>承诺</w:t>
            </w:r>
            <w:r>
              <w:rPr>
                <w:rFonts w:hint="eastAsia" w:ascii="仿宋" w:hAnsi="仿宋" w:eastAsia="仿宋" w:cs="仿宋"/>
                <w:b/>
                <w:color w:val="auto"/>
                <w:szCs w:val="21"/>
                <w:highlight w:val="none"/>
              </w:rPr>
              <w:t>，</w:t>
            </w:r>
            <w:r>
              <w:rPr>
                <w:rFonts w:hint="eastAsia" w:ascii="仿宋" w:hAnsi="仿宋" w:eastAsia="仿宋" w:cs="仿宋"/>
                <w:color w:val="auto"/>
                <w:highlight w:val="none"/>
                <w:lang w:val="zh-CN"/>
              </w:rPr>
              <w:t>①</w:t>
            </w:r>
            <w:r>
              <w:rPr>
                <w:rFonts w:hint="eastAsia" w:ascii="仿宋" w:hAnsi="仿宋" w:eastAsia="仿宋" w:cs="仿宋"/>
                <w:color w:val="auto"/>
                <w:kern w:val="0"/>
                <w:szCs w:val="21"/>
                <w:highlight w:val="none"/>
                <w:lang w:bidi="ar"/>
              </w:rPr>
              <w:t>提供取证数据深度智能分析、研判支撑等案件服务</w:t>
            </w:r>
            <w:r>
              <w:rPr>
                <w:rFonts w:hint="eastAsia" w:ascii="仿宋" w:hAnsi="仿宋" w:eastAsia="仿宋" w:cs="仿宋"/>
                <w:color w:val="auto"/>
                <w:kern w:val="0"/>
                <w:szCs w:val="21"/>
                <w:highlight w:val="none"/>
                <w:lang w:bidi="ar"/>
              </w:rPr>
              <w:t>不少于</w:t>
            </w:r>
            <w:r>
              <w:rPr>
                <w:rFonts w:hint="eastAsia" w:ascii="仿宋" w:hAnsi="仿宋" w:eastAsia="仿宋" w:cs="仿宋"/>
                <w:color w:val="auto"/>
                <w:kern w:val="0"/>
                <w:szCs w:val="21"/>
                <w:highlight w:val="none"/>
                <w:lang w:val="en-US" w:eastAsia="zh-CN" w:bidi="ar"/>
              </w:rPr>
              <w:t>6</w:t>
            </w:r>
            <w:r>
              <w:rPr>
                <w:rFonts w:hint="eastAsia" w:ascii="仿宋" w:hAnsi="仿宋" w:eastAsia="仿宋" w:cs="仿宋"/>
                <w:color w:val="auto"/>
                <w:kern w:val="0"/>
                <w:szCs w:val="21"/>
                <w:highlight w:val="none"/>
                <w:lang w:bidi="ar"/>
              </w:rPr>
              <w:t>个</w:t>
            </w:r>
            <w:r>
              <w:rPr>
                <w:rFonts w:hint="eastAsia" w:ascii="仿宋" w:hAnsi="仿宋" w:eastAsia="仿宋" w:cs="仿宋"/>
                <w:color w:val="auto"/>
                <w:kern w:val="0"/>
                <w:szCs w:val="21"/>
                <w:highlight w:val="none"/>
                <w:lang w:bidi="ar"/>
              </w:rPr>
              <w:t>，</w:t>
            </w:r>
            <w:r>
              <w:rPr>
                <w:rFonts w:hint="eastAsia" w:ascii="仿宋" w:hAnsi="仿宋" w:eastAsia="仿宋"/>
                <w:color w:val="auto"/>
                <w:szCs w:val="21"/>
                <w:highlight w:val="none"/>
              </w:rPr>
              <w:t>输出</w:t>
            </w:r>
            <w:r>
              <w:rPr>
                <w:rFonts w:ascii="仿宋" w:hAnsi="仿宋" w:eastAsia="仿宋"/>
                <w:color w:val="auto"/>
                <w:szCs w:val="21"/>
                <w:highlight w:val="none"/>
              </w:rPr>
              <w:t>C类分析报告</w:t>
            </w:r>
            <w:r>
              <w:rPr>
                <w:rFonts w:hint="eastAsia" w:ascii="仿宋" w:hAnsi="仿宋" w:eastAsia="仿宋"/>
                <w:color w:val="auto"/>
                <w:szCs w:val="21"/>
                <w:highlight w:val="none"/>
              </w:rPr>
              <w:t>不少于</w:t>
            </w:r>
            <w:r>
              <w:rPr>
                <w:rFonts w:hint="eastAsia" w:ascii="仿宋" w:hAnsi="仿宋" w:eastAsia="仿宋"/>
                <w:color w:val="auto"/>
                <w:szCs w:val="21"/>
                <w:highlight w:val="none"/>
                <w:lang w:val="en-US" w:eastAsia="zh-CN"/>
              </w:rPr>
              <w:t>9</w:t>
            </w:r>
            <w:r>
              <w:rPr>
                <w:rFonts w:ascii="仿宋" w:hAnsi="仿宋" w:eastAsia="仿宋"/>
                <w:color w:val="auto"/>
                <w:szCs w:val="21"/>
                <w:highlight w:val="none"/>
              </w:rPr>
              <w:t>份</w:t>
            </w:r>
            <w:r>
              <w:rPr>
                <w:rFonts w:hint="eastAsia" w:ascii="仿宋" w:hAnsi="仿宋" w:eastAsia="仿宋" w:cs="仿宋"/>
                <w:color w:val="auto"/>
                <w:kern w:val="0"/>
                <w:szCs w:val="21"/>
                <w:highlight w:val="none"/>
                <w:lang w:bidi="ar"/>
              </w:rPr>
              <w:t>；</w:t>
            </w:r>
            <w:r>
              <w:rPr>
                <w:rFonts w:hint="eastAsia" w:ascii="仿宋" w:hAnsi="仿宋" w:eastAsia="仿宋" w:cs="仿宋"/>
                <w:color w:val="auto"/>
                <w:highlight w:val="none"/>
                <w:lang w:val="zh-CN"/>
              </w:rPr>
              <w:t>②</w:t>
            </w:r>
            <w:r>
              <w:rPr>
                <w:rFonts w:hint="eastAsia" w:ascii="仿宋" w:hAnsi="仿宋" w:eastAsia="仿宋" w:cs="仿宋"/>
                <w:color w:val="auto"/>
                <w:kern w:val="0"/>
                <w:szCs w:val="21"/>
                <w:highlight w:val="none"/>
                <w:lang w:bidi="ar"/>
              </w:rPr>
              <w:t>提供涉案数据推送、数据信息查询等案件服务</w:t>
            </w:r>
            <w:r>
              <w:rPr>
                <w:rFonts w:hint="eastAsia" w:ascii="仿宋" w:hAnsi="仿宋" w:eastAsia="仿宋" w:cs="仿宋"/>
                <w:color w:val="auto"/>
                <w:kern w:val="0"/>
                <w:szCs w:val="21"/>
                <w:highlight w:val="none"/>
                <w:lang w:bidi="ar"/>
              </w:rPr>
              <w:t>不少于5个</w:t>
            </w:r>
            <w:r>
              <w:rPr>
                <w:rFonts w:hint="eastAsia" w:ascii="仿宋" w:hAnsi="仿宋" w:eastAsia="仿宋" w:cs="仿宋"/>
                <w:color w:val="auto"/>
                <w:kern w:val="0"/>
                <w:szCs w:val="21"/>
                <w:highlight w:val="none"/>
                <w:lang w:bidi="ar"/>
              </w:rPr>
              <w:t>，</w:t>
            </w:r>
            <w:r>
              <w:rPr>
                <w:rFonts w:hint="eastAsia" w:ascii="仿宋" w:hAnsi="仿宋" w:eastAsia="仿宋"/>
                <w:color w:val="auto"/>
                <w:szCs w:val="21"/>
                <w:highlight w:val="none"/>
              </w:rPr>
              <w:t>输出</w:t>
            </w:r>
            <w:r>
              <w:rPr>
                <w:rFonts w:ascii="仿宋" w:hAnsi="仿宋" w:eastAsia="仿宋"/>
                <w:color w:val="auto"/>
                <w:szCs w:val="21"/>
                <w:highlight w:val="none"/>
              </w:rPr>
              <w:t>C类分析报告</w:t>
            </w:r>
            <w:r>
              <w:rPr>
                <w:rFonts w:hint="eastAsia" w:ascii="仿宋" w:hAnsi="仿宋" w:eastAsia="仿宋"/>
                <w:color w:val="auto"/>
                <w:szCs w:val="21"/>
                <w:highlight w:val="none"/>
              </w:rPr>
              <w:t>不少于</w:t>
            </w:r>
            <w:r>
              <w:rPr>
                <w:rFonts w:hint="eastAsia" w:ascii="仿宋" w:hAnsi="仿宋" w:eastAsia="仿宋"/>
                <w:color w:val="auto"/>
                <w:szCs w:val="21"/>
                <w:highlight w:val="none"/>
                <w:lang w:val="en-US" w:eastAsia="zh-CN"/>
              </w:rPr>
              <w:t>8</w:t>
            </w:r>
            <w:r>
              <w:rPr>
                <w:rFonts w:ascii="仿宋" w:hAnsi="仿宋" w:eastAsia="仿宋"/>
                <w:color w:val="auto"/>
                <w:szCs w:val="21"/>
                <w:highlight w:val="none"/>
              </w:rPr>
              <w:t>份</w:t>
            </w:r>
            <w:r>
              <w:rPr>
                <w:rFonts w:ascii="仿宋" w:hAnsi="仿宋" w:eastAsia="仿宋"/>
                <w:color w:val="auto"/>
                <w:szCs w:val="21"/>
                <w:highlight w:val="none"/>
              </w:rPr>
              <w:t>。</w:t>
            </w:r>
            <w:r>
              <w:rPr>
                <w:rFonts w:hint="eastAsia" w:ascii="仿宋" w:hAnsi="仿宋" w:eastAsia="仿宋" w:cs="仿宋"/>
                <w:color w:val="auto"/>
                <w:highlight w:val="none"/>
              </w:rPr>
              <w:t>提供承诺并符合要求的每一项满足得</w:t>
            </w:r>
            <w:r>
              <w:rPr>
                <w:rFonts w:ascii="仿宋" w:hAnsi="仿宋" w:eastAsia="仿宋" w:cs="仿宋"/>
                <w:color w:val="auto"/>
                <w:highlight w:val="none"/>
              </w:rPr>
              <w:t>2</w:t>
            </w:r>
            <w:r>
              <w:rPr>
                <w:rFonts w:hint="eastAsia" w:ascii="仿宋" w:hAnsi="仿宋" w:eastAsia="仿宋" w:cs="仿宋"/>
                <w:color w:val="auto"/>
                <w:highlight w:val="none"/>
              </w:rPr>
              <w:t>分，未提供或不满足的不得分，</w:t>
            </w:r>
            <w:r>
              <w:rPr>
                <w:rFonts w:hint="eastAsia" w:ascii="仿宋" w:hAnsi="仿宋" w:eastAsia="仿宋" w:cs="仿宋"/>
                <w:b/>
                <w:color w:val="auto"/>
                <w:highlight w:val="none"/>
              </w:rPr>
              <w:t>最高得</w:t>
            </w:r>
            <w:r>
              <w:rPr>
                <w:rFonts w:ascii="仿宋" w:hAnsi="仿宋" w:eastAsia="仿宋" w:cs="仿宋"/>
                <w:b/>
                <w:color w:val="auto"/>
                <w:highlight w:val="none"/>
              </w:rPr>
              <w:t>4</w:t>
            </w:r>
            <w:r>
              <w:rPr>
                <w:rFonts w:hint="eastAsia" w:ascii="仿宋" w:hAnsi="仿宋" w:eastAsia="仿宋" w:cs="仿宋"/>
                <w:b/>
                <w:color w:val="auto"/>
                <w:highlight w:val="none"/>
              </w:rPr>
              <w:t>分。</w:t>
            </w:r>
          </w:p>
        </w:tc>
        <w:tc>
          <w:tcPr>
            <w:tcW w:w="709" w:type="dxa"/>
            <w:noWrap w:val="0"/>
            <w:vAlign w:val="center"/>
          </w:tcPr>
          <w:p w14:paraId="6570E911">
            <w:pPr>
              <w:snapToGrid w:val="0"/>
              <w:jc w:val="center"/>
              <w:rPr>
                <w:rFonts w:ascii="仿宋" w:hAnsi="仿宋" w:eastAsia="仿宋" w:cs="仿宋"/>
                <w:b/>
                <w:color w:val="auto"/>
                <w:szCs w:val="21"/>
                <w:highlight w:val="none"/>
              </w:rPr>
            </w:pPr>
            <w:r>
              <w:rPr>
                <w:rFonts w:ascii="仿宋" w:hAnsi="仿宋" w:eastAsia="仿宋" w:cs="仿宋"/>
                <w:b/>
                <w:color w:val="auto"/>
                <w:szCs w:val="21"/>
                <w:highlight w:val="none"/>
              </w:rPr>
              <w:t>4</w:t>
            </w:r>
          </w:p>
        </w:tc>
        <w:tc>
          <w:tcPr>
            <w:tcW w:w="1042" w:type="dxa"/>
            <w:noWrap w:val="0"/>
            <w:vAlign w:val="center"/>
          </w:tcPr>
          <w:p w14:paraId="7416DE8E">
            <w:pPr>
              <w:snapToGrid w:val="0"/>
              <w:jc w:val="center"/>
              <w:rPr>
                <w:rFonts w:ascii="仿宋" w:hAnsi="仿宋" w:eastAsia="仿宋" w:cs="仿宋_GB2312"/>
                <w:b/>
                <w:bCs/>
                <w:color w:val="auto"/>
                <w:szCs w:val="21"/>
                <w:highlight w:val="none"/>
              </w:rPr>
            </w:pPr>
            <w:r>
              <w:rPr>
                <w:rFonts w:hint="eastAsia" w:ascii="仿宋" w:hAnsi="仿宋" w:eastAsia="仿宋" w:cs="仿宋_GB2312"/>
                <w:b/>
                <w:bCs/>
                <w:color w:val="auto"/>
                <w:szCs w:val="21"/>
                <w:highlight w:val="none"/>
              </w:rPr>
              <w:t>客观分</w:t>
            </w:r>
          </w:p>
        </w:tc>
        <w:tc>
          <w:tcPr>
            <w:tcW w:w="1339" w:type="dxa"/>
            <w:vMerge w:val="continue"/>
            <w:noWrap w:val="0"/>
            <w:vAlign w:val="center"/>
          </w:tcPr>
          <w:p w14:paraId="28B8F1E0">
            <w:pPr>
              <w:snapToGrid w:val="0"/>
              <w:jc w:val="center"/>
              <w:rPr>
                <w:rFonts w:ascii="仿宋" w:hAnsi="仿宋" w:eastAsia="仿宋" w:cs="仿宋"/>
                <w:b/>
                <w:color w:val="auto"/>
                <w:szCs w:val="21"/>
                <w:highlight w:val="none"/>
              </w:rPr>
            </w:pPr>
          </w:p>
        </w:tc>
      </w:tr>
      <w:tr w14:paraId="203DB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481" w:type="dxa"/>
            <w:noWrap w:val="0"/>
            <w:vAlign w:val="center"/>
          </w:tcPr>
          <w:p w14:paraId="1F6F4703">
            <w:pPr>
              <w:snapToGrid w:val="0"/>
              <w:jc w:val="center"/>
              <w:rPr>
                <w:rFonts w:ascii="仿宋" w:hAnsi="仿宋" w:eastAsia="仿宋" w:cs="仿宋"/>
                <w:color w:val="auto"/>
                <w:szCs w:val="21"/>
                <w:highlight w:val="none"/>
              </w:rPr>
            </w:pPr>
            <w:r>
              <w:rPr>
                <w:rFonts w:ascii="仿宋" w:hAnsi="仿宋" w:eastAsia="仿宋" w:cs="仿宋"/>
                <w:color w:val="auto"/>
                <w:szCs w:val="21"/>
                <w:highlight w:val="none"/>
              </w:rPr>
              <w:t>13</w:t>
            </w:r>
          </w:p>
        </w:tc>
        <w:tc>
          <w:tcPr>
            <w:tcW w:w="6602" w:type="dxa"/>
            <w:noWrap w:val="0"/>
            <w:vAlign w:val="center"/>
          </w:tcPr>
          <w:p w14:paraId="584EECE7">
            <w:pPr>
              <w:keepNext w:val="0"/>
              <w:keepLines w:val="0"/>
              <w:pageBreakBefore w:val="0"/>
              <w:widowControl/>
              <w:suppressLineNumbers w:val="0"/>
              <w:kinsoku/>
              <w:wordWrap/>
              <w:overflowPunct/>
              <w:topLinePunct w:val="0"/>
              <w:autoSpaceDE/>
              <w:autoSpaceDN/>
              <w:bidi w:val="0"/>
              <w:spacing w:line="400" w:lineRule="exact"/>
              <w:ind w:firstLine="210" w:firstLineChars="100"/>
              <w:jc w:val="left"/>
              <w:textAlignment w:val="center"/>
              <w:rPr>
                <w:rFonts w:ascii="仿宋" w:hAnsi="仿宋" w:eastAsia="仿宋"/>
                <w:color w:val="auto"/>
                <w:highlight w:val="none"/>
              </w:rPr>
            </w:pPr>
            <w:r>
              <w:rPr>
                <w:rFonts w:hint="eastAsia" w:ascii="仿宋" w:hAnsi="仿宋" w:eastAsia="仿宋" w:cs="仿宋"/>
                <w:i w:val="0"/>
                <w:iCs w:val="0"/>
                <w:color w:val="auto"/>
                <w:kern w:val="0"/>
                <w:sz w:val="21"/>
                <w:szCs w:val="21"/>
                <w:highlight w:val="none"/>
                <w:u w:val="none"/>
                <w:lang w:val="en-US" w:eastAsia="zh-CN" w:bidi="ar"/>
              </w:rPr>
              <w:t>保密要求承诺：</w:t>
            </w:r>
            <w:r>
              <w:rPr>
                <w:rFonts w:hint="eastAsia" w:ascii="宋体" w:hAnsi="宋体" w:eastAsia="仿宋" w:cs="仿宋"/>
                <w:color w:val="auto"/>
                <w:kern w:val="2"/>
                <w:sz w:val="21"/>
                <w:szCs w:val="21"/>
                <w:highlight w:val="none"/>
              </w:rPr>
              <w:t>投标人承诺保密按照采购需求实施，对工作人员开展常态化安全保密教育，组织签订安全保密承诺书，</w:t>
            </w:r>
            <w:r>
              <w:rPr>
                <w:rFonts w:hint="eastAsia" w:ascii="宋体" w:hAnsi="宋体" w:eastAsia="仿宋" w:cs="仿宋"/>
                <w:color w:val="auto"/>
                <w:kern w:val="2"/>
                <w:sz w:val="21"/>
                <w:szCs w:val="21"/>
                <w:highlight w:val="none"/>
                <w:lang w:val="en-US" w:eastAsia="zh-CN"/>
              </w:rPr>
              <w:t>履行</w:t>
            </w:r>
            <w:r>
              <w:rPr>
                <w:rFonts w:hint="eastAsia" w:ascii="宋体" w:hAnsi="宋体" w:eastAsia="仿宋" w:cs="仿宋"/>
                <w:color w:val="auto"/>
                <w:kern w:val="2"/>
                <w:sz w:val="21"/>
                <w:szCs w:val="21"/>
                <w:highlight w:val="none"/>
              </w:rPr>
              <w:t>具体安全管理内容、安全保密义务和责任等。</w:t>
            </w:r>
            <w:r>
              <w:rPr>
                <w:rFonts w:hint="eastAsia" w:ascii="仿宋" w:hAnsi="仿宋" w:eastAsia="仿宋" w:cs="仿宋"/>
                <w:i w:val="0"/>
                <w:iCs w:val="0"/>
                <w:color w:val="auto"/>
                <w:kern w:val="0"/>
                <w:sz w:val="21"/>
                <w:szCs w:val="21"/>
                <w:highlight w:val="none"/>
                <w:u w:val="none"/>
                <w:lang w:val="en-US" w:eastAsia="zh-CN" w:bidi="ar"/>
              </w:rPr>
              <w:t>承诺满足</w:t>
            </w:r>
            <w:r>
              <w:rPr>
                <w:rFonts w:hint="eastAsia" w:ascii="仿宋" w:hAnsi="仿宋" w:eastAsia="仿宋" w:cs="仿宋"/>
                <w:b/>
                <w:bCs/>
                <w:i w:val="0"/>
                <w:iCs w:val="0"/>
                <w:color w:val="auto"/>
                <w:kern w:val="0"/>
                <w:sz w:val="21"/>
                <w:szCs w:val="21"/>
                <w:highlight w:val="none"/>
                <w:u w:val="none"/>
                <w:lang w:val="en-US" w:eastAsia="zh-CN" w:bidi="ar"/>
              </w:rPr>
              <w:t>得2分</w:t>
            </w:r>
            <w:r>
              <w:rPr>
                <w:rFonts w:hint="eastAsia" w:ascii="仿宋" w:hAnsi="仿宋" w:eastAsia="仿宋" w:cs="仿宋"/>
                <w:i w:val="0"/>
                <w:iCs w:val="0"/>
                <w:color w:val="auto"/>
                <w:kern w:val="0"/>
                <w:sz w:val="21"/>
                <w:szCs w:val="21"/>
                <w:highlight w:val="none"/>
                <w:u w:val="none"/>
                <w:lang w:val="en-US" w:eastAsia="zh-CN" w:bidi="ar"/>
              </w:rPr>
              <w:t>，不满足不得分。</w:t>
            </w:r>
          </w:p>
        </w:tc>
        <w:tc>
          <w:tcPr>
            <w:tcW w:w="709" w:type="dxa"/>
            <w:noWrap w:val="0"/>
            <w:vAlign w:val="center"/>
          </w:tcPr>
          <w:p w14:paraId="71B31E5A">
            <w:pPr>
              <w:keepNext w:val="0"/>
              <w:keepLines w:val="0"/>
              <w:widowControl/>
              <w:suppressLineNumbers w:val="0"/>
              <w:spacing w:line="400" w:lineRule="exact"/>
              <w:jc w:val="center"/>
              <w:textAlignment w:val="center"/>
              <w:rPr>
                <w:rFonts w:ascii="仿宋" w:hAnsi="仿宋" w:eastAsia="仿宋" w:cs="仿宋"/>
                <w:b/>
                <w:color w:val="auto"/>
                <w:szCs w:val="21"/>
                <w:highlight w:val="none"/>
              </w:rPr>
            </w:pPr>
            <w:r>
              <w:rPr>
                <w:rFonts w:hint="eastAsia" w:ascii="仿宋" w:hAnsi="仿宋" w:eastAsia="仿宋" w:cs="仿宋"/>
                <w:b/>
                <w:bCs/>
                <w:i w:val="0"/>
                <w:iCs w:val="0"/>
                <w:color w:val="auto"/>
                <w:kern w:val="0"/>
                <w:sz w:val="21"/>
                <w:szCs w:val="21"/>
                <w:highlight w:val="none"/>
                <w:u w:val="none"/>
                <w:lang w:val="en-US" w:eastAsia="zh-CN" w:bidi="ar"/>
              </w:rPr>
              <w:t>2</w:t>
            </w:r>
          </w:p>
        </w:tc>
        <w:tc>
          <w:tcPr>
            <w:tcW w:w="1042" w:type="dxa"/>
            <w:noWrap w:val="0"/>
            <w:vAlign w:val="center"/>
          </w:tcPr>
          <w:p w14:paraId="7B49E55E">
            <w:pPr>
              <w:keepNext w:val="0"/>
              <w:keepLines w:val="0"/>
              <w:widowControl/>
              <w:suppressLineNumbers w:val="0"/>
              <w:spacing w:line="400" w:lineRule="exact"/>
              <w:jc w:val="center"/>
              <w:textAlignment w:val="center"/>
              <w:rPr>
                <w:rFonts w:ascii="仿宋" w:hAnsi="仿宋" w:eastAsia="仿宋"/>
                <w:b/>
                <w:bCs/>
                <w:color w:val="auto"/>
                <w:highlight w:val="none"/>
              </w:rPr>
            </w:pPr>
            <w:r>
              <w:rPr>
                <w:rFonts w:hint="eastAsia" w:ascii="仿宋" w:hAnsi="仿宋" w:eastAsia="仿宋" w:cs="仿宋"/>
                <w:b/>
                <w:bCs/>
                <w:i w:val="0"/>
                <w:iCs w:val="0"/>
                <w:color w:val="auto"/>
                <w:kern w:val="0"/>
                <w:sz w:val="21"/>
                <w:szCs w:val="21"/>
                <w:highlight w:val="none"/>
                <w:u w:val="none"/>
                <w:lang w:val="en-US" w:eastAsia="zh-CN" w:bidi="ar"/>
              </w:rPr>
              <w:t>客观分</w:t>
            </w:r>
          </w:p>
        </w:tc>
        <w:tc>
          <w:tcPr>
            <w:tcW w:w="1339" w:type="dxa"/>
            <w:noWrap w:val="0"/>
            <w:vAlign w:val="center"/>
          </w:tcPr>
          <w:p w14:paraId="710F902C">
            <w:pPr>
              <w:snapToGrid w:val="0"/>
              <w:jc w:val="center"/>
              <w:rPr>
                <w:rFonts w:ascii="仿宋" w:hAnsi="仿宋" w:eastAsia="仿宋" w:cs="仿宋"/>
                <w:b/>
                <w:color w:val="auto"/>
                <w:szCs w:val="21"/>
                <w:highlight w:val="none"/>
              </w:rPr>
            </w:pPr>
            <w:r>
              <w:rPr>
                <w:rFonts w:hint="eastAsia" w:ascii="仿宋" w:hAnsi="仿宋" w:eastAsia="仿宋"/>
                <w:b/>
                <w:color w:val="auto"/>
                <w:highlight w:val="none"/>
              </w:rPr>
              <w:t>三、保密承诺</w:t>
            </w:r>
          </w:p>
        </w:tc>
      </w:tr>
      <w:tr w14:paraId="69580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481" w:type="dxa"/>
            <w:noWrap w:val="0"/>
            <w:vAlign w:val="center"/>
          </w:tcPr>
          <w:p w14:paraId="4E8D59AE">
            <w:pPr>
              <w:snapToGrid w:val="0"/>
              <w:jc w:val="center"/>
              <w:rPr>
                <w:rFonts w:ascii="仿宋" w:hAnsi="仿宋" w:eastAsia="仿宋" w:cs="仿宋"/>
                <w:color w:val="auto"/>
                <w:szCs w:val="21"/>
                <w:highlight w:val="none"/>
              </w:rPr>
            </w:pPr>
            <w:r>
              <w:rPr>
                <w:rFonts w:ascii="仿宋" w:hAnsi="仿宋" w:eastAsia="仿宋" w:cs="仿宋"/>
                <w:color w:val="auto"/>
                <w:szCs w:val="21"/>
                <w:highlight w:val="none"/>
              </w:rPr>
              <w:t>14</w:t>
            </w:r>
          </w:p>
        </w:tc>
        <w:tc>
          <w:tcPr>
            <w:tcW w:w="6602" w:type="dxa"/>
            <w:noWrap w:val="0"/>
            <w:vAlign w:val="center"/>
          </w:tcPr>
          <w:p w14:paraId="297E778C">
            <w:pPr>
              <w:pStyle w:val="801"/>
              <w:keepNext w:val="0"/>
              <w:keepLines w:val="0"/>
              <w:pageBreakBefore w:val="0"/>
              <w:kinsoku/>
              <w:wordWrap/>
              <w:overflowPunct/>
              <w:topLinePunct w:val="0"/>
              <w:autoSpaceDE/>
              <w:autoSpaceDN/>
              <w:bidi w:val="0"/>
              <w:spacing w:line="360" w:lineRule="auto"/>
              <w:ind w:firstLine="210" w:firstLineChars="100"/>
              <w:textAlignment w:val="auto"/>
              <w:rPr>
                <w:rFonts w:ascii="仿宋" w:hAnsi="仿宋" w:eastAsia="仿宋"/>
                <w:color w:val="auto"/>
                <w:highlight w:val="none"/>
              </w:rPr>
            </w:pPr>
            <w:r>
              <w:rPr>
                <w:rFonts w:hint="eastAsia" w:ascii="宋体" w:hAnsi="宋体" w:eastAsia="仿宋" w:cs="仿宋"/>
                <w:color w:val="auto"/>
                <w:kern w:val="2"/>
                <w:highlight w:val="none"/>
              </w:rPr>
              <w:t>投标人网络安全责任和义务承诺：投标人承诺网络安全</w:t>
            </w:r>
            <w:r>
              <w:rPr>
                <w:rFonts w:hint="eastAsia" w:ascii="仿宋" w:hAnsi="仿宋" w:eastAsia="仿宋" w:cs="宋体"/>
                <w:bCs/>
                <w:color w:val="auto"/>
                <w:highlight w:val="none"/>
                <w:lang w:val="en-US" w:eastAsia="zh-CN"/>
              </w:rPr>
              <w:t>责任和义务要求按采购需求实施</w:t>
            </w:r>
            <w:r>
              <w:rPr>
                <w:rFonts w:hint="eastAsia" w:ascii="仿宋" w:hAnsi="仿宋" w:eastAsia="仿宋" w:cs="宋体"/>
                <w:bCs/>
                <w:color w:val="auto"/>
                <w:highlight w:val="none"/>
                <w:lang w:val="zh-CN"/>
              </w:rPr>
              <w:t>。承诺</w:t>
            </w:r>
            <w:r>
              <w:rPr>
                <w:rFonts w:hint="eastAsia" w:ascii="仿宋" w:hAnsi="仿宋" w:eastAsia="仿宋" w:cs="宋体"/>
                <w:bCs/>
                <w:color w:val="auto"/>
                <w:highlight w:val="none"/>
                <w:lang w:val="en-US" w:eastAsia="zh-CN"/>
              </w:rPr>
              <w:t>满足</w:t>
            </w:r>
            <w:r>
              <w:rPr>
                <w:rFonts w:hint="eastAsia" w:ascii="宋体" w:hAnsi="宋体" w:eastAsia="仿宋" w:cs="仿宋"/>
                <w:b/>
                <w:bCs/>
                <w:color w:val="auto"/>
                <w:kern w:val="2"/>
                <w:highlight w:val="none"/>
              </w:rPr>
              <w:t>得</w:t>
            </w:r>
            <w:r>
              <w:rPr>
                <w:rFonts w:hint="eastAsia" w:ascii="宋体" w:hAnsi="宋体" w:eastAsia="仿宋" w:cs="仿宋"/>
                <w:b/>
                <w:bCs/>
                <w:color w:val="auto"/>
                <w:kern w:val="2"/>
                <w:highlight w:val="none"/>
                <w:lang w:val="en-US" w:eastAsia="zh-CN"/>
              </w:rPr>
              <w:t>2</w:t>
            </w:r>
            <w:r>
              <w:rPr>
                <w:rFonts w:hint="eastAsia" w:ascii="宋体" w:hAnsi="宋体" w:eastAsia="仿宋" w:cs="仿宋"/>
                <w:b/>
                <w:bCs/>
                <w:color w:val="auto"/>
                <w:kern w:val="2"/>
                <w:highlight w:val="none"/>
              </w:rPr>
              <w:t>分</w:t>
            </w:r>
            <w:r>
              <w:rPr>
                <w:rFonts w:hint="eastAsia" w:ascii="宋体" w:hAnsi="宋体" w:eastAsia="仿宋" w:cs="仿宋"/>
                <w:color w:val="auto"/>
                <w:kern w:val="2"/>
                <w:highlight w:val="none"/>
              </w:rPr>
              <w:t>，不满足不得分。</w:t>
            </w:r>
          </w:p>
        </w:tc>
        <w:tc>
          <w:tcPr>
            <w:tcW w:w="709" w:type="dxa"/>
            <w:noWrap w:val="0"/>
            <w:vAlign w:val="center"/>
          </w:tcPr>
          <w:p w14:paraId="3512C7DE">
            <w:pPr>
              <w:keepNext w:val="0"/>
              <w:keepLines w:val="0"/>
              <w:pageBreakBefore w:val="0"/>
              <w:kinsoku/>
              <w:wordWrap/>
              <w:overflowPunct/>
              <w:topLinePunct w:val="0"/>
              <w:bidi w:val="0"/>
              <w:snapToGrid w:val="0"/>
              <w:spacing w:line="276" w:lineRule="auto"/>
              <w:jc w:val="center"/>
              <w:textAlignment w:val="auto"/>
              <w:rPr>
                <w:rFonts w:ascii="仿宋" w:hAnsi="仿宋" w:eastAsia="仿宋" w:cs="仿宋"/>
                <w:b/>
                <w:color w:val="auto"/>
                <w:szCs w:val="21"/>
                <w:highlight w:val="none"/>
              </w:rPr>
            </w:pPr>
            <w:r>
              <w:rPr>
                <w:rFonts w:hint="eastAsia" w:ascii="仿宋" w:hAnsi="仿宋" w:eastAsia="仿宋" w:cs="宋体"/>
                <w:b/>
                <w:bCs/>
                <w:color w:val="auto"/>
                <w:szCs w:val="21"/>
                <w:highlight w:val="none"/>
                <w:lang w:val="en-US" w:eastAsia="zh-CN"/>
              </w:rPr>
              <w:t>2</w:t>
            </w:r>
          </w:p>
        </w:tc>
        <w:tc>
          <w:tcPr>
            <w:tcW w:w="1042" w:type="dxa"/>
            <w:noWrap w:val="0"/>
            <w:vAlign w:val="center"/>
          </w:tcPr>
          <w:p w14:paraId="736E9CF7">
            <w:pPr>
              <w:keepNext w:val="0"/>
              <w:keepLines w:val="0"/>
              <w:pageBreakBefore w:val="0"/>
              <w:kinsoku/>
              <w:wordWrap/>
              <w:overflowPunct/>
              <w:topLinePunct w:val="0"/>
              <w:bidi w:val="0"/>
              <w:snapToGrid w:val="0"/>
              <w:spacing w:line="276" w:lineRule="auto"/>
              <w:jc w:val="center"/>
              <w:textAlignment w:val="auto"/>
              <w:rPr>
                <w:rFonts w:ascii="仿宋" w:hAnsi="仿宋" w:eastAsia="仿宋"/>
                <w:b/>
                <w:bCs/>
                <w:color w:val="auto"/>
                <w:highlight w:val="none"/>
              </w:rPr>
            </w:pPr>
            <w:r>
              <w:rPr>
                <w:rFonts w:ascii="仿宋" w:hAnsi="仿宋" w:eastAsia="仿宋" w:cs="宋体"/>
                <w:b/>
                <w:bCs/>
                <w:color w:val="auto"/>
                <w:szCs w:val="21"/>
                <w:highlight w:val="none"/>
              </w:rPr>
              <w:t>客观分</w:t>
            </w:r>
          </w:p>
        </w:tc>
        <w:tc>
          <w:tcPr>
            <w:tcW w:w="1339" w:type="dxa"/>
            <w:noWrap w:val="0"/>
            <w:vAlign w:val="center"/>
          </w:tcPr>
          <w:p w14:paraId="1E6D447D">
            <w:pPr>
              <w:snapToGrid w:val="0"/>
              <w:jc w:val="center"/>
              <w:rPr>
                <w:rFonts w:ascii="仿宋" w:hAnsi="仿宋" w:eastAsia="仿宋"/>
                <w:b/>
                <w:color w:val="auto"/>
                <w:highlight w:val="none"/>
              </w:rPr>
            </w:pPr>
            <w:r>
              <w:rPr>
                <w:rFonts w:hint="eastAsia" w:ascii="仿宋" w:hAnsi="仿宋" w:eastAsia="仿宋"/>
                <w:b/>
                <w:color w:val="auto"/>
                <w:highlight w:val="none"/>
              </w:rPr>
              <w:t>四、网络安全责任与义务承诺</w:t>
            </w:r>
          </w:p>
        </w:tc>
      </w:tr>
      <w:tr w14:paraId="13009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7" w:hRule="atLeast"/>
          <w:jc w:val="center"/>
        </w:trPr>
        <w:tc>
          <w:tcPr>
            <w:tcW w:w="481" w:type="dxa"/>
            <w:noWrap w:val="0"/>
            <w:vAlign w:val="center"/>
          </w:tcPr>
          <w:p w14:paraId="108BDAFC">
            <w:pPr>
              <w:snapToGrid w:val="0"/>
              <w:jc w:val="center"/>
              <w:rPr>
                <w:rFonts w:ascii="仿宋" w:hAnsi="仿宋" w:eastAsia="仿宋" w:cs="仿宋"/>
                <w:color w:val="auto"/>
                <w:szCs w:val="21"/>
                <w:highlight w:val="none"/>
              </w:rPr>
            </w:pPr>
            <w:r>
              <w:rPr>
                <w:rFonts w:ascii="仿宋" w:hAnsi="仿宋" w:eastAsia="仿宋" w:cs="仿宋"/>
                <w:color w:val="auto"/>
                <w:szCs w:val="21"/>
                <w:highlight w:val="none"/>
              </w:rPr>
              <w:t>15</w:t>
            </w:r>
          </w:p>
        </w:tc>
        <w:tc>
          <w:tcPr>
            <w:tcW w:w="6602" w:type="dxa"/>
            <w:noWrap w:val="0"/>
            <w:vAlign w:val="center"/>
          </w:tcPr>
          <w:p w14:paraId="59A00C2C">
            <w:pPr>
              <w:pStyle w:val="41"/>
              <w:snapToGrid w:val="0"/>
              <w:ind w:firstLine="210" w:firstLineChars="100"/>
              <w:rPr>
                <w:rFonts w:ascii="仿宋" w:hAnsi="仿宋" w:eastAsia="仿宋" w:cs="仿宋"/>
                <w:bCs/>
                <w:color w:val="auto"/>
                <w:highlight w:val="none"/>
              </w:rPr>
            </w:pPr>
            <w:r>
              <w:rPr>
                <w:rFonts w:hint="eastAsia" w:ascii="仿宋" w:hAnsi="仿宋" w:eastAsia="仿宋" w:cs="仿宋"/>
                <w:color w:val="auto"/>
                <w:highlight w:val="none"/>
                <w:lang w:val="zh-CN"/>
              </w:rPr>
              <w:t>本项目拟派</w:t>
            </w:r>
            <w:r>
              <w:rPr>
                <w:rFonts w:hint="eastAsia" w:ascii="仿宋" w:hAnsi="仿宋" w:eastAsia="仿宋" w:cs="仿宋"/>
                <w:b/>
                <w:color w:val="auto"/>
                <w:highlight w:val="none"/>
                <w:lang w:val="zh-CN"/>
              </w:rPr>
              <w:t>项目负责人</w:t>
            </w:r>
            <w:r>
              <w:rPr>
                <w:rFonts w:hint="eastAsia" w:ascii="仿宋" w:hAnsi="仿宋" w:eastAsia="仿宋" w:cs="仿宋"/>
                <w:color w:val="auto"/>
                <w:highlight w:val="none"/>
                <w:lang w:val="zh-CN"/>
              </w:rPr>
              <w:t>：①具有类似反诈服务项目经验（</w:t>
            </w:r>
            <w:r>
              <w:rPr>
                <w:rFonts w:hint="eastAsia" w:ascii="仿宋" w:hAnsi="仿宋" w:eastAsia="仿宋" w:cs="仿宋"/>
                <w:color w:val="auto"/>
                <w:highlight w:val="none"/>
                <w:lang w:val="zh-CN"/>
              </w:rPr>
              <w:t>需提供类似业绩合同，须体现项目负责人姓名</w:t>
            </w:r>
            <w:r>
              <w:rPr>
                <w:rFonts w:hint="eastAsia" w:ascii="仿宋" w:hAnsi="仿宋" w:eastAsia="仿宋" w:cs="仿宋"/>
                <w:color w:val="auto"/>
                <w:highlight w:val="none"/>
                <w:lang w:val="zh-CN"/>
              </w:rPr>
              <w:t>），</w:t>
            </w:r>
            <w:r>
              <w:rPr>
                <w:rFonts w:hint="eastAsia" w:ascii="仿宋" w:hAnsi="仿宋" w:eastAsia="仿宋" w:cs="仿宋"/>
                <w:b/>
                <w:bCs/>
                <w:color w:val="auto"/>
                <w:highlight w:val="none"/>
              </w:rPr>
              <w:t>满足的得</w:t>
            </w:r>
            <w:r>
              <w:rPr>
                <w:rFonts w:ascii="仿宋" w:hAnsi="仿宋" w:eastAsia="仿宋" w:cs="仿宋"/>
                <w:b/>
                <w:bCs/>
                <w:color w:val="auto"/>
                <w:highlight w:val="none"/>
              </w:rPr>
              <w:t>2</w:t>
            </w:r>
            <w:r>
              <w:rPr>
                <w:rFonts w:hint="eastAsia" w:ascii="仿宋" w:hAnsi="仿宋" w:eastAsia="仿宋" w:cs="仿宋"/>
                <w:b/>
                <w:bCs/>
                <w:color w:val="auto"/>
                <w:highlight w:val="none"/>
              </w:rPr>
              <w:t>分，</w:t>
            </w:r>
            <w:r>
              <w:rPr>
                <w:rFonts w:hint="eastAsia" w:ascii="仿宋" w:hAnsi="仿宋" w:eastAsia="仿宋" w:cs="仿宋"/>
                <w:color w:val="auto"/>
                <w:highlight w:val="none"/>
                <w:lang w:val="zh-CN"/>
              </w:rPr>
              <w:t>不满足不得分；②具有计算机技术与软件专业技术资格</w:t>
            </w:r>
            <w:r>
              <w:rPr>
                <w:rFonts w:hint="eastAsia" w:ascii="仿宋" w:hAnsi="仿宋" w:eastAsia="仿宋" w:cs="仿宋"/>
                <w:color w:val="auto"/>
                <w:highlight w:val="none"/>
                <w:lang w:val="zh-CN" w:eastAsia="zh-CN"/>
              </w:rPr>
              <w:t>（</w:t>
            </w:r>
            <w:r>
              <w:rPr>
                <w:rFonts w:hint="eastAsia" w:ascii="仿宋" w:hAnsi="仿宋" w:eastAsia="仿宋" w:cs="仿宋"/>
                <w:color w:val="auto"/>
                <w:highlight w:val="none"/>
                <w:lang w:val="zh-CN"/>
              </w:rPr>
              <w:t>信息系统项目管理师</w:t>
            </w:r>
            <w:r>
              <w:rPr>
                <w:rFonts w:hint="eastAsia" w:ascii="仿宋" w:hAnsi="仿宋" w:eastAsia="仿宋" w:cs="仿宋"/>
                <w:color w:val="auto"/>
                <w:highlight w:val="none"/>
                <w:lang w:val="zh-CN" w:eastAsia="zh-CN"/>
              </w:rPr>
              <w:t>证书）</w:t>
            </w:r>
            <w:r>
              <w:rPr>
                <w:rFonts w:hint="eastAsia" w:ascii="仿宋" w:hAnsi="仿宋" w:eastAsia="仿宋" w:cs="仿宋"/>
                <w:color w:val="auto"/>
                <w:highlight w:val="none"/>
                <w:lang w:val="zh-CN"/>
              </w:rPr>
              <w:t>（提供证书）</w:t>
            </w:r>
            <w:r>
              <w:rPr>
                <w:rFonts w:hint="eastAsia" w:ascii="仿宋" w:hAnsi="仿宋" w:eastAsia="仿宋" w:cs="仿宋"/>
                <w:b/>
                <w:bCs/>
                <w:color w:val="auto"/>
                <w:highlight w:val="none"/>
              </w:rPr>
              <w:t>的得2分</w:t>
            </w:r>
            <w:r>
              <w:rPr>
                <w:rFonts w:hint="eastAsia" w:ascii="仿宋" w:hAnsi="仿宋" w:eastAsia="仿宋" w:cs="仿宋"/>
                <w:color w:val="auto"/>
                <w:highlight w:val="none"/>
                <w:lang w:val="zh-CN"/>
              </w:rPr>
              <w:t>。</w:t>
            </w:r>
            <w:r>
              <w:rPr>
                <w:rFonts w:hint="eastAsia" w:ascii="仿宋" w:hAnsi="仿宋" w:eastAsia="仿宋" w:cs="仿宋"/>
                <w:b/>
                <w:bCs/>
                <w:color w:val="auto"/>
                <w:highlight w:val="none"/>
              </w:rPr>
              <w:t>本项最高得</w:t>
            </w:r>
            <w:r>
              <w:rPr>
                <w:rFonts w:ascii="仿宋" w:hAnsi="仿宋" w:eastAsia="仿宋" w:cs="仿宋"/>
                <w:b/>
                <w:bCs/>
                <w:color w:val="auto"/>
                <w:highlight w:val="none"/>
              </w:rPr>
              <w:t>4</w:t>
            </w:r>
            <w:r>
              <w:rPr>
                <w:rFonts w:hint="eastAsia" w:ascii="仿宋" w:hAnsi="仿宋" w:eastAsia="仿宋" w:cs="仿宋"/>
                <w:b/>
                <w:bCs/>
                <w:color w:val="auto"/>
                <w:highlight w:val="none"/>
              </w:rPr>
              <w:t>分。</w:t>
            </w:r>
            <w:r>
              <w:rPr>
                <w:rFonts w:hint="eastAsia" w:ascii="仿宋" w:hAnsi="仿宋" w:eastAsia="仿宋" w:cs="仿宋"/>
                <w:color w:val="auto"/>
                <w:highlight w:val="none"/>
                <w:lang w:val="zh-CN"/>
              </w:rPr>
              <w:t>（提供项目负责人的社保缴纳证明材料，不提供不得分）</w:t>
            </w:r>
          </w:p>
        </w:tc>
        <w:tc>
          <w:tcPr>
            <w:tcW w:w="709" w:type="dxa"/>
            <w:noWrap w:val="0"/>
            <w:vAlign w:val="center"/>
          </w:tcPr>
          <w:p w14:paraId="6735D2D0">
            <w:pPr>
              <w:snapToGrid w:val="0"/>
              <w:jc w:val="center"/>
              <w:rPr>
                <w:rFonts w:ascii="仿宋" w:hAnsi="仿宋" w:eastAsia="仿宋" w:cs="仿宋"/>
                <w:b/>
                <w:color w:val="auto"/>
                <w:szCs w:val="21"/>
                <w:highlight w:val="none"/>
              </w:rPr>
            </w:pPr>
            <w:r>
              <w:rPr>
                <w:rFonts w:ascii="仿宋" w:hAnsi="仿宋" w:eastAsia="仿宋" w:cs="仿宋"/>
                <w:b/>
                <w:color w:val="auto"/>
                <w:szCs w:val="21"/>
                <w:highlight w:val="none"/>
              </w:rPr>
              <w:t>4</w:t>
            </w:r>
          </w:p>
        </w:tc>
        <w:tc>
          <w:tcPr>
            <w:tcW w:w="1042" w:type="dxa"/>
            <w:noWrap w:val="0"/>
            <w:vAlign w:val="center"/>
          </w:tcPr>
          <w:p w14:paraId="19841056">
            <w:pPr>
              <w:tabs>
                <w:tab w:val="left" w:pos="780"/>
              </w:tabs>
              <w:autoSpaceDE w:val="0"/>
              <w:autoSpaceDN w:val="0"/>
              <w:snapToGrid w:val="0"/>
              <w:rPr>
                <w:rFonts w:ascii="仿宋" w:hAnsi="仿宋" w:eastAsia="仿宋" w:cs="仿宋"/>
                <w:b/>
                <w:color w:val="auto"/>
                <w:szCs w:val="21"/>
                <w:highlight w:val="none"/>
                <w:lang w:val="zh-CN"/>
              </w:rPr>
            </w:pPr>
            <w:r>
              <w:rPr>
                <w:rFonts w:hint="eastAsia" w:ascii="仿宋" w:hAnsi="仿宋" w:eastAsia="仿宋" w:cs="仿宋_GB2312"/>
                <w:b/>
                <w:bCs/>
                <w:color w:val="auto"/>
                <w:szCs w:val="21"/>
                <w:highlight w:val="none"/>
              </w:rPr>
              <w:t>客观分</w:t>
            </w:r>
          </w:p>
        </w:tc>
        <w:tc>
          <w:tcPr>
            <w:tcW w:w="1339" w:type="dxa"/>
            <w:vMerge w:val="restart"/>
            <w:noWrap w:val="0"/>
            <w:vAlign w:val="center"/>
          </w:tcPr>
          <w:p w14:paraId="2A102293">
            <w:pPr>
              <w:tabs>
                <w:tab w:val="left" w:pos="780"/>
              </w:tabs>
              <w:autoSpaceDE w:val="0"/>
              <w:autoSpaceDN w:val="0"/>
              <w:snapToGrid w:val="0"/>
              <w:rPr>
                <w:rFonts w:ascii="仿宋" w:hAnsi="仿宋" w:eastAsia="仿宋" w:cs="仿宋"/>
                <w:b/>
                <w:color w:val="auto"/>
                <w:szCs w:val="21"/>
                <w:highlight w:val="none"/>
              </w:rPr>
            </w:pPr>
            <w:r>
              <w:rPr>
                <w:rFonts w:hint="eastAsia" w:ascii="仿宋" w:hAnsi="仿宋" w:eastAsia="仿宋" w:cs="仿宋"/>
                <w:b/>
                <w:color w:val="auto"/>
                <w:szCs w:val="21"/>
                <w:highlight w:val="none"/>
                <w:lang w:val="zh-CN"/>
              </w:rPr>
              <w:t>五、项目组人员素质和经验情况</w:t>
            </w:r>
          </w:p>
        </w:tc>
      </w:tr>
      <w:tr w14:paraId="0E829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481" w:type="dxa"/>
            <w:noWrap w:val="0"/>
            <w:vAlign w:val="center"/>
          </w:tcPr>
          <w:p w14:paraId="4C877DE1">
            <w:pPr>
              <w:snapToGrid w:val="0"/>
              <w:jc w:val="center"/>
              <w:rPr>
                <w:rFonts w:ascii="仿宋" w:hAnsi="仿宋" w:eastAsia="仿宋" w:cs="仿宋"/>
                <w:color w:val="auto"/>
                <w:szCs w:val="21"/>
                <w:highlight w:val="none"/>
              </w:rPr>
            </w:pPr>
            <w:r>
              <w:rPr>
                <w:rFonts w:ascii="仿宋" w:hAnsi="仿宋" w:eastAsia="仿宋" w:cs="仿宋"/>
                <w:color w:val="auto"/>
                <w:szCs w:val="21"/>
                <w:highlight w:val="none"/>
              </w:rPr>
              <w:t>16</w:t>
            </w:r>
          </w:p>
        </w:tc>
        <w:tc>
          <w:tcPr>
            <w:tcW w:w="6602" w:type="dxa"/>
            <w:noWrap w:val="0"/>
            <w:vAlign w:val="center"/>
          </w:tcPr>
          <w:p w14:paraId="5F72160C">
            <w:pPr>
              <w:pStyle w:val="41"/>
              <w:snapToGrid w:val="0"/>
              <w:ind w:firstLine="210" w:firstLineChars="100"/>
              <w:rPr>
                <w:rFonts w:ascii="仿宋" w:hAnsi="仿宋" w:eastAsia="仿宋" w:cs="仿宋"/>
                <w:bCs/>
                <w:color w:val="auto"/>
                <w:highlight w:val="none"/>
              </w:rPr>
            </w:pPr>
            <w:r>
              <w:rPr>
                <w:rFonts w:hint="eastAsia" w:ascii="仿宋" w:hAnsi="仿宋" w:eastAsia="仿宋" w:cs="仿宋"/>
                <w:color w:val="auto"/>
                <w:highlight w:val="none"/>
                <w:lang w:val="zh-CN"/>
              </w:rPr>
              <w:t>本项目拟派</w:t>
            </w:r>
            <w:r>
              <w:rPr>
                <w:rFonts w:hint="eastAsia" w:ascii="仿宋" w:hAnsi="仿宋" w:eastAsia="仿宋" w:cs="仿宋"/>
                <w:b/>
                <w:color w:val="auto"/>
                <w:highlight w:val="none"/>
                <w:lang w:val="zh-CN"/>
              </w:rPr>
              <w:t>技术负责人、服务团队人员（不含项目负责人）</w:t>
            </w:r>
            <w:r>
              <w:rPr>
                <w:rFonts w:hint="eastAsia" w:ascii="仿宋" w:hAnsi="仿宋" w:eastAsia="仿宋" w:cs="仿宋"/>
                <w:color w:val="auto"/>
                <w:highlight w:val="none"/>
                <w:lang w:val="zh-CN"/>
              </w:rPr>
              <w:t>：</w:t>
            </w:r>
            <w:r>
              <w:rPr>
                <w:rFonts w:hint="eastAsia" w:ascii="仿宋" w:hAnsi="仿宋" w:eastAsia="仿宋" w:cs="宋体"/>
                <w:color w:val="auto"/>
                <w:highlight w:val="none"/>
              </w:rPr>
              <w:t>具有类似反诈服务项目经验（</w:t>
            </w:r>
            <w:r>
              <w:rPr>
                <w:rFonts w:hint="eastAsia" w:ascii="仿宋" w:hAnsi="仿宋" w:eastAsia="仿宋" w:cs="宋体"/>
                <w:color w:val="auto"/>
                <w:highlight w:val="none"/>
              </w:rPr>
              <w:t>需提供类似业绩合同，须体现项目负责人姓名</w:t>
            </w:r>
            <w:r>
              <w:rPr>
                <w:rFonts w:hint="eastAsia" w:ascii="仿宋" w:hAnsi="仿宋" w:eastAsia="仿宋" w:cs="宋体"/>
                <w:color w:val="auto"/>
                <w:highlight w:val="none"/>
              </w:rPr>
              <w:t>，提供团队人员社保证明材料，不提供不得分），</w:t>
            </w:r>
            <w:r>
              <w:rPr>
                <w:rFonts w:hint="eastAsia" w:ascii="仿宋" w:hAnsi="仿宋" w:eastAsia="仿宋" w:cs="仿宋"/>
                <w:b/>
                <w:color w:val="auto"/>
                <w:highlight w:val="none"/>
                <w:lang w:val="zh-CN"/>
              </w:rPr>
              <w:t>每1人得</w:t>
            </w:r>
            <w:r>
              <w:rPr>
                <w:rFonts w:ascii="仿宋" w:hAnsi="仿宋" w:eastAsia="仿宋" w:cs="仿宋"/>
                <w:b/>
                <w:color w:val="auto"/>
                <w:highlight w:val="none"/>
                <w:lang w:val="zh-CN"/>
              </w:rPr>
              <w:t>1</w:t>
            </w:r>
            <w:r>
              <w:rPr>
                <w:rFonts w:hint="eastAsia" w:ascii="仿宋" w:hAnsi="仿宋" w:eastAsia="仿宋" w:cs="仿宋"/>
                <w:b/>
                <w:color w:val="auto"/>
                <w:highlight w:val="none"/>
                <w:lang w:val="zh-CN"/>
              </w:rPr>
              <w:t>分，最高得</w:t>
            </w:r>
            <w:r>
              <w:rPr>
                <w:rFonts w:ascii="仿宋" w:hAnsi="仿宋" w:eastAsia="仿宋" w:cs="仿宋"/>
                <w:b/>
                <w:color w:val="auto"/>
                <w:highlight w:val="none"/>
                <w:lang w:val="zh-CN"/>
              </w:rPr>
              <w:t>14</w:t>
            </w:r>
            <w:r>
              <w:rPr>
                <w:rFonts w:hint="eastAsia" w:ascii="仿宋" w:hAnsi="仿宋" w:eastAsia="仿宋" w:cs="仿宋"/>
                <w:b/>
                <w:color w:val="auto"/>
                <w:highlight w:val="none"/>
                <w:lang w:val="zh-CN"/>
              </w:rPr>
              <w:t>分。</w:t>
            </w:r>
          </w:p>
        </w:tc>
        <w:tc>
          <w:tcPr>
            <w:tcW w:w="709" w:type="dxa"/>
            <w:noWrap w:val="0"/>
            <w:vAlign w:val="center"/>
          </w:tcPr>
          <w:p w14:paraId="1A474B54">
            <w:pPr>
              <w:snapToGrid w:val="0"/>
              <w:jc w:val="center"/>
              <w:rPr>
                <w:rFonts w:ascii="仿宋" w:hAnsi="仿宋" w:eastAsia="仿宋" w:cs="仿宋"/>
                <w:b/>
                <w:color w:val="auto"/>
                <w:szCs w:val="21"/>
                <w:highlight w:val="none"/>
              </w:rPr>
            </w:pPr>
            <w:r>
              <w:rPr>
                <w:rFonts w:ascii="仿宋" w:hAnsi="仿宋" w:eastAsia="仿宋" w:cs="仿宋"/>
                <w:b/>
                <w:color w:val="auto"/>
                <w:szCs w:val="21"/>
                <w:highlight w:val="none"/>
              </w:rPr>
              <w:t>14</w:t>
            </w:r>
          </w:p>
        </w:tc>
        <w:tc>
          <w:tcPr>
            <w:tcW w:w="1042" w:type="dxa"/>
            <w:noWrap w:val="0"/>
            <w:vAlign w:val="center"/>
          </w:tcPr>
          <w:p w14:paraId="65AB031F">
            <w:pPr>
              <w:snapToGrid w:val="0"/>
              <w:jc w:val="center"/>
              <w:rPr>
                <w:rFonts w:ascii="仿宋" w:hAnsi="仿宋" w:eastAsia="仿宋" w:cs="仿宋"/>
                <w:b/>
                <w:color w:val="auto"/>
                <w:szCs w:val="21"/>
                <w:highlight w:val="none"/>
              </w:rPr>
            </w:pPr>
            <w:r>
              <w:rPr>
                <w:rFonts w:hint="eastAsia" w:ascii="仿宋" w:hAnsi="仿宋" w:eastAsia="仿宋" w:cs="仿宋_GB2312"/>
                <w:b/>
                <w:bCs/>
                <w:color w:val="auto"/>
                <w:szCs w:val="21"/>
                <w:highlight w:val="none"/>
              </w:rPr>
              <w:t>客观分</w:t>
            </w:r>
          </w:p>
        </w:tc>
        <w:tc>
          <w:tcPr>
            <w:tcW w:w="1339" w:type="dxa"/>
            <w:vMerge w:val="continue"/>
            <w:noWrap w:val="0"/>
            <w:vAlign w:val="center"/>
          </w:tcPr>
          <w:p w14:paraId="5373B841">
            <w:pPr>
              <w:snapToGrid w:val="0"/>
              <w:jc w:val="center"/>
              <w:rPr>
                <w:rFonts w:ascii="仿宋" w:hAnsi="仿宋" w:eastAsia="仿宋" w:cs="仿宋"/>
                <w:b/>
                <w:color w:val="auto"/>
                <w:szCs w:val="21"/>
                <w:highlight w:val="none"/>
              </w:rPr>
            </w:pPr>
          </w:p>
        </w:tc>
      </w:tr>
      <w:tr w14:paraId="3690F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9" w:hRule="atLeast"/>
          <w:jc w:val="center"/>
        </w:trPr>
        <w:tc>
          <w:tcPr>
            <w:tcW w:w="481" w:type="dxa"/>
            <w:noWrap w:val="0"/>
            <w:vAlign w:val="center"/>
          </w:tcPr>
          <w:p w14:paraId="57323975">
            <w:pPr>
              <w:snapToGrid w:val="0"/>
              <w:jc w:val="center"/>
              <w:rPr>
                <w:rFonts w:ascii="仿宋" w:hAnsi="仿宋" w:eastAsia="仿宋" w:cs="仿宋"/>
                <w:color w:val="auto"/>
                <w:szCs w:val="21"/>
                <w:highlight w:val="none"/>
              </w:rPr>
            </w:pPr>
            <w:r>
              <w:rPr>
                <w:rFonts w:ascii="仿宋" w:hAnsi="仿宋" w:eastAsia="仿宋" w:cs="仿宋"/>
                <w:color w:val="auto"/>
                <w:szCs w:val="21"/>
                <w:highlight w:val="none"/>
              </w:rPr>
              <w:t>17</w:t>
            </w:r>
          </w:p>
        </w:tc>
        <w:tc>
          <w:tcPr>
            <w:tcW w:w="6602" w:type="dxa"/>
            <w:noWrap w:val="0"/>
            <w:vAlign w:val="center"/>
          </w:tcPr>
          <w:p w14:paraId="4C6D9F58">
            <w:pPr>
              <w:pStyle w:val="41"/>
              <w:snapToGrid w:val="0"/>
              <w:ind w:firstLine="210" w:firstLineChars="100"/>
              <w:rPr>
                <w:rFonts w:ascii="仿宋" w:hAnsi="仿宋" w:eastAsia="仿宋" w:cs="仿宋"/>
                <w:bCs/>
                <w:color w:val="auto"/>
                <w:highlight w:val="none"/>
              </w:rPr>
            </w:pPr>
            <w:r>
              <w:rPr>
                <w:rFonts w:hint="eastAsia" w:ascii="仿宋" w:hAnsi="仿宋" w:eastAsia="仿宋" w:cs="仿宋"/>
                <w:bCs/>
                <w:color w:val="auto"/>
                <w:highlight w:val="none"/>
              </w:rPr>
              <w:t>投标人针对本项目的服务承诺情况，投标人承诺：</w:t>
            </w:r>
          </w:p>
          <w:p w14:paraId="2436A596">
            <w:pPr>
              <w:pStyle w:val="41"/>
              <w:snapToGrid w:val="0"/>
              <w:ind w:firstLine="210" w:firstLineChars="100"/>
              <w:rPr>
                <w:rFonts w:ascii="仿宋" w:hAnsi="仿宋" w:eastAsia="仿宋" w:cs="仿宋"/>
                <w:bCs/>
                <w:color w:val="auto"/>
                <w:highlight w:val="none"/>
              </w:rPr>
            </w:pPr>
            <w:r>
              <w:rPr>
                <w:rFonts w:hint="eastAsia" w:ascii="仿宋" w:hAnsi="仿宋" w:eastAsia="仿宋" w:cs="仿宋"/>
                <w:color w:val="auto"/>
                <w:highlight w:val="none"/>
                <w:lang w:val="zh-CN"/>
              </w:rPr>
              <w:t>①</w:t>
            </w:r>
            <w:r>
              <w:rPr>
                <w:rFonts w:hint="eastAsia" w:ascii="仿宋" w:hAnsi="仿宋" w:eastAsia="仿宋" w:cs="仿宋"/>
                <w:bCs/>
                <w:color w:val="auto"/>
                <w:highlight w:val="none"/>
              </w:rPr>
              <w:t>提供7*24小时的技术支持（包括电话咨询与现场服务），承诺</w:t>
            </w:r>
            <w:r>
              <w:rPr>
                <w:rFonts w:ascii="仿宋" w:hAnsi="仿宋" w:eastAsia="仿宋" w:cs="仿宋"/>
                <w:bCs/>
                <w:color w:val="auto"/>
                <w:highlight w:val="none"/>
              </w:rPr>
              <w:t>在接到采购人</w:t>
            </w:r>
            <w:r>
              <w:rPr>
                <w:rFonts w:hint="eastAsia" w:ascii="仿宋" w:hAnsi="仿宋" w:eastAsia="仿宋" w:cs="宋体"/>
                <w:color w:val="auto"/>
                <w:highlight w:val="none"/>
              </w:rPr>
              <w:t>服务指令后</w:t>
            </w:r>
            <w:r>
              <w:rPr>
                <w:rFonts w:ascii="仿宋" w:hAnsi="仿宋" w:eastAsia="仿宋" w:cs="仿宋"/>
                <w:bCs/>
                <w:color w:val="auto"/>
                <w:highlight w:val="none"/>
              </w:rPr>
              <w:t>，须在30分钟内按采购人指令开展工作</w:t>
            </w:r>
            <w:r>
              <w:rPr>
                <w:rFonts w:hint="eastAsia" w:ascii="仿宋" w:hAnsi="仿宋" w:eastAsia="仿宋" w:cs="仿宋"/>
                <w:bCs/>
                <w:color w:val="auto"/>
                <w:highlight w:val="none"/>
              </w:rPr>
              <w:t>。</w:t>
            </w:r>
          </w:p>
          <w:p w14:paraId="29C74583">
            <w:pPr>
              <w:pStyle w:val="41"/>
              <w:snapToGrid w:val="0"/>
              <w:ind w:firstLine="210" w:firstLineChars="100"/>
              <w:rPr>
                <w:rFonts w:ascii="仿宋" w:hAnsi="仿宋" w:eastAsia="仿宋" w:cs="仿宋"/>
                <w:bCs/>
                <w:color w:val="auto"/>
                <w:highlight w:val="none"/>
              </w:rPr>
            </w:pPr>
            <w:r>
              <w:rPr>
                <w:rFonts w:hint="eastAsia" w:ascii="仿宋" w:hAnsi="仿宋" w:eastAsia="仿宋" w:cs="仿宋"/>
                <w:color w:val="auto"/>
                <w:highlight w:val="none"/>
                <w:lang w:val="zh-CN"/>
              </w:rPr>
              <w:t>②</w:t>
            </w:r>
            <w:r>
              <w:rPr>
                <w:rFonts w:hint="eastAsia" w:ascii="仿宋" w:hAnsi="仿宋" w:eastAsia="仿宋" w:cs="仿宋"/>
                <w:bCs/>
                <w:color w:val="auto"/>
                <w:highlight w:val="none"/>
              </w:rPr>
              <w:t>承诺</w:t>
            </w:r>
            <w:r>
              <w:rPr>
                <w:rFonts w:hint="eastAsia" w:ascii="仿宋" w:hAnsi="仿宋" w:eastAsia="仿宋" w:cs="宋体"/>
                <w:color w:val="auto"/>
                <w:highlight w:val="none"/>
              </w:rPr>
              <w:t>每次对涉案系统进行扫描、安全测试之前先与采购人书面确认，以确保系统的安全可控；进行服务实施时，在采购人许可的情况下由服务团队人员进行</w:t>
            </w:r>
            <w:r>
              <w:rPr>
                <w:rFonts w:hint="eastAsia" w:ascii="仿宋" w:hAnsi="仿宋" w:eastAsia="仿宋" w:cs="仿宋"/>
                <w:bCs/>
                <w:color w:val="auto"/>
                <w:highlight w:val="none"/>
              </w:rPr>
              <w:t>。</w:t>
            </w:r>
          </w:p>
          <w:p w14:paraId="6BA8EBF1">
            <w:pPr>
              <w:pStyle w:val="41"/>
              <w:snapToGrid w:val="0"/>
              <w:ind w:firstLine="210" w:firstLineChars="100"/>
              <w:rPr>
                <w:rFonts w:ascii="仿宋" w:hAnsi="仿宋" w:eastAsia="仿宋" w:cs="仿宋"/>
                <w:bCs/>
                <w:color w:val="auto"/>
                <w:highlight w:val="none"/>
              </w:rPr>
            </w:pPr>
            <w:r>
              <w:rPr>
                <w:rFonts w:ascii="仿宋" w:hAnsi="仿宋" w:eastAsia="仿宋" w:cs="仿宋"/>
                <w:bCs/>
                <w:color w:val="auto"/>
                <w:highlight w:val="none"/>
              </w:rPr>
              <w:fldChar w:fldCharType="begin"/>
            </w:r>
            <w:r>
              <w:rPr>
                <w:rFonts w:ascii="仿宋" w:hAnsi="仿宋" w:eastAsia="仿宋" w:cs="仿宋"/>
                <w:bCs/>
                <w:color w:val="auto"/>
                <w:highlight w:val="none"/>
              </w:rPr>
              <w:instrText xml:space="preserve"> </w:instrText>
            </w:r>
            <w:r>
              <w:rPr>
                <w:rFonts w:hint="eastAsia" w:ascii="仿宋" w:hAnsi="仿宋" w:eastAsia="仿宋" w:cs="仿宋"/>
                <w:bCs/>
                <w:color w:val="auto"/>
                <w:highlight w:val="none"/>
              </w:rPr>
              <w:instrText xml:space="preserve">= 3 \* GB3</w:instrText>
            </w:r>
            <w:r>
              <w:rPr>
                <w:rFonts w:ascii="仿宋" w:hAnsi="仿宋" w:eastAsia="仿宋" w:cs="仿宋"/>
                <w:bCs/>
                <w:color w:val="auto"/>
                <w:highlight w:val="none"/>
              </w:rPr>
              <w:instrText xml:space="preserve"> </w:instrText>
            </w:r>
            <w:r>
              <w:rPr>
                <w:rFonts w:ascii="仿宋" w:hAnsi="仿宋" w:eastAsia="仿宋" w:cs="仿宋"/>
                <w:bCs/>
                <w:color w:val="auto"/>
                <w:highlight w:val="none"/>
              </w:rPr>
              <w:fldChar w:fldCharType="separate"/>
            </w:r>
            <w:r>
              <w:rPr>
                <w:rFonts w:hint="eastAsia" w:ascii="仿宋" w:hAnsi="仿宋" w:eastAsia="仿宋" w:cs="仿宋"/>
                <w:bCs/>
                <w:color w:val="auto"/>
                <w:highlight w:val="none"/>
              </w:rPr>
              <w:t>③</w:t>
            </w:r>
            <w:r>
              <w:rPr>
                <w:rFonts w:ascii="仿宋" w:hAnsi="仿宋" w:eastAsia="仿宋" w:cs="仿宋"/>
                <w:bCs/>
                <w:color w:val="auto"/>
                <w:highlight w:val="none"/>
              </w:rPr>
              <w:fldChar w:fldCharType="end"/>
            </w:r>
            <w:r>
              <w:rPr>
                <w:rFonts w:hint="eastAsia" w:ascii="仿宋" w:hAnsi="仿宋" w:eastAsia="仿宋" w:cs="仿宋"/>
                <w:bCs/>
                <w:color w:val="auto"/>
                <w:highlight w:val="none"/>
              </w:rPr>
              <w:t>承诺针对本项目拟派的服务人员合同期内不得随意变动，如人员进行变更时，需提前</w:t>
            </w:r>
            <w:r>
              <w:rPr>
                <w:rFonts w:hint="eastAsia" w:ascii="仿宋" w:hAnsi="仿宋" w:eastAsia="仿宋" w:cs="仿宋"/>
                <w:bCs/>
                <w:color w:val="auto"/>
                <w:highlight w:val="none"/>
              </w:rPr>
              <w:t>3</w:t>
            </w:r>
            <w:r>
              <w:rPr>
                <w:rFonts w:hint="eastAsia" w:ascii="仿宋" w:hAnsi="仿宋" w:eastAsia="仿宋" w:cs="仿宋"/>
                <w:bCs/>
                <w:color w:val="auto"/>
                <w:highlight w:val="none"/>
                <w:lang w:eastAsia="zh-CN"/>
              </w:rPr>
              <w:t>个工作</w:t>
            </w:r>
            <w:r>
              <w:rPr>
                <w:rFonts w:hint="eastAsia" w:ascii="仿宋" w:hAnsi="仿宋" w:eastAsia="仿宋" w:cs="仿宋"/>
                <w:bCs/>
                <w:color w:val="auto"/>
                <w:highlight w:val="none"/>
              </w:rPr>
              <w:t>日</w:t>
            </w:r>
            <w:r>
              <w:rPr>
                <w:rFonts w:ascii="仿宋" w:hAnsi="仿宋" w:eastAsia="仿宋" w:cs="仿宋"/>
                <w:bCs/>
                <w:color w:val="auto"/>
                <w:highlight w:val="none"/>
              </w:rPr>
              <w:t>经采购人经办人、审核人对服务人员变更进行书面审批，签发人员变更审批单。审批通过后方可更换，更换人员资历不得低于投标时人员资历，</w:t>
            </w:r>
            <w:r>
              <w:rPr>
                <w:rFonts w:hint="eastAsia" w:ascii="仿宋" w:hAnsi="仿宋" w:eastAsia="仿宋" w:cs="仿宋"/>
                <w:bCs/>
                <w:color w:val="auto"/>
                <w:highlight w:val="none"/>
              </w:rPr>
              <w:t>并</w:t>
            </w:r>
            <w:r>
              <w:rPr>
                <w:rFonts w:ascii="仿宋" w:hAnsi="仿宋" w:eastAsia="仿宋" w:cs="仿宋"/>
                <w:bCs/>
                <w:color w:val="auto"/>
                <w:highlight w:val="none"/>
              </w:rPr>
              <w:t>确保任何时候都无人员缺位问题。</w:t>
            </w:r>
          </w:p>
          <w:p w14:paraId="593B88A2">
            <w:pPr>
              <w:pStyle w:val="41"/>
              <w:snapToGrid w:val="0"/>
              <w:ind w:firstLine="210" w:firstLineChars="100"/>
              <w:rPr>
                <w:rFonts w:ascii="仿宋" w:hAnsi="仿宋" w:eastAsia="仿宋" w:cs="仿宋"/>
                <w:bCs/>
                <w:color w:val="auto"/>
                <w:highlight w:val="none"/>
              </w:rPr>
            </w:pPr>
            <w:r>
              <w:rPr>
                <w:rFonts w:ascii="仿宋" w:hAnsi="仿宋" w:eastAsia="仿宋" w:cs="仿宋"/>
                <w:bCs/>
                <w:color w:val="auto"/>
                <w:highlight w:val="none"/>
              </w:rPr>
              <w:fldChar w:fldCharType="begin"/>
            </w:r>
            <w:r>
              <w:rPr>
                <w:rFonts w:ascii="仿宋" w:hAnsi="仿宋" w:eastAsia="仿宋" w:cs="仿宋"/>
                <w:bCs/>
                <w:color w:val="auto"/>
                <w:highlight w:val="none"/>
              </w:rPr>
              <w:instrText xml:space="preserve"> </w:instrText>
            </w:r>
            <w:r>
              <w:rPr>
                <w:rFonts w:hint="eastAsia" w:ascii="仿宋" w:hAnsi="仿宋" w:eastAsia="仿宋" w:cs="仿宋"/>
                <w:bCs/>
                <w:color w:val="auto"/>
                <w:highlight w:val="none"/>
              </w:rPr>
              <w:instrText xml:space="preserve">= 4 \* GB3</w:instrText>
            </w:r>
            <w:r>
              <w:rPr>
                <w:rFonts w:ascii="仿宋" w:hAnsi="仿宋" w:eastAsia="仿宋" w:cs="仿宋"/>
                <w:bCs/>
                <w:color w:val="auto"/>
                <w:highlight w:val="none"/>
              </w:rPr>
              <w:instrText xml:space="preserve"> </w:instrText>
            </w:r>
            <w:r>
              <w:rPr>
                <w:rFonts w:ascii="仿宋" w:hAnsi="仿宋" w:eastAsia="仿宋" w:cs="仿宋"/>
                <w:bCs/>
                <w:color w:val="auto"/>
                <w:highlight w:val="none"/>
              </w:rPr>
              <w:fldChar w:fldCharType="separate"/>
            </w:r>
            <w:r>
              <w:rPr>
                <w:rFonts w:hint="eastAsia" w:ascii="仿宋" w:hAnsi="仿宋" w:eastAsia="仿宋" w:cs="仿宋"/>
                <w:bCs/>
                <w:color w:val="auto"/>
                <w:highlight w:val="none"/>
              </w:rPr>
              <w:t>④</w:t>
            </w:r>
            <w:r>
              <w:rPr>
                <w:rFonts w:ascii="仿宋" w:hAnsi="仿宋" w:eastAsia="仿宋" w:cs="仿宋"/>
                <w:bCs/>
                <w:color w:val="auto"/>
                <w:highlight w:val="none"/>
              </w:rPr>
              <w:fldChar w:fldCharType="end"/>
            </w:r>
            <w:r>
              <w:rPr>
                <w:rFonts w:hint="eastAsia" w:ascii="仿宋" w:hAnsi="仿宋" w:eastAsia="仿宋" w:cs="仿宋"/>
                <w:bCs/>
                <w:color w:val="auto"/>
                <w:highlight w:val="none"/>
              </w:rPr>
              <w:t>承诺单个分析报告，在接到</w:t>
            </w:r>
            <w:r>
              <w:rPr>
                <w:rFonts w:hint="eastAsia" w:ascii="仿宋" w:hAnsi="仿宋" w:eastAsia="仿宋" w:cs="宋体"/>
                <w:color w:val="auto"/>
                <w:highlight w:val="none"/>
              </w:rPr>
              <w:t>采购人书面工作指令</w:t>
            </w:r>
            <w:r>
              <w:rPr>
                <w:rFonts w:hint="eastAsia" w:ascii="仿宋" w:hAnsi="仿宋" w:eastAsia="仿宋" w:cs="仿宋"/>
                <w:bCs/>
                <w:color w:val="auto"/>
                <w:highlight w:val="none"/>
              </w:rPr>
              <w:t>后</w:t>
            </w:r>
            <w:r>
              <w:rPr>
                <w:rFonts w:ascii="仿宋" w:hAnsi="仿宋" w:eastAsia="仿宋" w:cs="仿宋"/>
                <w:bCs/>
                <w:color w:val="auto"/>
                <w:highlight w:val="none"/>
              </w:rPr>
              <w:t>5个工作日内出具，并交由采购人审核。</w:t>
            </w:r>
            <w:r>
              <w:rPr>
                <w:rFonts w:hint="eastAsia" w:ascii="仿宋" w:hAnsi="仿宋" w:eastAsia="仿宋" w:cs="仿宋"/>
                <w:color w:val="auto"/>
                <w:highlight w:val="none"/>
              </w:rPr>
              <w:t>本项目服务期结束后1</w:t>
            </w:r>
            <w:r>
              <w:rPr>
                <w:rFonts w:ascii="仿宋" w:hAnsi="仿宋" w:eastAsia="仿宋" w:cs="仿宋"/>
                <w:color w:val="auto"/>
                <w:highlight w:val="none"/>
              </w:rPr>
              <w:t>0</w:t>
            </w:r>
            <w:r>
              <w:rPr>
                <w:rFonts w:hint="eastAsia" w:ascii="仿宋" w:hAnsi="仿宋" w:eastAsia="仿宋" w:cs="仿宋"/>
                <w:color w:val="auto"/>
                <w:highlight w:val="none"/>
              </w:rPr>
              <w:t>天内，投标人应编制案件分析报告汇总表及服务总结报告等，并报采购人审核。</w:t>
            </w:r>
          </w:p>
          <w:p w14:paraId="316562D1">
            <w:pPr>
              <w:pStyle w:val="41"/>
              <w:snapToGrid w:val="0"/>
              <w:ind w:firstLine="210" w:firstLineChars="100"/>
              <w:rPr>
                <w:rFonts w:ascii="仿宋" w:hAnsi="仿宋" w:eastAsia="仿宋" w:cs="仿宋"/>
                <w:bCs/>
                <w:color w:val="auto"/>
                <w:highlight w:val="none"/>
              </w:rPr>
            </w:pPr>
            <w:r>
              <w:rPr>
                <w:rFonts w:hint="eastAsia" w:ascii="仿宋" w:hAnsi="仿宋" w:eastAsia="仿宋" w:cs="仿宋"/>
                <w:color w:val="auto"/>
                <w:highlight w:val="none"/>
              </w:rPr>
              <w:t>提供承诺并符合要求的每一项满足得</w:t>
            </w:r>
            <w:r>
              <w:rPr>
                <w:rFonts w:ascii="仿宋" w:hAnsi="仿宋" w:eastAsia="仿宋" w:cs="仿宋"/>
                <w:color w:val="auto"/>
                <w:highlight w:val="none"/>
              </w:rPr>
              <w:t>2</w:t>
            </w:r>
            <w:r>
              <w:rPr>
                <w:rFonts w:hint="eastAsia" w:ascii="仿宋" w:hAnsi="仿宋" w:eastAsia="仿宋" w:cs="仿宋"/>
                <w:color w:val="auto"/>
                <w:highlight w:val="none"/>
              </w:rPr>
              <w:t>分，未提供或不满足的不得分，</w:t>
            </w:r>
            <w:r>
              <w:rPr>
                <w:rFonts w:hint="eastAsia" w:ascii="仿宋" w:hAnsi="仿宋" w:eastAsia="仿宋" w:cs="仿宋"/>
                <w:b/>
                <w:color w:val="auto"/>
                <w:highlight w:val="none"/>
              </w:rPr>
              <w:t>最高得</w:t>
            </w:r>
            <w:r>
              <w:rPr>
                <w:rFonts w:ascii="仿宋" w:hAnsi="仿宋" w:eastAsia="仿宋" w:cs="仿宋"/>
                <w:b/>
                <w:color w:val="auto"/>
                <w:highlight w:val="none"/>
              </w:rPr>
              <w:t>8</w:t>
            </w:r>
            <w:r>
              <w:rPr>
                <w:rFonts w:hint="eastAsia" w:ascii="仿宋" w:hAnsi="仿宋" w:eastAsia="仿宋" w:cs="仿宋"/>
                <w:b/>
                <w:color w:val="auto"/>
                <w:highlight w:val="none"/>
              </w:rPr>
              <w:t>分。</w:t>
            </w:r>
          </w:p>
        </w:tc>
        <w:tc>
          <w:tcPr>
            <w:tcW w:w="709" w:type="dxa"/>
            <w:noWrap w:val="0"/>
            <w:vAlign w:val="center"/>
          </w:tcPr>
          <w:p w14:paraId="466F753E">
            <w:pPr>
              <w:snapToGrid w:val="0"/>
              <w:jc w:val="center"/>
              <w:rPr>
                <w:rFonts w:ascii="仿宋" w:hAnsi="仿宋" w:eastAsia="仿宋" w:cs="仿宋"/>
                <w:b/>
                <w:color w:val="auto"/>
                <w:szCs w:val="21"/>
                <w:highlight w:val="none"/>
              </w:rPr>
            </w:pPr>
            <w:r>
              <w:rPr>
                <w:rFonts w:ascii="仿宋" w:hAnsi="仿宋" w:eastAsia="仿宋" w:cs="仿宋"/>
                <w:b/>
                <w:color w:val="auto"/>
                <w:szCs w:val="21"/>
                <w:highlight w:val="none"/>
              </w:rPr>
              <w:t>8</w:t>
            </w:r>
          </w:p>
        </w:tc>
        <w:tc>
          <w:tcPr>
            <w:tcW w:w="1042" w:type="dxa"/>
            <w:noWrap w:val="0"/>
            <w:vAlign w:val="center"/>
          </w:tcPr>
          <w:p w14:paraId="2E84D0F7">
            <w:pPr>
              <w:snapToGrid w:val="0"/>
              <w:jc w:val="center"/>
              <w:rPr>
                <w:rFonts w:ascii="仿宋" w:hAnsi="仿宋" w:eastAsia="仿宋" w:cs="仿宋"/>
                <w:b/>
                <w:color w:val="auto"/>
                <w:szCs w:val="21"/>
                <w:highlight w:val="none"/>
                <w:lang w:val="zh-CN"/>
              </w:rPr>
            </w:pPr>
            <w:r>
              <w:rPr>
                <w:rFonts w:hint="eastAsia" w:ascii="仿宋" w:hAnsi="仿宋" w:eastAsia="仿宋" w:cs="仿宋_GB2312"/>
                <w:b/>
                <w:bCs/>
                <w:color w:val="auto"/>
                <w:szCs w:val="21"/>
                <w:highlight w:val="none"/>
              </w:rPr>
              <w:t>客观分</w:t>
            </w:r>
          </w:p>
        </w:tc>
        <w:tc>
          <w:tcPr>
            <w:tcW w:w="1339" w:type="dxa"/>
            <w:noWrap w:val="0"/>
            <w:vAlign w:val="center"/>
          </w:tcPr>
          <w:p w14:paraId="0ABF02AE">
            <w:pPr>
              <w:snapToGrid w:val="0"/>
              <w:jc w:val="center"/>
              <w:rPr>
                <w:rFonts w:ascii="仿宋" w:hAnsi="仿宋" w:eastAsia="仿宋" w:cs="仿宋"/>
                <w:b/>
                <w:color w:val="auto"/>
                <w:szCs w:val="21"/>
                <w:highlight w:val="none"/>
              </w:rPr>
            </w:pPr>
            <w:r>
              <w:rPr>
                <w:rFonts w:hint="eastAsia" w:ascii="仿宋" w:hAnsi="仿宋" w:eastAsia="仿宋" w:cs="仿宋"/>
                <w:b/>
                <w:color w:val="auto"/>
                <w:szCs w:val="21"/>
                <w:highlight w:val="none"/>
                <w:lang w:val="zh-CN"/>
              </w:rPr>
              <w:t>六、</w:t>
            </w:r>
            <w:r>
              <w:rPr>
                <w:rFonts w:hint="eastAsia" w:ascii="仿宋" w:hAnsi="仿宋" w:eastAsia="仿宋" w:cs="仿宋"/>
                <w:b/>
                <w:color w:val="auto"/>
                <w:szCs w:val="21"/>
                <w:highlight w:val="none"/>
              </w:rPr>
              <w:t>投标人服务承诺情况</w:t>
            </w:r>
            <w:r>
              <w:rPr>
                <w:rFonts w:ascii="仿宋" w:hAnsi="仿宋" w:eastAsia="仿宋" w:cs="仿宋"/>
                <w:b/>
                <w:color w:val="auto"/>
                <w:szCs w:val="21"/>
                <w:highlight w:val="none"/>
              </w:rPr>
              <w:t xml:space="preserve"> </w:t>
            </w:r>
          </w:p>
        </w:tc>
      </w:tr>
      <w:tr w14:paraId="5A426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481" w:type="dxa"/>
            <w:noWrap w:val="0"/>
            <w:vAlign w:val="center"/>
          </w:tcPr>
          <w:p w14:paraId="179FBF73">
            <w:pPr>
              <w:snapToGrid w:val="0"/>
              <w:jc w:val="center"/>
              <w:rPr>
                <w:rFonts w:ascii="仿宋" w:hAnsi="仿宋" w:eastAsia="仿宋" w:cs="仿宋"/>
                <w:b/>
                <w:color w:val="auto"/>
                <w:szCs w:val="21"/>
                <w:highlight w:val="none"/>
              </w:rPr>
            </w:pPr>
            <w:r>
              <w:rPr>
                <w:rFonts w:hint="eastAsia" w:ascii="仿宋" w:hAnsi="仿宋" w:eastAsia="仿宋" w:cs="仿宋"/>
                <w:b/>
                <w:color w:val="auto"/>
                <w:szCs w:val="21"/>
                <w:highlight w:val="none"/>
              </w:rPr>
              <w:t>二</w:t>
            </w:r>
          </w:p>
        </w:tc>
        <w:tc>
          <w:tcPr>
            <w:tcW w:w="6602" w:type="dxa"/>
            <w:noWrap w:val="0"/>
            <w:vAlign w:val="center"/>
          </w:tcPr>
          <w:p w14:paraId="4702D8B8">
            <w:pPr>
              <w:snapToGrid w:val="0"/>
              <w:ind w:firstLine="210" w:firstLineChars="100"/>
              <w:rPr>
                <w:rFonts w:ascii="仿宋" w:hAnsi="仿宋" w:eastAsia="仿宋" w:cs="仿宋"/>
                <w:b/>
                <w:color w:val="auto"/>
                <w:szCs w:val="21"/>
                <w:highlight w:val="none"/>
              </w:rPr>
            </w:pPr>
            <w:r>
              <w:rPr>
                <w:rFonts w:hint="eastAsia" w:ascii="仿宋" w:hAnsi="仿宋" w:eastAsia="仿宋" w:cs="仿宋"/>
                <w:bCs/>
                <w:color w:val="auto"/>
                <w:szCs w:val="21"/>
                <w:highlight w:val="none"/>
              </w:rPr>
              <w:t>投标人自投标截止日期前3年（以合同签订日期为准）以来承担过类似反诈服务项目的，每个得</w:t>
            </w:r>
            <w:r>
              <w:rPr>
                <w:rFonts w:ascii="仿宋" w:hAnsi="仿宋" w:eastAsia="仿宋" w:cs="仿宋"/>
                <w:bCs/>
                <w:color w:val="auto"/>
                <w:szCs w:val="21"/>
                <w:highlight w:val="none"/>
              </w:rPr>
              <w:t>0.5</w:t>
            </w:r>
            <w:r>
              <w:rPr>
                <w:rFonts w:hint="eastAsia" w:ascii="仿宋" w:hAnsi="仿宋" w:eastAsia="仿宋" w:cs="仿宋"/>
                <w:bCs/>
                <w:color w:val="auto"/>
                <w:szCs w:val="21"/>
                <w:highlight w:val="none"/>
              </w:rPr>
              <w:t>分，</w:t>
            </w:r>
            <w:r>
              <w:rPr>
                <w:rFonts w:hint="eastAsia" w:ascii="仿宋" w:hAnsi="仿宋" w:eastAsia="仿宋" w:cs="仿宋"/>
                <w:b/>
                <w:bCs/>
                <w:color w:val="auto"/>
                <w:szCs w:val="21"/>
                <w:highlight w:val="none"/>
              </w:rPr>
              <w:t>本项最高得2分。</w:t>
            </w:r>
            <w:r>
              <w:rPr>
                <w:rFonts w:hint="eastAsia" w:ascii="仿宋" w:hAnsi="仿宋" w:eastAsia="仿宋" w:cs="仿宋"/>
                <w:bCs/>
                <w:color w:val="auto"/>
                <w:szCs w:val="21"/>
                <w:highlight w:val="none"/>
              </w:rPr>
              <w:t>（同时提供合同和采购人验收报告（或验收证明），否则不得分）</w:t>
            </w:r>
          </w:p>
        </w:tc>
        <w:tc>
          <w:tcPr>
            <w:tcW w:w="709" w:type="dxa"/>
            <w:noWrap w:val="0"/>
            <w:vAlign w:val="center"/>
          </w:tcPr>
          <w:p w14:paraId="0B12CBB5">
            <w:pPr>
              <w:snapToGrid w:val="0"/>
              <w:jc w:val="center"/>
              <w:rPr>
                <w:rFonts w:ascii="仿宋" w:hAnsi="仿宋" w:eastAsia="仿宋" w:cs="仿宋"/>
                <w:b/>
                <w:color w:val="auto"/>
                <w:szCs w:val="21"/>
                <w:highlight w:val="none"/>
              </w:rPr>
            </w:pPr>
            <w:r>
              <w:rPr>
                <w:rFonts w:hint="eastAsia" w:ascii="仿宋" w:hAnsi="仿宋" w:eastAsia="仿宋" w:cs="仿宋"/>
                <w:b/>
                <w:color w:val="auto"/>
                <w:szCs w:val="21"/>
                <w:highlight w:val="none"/>
              </w:rPr>
              <w:t>2</w:t>
            </w:r>
          </w:p>
        </w:tc>
        <w:tc>
          <w:tcPr>
            <w:tcW w:w="1042" w:type="dxa"/>
            <w:noWrap w:val="0"/>
            <w:vAlign w:val="center"/>
          </w:tcPr>
          <w:p w14:paraId="1C4FC7AF">
            <w:pPr>
              <w:snapToGrid w:val="0"/>
              <w:rPr>
                <w:rFonts w:ascii="仿宋" w:hAnsi="仿宋" w:eastAsia="仿宋" w:cs="仿宋"/>
                <w:b/>
                <w:color w:val="auto"/>
                <w:szCs w:val="21"/>
                <w:highlight w:val="none"/>
                <w:lang w:val="zh-CN"/>
              </w:rPr>
            </w:pPr>
            <w:r>
              <w:rPr>
                <w:rFonts w:hint="eastAsia" w:ascii="仿宋" w:hAnsi="仿宋" w:eastAsia="仿宋" w:cs="仿宋_GB2312"/>
                <w:b/>
                <w:bCs/>
                <w:color w:val="auto"/>
                <w:szCs w:val="21"/>
                <w:highlight w:val="none"/>
              </w:rPr>
              <w:t>客观分</w:t>
            </w:r>
          </w:p>
        </w:tc>
        <w:tc>
          <w:tcPr>
            <w:tcW w:w="1339" w:type="dxa"/>
            <w:noWrap w:val="0"/>
            <w:vAlign w:val="center"/>
          </w:tcPr>
          <w:p w14:paraId="2DF30884">
            <w:pPr>
              <w:snapToGrid w:val="0"/>
              <w:rPr>
                <w:rFonts w:ascii="仿宋" w:hAnsi="仿宋" w:eastAsia="仿宋" w:cs="仿宋"/>
                <w:b/>
                <w:color w:val="auto"/>
                <w:szCs w:val="21"/>
                <w:highlight w:val="none"/>
              </w:rPr>
            </w:pPr>
            <w:r>
              <w:rPr>
                <w:rFonts w:hint="eastAsia" w:ascii="仿宋" w:hAnsi="仿宋" w:eastAsia="仿宋" w:cs="仿宋"/>
                <w:b/>
                <w:color w:val="auto"/>
                <w:szCs w:val="21"/>
                <w:highlight w:val="none"/>
                <w:lang w:val="zh-CN"/>
              </w:rPr>
              <w:t>七、投标人的资信和业绩情况</w:t>
            </w:r>
            <w:r>
              <w:rPr>
                <w:rFonts w:ascii="仿宋" w:hAnsi="仿宋" w:eastAsia="仿宋" w:cs="仿宋"/>
                <w:b/>
                <w:color w:val="auto"/>
                <w:szCs w:val="21"/>
                <w:highlight w:val="none"/>
              </w:rPr>
              <w:t xml:space="preserve"> </w:t>
            </w:r>
          </w:p>
        </w:tc>
      </w:tr>
      <w:tr w14:paraId="3C9BB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8" w:hRule="atLeast"/>
          <w:jc w:val="center"/>
        </w:trPr>
        <w:tc>
          <w:tcPr>
            <w:tcW w:w="481" w:type="dxa"/>
            <w:noWrap w:val="0"/>
            <w:vAlign w:val="center"/>
          </w:tcPr>
          <w:p w14:paraId="7634AA05">
            <w:pPr>
              <w:snapToGrid w:val="0"/>
              <w:jc w:val="center"/>
              <w:rPr>
                <w:rFonts w:ascii="仿宋" w:hAnsi="仿宋" w:eastAsia="仿宋" w:cs="仿宋"/>
                <w:b/>
                <w:color w:val="auto"/>
                <w:szCs w:val="21"/>
                <w:highlight w:val="none"/>
              </w:rPr>
            </w:pPr>
            <w:r>
              <w:rPr>
                <w:rFonts w:hint="eastAsia" w:ascii="仿宋" w:hAnsi="仿宋" w:eastAsia="仿宋" w:cs="仿宋"/>
                <w:b/>
                <w:color w:val="auto"/>
                <w:szCs w:val="21"/>
                <w:highlight w:val="none"/>
              </w:rPr>
              <w:t>三</w:t>
            </w:r>
          </w:p>
        </w:tc>
        <w:tc>
          <w:tcPr>
            <w:tcW w:w="6602" w:type="dxa"/>
            <w:noWrap w:val="0"/>
            <w:vAlign w:val="top"/>
          </w:tcPr>
          <w:p w14:paraId="51D20B08">
            <w:pPr>
              <w:snapToGrid w:val="0"/>
              <w:rPr>
                <w:rFonts w:ascii="仿宋" w:hAnsi="仿宋" w:eastAsia="仿宋" w:cs="仿宋"/>
                <w:color w:val="auto"/>
                <w:szCs w:val="21"/>
                <w:highlight w:val="none"/>
              </w:rPr>
            </w:pPr>
            <w:r>
              <w:rPr>
                <w:rFonts w:hint="eastAsia" w:ascii="仿宋" w:hAnsi="仿宋" w:eastAsia="仿宋" w:cs="仿宋"/>
                <w:color w:val="auto"/>
                <w:szCs w:val="21"/>
                <w:highlight w:val="none"/>
              </w:rPr>
              <w:t>有效投标报价的最低价作为评标基准价，其最低报价为满分；按［投标报价得分</w:t>
            </w:r>
            <w:r>
              <w:rPr>
                <w:rFonts w:ascii="仿宋" w:hAnsi="仿宋" w:eastAsia="仿宋" w:cs="仿宋"/>
                <w:color w:val="auto"/>
                <w:szCs w:val="21"/>
                <w:highlight w:val="none"/>
              </w:rPr>
              <w:t>=（评标基准价/投标报价）*</w:t>
            </w:r>
            <w:r>
              <w:rPr>
                <w:rFonts w:hint="eastAsia" w:ascii="仿宋" w:hAnsi="仿宋" w:eastAsia="仿宋" w:cs="仿宋"/>
                <w:color w:val="auto"/>
                <w:szCs w:val="21"/>
                <w:highlight w:val="none"/>
              </w:rPr>
              <w:t>价格权重</w:t>
            </w:r>
            <w:r>
              <w:rPr>
                <w:rFonts w:ascii="仿宋" w:hAnsi="仿宋" w:eastAsia="仿宋" w:cs="仿宋"/>
                <w:color w:val="auto"/>
                <w:szCs w:val="21"/>
                <w:highlight w:val="none"/>
              </w:rPr>
              <w:t>］的计算公式计算。</w:t>
            </w:r>
          </w:p>
          <w:p w14:paraId="48D3FD92">
            <w:pPr>
              <w:snapToGrid w:val="0"/>
              <w:rPr>
                <w:rFonts w:ascii="仿宋" w:hAnsi="仿宋" w:eastAsia="仿宋"/>
                <w:color w:val="auto"/>
                <w:szCs w:val="21"/>
                <w:highlight w:val="none"/>
              </w:rPr>
            </w:pPr>
            <w:r>
              <w:rPr>
                <w:rFonts w:ascii="仿宋" w:hAnsi="仿宋" w:eastAsia="仿宋" w:cs="仿宋"/>
                <w:color w:val="auto"/>
                <w:szCs w:val="21"/>
                <w:highlight w:val="none"/>
              </w:rPr>
              <w:t>评标过程中，不得去掉报价中的最高报价和最低报价。</w:t>
            </w:r>
          </w:p>
        </w:tc>
        <w:tc>
          <w:tcPr>
            <w:tcW w:w="709" w:type="dxa"/>
            <w:noWrap w:val="0"/>
            <w:vAlign w:val="center"/>
          </w:tcPr>
          <w:p w14:paraId="6F5CB88B">
            <w:pPr>
              <w:snapToGrid w:val="0"/>
              <w:jc w:val="center"/>
              <w:rPr>
                <w:rFonts w:ascii="仿宋" w:hAnsi="仿宋" w:eastAsia="仿宋" w:cs="仿宋"/>
                <w:b/>
                <w:color w:val="auto"/>
                <w:szCs w:val="21"/>
                <w:highlight w:val="none"/>
              </w:rPr>
            </w:pPr>
            <w:r>
              <w:rPr>
                <w:rFonts w:ascii="仿宋" w:hAnsi="仿宋" w:eastAsia="仿宋" w:cs="仿宋"/>
                <w:b/>
                <w:color w:val="auto"/>
                <w:szCs w:val="21"/>
                <w:highlight w:val="none"/>
              </w:rPr>
              <w:t>20</w:t>
            </w:r>
          </w:p>
        </w:tc>
        <w:tc>
          <w:tcPr>
            <w:tcW w:w="1042" w:type="dxa"/>
            <w:noWrap w:val="0"/>
            <w:vAlign w:val="top"/>
          </w:tcPr>
          <w:p w14:paraId="5844A090">
            <w:pPr>
              <w:snapToGrid w:val="0"/>
              <w:jc w:val="center"/>
              <w:rPr>
                <w:rFonts w:ascii="仿宋" w:hAnsi="仿宋" w:eastAsia="仿宋" w:cs="仿宋"/>
                <w:b/>
                <w:color w:val="auto"/>
                <w:szCs w:val="21"/>
                <w:highlight w:val="none"/>
              </w:rPr>
            </w:pPr>
          </w:p>
        </w:tc>
        <w:tc>
          <w:tcPr>
            <w:tcW w:w="1339" w:type="dxa"/>
            <w:noWrap w:val="0"/>
            <w:vAlign w:val="center"/>
          </w:tcPr>
          <w:p w14:paraId="579B7F90">
            <w:pPr>
              <w:snapToGrid w:val="0"/>
              <w:jc w:val="center"/>
              <w:rPr>
                <w:rFonts w:ascii="仿宋" w:hAnsi="仿宋" w:eastAsia="仿宋" w:cs="仿宋"/>
                <w:b/>
                <w:color w:val="auto"/>
                <w:szCs w:val="21"/>
                <w:highlight w:val="none"/>
              </w:rPr>
            </w:pPr>
            <w:r>
              <w:rPr>
                <w:rFonts w:hint="eastAsia" w:ascii="仿宋" w:hAnsi="仿宋" w:eastAsia="仿宋" w:cs="仿宋"/>
                <w:b/>
                <w:color w:val="auto"/>
                <w:szCs w:val="21"/>
                <w:highlight w:val="none"/>
              </w:rPr>
              <w:t>/</w:t>
            </w:r>
          </w:p>
        </w:tc>
      </w:tr>
    </w:tbl>
    <w:p w14:paraId="3C52DC35">
      <w:pPr>
        <w:rPr>
          <w:rFonts w:hint="eastAsia" w:ascii="仿宋" w:hAnsi="仿宋" w:eastAsia="仿宋" w:cs="仿宋"/>
          <w:color w:val="auto"/>
          <w:highlight w:val="none"/>
        </w:rPr>
      </w:pPr>
    </w:p>
    <w:p w14:paraId="1C3C2EBF">
      <w:pPr>
        <w:snapToGrid w:val="0"/>
        <w:spacing w:line="360" w:lineRule="auto"/>
        <w:rPr>
          <w:rFonts w:hint="eastAsia" w:ascii="仿宋" w:hAnsi="仿宋" w:eastAsia="仿宋" w:cs="仿宋"/>
          <w:b/>
          <w:color w:val="auto"/>
          <w:sz w:val="21"/>
          <w:szCs w:val="21"/>
          <w:highlight w:val="none"/>
        </w:rPr>
      </w:pPr>
      <w:r>
        <w:rPr>
          <w:rFonts w:hint="eastAsia" w:ascii="仿宋" w:hAnsi="仿宋" w:eastAsia="仿宋" w:cs="仿宋"/>
          <w:color w:val="auto"/>
          <w:sz w:val="16"/>
          <w:szCs w:val="16"/>
          <w:highlight w:val="none"/>
          <w:shd w:val="clear" w:color="auto" w:fill="FFFFFF"/>
        </w:rPr>
        <w:t> *</w:t>
      </w:r>
      <w:r>
        <w:rPr>
          <w:rFonts w:hint="eastAsia" w:ascii="仿宋" w:hAnsi="仿宋" w:eastAsia="仿宋" w:cs="仿宋"/>
          <w:b/>
          <w:color w:val="auto"/>
          <w:sz w:val="21"/>
          <w:szCs w:val="21"/>
          <w:highlight w:val="none"/>
        </w:rPr>
        <w:t>备注：</w:t>
      </w:r>
      <w:r>
        <w:rPr>
          <w:rFonts w:hint="eastAsia" w:ascii="仿宋" w:hAnsi="仿宋" w:eastAsia="仿宋" w:cs="仿宋"/>
          <w:color w:val="auto"/>
          <w:sz w:val="21"/>
          <w:szCs w:val="21"/>
          <w:highlight w:val="none"/>
        </w:rPr>
        <w:t>投标人编制投标文件（商务技术文件部分）时，建议按此目录（序号和内容）提供评标标准相应的商务技术资料。 </w:t>
      </w:r>
    </w:p>
    <w:p w14:paraId="5FCC7FDE">
      <w:pPr>
        <w:snapToGrid w:val="0"/>
        <w:spacing w:line="360" w:lineRule="auto"/>
        <w:rPr>
          <w:rFonts w:hint="eastAsia" w:ascii="仿宋" w:hAnsi="仿宋" w:eastAsia="仿宋" w:cs="仿宋"/>
          <w:b/>
          <w:color w:val="auto"/>
          <w:sz w:val="22"/>
          <w:szCs w:val="22"/>
          <w:highlight w:val="none"/>
        </w:rPr>
      </w:pPr>
      <w:r>
        <w:rPr>
          <w:rFonts w:hint="eastAsia" w:ascii="仿宋" w:hAnsi="仿宋" w:eastAsia="仿宋" w:cs="仿宋"/>
          <w:b/>
          <w:color w:val="auto"/>
          <w:sz w:val="24"/>
          <w:szCs w:val="21"/>
          <w:highlight w:val="none"/>
        </w:rPr>
        <w:t>一、评标方法</w:t>
      </w:r>
    </w:p>
    <w:p w14:paraId="79DB1BA1">
      <w:pPr>
        <w:adjustRightInd/>
        <w:spacing w:line="360" w:lineRule="auto"/>
        <w:ind w:firstLine="413" w:firstLineChars="196"/>
        <w:rPr>
          <w:rFonts w:hint="eastAsia" w:ascii="仿宋" w:hAnsi="仿宋" w:eastAsia="仿宋" w:cs="仿宋"/>
          <w:color w:val="auto"/>
          <w:kern w:val="0"/>
          <w:sz w:val="21"/>
          <w:szCs w:val="21"/>
          <w:highlight w:val="none"/>
        </w:rPr>
      </w:pPr>
      <w:r>
        <w:rPr>
          <w:rFonts w:hint="eastAsia" w:ascii="仿宋" w:hAnsi="仿宋" w:eastAsia="仿宋" w:cs="仿宋"/>
          <w:b/>
          <w:color w:val="auto"/>
          <w:kern w:val="0"/>
          <w:sz w:val="21"/>
          <w:szCs w:val="21"/>
          <w:highlight w:val="none"/>
        </w:rPr>
        <w:t>1.本项目采用综合评分法。</w:t>
      </w:r>
      <w:r>
        <w:rPr>
          <w:rFonts w:hint="eastAsia" w:ascii="仿宋" w:hAnsi="仿宋" w:eastAsia="仿宋" w:cs="仿宋"/>
          <w:color w:val="auto"/>
          <w:kern w:val="0"/>
          <w:sz w:val="21"/>
          <w:szCs w:val="21"/>
          <w:highlight w:val="none"/>
        </w:rPr>
        <w:t>综合评分法，是指投标文件满足招标文件全部实质性要求，且按照评审因素的量化指标评审得分最高的投标人为中标候选人的评标方法。</w:t>
      </w:r>
    </w:p>
    <w:p w14:paraId="3BE4F95C">
      <w:pPr>
        <w:adjustRightInd/>
        <w:spacing w:line="360" w:lineRule="auto"/>
        <w:rPr>
          <w:rFonts w:hint="eastAsia" w:ascii="仿宋" w:hAnsi="仿宋" w:eastAsia="仿宋" w:cs="仿宋"/>
          <w:color w:val="auto"/>
          <w:kern w:val="0"/>
          <w:sz w:val="21"/>
          <w:szCs w:val="21"/>
          <w:highlight w:val="none"/>
        </w:rPr>
      </w:pPr>
      <w:r>
        <w:rPr>
          <w:rFonts w:hint="eastAsia" w:ascii="仿宋" w:hAnsi="仿宋" w:eastAsia="仿宋" w:cs="仿宋"/>
          <w:b/>
          <w:color w:val="auto"/>
          <w:sz w:val="24"/>
          <w:szCs w:val="21"/>
          <w:highlight w:val="none"/>
        </w:rPr>
        <w:t>二、评标标准</w:t>
      </w:r>
    </w:p>
    <w:p w14:paraId="7165835D">
      <w:pPr>
        <w:spacing w:line="360" w:lineRule="auto"/>
        <w:ind w:firstLine="413" w:firstLineChars="196"/>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2.评标标准：</w:t>
      </w:r>
      <w:r>
        <w:rPr>
          <w:rFonts w:hint="eastAsia" w:ascii="仿宋" w:hAnsi="仿宋" w:eastAsia="仿宋" w:cs="仿宋"/>
          <w:color w:val="auto"/>
          <w:kern w:val="0"/>
          <w:sz w:val="21"/>
          <w:szCs w:val="21"/>
          <w:highlight w:val="none"/>
        </w:rPr>
        <w:t>见评标办法前附表。</w:t>
      </w:r>
    </w:p>
    <w:p w14:paraId="38D40E78">
      <w:pPr>
        <w:adjustRightInd/>
        <w:spacing w:line="360" w:lineRule="auto"/>
        <w:rPr>
          <w:rFonts w:hint="eastAsia" w:ascii="仿宋" w:hAnsi="仿宋" w:eastAsia="仿宋" w:cs="仿宋"/>
          <w:b/>
          <w:color w:val="auto"/>
          <w:sz w:val="24"/>
          <w:szCs w:val="21"/>
          <w:highlight w:val="none"/>
        </w:rPr>
      </w:pPr>
      <w:r>
        <w:rPr>
          <w:rFonts w:hint="eastAsia" w:ascii="仿宋" w:hAnsi="仿宋" w:eastAsia="仿宋" w:cs="仿宋"/>
          <w:b/>
          <w:color w:val="auto"/>
          <w:sz w:val="24"/>
          <w:szCs w:val="21"/>
          <w:highlight w:val="none"/>
        </w:rPr>
        <w:t>三、评标程序</w:t>
      </w:r>
    </w:p>
    <w:p w14:paraId="41EDD6FE">
      <w:pPr>
        <w:spacing w:line="360" w:lineRule="auto"/>
        <w:ind w:firstLine="413" w:firstLineChars="196"/>
        <w:rPr>
          <w:rFonts w:hint="eastAsia" w:ascii="仿宋" w:hAnsi="仿宋" w:eastAsia="仿宋" w:cs="仿宋"/>
          <w:color w:val="auto"/>
          <w:kern w:val="0"/>
          <w:sz w:val="21"/>
          <w:szCs w:val="21"/>
          <w:highlight w:val="none"/>
        </w:rPr>
      </w:pPr>
      <w:r>
        <w:rPr>
          <w:rFonts w:hint="eastAsia" w:ascii="仿宋" w:hAnsi="仿宋" w:eastAsia="仿宋" w:cs="仿宋"/>
          <w:b/>
          <w:color w:val="auto"/>
          <w:kern w:val="0"/>
          <w:sz w:val="21"/>
          <w:szCs w:val="21"/>
          <w:highlight w:val="none"/>
        </w:rPr>
        <w:t>3.1符合性审查。</w:t>
      </w:r>
      <w:r>
        <w:rPr>
          <w:rFonts w:hint="eastAsia" w:ascii="仿宋" w:hAnsi="仿宋" w:eastAsia="仿宋" w:cs="仿宋"/>
          <w:color w:val="auto"/>
          <w:kern w:val="0"/>
          <w:sz w:val="21"/>
          <w:szCs w:val="21"/>
          <w:highlight w:val="none"/>
        </w:rPr>
        <w:t>评标委员会应当对符合资格的投标人的投标文件进行符合性审查，以确定其是否满足招标文件的实质性要求。不满足招标文件的实质性要求的，投标无效。</w:t>
      </w:r>
    </w:p>
    <w:p w14:paraId="03698FE0">
      <w:pPr>
        <w:spacing w:line="360" w:lineRule="auto"/>
        <w:ind w:firstLine="413" w:firstLineChars="196"/>
        <w:rPr>
          <w:rFonts w:hint="eastAsia" w:ascii="仿宋" w:hAnsi="仿宋" w:eastAsia="仿宋" w:cs="仿宋"/>
          <w:color w:val="auto"/>
          <w:kern w:val="0"/>
          <w:sz w:val="21"/>
          <w:szCs w:val="21"/>
          <w:highlight w:val="none"/>
        </w:rPr>
      </w:pPr>
      <w:r>
        <w:rPr>
          <w:rFonts w:hint="eastAsia" w:ascii="仿宋" w:hAnsi="仿宋" w:eastAsia="仿宋" w:cs="仿宋"/>
          <w:b/>
          <w:color w:val="auto"/>
          <w:kern w:val="0"/>
          <w:sz w:val="21"/>
          <w:szCs w:val="21"/>
          <w:highlight w:val="none"/>
        </w:rPr>
        <w:t>3.2 比较与评价。</w:t>
      </w:r>
      <w:r>
        <w:rPr>
          <w:rFonts w:hint="eastAsia" w:ascii="仿宋" w:hAnsi="仿宋" w:eastAsia="仿宋" w:cs="仿宋"/>
          <w:color w:val="auto"/>
          <w:kern w:val="0"/>
          <w:sz w:val="21"/>
          <w:szCs w:val="21"/>
          <w:highlight w:val="none"/>
        </w:rPr>
        <w:t>评标委员会应当按照招标文件中规定的评标方法和标准，对符合性审查合格的投标文件进行商务和技术评估，综合比较与评价。</w:t>
      </w:r>
    </w:p>
    <w:p w14:paraId="741AA135">
      <w:pPr>
        <w:spacing w:line="360" w:lineRule="auto"/>
        <w:ind w:firstLine="411" w:firstLineChars="196"/>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推进采购需求和评审因素编制的科学化和精细化，评审小组成员个人主观打分偏离所有评审小组成员主观打分平均值30%以上的，由评审委员会启动评分畸高、畸低行为认定程序，限制专家自由裁量权。</w:t>
      </w:r>
    </w:p>
    <w:p w14:paraId="7FD49629">
      <w:pPr>
        <w:spacing w:line="360" w:lineRule="auto"/>
        <w:ind w:firstLine="413" w:firstLineChars="196"/>
        <w:rPr>
          <w:rFonts w:hint="eastAsia" w:ascii="仿宋" w:hAnsi="仿宋" w:eastAsia="仿宋" w:cs="仿宋"/>
          <w:color w:val="auto"/>
          <w:kern w:val="0"/>
          <w:sz w:val="21"/>
          <w:szCs w:val="21"/>
          <w:highlight w:val="none"/>
        </w:rPr>
      </w:pPr>
      <w:r>
        <w:rPr>
          <w:rFonts w:hint="eastAsia" w:ascii="仿宋" w:hAnsi="仿宋" w:eastAsia="仿宋" w:cs="仿宋"/>
          <w:b/>
          <w:color w:val="auto"/>
          <w:kern w:val="0"/>
          <w:sz w:val="21"/>
          <w:szCs w:val="21"/>
          <w:highlight w:val="none"/>
        </w:rPr>
        <w:t>3.3汇总商务技术得分。</w:t>
      </w:r>
      <w:r>
        <w:rPr>
          <w:rFonts w:hint="eastAsia" w:ascii="仿宋" w:hAnsi="仿宋" w:eastAsia="仿宋" w:cs="仿宋"/>
          <w:color w:val="auto"/>
          <w:kern w:val="0"/>
          <w:sz w:val="21"/>
          <w:szCs w:val="21"/>
          <w:highlight w:val="none"/>
        </w:rPr>
        <w:t>评标委员会各成员应当独立对每个投标人的商务和技术文件进行评价，并汇总商务技术得分情况。</w:t>
      </w:r>
    </w:p>
    <w:p w14:paraId="5F61D2D2">
      <w:pPr>
        <w:spacing w:line="360" w:lineRule="auto"/>
        <w:ind w:firstLine="413" w:firstLineChars="196"/>
        <w:rPr>
          <w:rFonts w:hint="eastAsia" w:ascii="仿宋" w:hAnsi="仿宋" w:eastAsia="仿宋" w:cs="仿宋"/>
          <w:b/>
          <w:color w:val="auto"/>
          <w:kern w:val="0"/>
          <w:sz w:val="21"/>
          <w:szCs w:val="21"/>
          <w:highlight w:val="none"/>
        </w:rPr>
      </w:pPr>
      <w:r>
        <w:rPr>
          <w:rFonts w:hint="eastAsia" w:ascii="仿宋" w:hAnsi="仿宋" w:eastAsia="仿宋" w:cs="仿宋"/>
          <w:b/>
          <w:color w:val="auto"/>
          <w:kern w:val="0"/>
          <w:sz w:val="21"/>
          <w:szCs w:val="21"/>
          <w:highlight w:val="none"/>
        </w:rPr>
        <w:t>3.4报价评审。</w:t>
      </w:r>
    </w:p>
    <w:p w14:paraId="3B57217C">
      <w:pPr>
        <w:pStyle w:val="148"/>
        <w:spacing w:before="0"/>
        <w:ind w:firstLine="445" w:firstLineChars="212"/>
        <w:rPr>
          <w:rFonts w:hint="eastAsia" w:ascii="仿宋" w:hAnsi="仿宋" w:eastAsia="仿宋" w:cs="仿宋"/>
          <w:color w:val="auto"/>
          <w:kern w:val="0"/>
          <w:sz w:val="21"/>
          <w:szCs w:val="16"/>
          <w:highlight w:val="none"/>
        </w:rPr>
      </w:pPr>
      <w:r>
        <w:rPr>
          <w:rFonts w:hint="eastAsia" w:ascii="仿宋" w:hAnsi="仿宋" w:eastAsia="仿宋" w:cs="仿宋"/>
          <w:color w:val="auto"/>
          <w:kern w:val="0"/>
          <w:sz w:val="21"/>
          <w:szCs w:val="16"/>
          <w:highlight w:val="none"/>
        </w:rPr>
        <w:t>3.4.1投标文件报价出现前后不一致的，按照下列规定修正：</w:t>
      </w:r>
    </w:p>
    <w:p w14:paraId="6985E8F6">
      <w:pPr>
        <w:pStyle w:val="148"/>
        <w:spacing w:before="0"/>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3.4.1.1投标文件中开标一览表(报价表)内容与投标文件中相应内容不一致的，以开标一览表(报价表)为准;</w:t>
      </w:r>
    </w:p>
    <w:p w14:paraId="235B59A8">
      <w:pPr>
        <w:pStyle w:val="148"/>
        <w:spacing w:before="0"/>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3.4.1.2大写金额和小写金额不一致的，以大写金额为准;</w:t>
      </w:r>
    </w:p>
    <w:p w14:paraId="122889F3">
      <w:pPr>
        <w:pStyle w:val="148"/>
        <w:spacing w:before="0"/>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3.4.1.3单价金额小数点或者百分比有明显错位的，以开标一览表的总价为准，并修改单价;</w:t>
      </w:r>
    </w:p>
    <w:p w14:paraId="16BFDA2A">
      <w:pPr>
        <w:pStyle w:val="148"/>
        <w:spacing w:before="0"/>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3.4.1.4总价金额与按单价汇总金额不一致的，以单价金额计算结果为准。</w:t>
      </w:r>
    </w:p>
    <w:p w14:paraId="718C4CA9">
      <w:pPr>
        <w:pStyle w:val="148"/>
        <w:spacing w:before="0"/>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3.4.1.5同时出现两种以上不一致的，按照3.4.1规定的顺序修正。修正后的报价按照财政部第87号令 《政府采购货物和服务招标投标管理办法》第五十一条第二款的规定经投标人确认后产生约束力。</w:t>
      </w:r>
    </w:p>
    <w:p w14:paraId="457ABA22">
      <w:pPr>
        <w:snapToGrid w:val="0"/>
        <w:spacing w:line="360" w:lineRule="auto"/>
        <w:ind w:firstLine="420" w:firstLineChars="200"/>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3.4.2投标文件出现不是唯一的、有选择性投标报价的，投标无效。</w:t>
      </w:r>
    </w:p>
    <w:p w14:paraId="169329E4">
      <w:pPr>
        <w:snapToGrid w:val="0"/>
        <w:spacing w:line="360" w:lineRule="auto"/>
        <w:ind w:firstLine="420" w:firstLineChars="200"/>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3.4.3投标报价超过招标文件中规定的预算金额或者最高限价的，投标无效。</w:t>
      </w:r>
    </w:p>
    <w:p w14:paraId="4BBBC846">
      <w:pPr>
        <w:pStyle w:val="148"/>
        <w:spacing w:before="0"/>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3.4.4评标委员会认为投标人的报价明显低于其他通过符合性审查投标人的报价，有可能影响产品质量或者不能诚信履约的，应当要求其在合理的时间内提供书面说明，必要时提交相关证明材料;投标人不能证明其报价合理性的，评标委员会应当将其作为无效投标处理。</w:t>
      </w:r>
    </w:p>
    <w:p w14:paraId="07842A41">
      <w:pPr>
        <w:pStyle w:val="148"/>
        <w:spacing w:before="0"/>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3.4.5对于未预留份额专门面向中小企业的政府采购服务项目，以及预留份额政府采购服务项目中的非预留部分标项，对小型和微型企业的投标报价给予20%的扣除，用扣除后的价格参与评审。接受大中型企业与小微企业组成联合体或者允许大中型企业向一家或者多家小微企业分包的政府采购服务项目，对于联合协议或者分包意向协议约定小微企业的合同份额占到合同总金额30%以上的，对联合体或者大中型企业的报价给予6%的扣除，用扣除后的价格参加评审。组成联合体或者接受分包的小微企业与联合体内其他企业、分包企业之间存在直接控股、管理关系的，不享受价格扣除优惠政策。</w:t>
      </w:r>
    </w:p>
    <w:p w14:paraId="1CDFEFF3">
      <w:pPr>
        <w:spacing w:line="360" w:lineRule="auto"/>
        <w:ind w:firstLine="422" w:firstLineChars="200"/>
        <w:rPr>
          <w:rFonts w:hint="eastAsia" w:ascii="仿宋" w:hAnsi="仿宋" w:eastAsia="仿宋" w:cs="仿宋"/>
          <w:color w:val="auto"/>
          <w:kern w:val="0"/>
          <w:sz w:val="21"/>
          <w:szCs w:val="21"/>
          <w:highlight w:val="none"/>
        </w:rPr>
      </w:pPr>
      <w:r>
        <w:rPr>
          <w:rFonts w:hint="eastAsia" w:ascii="仿宋" w:hAnsi="仿宋" w:eastAsia="仿宋" w:cs="仿宋"/>
          <w:b/>
          <w:bCs/>
          <w:color w:val="auto"/>
          <w:kern w:val="0"/>
          <w:sz w:val="21"/>
          <w:szCs w:val="21"/>
          <w:highlight w:val="none"/>
        </w:rPr>
        <w:t>3.5排序与推荐。</w:t>
      </w:r>
      <w:r>
        <w:rPr>
          <w:rFonts w:hint="eastAsia" w:ascii="仿宋" w:hAnsi="仿宋" w:eastAsia="仿宋" w:cs="仿宋"/>
          <w:color w:val="auto"/>
          <w:kern w:val="0"/>
          <w:sz w:val="21"/>
          <w:szCs w:val="21"/>
          <w:highlight w:val="none"/>
        </w:rPr>
        <w:t>采用综合评分法的，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r>
        <w:rPr>
          <w:rFonts w:hint="eastAsia" w:ascii="仿宋" w:hAnsi="仿宋" w:eastAsia="仿宋" w:cs="仿宋"/>
          <w:b/>
          <w:bCs/>
          <w:color w:val="auto"/>
          <w:kern w:val="0"/>
          <w:sz w:val="21"/>
          <w:szCs w:val="21"/>
          <w:highlight w:val="none"/>
          <w:lang w:val="en" w:eastAsia="zh-CN"/>
        </w:rPr>
        <w:t>本项目推荐的中标候选人数量：</w:t>
      </w:r>
      <w:r>
        <w:rPr>
          <w:rFonts w:hint="eastAsia" w:ascii="仿宋" w:hAnsi="仿宋" w:eastAsia="仿宋" w:cs="仿宋"/>
          <w:b/>
          <w:bCs/>
          <w:color w:val="auto"/>
          <w:kern w:val="0"/>
          <w:sz w:val="21"/>
          <w:szCs w:val="21"/>
          <w:highlight w:val="none"/>
          <w:u w:val="single"/>
          <w:lang w:val="en-US" w:eastAsia="zh-CN"/>
        </w:rPr>
        <w:t xml:space="preserve">  1   </w:t>
      </w:r>
      <w:r>
        <w:rPr>
          <w:rFonts w:hint="eastAsia" w:ascii="仿宋" w:hAnsi="仿宋" w:eastAsia="仿宋" w:cs="仿宋"/>
          <w:b/>
          <w:bCs/>
          <w:color w:val="auto"/>
          <w:kern w:val="0"/>
          <w:sz w:val="21"/>
          <w:szCs w:val="21"/>
          <w:highlight w:val="none"/>
          <w:lang w:val="en" w:eastAsia="zh-CN"/>
        </w:rPr>
        <w:t>。</w:t>
      </w:r>
    </w:p>
    <w:p w14:paraId="38C80E0E">
      <w:pPr>
        <w:spacing w:line="360" w:lineRule="auto"/>
        <w:ind w:firstLine="420" w:firstLineChars="200"/>
        <w:rPr>
          <w:rFonts w:hint="eastAsia" w:ascii="仿宋" w:hAnsi="仿宋" w:eastAsia="仿宋" w:cs="仿宋"/>
          <w:b/>
          <w:color w:val="auto"/>
          <w:kern w:val="0"/>
          <w:sz w:val="21"/>
          <w:szCs w:val="21"/>
          <w:highlight w:val="none"/>
        </w:rPr>
      </w:pPr>
      <w:r>
        <w:rPr>
          <w:rFonts w:hint="eastAsia" w:ascii="仿宋" w:hAnsi="仿宋" w:eastAsia="仿宋" w:cs="仿宋"/>
          <w:color w:val="auto"/>
          <w:kern w:val="0"/>
          <w:sz w:val="21"/>
          <w:szCs w:val="21"/>
          <w:highlight w:val="none"/>
        </w:rPr>
        <w:t>多家投标人提供相同品牌产品（单一产品采购项目中的该产品或者非单一产品采购项目的核心产品）且通过资格审查、符合性审查的不同投标人参加同一合同项下投标的，按一家投标人计算，评审后得分最高的同品牌投标人获得中标人推荐资格；评审得分相同的，采取随机抽取方式确定，其他同品牌投标人不作为中标候选人。</w:t>
      </w:r>
    </w:p>
    <w:p w14:paraId="3681CD85">
      <w:pPr>
        <w:spacing w:line="360" w:lineRule="auto"/>
        <w:ind w:firstLine="413" w:firstLineChars="196"/>
        <w:rPr>
          <w:rFonts w:hint="eastAsia" w:ascii="仿宋" w:hAnsi="仿宋" w:eastAsia="仿宋" w:cs="仿宋"/>
          <w:color w:val="auto"/>
          <w:kern w:val="0"/>
          <w:sz w:val="21"/>
          <w:szCs w:val="21"/>
          <w:highlight w:val="none"/>
        </w:rPr>
      </w:pPr>
      <w:r>
        <w:rPr>
          <w:rFonts w:hint="eastAsia" w:ascii="仿宋" w:hAnsi="仿宋" w:eastAsia="仿宋" w:cs="仿宋"/>
          <w:b/>
          <w:color w:val="auto"/>
          <w:kern w:val="0"/>
          <w:sz w:val="21"/>
          <w:szCs w:val="21"/>
          <w:highlight w:val="none"/>
        </w:rPr>
        <w:t>3.6编写评标报告。</w:t>
      </w:r>
      <w:r>
        <w:rPr>
          <w:rFonts w:hint="eastAsia" w:ascii="仿宋" w:hAnsi="仿宋" w:eastAsia="仿宋" w:cs="仿宋"/>
          <w:color w:val="auto"/>
          <w:kern w:val="0"/>
          <w:sz w:val="21"/>
          <w:szCs w:val="21"/>
          <w:highlight w:val="none"/>
        </w:rPr>
        <w:t>评标委员会根据全体评标成员签字的原始评标记录和评标结果编写评标报告。评标委员会成员对需要共同认定的事项存在争议的，应当按照少数服从多数的原则作出结论。持不同意见的评标委员会成员应当在评标报告上签署不同意见及理由，否则视为同意评标报告。</w:t>
      </w:r>
    </w:p>
    <w:p w14:paraId="798B9A4C">
      <w:pPr>
        <w:widowControl/>
        <w:shd w:val="clear" w:color="auto" w:fill="FFFFFF"/>
        <w:adjustRightInd/>
        <w:spacing w:after="225" w:line="315" w:lineRule="atLeast"/>
        <w:jc w:val="left"/>
        <w:rPr>
          <w:rFonts w:hint="eastAsia" w:ascii="仿宋" w:hAnsi="仿宋" w:eastAsia="仿宋" w:cs="仿宋"/>
          <w:b/>
          <w:color w:val="auto"/>
          <w:sz w:val="24"/>
          <w:szCs w:val="21"/>
          <w:highlight w:val="none"/>
        </w:rPr>
      </w:pPr>
      <w:r>
        <w:rPr>
          <w:rFonts w:hint="eastAsia" w:ascii="仿宋" w:hAnsi="仿宋" w:eastAsia="仿宋" w:cs="仿宋"/>
          <w:b/>
          <w:color w:val="auto"/>
          <w:sz w:val="24"/>
          <w:szCs w:val="21"/>
          <w:highlight w:val="none"/>
        </w:rPr>
        <w:t>四、评标中的其他事项</w:t>
      </w:r>
    </w:p>
    <w:p w14:paraId="2FAF728D">
      <w:pPr>
        <w:pStyle w:val="148"/>
        <w:spacing w:before="0"/>
        <w:ind w:firstLine="413" w:firstLineChars="196"/>
        <w:rPr>
          <w:rFonts w:hint="eastAsia" w:ascii="仿宋" w:hAnsi="仿宋" w:eastAsia="仿宋" w:cs="仿宋"/>
          <w:color w:val="auto"/>
          <w:kern w:val="0"/>
          <w:sz w:val="21"/>
          <w:szCs w:val="21"/>
          <w:highlight w:val="none"/>
        </w:rPr>
      </w:pPr>
      <w:r>
        <w:rPr>
          <w:rFonts w:hint="eastAsia" w:ascii="仿宋" w:hAnsi="仿宋" w:eastAsia="仿宋" w:cs="仿宋"/>
          <w:b/>
          <w:color w:val="auto"/>
          <w:kern w:val="0"/>
          <w:sz w:val="21"/>
          <w:szCs w:val="21"/>
          <w:highlight w:val="none"/>
        </w:rPr>
        <w:t>4.1投标人澄清、说明或者补正。</w:t>
      </w:r>
      <w:r>
        <w:rPr>
          <w:rFonts w:hint="eastAsia" w:ascii="仿宋" w:hAnsi="仿宋" w:eastAsia="仿宋" w:cs="仿宋"/>
          <w:color w:val="auto"/>
          <w:kern w:val="0"/>
          <w:sz w:val="21"/>
          <w:szCs w:val="21"/>
          <w:highlight w:val="none"/>
        </w:rPr>
        <w:t>对于投标文件中含义不明确、同类问题表述不一致或者有明显文字和计算错误的内容需要投标人作出必要的澄清、说明或者补正的，评标委员会和投标人通过电子交易平台交换数据电文，投标人提交使用电子签名的相关数据电文或通过平台上传加盖公章的扫描件。给予投标人提交澄清、说明或补正的时间不得少于半小时，投标人已经明确表示澄清说明或补正完毕的除外。投标人的澄清、说明或者补正不得超出投标文件的范围或者改变投标文件的实质性内容。</w:t>
      </w:r>
    </w:p>
    <w:p w14:paraId="22702F16">
      <w:pPr>
        <w:pStyle w:val="31"/>
        <w:spacing w:line="360" w:lineRule="auto"/>
        <w:ind w:left="954" w:leftChars="226" w:hanging="479" w:firstLineChars="0"/>
        <w:rPr>
          <w:rFonts w:hint="eastAsia" w:ascii="仿宋" w:hAnsi="仿宋" w:eastAsia="仿宋" w:cs="仿宋"/>
          <w:color w:val="auto"/>
          <w:sz w:val="21"/>
          <w:szCs w:val="18"/>
          <w:highlight w:val="none"/>
        </w:rPr>
      </w:pPr>
      <w:r>
        <w:rPr>
          <w:rFonts w:hint="eastAsia" w:ascii="仿宋" w:hAnsi="仿宋" w:eastAsia="仿宋" w:cs="仿宋"/>
          <w:b/>
          <w:color w:val="auto"/>
          <w:kern w:val="0"/>
          <w:sz w:val="21"/>
          <w:szCs w:val="21"/>
          <w:highlight w:val="none"/>
        </w:rPr>
        <w:t>4.2投标无效。</w:t>
      </w:r>
      <w:r>
        <w:rPr>
          <w:rFonts w:hint="eastAsia" w:ascii="仿宋" w:hAnsi="仿宋" w:eastAsia="仿宋" w:cs="仿宋"/>
          <w:color w:val="auto"/>
          <w:sz w:val="21"/>
          <w:szCs w:val="18"/>
          <w:highlight w:val="none"/>
        </w:rPr>
        <w:t>有下列情形之一的，投标无效：</w:t>
      </w:r>
    </w:p>
    <w:p w14:paraId="5F9DF895">
      <w:pPr>
        <w:spacing w:line="360" w:lineRule="auto"/>
        <w:ind w:firstLine="420" w:firstLineChars="20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4.2.1投标人不具备招标文件中规定的资格要求的（投标人未提供有效的资格文件的，视为投标人不具备招标文件中规定的资格要求）；</w:t>
      </w:r>
    </w:p>
    <w:p w14:paraId="232761E0">
      <w:pPr>
        <w:spacing w:line="360" w:lineRule="auto"/>
        <w:ind w:firstLine="420" w:firstLineChars="20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4.2.2投标文件未按照招标文件要求签署、盖章的；</w:t>
      </w:r>
    </w:p>
    <w:p w14:paraId="12AF97BB">
      <w:pPr>
        <w:spacing w:line="360" w:lineRule="auto"/>
        <w:ind w:firstLine="420" w:firstLineChars="20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4.2.3采购人拟采购的产品属于政府强制采购的节能产品品目清单范围的，投标人相应的投标产品未获得国家确定的认证机构出具的、处于有效期之内的节能产品认证证书的；</w:t>
      </w:r>
    </w:p>
    <w:p w14:paraId="0A11F26C">
      <w:pPr>
        <w:spacing w:line="360" w:lineRule="auto"/>
        <w:ind w:firstLine="420" w:firstLineChars="20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4.2.4投标文件含有采购人不能接受的附加条件的；</w:t>
      </w:r>
    </w:p>
    <w:p w14:paraId="6A333560">
      <w:pPr>
        <w:spacing w:line="360" w:lineRule="auto"/>
        <w:ind w:firstLine="420" w:firstLineChars="20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4.2.5投标文件中承诺的投标有效期少于招标文件中载明的投标有效期的；</w:t>
      </w:r>
    </w:p>
    <w:p w14:paraId="4B116289">
      <w:pPr>
        <w:snapToGrid w:val="0"/>
        <w:spacing w:line="360" w:lineRule="auto"/>
        <w:ind w:firstLine="105" w:firstLineChars="50"/>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 xml:space="preserve">   4.2.6投标文件出现不是唯一的、有选择性投标报价的;</w:t>
      </w:r>
    </w:p>
    <w:p w14:paraId="01B119C2">
      <w:pPr>
        <w:spacing w:line="360" w:lineRule="auto"/>
        <w:ind w:firstLine="420" w:firstLineChars="20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4.2.7投标报价超过招标文件中规定的预算金额或者最高限价的;</w:t>
      </w:r>
    </w:p>
    <w:p w14:paraId="6FB584C5">
      <w:pPr>
        <w:spacing w:line="360" w:lineRule="auto"/>
        <w:ind w:firstLine="420" w:firstLineChars="20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4.2.</w:t>
      </w:r>
      <w:r>
        <w:rPr>
          <w:rFonts w:hint="eastAsia" w:ascii="仿宋" w:hAnsi="仿宋" w:eastAsia="仿宋" w:cs="仿宋"/>
          <w:color w:val="auto"/>
          <w:kern w:val="0"/>
          <w:sz w:val="21"/>
          <w:szCs w:val="21"/>
          <w:highlight w:val="none"/>
          <w:lang w:val="en-US" w:eastAsia="zh-CN"/>
        </w:rPr>
        <w:t>8</w:t>
      </w:r>
      <w:r>
        <w:rPr>
          <w:rFonts w:hint="eastAsia" w:ascii="仿宋" w:hAnsi="仿宋" w:eastAsia="仿宋" w:cs="仿宋"/>
          <w:color w:val="auto"/>
          <w:kern w:val="0"/>
          <w:sz w:val="21"/>
          <w:szCs w:val="21"/>
          <w:highlight w:val="none"/>
        </w:rPr>
        <w:t>投标人对根据修正原则修正后的报价不确认的；</w:t>
      </w:r>
    </w:p>
    <w:p w14:paraId="5A13FD5B">
      <w:pPr>
        <w:spacing w:line="360" w:lineRule="auto"/>
        <w:ind w:firstLine="420" w:firstLineChars="20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4.2.</w:t>
      </w:r>
      <w:r>
        <w:rPr>
          <w:rFonts w:hint="eastAsia" w:ascii="仿宋" w:hAnsi="仿宋" w:eastAsia="仿宋" w:cs="仿宋"/>
          <w:color w:val="auto"/>
          <w:kern w:val="0"/>
          <w:sz w:val="21"/>
          <w:szCs w:val="21"/>
          <w:highlight w:val="none"/>
          <w:lang w:val="en-US" w:eastAsia="zh-CN"/>
        </w:rPr>
        <w:t>9</w:t>
      </w:r>
      <w:r>
        <w:rPr>
          <w:rFonts w:hint="eastAsia" w:ascii="仿宋" w:hAnsi="仿宋" w:eastAsia="仿宋" w:cs="仿宋"/>
          <w:color w:val="auto"/>
          <w:kern w:val="0"/>
          <w:sz w:val="21"/>
          <w:szCs w:val="21"/>
          <w:highlight w:val="none"/>
        </w:rPr>
        <w:t>投标人提供虚假材料投标的；</w:t>
      </w:r>
    </w:p>
    <w:p w14:paraId="7BC18739">
      <w:pPr>
        <w:spacing w:line="360" w:lineRule="auto"/>
        <w:ind w:firstLine="420" w:firstLineChars="20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4.2.1</w:t>
      </w:r>
      <w:r>
        <w:rPr>
          <w:rFonts w:hint="eastAsia" w:ascii="仿宋" w:hAnsi="仿宋" w:eastAsia="仿宋" w:cs="仿宋"/>
          <w:color w:val="auto"/>
          <w:kern w:val="0"/>
          <w:sz w:val="21"/>
          <w:szCs w:val="21"/>
          <w:highlight w:val="none"/>
          <w:lang w:val="en-US" w:eastAsia="zh-CN"/>
        </w:rPr>
        <w:t>0</w:t>
      </w:r>
      <w:r>
        <w:rPr>
          <w:rFonts w:hint="eastAsia" w:ascii="仿宋" w:hAnsi="仿宋" w:eastAsia="仿宋" w:cs="仿宋"/>
          <w:color w:val="auto"/>
          <w:kern w:val="0"/>
          <w:sz w:val="21"/>
          <w:szCs w:val="21"/>
          <w:highlight w:val="none"/>
        </w:rPr>
        <w:t>投标人有恶意串通、妨碍其他投标人的竞争行为、损害采购人或者其他投标人的合法权益情形的；</w:t>
      </w:r>
    </w:p>
    <w:p w14:paraId="5C023299">
      <w:pPr>
        <w:spacing w:line="360" w:lineRule="auto"/>
        <w:ind w:firstLine="420" w:firstLineChars="20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rPr>
        <w:t>4.2.11 参与同一个采购包（标段）的供应商存在下列情形之一且无法合理解释的，其投标（响应）文件无效：1.不同供应商的电子投标（响应）文件上传计算机的网卡MAC地址或硬盘序列号等硬件信息相同的；2.上传的电子投标（响应）文件若出现使用本项目其他投标（响应）供应商的数字证书加密的，或者加盖本项目其他投标（响应）供应商的电子印章的；3.不同供应商的投标（响应）文件的内容存在3处（含）以上错误一致的；4.不同供应商联系人为同一人或不同联系人的联系电话一致的。</w:t>
      </w:r>
    </w:p>
    <w:p w14:paraId="488D0DE0">
      <w:pPr>
        <w:spacing w:line="360" w:lineRule="auto"/>
        <w:ind w:firstLine="420" w:firstLineChars="20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4.2.12投标人仅提交备份投标文件，未在电子交易平台传输递交投标文件的，投标无效；</w:t>
      </w:r>
    </w:p>
    <w:p w14:paraId="1302FEDF">
      <w:pPr>
        <w:spacing w:line="360" w:lineRule="auto"/>
        <w:ind w:firstLine="420" w:firstLineChars="200"/>
        <w:rPr>
          <w:rFonts w:hint="eastAsia" w:ascii="仿宋" w:hAnsi="仿宋" w:eastAsia="仿宋" w:cs="仿宋"/>
          <w:color w:val="auto"/>
          <w:kern w:val="0"/>
          <w:sz w:val="21"/>
          <w:szCs w:val="21"/>
          <w:highlight w:val="none"/>
          <w:lang w:val="en-US"/>
        </w:rPr>
      </w:pPr>
      <w:r>
        <w:rPr>
          <w:rFonts w:hint="eastAsia" w:ascii="仿宋" w:hAnsi="仿宋" w:eastAsia="仿宋" w:cs="仿宋"/>
          <w:color w:val="auto"/>
          <w:kern w:val="0"/>
          <w:sz w:val="21"/>
          <w:szCs w:val="21"/>
          <w:highlight w:val="none"/>
          <w:lang w:val="en-US"/>
        </w:rPr>
        <w:t>4.2.13 投标文件不满足招标文件的其它实质性要求的；</w:t>
      </w:r>
    </w:p>
    <w:p w14:paraId="3D89D613">
      <w:pPr>
        <w:spacing w:line="360" w:lineRule="auto"/>
        <w:ind w:firstLine="420" w:firstLineChars="20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4.2.14法律、法规、规章（适用本市的）及省级以上规范性文件（适用本市的）规定的其他无效情形。</w:t>
      </w:r>
    </w:p>
    <w:p w14:paraId="072DEF0D">
      <w:pPr>
        <w:pStyle w:val="31"/>
        <w:snapToGrid w:val="0"/>
        <w:spacing w:line="360" w:lineRule="auto"/>
        <w:ind w:firstLine="413" w:firstLineChars="196"/>
        <w:rPr>
          <w:rFonts w:hint="eastAsia" w:ascii="仿宋" w:hAnsi="仿宋" w:eastAsia="仿宋" w:cs="仿宋"/>
          <w:color w:val="auto"/>
          <w:sz w:val="21"/>
          <w:szCs w:val="21"/>
          <w:highlight w:val="none"/>
        </w:rPr>
      </w:pPr>
      <w:r>
        <w:rPr>
          <w:rFonts w:hint="eastAsia" w:ascii="仿宋" w:hAnsi="仿宋" w:eastAsia="仿宋" w:cs="仿宋"/>
          <w:b/>
          <w:color w:val="auto"/>
          <w:sz w:val="21"/>
          <w:szCs w:val="21"/>
          <w:highlight w:val="none"/>
        </w:rPr>
        <w:t>5.废标。</w:t>
      </w:r>
      <w:r>
        <w:rPr>
          <w:rFonts w:hint="eastAsia" w:ascii="仿宋" w:hAnsi="仿宋" w:eastAsia="仿宋" w:cs="仿宋"/>
          <w:color w:val="auto"/>
          <w:sz w:val="21"/>
          <w:szCs w:val="21"/>
          <w:highlight w:val="none"/>
        </w:rPr>
        <w:t>根据《中华人民共和国政府采购法》第三十六条之规定，在采购中，出现下列情形之一的，应予废标：</w:t>
      </w:r>
    </w:p>
    <w:p w14:paraId="75E1D89C">
      <w:pPr>
        <w:pStyle w:val="31"/>
        <w:snapToGrid w:val="0"/>
        <w:spacing w:line="360" w:lineRule="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5.1符合专业条件的供应商或者对招标文件作实质响应的供应商不足3家的；</w:t>
      </w:r>
    </w:p>
    <w:p w14:paraId="2CFEF2DC">
      <w:pPr>
        <w:pStyle w:val="31"/>
        <w:snapToGrid w:val="0"/>
        <w:spacing w:line="360" w:lineRule="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5.2出现影响采购公正的违法、违规行为的；</w:t>
      </w:r>
    </w:p>
    <w:p w14:paraId="20636183">
      <w:pPr>
        <w:pStyle w:val="31"/>
        <w:snapToGrid w:val="0"/>
        <w:spacing w:line="360" w:lineRule="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5.3投标人的报价均超过了采购预算，采购人不能支付的；</w:t>
      </w:r>
    </w:p>
    <w:p w14:paraId="0E8E64D1">
      <w:pPr>
        <w:pStyle w:val="31"/>
        <w:snapToGrid w:val="0"/>
        <w:spacing w:line="360" w:lineRule="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5.4因重大变故，采购任务取消的。</w:t>
      </w:r>
    </w:p>
    <w:p w14:paraId="201DC862">
      <w:pPr>
        <w:pStyle w:val="31"/>
        <w:snapToGrid w:val="0"/>
        <w:spacing w:line="360" w:lineRule="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废标后，采购代理机构应当将废标理由通知所有投标人。</w:t>
      </w:r>
    </w:p>
    <w:p w14:paraId="09221CD0">
      <w:pPr>
        <w:pStyle w:val="31"/>
        <w:snapToGrid w:val="0"/>
        <w:spacing w:line="360" w:lineRule="auto"/>
        <w:ind w:firstLine="517" w:firstLineChars="245"/>
        <w:rPr>
          <w:rFonts w:hint="eastAsia" w:ascii="仿宋" w:hAnsi="仿宋" w:eastAsia="仿宋" w:cs="仿宋"/>
          <w:color w:val="auto"/>
          <w:sz w:val="21"/>
          <w:szCs w:val="21"/>
          <w:highlight w:val="none"/>
        </w:rPr>
      </w:pPr>
      <w:r>
        <w:rPr>
          <w:rFonts w:hint="eastAsia" w:ascii="仿宋" w:hAnsi="仿宋" w:eastAsia="仿宋" w:cs="仿宋"/>
          <w:b/>
          <w:color w:val="auto"/>
          <w:sz w:val="21"/>
          <w:szCs w:val="21"/>
          <w:highlight w:val="none"/>
        </w:rPr>
        <w:t>6.修改招标文件，重新组织采购活动。</w:t>
      </w:r>
      <w:r>
        <w:rPr>
          <w:rFonts w:hint="eastAsia" w:ascii="仿宋" w:hAnsi="仿宋" w:eastAsia="仿宋" w:cs="仿宋"/>
          <w:color w:val="auto"/>
          <w:sz w:val="21"/>
          <w:szCs w:val="21"/>
          <w:highlight w:val="none"/>
        </w:rPr>
        <w:t>评标委员会发现招标文件存在歧义、重大缺陷导致评标工作无法进行，或者招标文件内容违反国家有关强制性规定的，将停止评标工作，并与采购人、采购代理机构沟通并作书面记录。采购人、采购代理机构确认后，将修改招标文件，重新组织采购活动。</w:t>
      </w:r>
    </w:p>
    <w:p w14:paraId="3594D5A1">
      <w:pPr>
        <w:pStyle w:val="31"/>
        <w:snapToGrid w:val="0"/>
        <w:spacing w:line="360" w:lineRule="auto"/>
        <w:ind w:firstLine="482"/>
        <w:rPr>
          <w:rFonts w:hint="eastAsia" w:ascii="仿宋" w:hAnsi="仿宋" w:eastAsia="仿宋" w:cs="仿宋"/>
          <w:color w:val="auto"/>
          <w:sz w:val="21"/>
          <w:szCs w:val="21"/>
          <w:highlight w:val="none"/>
        </w:rPr>
      </w:pPr>
      <w:r>
        <w:rPr>
          <w:rFonts w:hint="eastAsia" w:ascii="仿宋" w:hAnsi="仿宋" w:eastAsia="仿宋" w:cs="仿宋"/>
          <w:b/>
          <w:color w:val="auto"/>
          <w:kern w:val="0"/>
          <w:sz w:val="21"/>
          <w:szCs w:val="21"/>
          <w:highlight w:val="none"/>
        </w:rPr>
        <w:t>7.重新开展采购。</w:t>
      </w:r>
      <w:r>
        <w:rPr>
          <w:rFonts w:hint="eastAsia" w:ascii="仿宋" w:hAnsi="仿宋" w:eastAsia="仿宋" w:cs="仿宋"/>
          <w:color w:val="auto"/>
          <w:sz w:val="21"/>
          <w:szCs w:val="21"/>
          <w:highlight w:val="none"/>
        </w:rPr>
        <w:t>有政府采购法第七十一条、第七十二条规定的违法行为之一，影响或者可能影响中标结果的，依照下列规定处理：</w:t>
      </w:r>
    </w:p>
    <w:p w14:paraId="70B38BB9">
      <w:pPr>
        <w:pStyle w:val="31"/>
        <w:snapToGrid w:val="0"/>
        <w:spacing w:line="360" w:lineRule="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7.1未确定中标供应商的，终止本次政府采购活动，重新开展政府采购活动。</w:t>
      </w:r>
    </w:p>
    <w:p w14:paraId="294CA52C">
      <w:pPr>
        <w:pStyle w:val="31"/>
        <w:snapToGrid w:val="0"/>
        <w:spacing w:line="360" w:lineRule="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7.2已确定中标供应商但尚未签订政府采购合同的，中标结果无效，从合格的中标候选人中另行确定中标供应商；没有合格的中标候选人的，重新开展政府采购活动。</w:t>
      </w:r>
    </w:p>
    <w:p w14:paraId="3D2392C1">
      <w:pPr>
        <w:pStyle w:val="31"/>
        <w:snapToGrid w:val="0"/>
        <w:spacing w:line="360" w:lineRule="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7.3政府采购合同已签订但尚未履行的，撤销合同，从合格的中标候选人中另行确定中标供应商；没有合格的中标候选人的，重新开展政府采购活动。</w:t>
      </w:r>
    </w:p>
    <w:p w14:paraId="44A082E3">
      <w:pPr>
        <w:pStyle w:val="31"/>
        <w:snapToGrid w:val="0"/>
        <w:spacing w:line="360" w:lineRule="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7.4政府采购合同已经履行，给采购人、供应商造成损失的，由责任人承担赔偿责任。</w:t>
      </w:r>
    </w:p>
    <w:p w14:paraId="3A74B898">
      <w:pPr>
        <w:pStyle w:val="31"/>
        <w:snapToGrid w:val="0"/>
        <w:spacing w:line="360" w:lineRule="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7.5政府采购当事人有其他违反政府采购法或者政府采购法实施条例等法律法规规定的行为，经改正后仍然影响或者可能影响中标结果或者依法被认定为中标无效的，依照7.1-7.4规定处理。</w:t>
      </w:r>
    </w:p>
    <w:bookmarkEnd w:id="29"/>
    <w:p w14:paraId="6E66E543">
      <w:pPr>
        <w:rPr>
          <w:rFonts w:hint="eastAsia" w:ascii="仿宋" w:hAnsi="仿宋" w:eastAsia="仿宋" w:cs="仿宋"/>
          <w:b/>
          <w:color w:val="auto"/>
          <w:sz w:val="36"/>
          <w:szCs w:val="36"/>
          <w:highlight w:val="none"/>
        </w:rPr>
      </w:pPr>
      <w:bookmarkStart w:id="409" w:name="第五部分"/>
      <w:bookmarkStart w:id="410" w:name="_Toc86217003"/>
      <w:r>
        <w:rPr>
          <w:rFonts w:hint="eastAsia" w:ascii="仿宋" w:hAnsi="仿宋" w:eastAsia="仿宋" w:cs="仿宋"/>
          <w:b/>
          <w:color w:val="auto"/>
          <w:sz w:val="36"/>
          <w:szCs w:val="36"/>
          <w:highlight w:val="none"/>
        </w:rPr>
        <w:br w:type="page"/>
      </w:r>
    </w:p>
    <w:p w14:paraId="2BB072E1">
      <w:pPr>
        <w:spacing w:line="360" w:lineRule="auto"/>
        <w:ind w:left="720" w:leftChars="343" w:firstLine="1446" w:firstLineChars="400"/>
        <w:outlineLvl w:val="0"/>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第五部分 拟签订的合同文本</w:t>
      </w:r>
    </w:p>
    <w:p w14:paraId="638EA9F4">
      <w:pPr>
        <w:rPr>
          <w:rFonts w:hint="eastAsia" w:ascii="仿宋" w:hAnsi="仿宋" w:eastAsia="仿宋" w:cs="仿宋"/>
          <w:color w:val="auto"/>
          <w:sz w:val="24"/>
          <w:highlight w:val="none"/>
        </w:rPr>
      </w:pPr>
    </w:p>
    <w:p w14:paraId="6760EE83">
      <w:pPr>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合同编号：</w:t>
      </w:r>
    </w:p>
    <w:p w14:paraId="0C5B16D0">
      <w:pPr>
        <w:spacing w:line="480" w:lineRule="auto"/>
        <w:jc w:val="center"/>
        <w:rPr>
          <w:rFonts w:hint="eastAsia" w:ascii="仿宋" w:hAnsi="仿宋" w:eastAsia="仿宋" w:cs="仿宋"/>
          <w:b/>
          <w:color w:val="auto"/>
          <w:sz w:val="24"/>
          <w:highlight w:val="none"/>
        </w:rPr>
      </w:pPr>
    </w:p>
    <w:p w14:paraId="05F78797">
      <w:pPr>
        <w:spacing w:line="480" w:lineRule="auto"/>
        <w:jc w:val="center"/>
        <w:rPr>
          <w:rFonts w:hint="eastAsia" w:ascii="仿宋" w:hAnsi="仿宋" w:eastAsia="仿宋" w:cs="仿宋"/>
          <w:b/>
          <w:color w:val="auto"/>
          <w:sz w:val="24"/>
          <w:highlight w:val="none"/>
        </w:rPr>
      </w:pPr>
    </w:p>
    <w:p w14:paraId="54C0BB5F">
      <w:pPr>
        <w:pStyle w:val="719"/>
        <w:rPr>
          <w:rFonts w:hint="eastAsia" w:ascii="仿宋" w:hAnsi="仿宋" w:eastAsia="仿宋" w:cs="仿宋"/>
          <w:color w:val="auto"/>
          <w:szCs w:val="24"/>
          <w:highlight w:val="none"/>
        </w:rPr>
      </w:pPr>
    </w:p>
    <w:p w14:paraId="6E69C6B7">
      <w:pPr>
        <w:pStyle w:val="719"/>
        <w:jc w:val="center"/>
        <w:rPr>
          <w:rFonts w:hint="eastAsia" w:ascii="仿宋" w:hAnsi="仿宋" w:eastAsia="仿宋" w:cs="仿宋"/>
          <w:color w:val="auto"/>
          <w:szCs w:val="24"/>
          <w:highlight w:val="none"/>
        </w:rPr>
      </w:pPr>
    </w:p>
    <w:p w14:paraId="5FC7DB54">
      <w:pPr>
        <w:snapToGrid w:val="0"/>
        <w:spacing w:line="360" w:lineRule="auto"/>
        <w:jc w:val="center"/>
        <w:outlineLvl w:val="1"/>
        <w:rPr>
          <w:rFonts w:hint="eastAsia" w:ascii="仿宋" w:hAnsi="仿宋" w:eastAsia="仿宋" w:cs="仿宋"/>
          <w:b/>
          <w:color w:val="auto"/>
          <w:sz w:val="32"/>
          <w:szCs w:val="20"/>
          <w:highlight w:val="none"/>
        </w:rPr>
      </w:pPr>
      <w:bookmarkStart w:id="411" w:name="_Toc97390129"/>
      <w:r>
        <w:rPr>
          <w:rFonts w:hint="eastAsia" w:ascii="仿宋" w:hAnsi="仿宋" w:eastAsia="仿宋" w:cs="仿宋"/>
          <w:b/>
          <w:color w:val="auto"/>
          <w:sz w:val="32"/>
          <w:szCs w:val="20"/>
          <w:highlight w:val="none"/>
        </w:rPr>
        <w:t>第一部分</w:t>
      </w:r>
      <w:r>
        <w:rPr>
          <w:rFonts w:hint="eastAsia" w:ascii="仿宋" w:hAnsi="仿宋" w:eastAsia="仿宋" w:cs="仿宋"/>
          <w:b/>
          <w:color w:val="auto"/>
          <w:sz w:val="32"/>
          <w:szCs w:val="20"/>
          <w:highlight w:val="none"/>
          <w:lang w:val="en-US" w:eastAsia="zh-CN"/>
        </w:rPr>
        <w:t xml:space="preserve"> </w:t>
      </w:r>
      <w:r>
        <w:rPr>
          <w:rFonts w:hint="eastAsia" w:ascii="仿宋" w:hAnsi="仿宋" w:eastAsia="仿宋" w:cs="仿宋"/>
          <w:b/>
          <w:color w:val="auto"/>
          <w:sz w:val="32"/>
          <w:szCs w:val="20"/>
          <w:highlight w:val="none"/>
        </w:rPr>
        <w:t>合同书</w:t>
      </w:r>
      <w:bookmarkEnd w:id="411"/>
    </w:p>
    <w:p w14:paraId="34860034">
      <w:pPr>
        <w:pStyle w:val="719"/>
        <w:rPr>
          <w:rFonts w:hint="eastAsia" w:ascii="仿宋" w:hAnsi="仿宋" w:eastAsia="仿宋" w:cs="仿宋"/>
          <w:color w:val="auto"/>
          <w:szCs w:val="24"/>
          <w:highlight w:val="none"/>
        </w:rPr>
      </w:pPr>
    </w:p>
    <w:p w14:paraId="2CDBCCBA">
      <w:pPr>
        <w:spacing w:before="120" w:line="22" w:lineRule="atLeast"/>
        <w:rPr>
          <w:rFonts w:hint="eastAsia" w:ascii="仿宋" w:hAnsi="仿宋" w:eastAsia="仿宋" w:cs="仿宋"/>
          <w:color w:val="auto"/>
          <w:sz w:val="24"/>
          <w:highlight w:val="none"/>
        </w:rPr>
      </w:pPr>
    </w:p>
    <w:p w14:paraId="5E6148AF">
      <w:pPr>
        <w:spacing w:before="120" w:line="22" w:lineRule="atLeast"/>
        <w:ind w:left="96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rPr>
        <w:t>项目名称：</w:t>
      </w:r>
      <w:r>
        <w:rPr>
          <w:rFonts w:hint="eastAsia" w:ascii="仿宋" w:hAnsi="仿宋" w:eastAsia="仿宋" w:cs="仿宋"/>
          <w:color w:val="auto"/>
          <w:sz w:val="24"/>
          <w:highlight w:val="none"/>
          <w:u w:val="single"/>
          <w:lang w:eastAsia="zh-CN"/>
        </w:rPr>
        <w:t>反诈专项（涉网新型犯罪侦防数据服务）</w:t>
      </w:r>
      <w:r>
        <w:rPr>
          <w:rFonts w:hint="eastAsia" w:ascii="仿宋" w:hAnsi="仿宋" w:eastAsia="仿宋" w:cs="仿宋"/>
          <w:color w:val="auto"/>
          <w:sz w:val="24"/>
          <w:highlight w:val="none"/>
          <w:u w:val="single"/>
          <w:lang w:val="en-US" w:eastAsia="zh-CN"/>
        </w:rPr>
        <w:t xml:space="preserve">      </w:t>
      </w:r>
    </w:p>
    <w:p w14:paraId="3A32425A">
      <w:pPr>
        <w:pStyle w:val="616"/>
        <w:spacing w:before="120" w:line="22" w:lineRule="atLeast"/>
        <w:rPr>
          <w:rFonts w:hint="eastAsia" w:ascii="仿宋" w:hAnsi="仿宋" w:eastAsia="仿宋" w:cs="仿宋"/>
          <w:color w:val="auto"/>
          <w:szCs w:val="24"/>
          <w:highlight w:val="none"/>
        </w:rPr>
      </w:pPr>
    </w:p>
    <w:p w14:paraId="459FCEB4">
      <w:pPr>
        <w:pStyle w:val="616"/>
        <w:spacing w:before="120" w:line="22" w:lineRule="atLeast"/>
        <w:rPr>
          <w:rFonts w:hint="eastAsia" w:ascii="仿宋" w:hAnsi="仿宋" w:eastAsia="仿宋" w:cs="仿宋"/>
          <w:color w:val="auto"/>
          <w:szCs w:val="24"/>
          <w:highlight w:val="none"/>
        </w:rPr>
      </w:pPr>
    </w:p>
    <w:p w14:paraId="483FA9FC">
      <w:pPr>
        <w:rPr>
          <w:rFonts w:hint="eastAsia" w:ascii="仿宋" w:hAnsi="仿宋" w:eastAsia="仿宋" w:cs="仿宋"/>
          <w:color w:val="auto"/>
          <w:sz w:val="24"/>
          <w:highlight w:val="none"/>
        </w:rPr>
      </w:pPr>
    </w:p>
    <w:p w14:paraId="50771D95">
      <w:pPr>
        <w:spacing w:before="120" w:line="22" w:lineRule="atLeast"/>
        <w:ind w:left="960"/>
        <w:rPr>
          <w:rFonts w:hint="eastAsia" w:ascii="仿宋" w:hAnsi="仿宋" w:eastAsia="仿宋" w:cs="仿宋"/>
          <w:color w:val="auto"/>
          <w:sz w:val="24"/>
          <w:highlight w:val="none"/>
          <w:u w:val="single"/>
          <w:lang w:val="en-US" w:eastAsia="zh-CN"/>
        </w:rPr>
      </w:pPr>
      <w:r>
        <w:rPr>
          <w:rFonts w:hint="eastAsia" w:ascii="仿宋" w:hAnsi="仿宋" w:eastAsia="仿宋" w:cs="仿宋"/>
          <w:color w:val="auto"/>
          <w:sz w:val="24"/>
          <w:highlight w:val="none"/>
        </w:rPr>
        <w:t>甲方：</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lang w:eastAsia="zh-CN"/>
        </w:rPr>
        <w:t>杭州市公安局</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w:t>
      </w:r>
    </w:p>
    <w:p w14:paraId="24C12FB2">
      <w:pPr>
        <w:spacing w:before="120" w:line="22" w:lineRule="atLeast"/>
        <w:rPr>
          <w:rFonts w:hint="eastAsia" w:ascii="仿宋" w:hAnsi="仿宋" w:eastAsia="仿宋" w:cs="仿宋"/>
          <w:color w:val="auto"/>
          <w:sz w:val="24"/>
          <w:highlight w:val="none"/>
        </w:rPr>
      </w:pPr>
    </w:p>
    <w:p w14:paraId="1D136443">
      <w:pPr>
        <w:spacing w:before="120" w:line="22" w:lineRule="atLeast"/>
        <w:ind w:left="960"/>
        <w:rPr>
          <w:rFonts w:hint="eastAsia" w:ascii="仿宋" w:hAnsi="仿宋" w:eastAsia="仿宋" w:cs="仿宋"/>
          <w:color w:val="auto"/>
          <w:sz w:val="24"/>
          <w:highlight w:val="none"/>
          <w:u w:val="none"/>
          <w:lang w:val="en-US" w:eastAsia="zh-CN"/>
        </w:rPr>
      </w:pPr>
      <w:r>
        <w:rPr>
          <w:rFonts w:hint="eastAsia" w:ascii="仿宋" w:hAnsi="仿宋" w:eastAsia="仿宋" w:cs="仿宋"/>
          <w:color w:val="auto"/>
          <w:sz w:val="24"/>
          <w:highlight w:val="none"/>
        </w:rPr>
        <w:t>乙方：</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lang w:val="en-US" w:eastAsia="zh-CN"/>
        </w:rPr>
        <w:t xml:space="preserve">    </w:t>
      </w:r>
    </w:p>
    <w:p w14:paraId="3E01BC5C">
      <w:pPr>
        <w:spacing w:before="120" w:line="22" w:lineRule="atLeast"/>
        <w:rPr>
          <w:rFonts w:hint="eastAsia" w:ascii="仿宋" w:hAnsi="仿宋" w:eastAsia="仿宋" w:cs="仿宋"/>
          <w:color w:val="auto"/>
          <w:sz w:val="24"/>
          <w:highlight w:val="none"/>
          <w:u w:val="none"/>
        </w:rPr>
      </w:pPr>
    </w:p>
    <w:p w14:paraId="00868C5E">
      <w:pPr>
        <w:spacing w:before="120" w:line="22" w:lineRule="atLeast"/>
        <w:ind w:firstLine="960" w:firstLineChars="4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签订地：</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 </w:t>
      </w:r>
    </w:p>
    <w:p w14:paraId="18BFFFC2">
      <w:pPr>
        <w:spacing w:before="120" w:line="22" w:lineRule="atLeas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 xml:space="preserve"> </w:t>
      </w:r>
    </w:p>
    <w:p w14:paraId="2D10D939">
      <w:pPr>
        <w:spacing w:before="120" w:line="22" w:lineRule="atLeast"/>
        <w:ind w:firstLine="960" w:firstLineChars="4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签订日期：</w:t>
      </w:r>
      <w:r>
        <w:rPr>
          <w:rFonts w:hint="eastAsia" w:ascii="仿宋" w:hAnsi="仿宋" w:eastAsia="仿宋" w:cs="仿宋"/>
          <w:color w:val="auto"/>
          <w:sz w:val="24"/>
          <w:highlight w:val="none"/>
          <w:u w:val="single"/>
        </w:rPr>
        <w:t>202</w:t>
      </w:r>
      <w:r>
        <w:rPr>
          <w:rFonts w:hint="eastAsia" w:ascii="仿宋" w:hAnsi="仿宋" w:eastAsia="仿宋" w:cs="仿宋"/>
          <w:color w:val="auto"/>
          <w:sz w:val="24"/>
          <w:highlight w:val="none"/>
          <w:u w:val="single"/>
          <w:lang w:val="en-US" w:eastAsia="zh-CN"/>
        </w:rPr>
        <w:t>5</w:t>
      </w:r>
      <w:r>
        <w:rPr>
          <w:rFonts w:hint="eastAsia" w:ascii="仿宋" w:hAnsi="仿宋" w:eastAsia="仿宋" w:cs="仿宋"/>
          <w:color w:val="auto"/>
          <w:sz w:val="24"/>
          <w:highlight w:val="none"/>
          <w:u w:val="single"/>
        </w:rPr>
        <w:t>年   月   日</w:t>
      </w:r>
    </w:p>
    <w:p w14:paraId="76D95175">
      <w:pPr>
        <w:widowControl/>
        <w:adjustRightInd/>
        <w:jc w:val="left"/>
        <w:rPr>
          <w:rFonts w:hint="eastAsia" w:ascii="仿宋" w:hAnsi="仿宋" w:eastAsia="仿宋" w:cs="仿宋"/>
          <w:color w:val="auto"/>
          <w:sz w:val="24"/>
          <w:highlight w:val="none"/>
          <w:u w:val="single"/>
          <w:lang w:val="zh-CN"/>
        </w:rPr>
      </w:pPr>
    </w:p>
    <w:p w14:paraId="43C76C5A">
      <w:pPr>
        <w:widowControl/>
        <w:adjustRightInd/>
        <w:jc w:val="center"/>
        <w:rPr>
          <w:rFonts w:hint="eastAsia" w:ascii="仿宋" w:hAnsi="仿宋" w:eastAsia="仿宋" w:cs="仿宋"/>
          <w:b/>
          <w:color w:val="auto"/>
          <w:sz w:val="36"/>
          <w:szCs w:val="20"/>
          <w:highlight w:val="none"/>
        </w:rPr>
      </w:pPr>
    </w:p>
    <w:p w14:paraId="524307F8">
      <w:pPr>
        <w:rPr>
          <w:rFonts w:hint="eastAsia" w:ascii="仿宋" w:hAnsi="仿宋" w:eastAsia="仿宋" w:cs="仿宋"/>
          <w:b/>
          <w:color w:val="auto"/>
          <w:sz w:val="36"/>
          <w:szCs w:val="20"/>
          <w:highlight w:val="none"/>
        </w:rPr>
      </w:pPr>
      <w:r>
        <w:rPr>
          <w:rFonts w:hint="eastAsia" w:ascii="仿宋" w:hAnsi="仿宋" w:eastAsia="仿宋" w:cs="仿宋"/>
          <w:b/>
          <w:color w:val="auto"/>
          <w:sz w:val="36"/>
          <w:szCs w:val="20"/>
          <w:highlight w:val="none"/>
        </w:rPr>
        <w:br w:type="page"/>
      </w:r>
    </w:p>
    <w:p w14:paraId="17BB5F76">
      <w:pPr>
        <w:pStyle w:val="30"/>
        <w:rPr>
          <w:rFonts w:hint="eastAsia" w:ascii="仿宋" w:hAnsi="仿宋" w:eastAsia="仿宋" w:cs="仿宋"/>
          <w:color w:val="auto"/>
          <w:highlight w:val="none"/>
        </w:rPr>
      </w:pPr>
    </w:p>
    <w:p w14:paraId="39645D9B">
      <w:pPr>
        <w:keepNext w:val="0"/>
        <w:keepLines w:val="0"/>
        <w:pageBreakBefore w:val="0"/>
        <w:kinsoku/>
        <w:wordWrap/>
        <w:overflowPunct/>
        <w:topLinePunct w:val="0"/>
        <w:bidi w:val="0"/>
        <w:snapToGrid/>
        <w:spacing w:line="360" w:lineRule="auto"/>
        <w:ind w:firstLine="420" w:firstLineChars="2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u w:val="single"/>
          <w:lang w:val="zh-CN"/>
        </w:rPr>
        <w:t xml:space="preserve">        </w:t>
      </w:r>
      <w:r>
        <w:rPr>
          <w:rFonts w:hint="eastAsia" w:ascii="仿宋" w:hAnsi="仿宋" w:eastAsia="仿宋" w:cs="仿宋"/>
          <w:color w:val="auto"/>
          <w:sz w:val="21"/>
          <w:szCs w:val="21"/>
          <w:highlight w:val="none"/>
          <w:lang w:val="zh-CN"/>
        </w:rPr>
        <w:t>年</w:t>
      </w:r>
      <w:r>
        <w:rPr>
          <w:rFonts w:hint="eastAsia" w:ascii="仿宋" w:hAnsi="仿宋" w:eastAsia="仿宋" w:cs="仿宋"/>
          <w:color w:val="auto"/>
          <w:sz w:val="21"/>
          <w:szCs w:val="21"/>
          <w:highlight w:val="none"/>
          <w:u w:val="single"/>
          <w:lang w:val="zh-CN"/>
        </w:rPr>
        <w:t xml:space="preserve">    </w:t>
      </w:r>
      <w:r>
        <w:rPr>
          <w:rFonts w:hint="eastAsia" w:ascii="仿宋" w:hAnsi="仿宋" w:eastAsia="仿宋" w:cs="仿宋"/>
          <w:color w:val="auto"/>
          <w:sz w:val="21"/>
          <w:szCs w:val="21"/>
          <w:highlight w:val="none"/>
          <w:lang w:val="zh-CN"/>
        </w:rPr>
        <w:t>月</w:t>
      </w:r>
      <w:r>
        <w:rPr>
          <w:rFonts w:hint="eastAsia" w:ascii="仿宋" w:hAnsi="仿宋" w:eastAsia="仿宋" w:cs="仿宋"/>
          <w:color w:val="auto"/>
          <w:sz w:val="21"/>
          <w:szCs w:val="21"/>
          <w:highlight w:val="none"/>
          <w:u w:val="single"/>
          <w:lang w:val="zh-CN"/>
        </w:rPr>
        <w:t xml:space="preserve">    </w:t>
      </w:r>
      <w:r>
        <w:rPr>
          <w:rFonts w:hint="eastAsia" w:ascii="仿宋" w:hAnsi="仿宋" w:eastAsia="仿宋" w:cs="仿宋"/>
          <w:color w:val="auto"/>
          <w:sz w:val="21"/>
          <w:szCs w:val="21"/>
          <w:highlight w:val="none"/>
          <w:lang w:val="zh-CN"/>
        </w:rPr>
        <w:t>日</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eastAsia="zh-CN"/>
        </w:rPr>
        <w:t>杭州市公安局</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以</w:t>
      </w:r>
      <w:r>
        <w:rPr>
          <w:rFonts w:hint="eastAsia" w:ascii="仿宋" w:hAnsi="仿宋" w:eastAsia="仿宋" w:cs="仿宋"/>
          <w:color w:val="auto"/>
          <w:sz w:val="21"/>
          <w:szCs w:val="21"/>
          <w:highlight w:val="none"/>
          <w:u w:val="single"/>
        </w:rPr>
        <w:t xml:space="preserve">   公开招标  </w:t>
      </w:r>
      <w:r>
        <w:rPr>
          <w:rFonts w:hint="eastAsia" w:ascii="仿宋" w:hAnsi="仿宋" w:eastAsia="仿宋" w:cs="仿宋"/>
          <w:color w:val="auto"/>
          <w:sz w:val="21"/>
          <w:szCs w:val="21"/>
          <w:highlight w:val="none"/>
        </w:rPr>
        <w:t>对</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eastAsia="zh-CN"/>
        </w:rPr>
        <w:t>反诈专项（涉网新型犯罪侦防数据服务）</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项目进行了采购。经</w:t>
      </w:r>
      <w:r>
        <w:rPr>
          <w:rFonts w:hint="eastAsia" w:ascii="仿宋" w:hAnsi="仿宋" w:eastAsia="仿宋" w:cs="仿宋"/>
          <w:color w:val="auto"/>
          <w:sz w:val="21"/>
          <w:szCs w:val="21"/>
          <w:highlight w:val="none"/>
          <w:u w:val="single"/>
        </w:rPr>
        <w:t xml:space="preserve">   评标委员会   </w:t>
      </w:r>
      <w:r>
        <w:rPr>
          <w:rFonts w:hint="eastAsia" w:ascii="仿宋" w:hAnsi="仿宋" w:eastAsia="仿宋" w:cs="仿宋"/>
          <w:color w:val="auto"/>
          <w:sz w:val="21"/>
          <w:szCs w:val="21"/>
          <w:highlight w:val="none"/>
        </w:rPr>
        <w:t>评定，</w:t>
      </w:r>
      <w:r>
        <w:rPr>
          <w:rFonts w:hint="eastAsia" w:ascii="仿宋" w:hAnsi="仿宋" w:eastAsia="仿宋" w:cs="仿宋"/>
          <w:color w:val="auto"/>
          <w:sz w:val="21"/>
          <w:szCs w:val="21"/>
          <w:highlight w:val="none"/>
          <w:u w:val="single"/>
        </w:rPr>
        <w:t xml:space="preserve">   （中标供应商名称） </w:t>
      </w:r>
      <w:r>
        <w:rPr>
          <w:rFonts w:hint="eastAsia" w:ascii="仿宋" w:hAnsi="仿宋" w:eastAsia="仿宋" w:cs="仿宋"/>
          <w:color w:val="auto"/>
          <w:sz w:val="21"/>
          <w:szCs w:val="21"/>
          <w:highlight w:val="none"/>
        </w:rPr>
        <w:t>为该项目中标供应商。现于中标或者成交通知书发出之日起10个工作日内，按照采购文件确定的事项签订本合同。</w:t>
      </w:r>
    </w:p>
    <w:p w14:paraId="4C2AA504">
      <w:pPr>
        <w:keepNext w:val="0"/>
        <w:keepLines w:val="0"/>
        <w:pageBreakBefore w:val="0"/>
        <w:kinsoku/>
        <w:wordWrap/>
        <w:overflowPunct/>
        <w:topLinePunct w:val="0"/>
        <w:bidi w:val="0"/>
        <w:snapToGrid/>
        <w:spacing w:line="360" w:lineRule="auto"/>
        <w:ind w:firstLine="420" w:firstLineChars="2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zh-CN"/>
        </w:rPr>
        <w:t>根据《中华人民共和国民法典》《中华人民共和国政府采购法》等相关法律法规之规定，按照平等、自愿、公平和诚实信用的原则，经</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eastAsia="zh-CN"/>
        </w:rPr>
        <w:t>杭州市公安局</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lang w:val="zh-CN"/>
        </w:rPr>
        <w:t>(以下简称：甲方)和</w:t>
      </w:r>
      <w:r>
        <w:rPr>
          <w:rFonts w:hint="eastAsia" w:ascii="仿宋" w:hAnsi="仿宋" w:eastAsia="仿宋" w:cs="仿宋"/>
          <w:color w:val="auto"/>
          <w:sz w:val="21"/>
          <w:szCs w:val="21"/>
          <w:highlight w:val="none"/>
          <w:u w:val="single"/>
        </w:rPr>
        <w:t xml:space="preserve">   （中标供应商名称）   </w:t>
      </w:r>
      <w:r>
        <w:rPr>
          <w:rFonts w:hint="eastAsia" w:ascii="仿宋" w:hAnsi="仿宋" w:eastAsia="仿宋" w:cs="仿宋"/>
          <w:color w:val="auto"/>
          <w:sz w:val="21"/>
          <w:szCs w:val="21"/>
          <w:highlight w:val="none"/>
          <w:lang w:val="zh-CN"/>
        </w:rPr>
        <w:t>(以下简称：乙方)协商一致，约定以下合同</w:t>
      </w:r>
      <w:r>
        <w:rPr>
          <w:rFonts w:hint="eastAsia" w:ascii="仿宋" w:hAnsi="仿宋" w:eastAsia="仿宋" w:cs="仿宋"/>
          <w:color w:val="auto"/>
          <w:sz w:val="21"/>
          <w:szCs w:val="21"/>
          <w:highlight w:val="none"/>
        </w:rPr>
        <w:t>条款，以兹共同遵守、全面履行。</w:t>
      </w:r>
    </w:p>
    <w:p w14:paraId="0F07E169">
      <w:pPr>
        <w:keepNext w:val="0"/>
        <w:keepLines w:val="0"/>
        <w:pageBreakBefore w:val="0"/>
        <w:kinsoku/>
        <w:wordWrap/>
        <w:overflowPunct/>
        <w:topLinePunct w:val="0"/>
        <w:bidi w:val="0"/>
        <w:snapToGrid/>
        <w:spacing w:line="360" w:lineRule="auto"/>
        <w:ind w:firstLine="422" w:firstLineChars="200"/>
        <w:textAlignment w:val="auto"/>
        <w:outlineLvl w:val="9"/>
        <w:rPr>
          <w:rFonts w:hint="eastAsia" w:ascii="仿宋" w:hAnsi="仿宋" w:eastAsia="仿宋" w:cs="仿宋"/>
          <w:color w:val="auto"/>
          <w:sz w:val="21"/>
          <w:szCs w:val="21"/>
          <w:highlight w:val="none"/>
        </w:rPr>
      </w:pPr>
      <w:bookmarkStart w:id="412" w:name="_Toc15367"/>
      <w:bookmarkStart w:id="413" w:name="_Toc19273"/>
      <w:bookmarkStart w:id="414" w:name="_Toc20421"/>
      <w:bookmarkStart w:id="415" w:name="_Toc22967"/>
      <w:bookmarkStart w:id="416" w:name="_Toc28855"/>
      <w:r>
        <w:rPr>
          <w:rFonts w:hint="eastAsia" w:ascii="仿宋" w:hAnsi="仿宋" w:eastAsia="仿宋" w:cs="仿宋"/>
          <w:b/>
          <w:color w:val="auto"/>
          <w:sz w:val="21"/>
          <w:szCs w:val="21"/>
          <w:highlight w:val="none"/>
        </w:rPr>
        <w:t>1.1 合同组成部分</w:t>
      </w:r>
      <w:bookmarkEnd w:id="412"/>
      <w:bookmarkEnd w:id="413"/>
      <w:bookmarkEnd w:id="414"/>
      <w:bookmarkEnd w:id="415"/>
      <w:bookmarkEnd w:id="416"/>
    </w:p>
    <w:p w14:paraId="65F25A44">
      <w:pPr>
        <w:keepNext w:val="0"/>
        <w:keepLines w:val="0"/>
        <w:pageBreakBefore w:val="0"/>
        <w:kinsoku/>
        <w:wordWrap/>
        <w:overflowPunct/>
        <w:topLinePunct w:val="0"/>
        <w:bidi w:val="0"/>
        <w:snapToGrid/>
        <w:spacing w:line="360" w:lineRule="auto"/>
        <w:ind w:firstLine="420" w:firstLineChars="2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下列文件为本合同的组成部分，并构成一个整体，需综合解释、相互补充。如果下列文件内容出现不一致的情形，那么在保证按照采购文件确定的事项的前提下，组成本合同的多个文件的优先适用顺序如下：</w:t>
      </w:r>
    </w:p>
    <w:p w14:paraId="76FF8676">
      <w:pPr>
        <w:keepNext w:val="0"/>
        <w:keepLines w:val="0"/>
        <w:pageBreakBefore w:val="0"/>
        <w:kinsoku/>
        <w:wordWrap/>
        <w:overflowPunct/>
        <w:topLinePunct w:val="0"/>
        <w:bidi w:val="0"/>
        <w:snapToGrid/>
        <w:spacing w:line="360" w:lineRule="auto"/>
        <w:ind w:firstLine="420" w:firstLineChars="2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1.1.1 本合同及其补充合同、变更协议；</w:t>
      </w:r>
    </w:p>
    <w:p w14:paraId="30EC3394">
      <w:pPr>
        <w:keepNext w:val="0"/>
        <w:keepLines w:val="0"/>
        <w:pageBreakBefore w:val="0"/>
        <w:kinsoku/>
        <w:wordWrap/>
        <w:overflowPunct/>
        <w:topLinePunct w:val="0"/>
        <w:bidi w:val="0"/>
        <w:snapToGrid/>
        <w:spacing w:line="360" w:lineRule="auto"/>
        <w:ind w:firstLine="420" w:firstLineChars="2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1.1.2 中标或者成交通知书；</w:t>
      </w:r>
    </w:p>
    <w:p w14:paraId="5FC18D73">
      <w:pPr>
        <w:keepNext w:val="0"/>
        <w:keepLines w:val="0"/>
        <w:pageBreakBefore w:val="0"/>
        <w:kinsoku/>
        <w:wordWrap/>
        <w:overflowPunct/>
        <w:topLinePunct w:val="0"/>
        <w:bidi w:val="0"/>
        <w:snapToGrid/>
        <w:spacing w:line="360" w:lineRule="auto"/>
        <w:ind w:firstLine="420" w:firstLineChars="2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1.1.3 投标或者响应文件（含澄清或者说明文件）；</w:t>
      </w:r>
    </w:p>
    <w:p w14:paraId="4AE35D10">
      <w:pPr>
        <w:keepNext w:val="0"/>
        <w:keepLines w:val="0"/>
        <w:pageBreakBefore w:val="0"/>
        <w:kinsoku/>
        <w:wordWrap/>
        <w:overflowPunct/>
        <w:topLinePunct w:val="0"/>
        <w:bidi w:val="0"/>
        <w:snapToGrid/>
        <w:spacing w:line="360" w:lineRule="auto"/>
        <w:ind w:firstLine="420" w:firstLineChars="2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1.1.4 采购文件（含澄清或者修改文件）；</w:t>
      </w:r>
    </w:p>
    <w:p w14:paraId="77BF852F">
      <w:pPr>
        <w:keepNext w:val="0"/>
        <w:keepLines w:val="0"/>
        <w:pageBreakBefore w:val="0"/>
        <w:kinsoku/>
        <w:wordWrap/>
        <w:overflowPunct/>
        <w:topLinePunct w:val="0"/>
        <w:bidi w:val="0"/>
        <w:snapToGrid/>
        <w:spacing w:line="360" w:lineRule="auto"/>
        <w:ind w:firstLine="420" w:firstLineChars="2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1.1.5 其他相关采购文件。</w:t>
      </w:r>
    </w:p>
    <w:p w14:paraId="1C7006E4">
      <w:pPr>
        <w:keepNext w:val="0"/>
        <w:keepLines w:val="0"/>
        <w:pageBreakBefore w:val="0"/>
        <w:kinsoku/>
        <w:wordWrap/>
        <w:overflowPunct/>
        <w:topLinePunct w:val="0"/>
        <w:bidi w:val="0"/>
        <w:snapToGrid/>
        <w:spacing w:line="360" w:lineRule="auto"/>
        <w:ind w:firstLine="422" w:firstLineChars="200"/>
        <w:textAlignment w:val="auto"/>
        <w:outlineLvl w:val="9"/>
        <w:rPr>
          <w:rFonts w:hint="eastAsia" w:ascii="仿宋" w:hAnsi="仿宋" w:eastAsia="仿宋" w:cs="仿宋"/>
          <w:b/>
          <w:color w:val="auto"/>
          <w:sz w:val="21"/>
          <w:szCs w:val="21"/>
          <w:highlight w:val="none"/>
        </w:rPr>
      </w:pPr>
      <w:bookmarkStart w:id="417" w:name="_Toc18585"/>
      <w:bookmarkStart w:id="418" w:name="_Toc6773"/>
      <w:bookmarkStart w:id="419" w:name="_Toc22185"/>
      <w:bookmarkStart w:id="420" w:name="_Toc2918"/>
      <w:bookmarkStart w:id="421" w:name="_Toc6311"/>
      <w:r>
        <w:rPr>
          <w:rFonts w:hint="eastAsia" w:ascii="仿宋" w:hAnsi="仿宋" w:eastAsia="仿宋" w:cs="仿宋"/>
          <w:b/>
          <w:color w:val="auto"/>
          <w:sz w:val="21"/>
          <w:szCs w:val="21"/>
          <w:highlight w:val="none"/>
        </w:rPr>
        <w:t>1.2 标的</w:t>
      </w:r>
      <w:bookmarkEnd w:id="417"/>
      <w:bookmarkEnd w:id="418"/>
      <w:bookmarkEnd w:id="419"/>
      <w:bookmarkEnd w:id="420"/>
      <w:bookmarkEnd w:id="421"/>
    </w:p>
    <w:p w14:paraId="2350C576">
      <w:pPr>
        <w:keepNext w:val="0"/>
        <w:keepLines w:val="0"/>
        <w:pageBreakBefore w:val="0"/>
        <w:kinsoku/>
        <w:wordWrap/>
        <w:overflowPunct/>
        <w:topLinePunct w:val="0"/>
        <w:bidi w:val="0"/>
        <w:snapToGrid/>
        <w:spacing w:line="360" w:lineRule="auto"/>
        <w:ind w:firstLine="420" w:firstLineChars="200"/>
        <w:textAlignment w:val="auto"/>
        <w:outlineLvl w:val="9"/>
        <w:rPr>
          <w:rFonts w:hint="eastAsia" w:ascii="仿宋" w:hAnsi="仿宋" w:eastAsia="仿宋" w:cs="仿宋"/>
          <w:color w:val="auto"/>
          <w:sz w:val="21"/>
          <w:szCs w:val="21"/>
          <w:highlight w:val="none"/>
          <w:u w:val="single"/>
        </w:rPr>
      </w:pPr>
      <w:r>
        <w:rPr>
          <w:rFonts w:hint="eastAsia" w:ascii="仿宋" w:hAnsi="仿宋" w:eastAsia="仿宋" w:cs="仿宋"/>
          <w:color w:val="auto"/>
          <w:sz w:val="21"/>
          <w:szCs w:val="21"/>
          <w:highlight w:val="none"/>
        </w:rPr>
        <w:t>1.2.1 服务内容：</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val="en-US" w:eastAsia="zh-CN"/>
        </w:rPr>
        <w:t>服务内容包括</w:t>
      </w:r>
      <w:r>
        <w:rPr>
          <w:rFonts w:hint="eastAsia" w:ascii="仿宋" w:hAnsi="仿宋" w:eastAsia="仿宋" w:cs="仿宋"/>
          <w:color w:val="auto"/>
          <w:sz w:val="21"/>
          <w:szCs w:val="21"/>
          <w:highlight w:val="none"/>
          <w:u w:val="single"/>
        </w:rPr>
        <w:t>（一）案件侦查打击服务；（二）大数据智能查控服务；（三）资金智能查控服务；（四）涉网诈骗预感探测数据服务；（五）涉网新型案件行为分析服务；（六）新型涉网案件智勘联侦分析系统服务</w:t>
      </w:r>
      <w:r>
        <w:rPr>
          <w:rFonts w:hint="eastAsia" w:ascii="仿宋" w:hAnsi="仿宋" w:eastAsia="仿宋"/>
          <w:color w:val="auto"/>
          <w:kern w:val="0"/>
          <w:szCs w:val="21"/>
          <w:highlight w:val="none"/>
          <w:u w:val="single"/>
        </w:rPr>
        <w:t>。</w:t>
      </w:r>
    </w:p>
    <w:p w14:paraId="6027435B">
      <w:pPr>
        <w:keepNext w:val="0"/>
        <w:keepLines w:val="0"/>
        <w:pageBreakBefore w:val="0"/>
        <w:kinsoku/>
        <w:wordWrap/>
        <w:overflowPunct/>
        <w:topLinePunct w:val="0"/>
        <w:bidi w:val="0"/>
        <w:snapToGrid/>
        <w:spacing w:line="360" w:lineRule="auto"/>
        <w:ind w:firstLine="420" w:firstLineChars="200"/>
        <w:textAlignment w:val="auto"/>
        <w:outlineLvl w:val="9"/>
        <w:rPr>
          <w:rFonts w:hint="eastAsia" w:ascii="仿宋" w:hAnsi="仿宋" w:eastAsia="仿宋" w:cs="仿宋"/>
          <w:color w:val="auto"/>
          <w:sz w:val="21"/>
          <w:szCs w:val="21"/>
          <w:highlight w:val="none"/>
          <w:u w:val="single"/>
        </w:rPr>
      </w:pPr>
      <w:r>
        <w:rPr>
          <w:rFonts w:hint="eastAsia" w:ascii="仿宋" w:hAnsi="仿宋" w:eastAsia="仿宋" w:cs="仿宋"/>
          <w:color w:val="auto"/>
          <w:sz w:val="21"/>
          <w:szCs w:val="21"/>
          <w:highlight w:val="none"/>
        </w:rPr>
        <w:t>1.2.2 服务标准：</w:t>
      </w:r>
      <w:r>
        <w:rPr>
          <w:rFonts w:hint="eastAsia" w:ascii="仿宋" w:hAnsi="仿宋" w:eastAsia="仿宋"/>
          <w:color w:val="auto"/>
          <w:szCs w:val="21"/>
          <w:highlight w:val="none"/>
          <w:u w:val="single"/>
        </w:rPr>
        <w:t xml:space="preserve"> </w:t>
      </w:r>
      <w:r>
        <w:rPr>
          <w:rFonts w:hint="eastAsia" w:ascii="仿宋" w:hAnsi="仿宋" w:eastAsia="仿宋" w:cs="宋体"/>
          <w:color w:val="auto"/>
          <w:szCs w:val="21"/>
          <w:highlight w:val="none"/>
          <w:u w:val="single"/>
        </w:rPr>
        <w:t>根据采购文件确定的技术指标或者服务要求确定验收指标和标准。未进行相应约定的，应当符合国家强制性规定、政策要求、安全标准、行业</w:t>
      </w:r>
      <w:r>
        <w:rPr>
          <w:rFonts w:hint="eastAsia" w:ascii="仿宋" w:hAnsi="仿宋" w:eastAsia="仿宋" w:cs="宋体"/>
          <w:color w:val="auto"/>
          <w:szCs w:val="21"/>
          <w:highlight w:val="none"/>
          <w:u w:val="single"/>
          <w:lang w:val="en-US" w:eastAsia="zh-CN"/>
        </w:rPr>
        <w:t>和</w:t>
      </w:r>
      <w:r>
        <w:rPr>
          <w:rFonts w:hint="eastAsia" w:ascii="仿宋" w:hAnsi="仿宋" w:eastAsia="仿宋" w:cs="宋体"/>
          <w:color w:val="auto"/>
          <w:szCs w:val="21"/>
          <w:highlight w:val="none"/>
          <w:u w:val="single"/>
        </w:rPr>
        <w:t>企业有关标准等</w:t>
      </w:r>
      <w:r>
        <w:rPr>
          <w:rFonts w:hint="eastAsia" w:ascii="仿宋" w:hAnsi="仿宋" w:eastAsia="仿宋"/>
          <w:color w:val="auto"/>
          <w:szCs w:val="21"/>
          <w:highlight w:val="none"/>
          <w:u w:val="single"/>
        </w:rPr>
        <w:t>；</w:t>
      </w:r>
    </w:p>
    <w:p w14:paraId="3842D73F">
      <w:pPr>
        <w:keepNext w:val="0"/>
        <w:keepLines w:val="0"/>
        <w:pageBreakBefore w:val="0"/>
        <w:kinsoku/>
        <w:wordWrap/>
        <w:overflowPunct/>
        <w:topLinePunct w:val="0"/>
        <w:bidi w:val="0"/>
        <w:snapToGrid/>
        <w:spacing w:line="360" w:lineRule="auto"/>
        <w:ind w:firstLine="420" w:firstLineChars="200"/>
        <w:textAlignment w:val="auto"/>
        <w:outlineLvl w:val="9"/>
        <w:rPr>
          <w:rFonts w:hint="eastAsia" w:ascii="仿宋" w:hAnsi="仿宋" w:eastAsia="仿宋" w:cs="仿宋"/>
          <w:color w:val="auto"/>
          <w:sz w:val="21"/>
          <w:szCs w:val="21"/>
          <w:highlight w:val="none"/>
          <w:u w:val="single"/>
        </w:rPr>
      </w:pPr>
      <w:r>
        <w:rPr>
          <w:rFonts w:hint="eastAsia" w:ascii="仿宋" w:hAnsi="仿宋" w:eastAsia="仿宋" w:cs="仿宋"/>
          <w:color w:val="auto"/>
          <w:sz w:val="21"/>
          <w:szCs w:val="21"/>
          <w:highlight w:val="none"/>
        </w:rPr>
        <w:t>1.2.3 技术保障：</w:t>
      </w:r>
      <w:r>
        <w:rPr>
          <w:rFonts w:hint="eastAsia" w:ascii="仿宋" w:hAnsi="仿宋" w:eastAsia="仿宋" w:cs="仿宋"/>
          <w:color w:val="auto"/>
          <w:sz w:val="21"/>
          <w:szCs w:val="21"/>
          <w:highlight w:val="none"/>
          <w:u w:val="single"/>
        </w:rPr>
        <w:t xml:space="preserve"> </w:t>
      </w:r>
      <w:r>
        <w:rPr>
          <w:rFonts w:hint="eastAsia" w:ascii="仿宋" w:hAnsi="仿宋" w:eastAsia="仿宋"/>
          <w:color w:val="auto"/>
          <w:szCs w:val="21"/>
          <w:highlight w:val="none"/>
          <w:u w:val="single"/>
        </w:rPr>
        <w:t>详见第三部分 合同专用条款“3</w:t>
      </w:r>
      <w:r>
        <w:rPr>
          <w:rFonts w:hint="eastAsia" w:ascii="仿宋" w:hAnsi="仿宋" w:eastAsia="仿宋"/>
          <w:color w:val="auto"/>
          <w:szCs w:val="21"/>
          <w:highlight w:val="none"/>
          <w:u w:val="single"/>
          <w:lang w:eastAsia="zh-CN"/>
        </w:rPr>
        <w:t>、</w:t>
      </w:r>
      <w:r>
        <w:rPr>
          <w:rFonts w:hint="eastAsia" w:ascii="仿宋" w:hAnsi="仿宋" w:eastAsia="仿宋"/>
          <w:color w:val="auto"/>
          <w:szCs w:val="21"/>
          <w:highlight w:val="none"/>
          <w:u w:val="single"/>
        </w:rPr>
        <w:t>服务</w:t>
      </w:r>
      <w:r>
        <w:rPr>
          <w:rFonts w:hint="eastAsia" w:ascii="仿宋" w:hAnsi="仿宋" w:eastAsia="仿宋"/>
          <w:color w:val="auto"/>
          <w:szCs w:val="21"/>
          <w:highlight w:val="none"/>
          <w:u w:val="single"/>
          <w:lang w:val="en-US" w:eastAsia="zh-CN"/>
        </w:rPr>
        <w:t>具体</w:t>
      </w:r>
      <w:r>
        <w:rPr>
          <w:rFonts w:hint="eastAsia" w:ascii="仿宋" w:hAnsi="仿宋" w:eastAsia="仿宋"/>
          <w:color w:val="auto"/>
          <w:szCs w:val="21"/>
          <w:highlight w:val="none"/>
          <w:u w:val="single"/>
        </w:rPr>
        <w:t>要求”</w:t>
      </w:r>
      <w:r>
        <w:rPr>
          <w:rFonts w:hint="eastAsia" w:ascii="仿宋" w:hAnsi="仿宋" w:eastAsia="仿宋" w:cs="仿宋"/>
          <w:color w:val="auto"/>
          <w:sz w:val="21"/>
          <w:szCs w:val="21"/>
          <w:highlight w:val="none"/>
          <w:u w:val="single"/>
        </w:rPr>
        <w:t>；</w:t>
      </w:r>
    </w:p>
    <w:p w14:paraId="7A8EFEF0">
      <w:pPr>
        <w:keepNext w:val="0"/>
        <w:keepLines w:val="0"/>
        <w:pageBreakBefore w:val="0"/>
        <w:kinsoku/>
        <w:wordWrap/>
        <w:overflowPunct/>
        <w:topLinePunct w:val="0"/>
        <w:bidi w:val="0"/>
        <w:snapToGrid/>
        <w:spacing w:line="360" w:lineRule="auto"/>
        <w:ind w:firstLine="420" w:firstLineChars="200"/>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1.2.4 服务人员组成：</w:t>
      </w:r>
      <w:r>
        <w:rPr>
          <w:rFonts w:hint="eastAsia" w:ascii="仿宋" w:hAnsi="仿宋" w:eastAsia="仿宋" w:cs="仿宋"/>
          <w:color w:val="auto"/>
          <w:sz w:val="21"/>
          <w:szCs w:val="21"/>
          <w:highlight w:val="none"/>
          <w:u w:val="single"/>
        </w:rPr>
        <w:t>　　 详见附件二：项目</w:t>
      </w:r>
      <w:r>
        <w:rPr>
          <w:rFonts w:hint="eastAsia" w:ascii="仿宋" w:hAnsi="仿宋" w:eastAsia="仿宋" w:cs="仿宋"/>
          <w:color w:val="auto"/>
          <w:sz w:val="21"/>
          <w:szCs w:val="21"/>
          <w:highlight w:val="none"/>
          <w:u w:val="single"/>
          <w:lang w:val="en-US" w:eastAsia="zh-CN"/>
        </w:rPr>
        <w:t>服务</w:t>
      </w:r>
      <w:r>
        <w:rPr>
          <w:rFonts w:hint="eastAsia" w:ascii="仿宋" w:hAnsi="仿宋" w:eastAsia="仿宋" w:cs="仿宋"/>
          <w:color w:val="auto"/>
          <w:sz w:val="21"/>
          <w:szCs w:val="21"/>
          <w:highlight w:val="none"/>
          <w:u w:val="single"/>
        </w:rPr>
        <w:t xml:space="preserve">人员清单  </w:t>
      </w:r>
      <w:r>
        <w:rPr>
          <w:rFonts w:hint="eastAsia" w:ascii="仿宋" w:hAnsi="仿宋" w:eastAsia="仿宋" w:cs="仿宋"/>
          <w:color w:val="auto"/>
          <w:sz w:val="21"/>
          <w:szCs w:val="21"/>
          <w:highlight w:val="none"/>
        </w:rPr>
        <w:t>；</w:t>
      </w:r>
    </w:p>
    <w:p w14:paraId="6BC5D805">
      <w:pPr>
        <w:keepNext w:val="0"/>
        <w:keepLines w:val="0"/>
        <w:pageBreakBefore w:val="0"/>
        <w:kinsoku/>
        <w:wordWrap/>
        <w:overflowPunct/>
        <w:topLinePunct w:val="0"/>
        <w:bidi w:val="0"/>
        <w:snapToGrid/>
        <w:spacing w:line="360" w:lineRule="auto"/>
        <w:ind w:firstLine="422" w:firstLineChars="200"/>
        <w:textAlignment w:val="auto"/>
        <w:outlineLvl w:val="9"/>
        <w:rPr>
          <w:rFonts w:hint="eastAsia" w:ascii="仿宋" w:hAnsi="仿宋" w:eastAsia="仿宋" w:cs="仿宋"/>
          <w:b/>
          <w:color w:val="auto"/>
          <w:sz w:val="21"/>
          <w:szCs w:val="21"/>
          <w:highlight w:val="none"/>
        </w:rPr>
      </w:pPr>
      <w:bookmarkStart w:id="422" w:name="_Toc13918"/>
      <w:bookmarkStart w:id="423" w:name="_Toc1386"/>
      <w:bookmarkStart w:id="424" w:name="_Toc5635"/>
      <w:bookmarkStart w:id="425" w:name="_Toc4929"/>
      <w:bookmarkStart w:id="426" w:name="_Toc21124"/>
      <w:r>
        <w:rPr>
          <w:rFonts w:hint="eastAsia" w:ascii="仿宋" w:hAnsi="仿宋" w:eastAsia="仿宋" w:cs="仿宋"/>
          <w:b/>
          <w:color w:val="auto"/>
          <w:sz w:val="21"/>
          <w:szCs w:val="21"/>
          <w:highlight w:val="none"/>
        </w:rPr>
        <w:t>1.3 价款</w:t>
      </w:r>
      <w:bookmarkEnd w:id="422"/>
      <w:bookmarkEnd w:id="423"/>
      <w:bookmarkEnd w:id="424"/>
      <w:bookmarkEnd w:id="425"/>
      <w:bookmarkEnd w:id="426"/>
    </w:p>
    <w:p w14:paraId="4D98EFFB">
      <w:pPr>
        <w:keepNext w:val="0"/>
        <w:keepLines w:val="0"/>
        <w:pageBreakBefore w:val="0"/>
        <w:kinsoku/>
        <w:wordWrap/>
        <w:overflowPunct/>
        <w:topLinePunct w:val="0"/>
        <w:bidi w:val="0"/>
        <w:snapToGrid/>
        <w:spacing w:line="360" w:lineRule="auto"/>
        <w:ind w:firstLine="420" w:firstLineChars="2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本项目采用以下第</w:t>
      </w:r>
      <w:r>
        <w:rPr>
          <w:rFonts w:hint="eastAsia" w:ascii="仿宋" w:hAnsi="仿宋" w:eastAsia="仿宋" w:cs="仿宋"/>
          <w:color w:val="auto"/>
          <w:sz w:val="21"/>
          <w:szCs w:val="21"/>
          <w:highlight w:val="none"/>
          <w:u w:val="single"/>
        </w:rPr>
        <w:t xml:space="preserve">   1.3.2 </w:t>
      </w:r>
      <w:r>
        <w:rPr>
          <w:rFonts w:hint="eastAsia" w:ascii="仿宋" w:hAnsi="仿宋" w:eastAsia="仿宋" w:cs="仿宋"/>
          <w:color w:val="auto"/>
          <w:sz w:val="21"/>
          <w:szCs w:val="21"/>
          <w:highlight w:val="none"/>
        </w:rPr>
        <w:t>条款规定的计价方式计价。</w:t>
      </w:r>
    </w:p>
    <w:p w14:paraId="788AB6FC">
      <w:pPr>
        <w:keepNext w:val="0"/>
        <w:keepLines w:val="0"/>
        <w:pageBreakBefore w:val="0"/>
        <w:kinsoku/>
        <w:wordWrap/>
        <w:overflowPunct/>
        <w:topLinePunct w:val="0"/>
        <w:bidi w:val="0"/>
        <w:snapToGrid/>
        <w:spacing w:line="360" w:lineRule="auto"/>
        <w:ind w:firstLine="420" w:firstLineChars="2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1.3.1总价合同，本合同总价（含税）为：￥</w:t>
      </w:r>
      <w:r>
        <w:rPr>
          <w:rFonts w:hint="eastAsia" w:ascii="仿宋" w:hAnsi="仿宋" w:eastAsia="仿宋" w:cs="仿宋"/>
          <w:color w:val="auto"/>
          <w:sz w:val="21"/>
          <w:szCs w:val="21"/>
          <w:highlight w:val="none"/>
          <w:u w:val="single"/>
        </w:rPr>
        <w:t xml:space="preserve">   </w:t>
      </w:r>
      <w:r>
        <w:rPr>
          <w:rFonts w:hint="eastAsia" w:ascii="仿宋" w:hAnsi="仿宋" w:eastAsia="仿宋" w:cs="仿宋"/>
          <w:b w:val="0"/>
          <w:bCs w:val="0"/>
          <w:color w:val="auto"/>
          <w:sz w:val="21"/>
          <w:szCs w:val="21"/>
          <w:highlight w:val="none"/>
          <w:u w:val="single"/>
          <w:lang w:val="en-US"/>
        </w:rPr>
        <w:t xml:space="preserve">  </w:t>
      </w:r>
      <w:r>
        <w:rPr>
          <w:rFonts w:hint="eastAsia" w:ascii="仿宋" w:hAnsi="仿宋" w:eastAsia="仿宋" w:cs="仿宋"/>
          <w:b w:val="0"/>
          <w:bCs w:val="0"/>
          <w:color w:val="auto"/>
          <w:sz w:val="21"/>
          <w:szCs w:val="21"/>
          <w:highlight w:val="none"/>
          <w:u w:val="single"/>
          <w:lang w:val="en-US" w:eastAsia="zh-CN"/>
        </w:rPr>
        <w:t>/</w:t>
      </w:r>
      <w:r>
        <w:rPr>
          <w:rFonts w:hint="eastAsia" w:ascii="仿宋" w:hAnsi="仿宋" w:eastAsia="仿宋" w:cs="仿宋"/>
          <w:b w:val="0"/>
          <w:bCs w:val="0"/>
          <w:color w:val="auto"/>
          <w:sz w:val="21"/>
          <w:szCs w:val="21"/>
          <w:highlight w:val="none"/>
          <w:u w:val="single"/>
          <w:lang w:val="en-US"/>
        </w:rPr>
        <w:t xml:space="preserve">  </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元（大写：</w:t>
      </w:r>
      <w:r>
        <w:rPr>
          <w:rFonts w:hint="eastAsia" w:ascii="仿宋" w:hAnsi="仿宋" w:eastAsia="仿宋" w:cs="仿宋"/>
          <w:color w:val="auto"/>
          <w:sz w:val="21"/>
          <w:szCs w:val="21"/>
          <w:highlight w:val="none"/>
          <w:u w:val="single"/>
        </w:rPr>
        <w:t xml:space="preserve">   </w:t>
      </w:r>
      <w:r>
        <w:rPr>
          <w:rFonts w:hint="eastAsia" w:ascii="仿宋" w:hAnsi="仿宋" w:eastAsia="仿宋" w:cs="仿宋"/>
          <w:b w:val="0"/>
          <w:bCs w:val="0"/>
          <w:color w:val="auto"/>
          <w:sz w:val="21"/>
          <w:szCs w:val="21"/>
          <w:highlight w:val="none"/>
          <w:u w:val="single"/>
          <w:lang w:val="en-US"/>
        </w:rPr>
        <w:t xml:space="preserve">  </w:t>
      </w:r>
      <w:r>
        <w:rPr>
          <w:rFonts w:hint="eastAsia" w:ascii="仿宋" w:hAnsi="仿宋" w:eastAsia="仿宋" w:cs="仿宋"/>
          <w:b w:val="0"/>
          <w:bCs w:val="0"/>
          <w:color w:val="auto"/>
          <w:sz w:val="21"/>
          <w:szCs w:val="21"/>
          <w:highlight w:val="none"/>
          <w:u w:val="single"/>
          <w:lang w:val="en-US" w:eastAsia="zh-CN"/>
        </w:rPr>
        <w:t>/</w:t>
      </w:r>
      <w:r>
        <w:rPr>
          <w:rFonts w:hint="eastAsia" w:ascii="仿宋" w:hAnsi="仿宋" w:eastAsia="仿宋" w:cs="仿宋"/>
          <w:b w:val="0"/>
          <w:bCs w:val="0"/>
          <w:color w:val="auto"/>
          <w:sz w:val="21"/>
          <w:szCs w:val="21"/>
          <w:highlight w:val="none"/>
          <w:u w:val="single"/>
          <w:lang w:val="en-US"/>
        </w:rPr>
        <w:t xml:space="preserve">  </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元人民币）。</w:t>
      </w:r>
    </w:p>
    <w:p w14:paraId="26B6CEA2">
      <w:pPr>
        <w:keepNext w:val="0"/>
        <w:keepLines w:val="0"/>
        <w:pageBreakBefore w:val="0"/>
        <w:kinsoku/>
        <w:wordWrap/>
        <w:overflowPunct/>
        <w:topLinePunct w:val="0"/>
        <w:bidi w:val="0"/>
        <w:snapToGrid/>
        <w:spacing w:line="360" w:lineRule="auto"/>
        <w:ind w:left="0" w:leftChars="0" w:firstLine="420" w:firstLineChars="0"/>
        <w:textAlignment w:val="auto"/>
        <w:outlineLvl w:val="9"/>
        <w:rPr>
          <w:rFonts w:hint="eastAsia" w:ascii="仿宋" w:hAnsi="仿宋" w:eastAsia="仿宋" w:cs="仿宋"/>
          <w:color w:val="auto"/>
          <w:sz w:val="21"/>
          <w:szCs w:val="21"/>
          <w:highlight w:val="none"/>
        </w:rPr>
      </w:pPr>
      <w:bookmarkStart w:id="427" w:name="_Toc30158"/>
      <w:bookmarkStart w:id="428" w:name="_Toc26916"/>
      <w:bookmarkStart w:id="429" w:name="_Toc30506"/>
      <w:bookmarkStart w:id="430" w:name="_Toc3654"/>
      <w:bookmarkStart w:id="431" w:name="_Toc14993"/>
      <w:r>
        <w:rPr>
          <w:rFonts w:hint="eastAsia" w:ascii="仿宋" w:hAnsi="仿宋" w:eastAsia="仿宋" w:cs="仿宋"/>
          <w:bCs/>
          <w:color w:val="auto"/>
          <w:sz w:val="21"/>
          <w:szCs w:val="21"/>
          <w:highlight w:val="none"/>
        </w:rPr>
        <w:t>1.3.2单价合同，本合同单价（含税）标准为：</w:t>
      </w:r>
      <w:r>
        <w:rPr>
          <w:rFonts w:hint="eastAsia" w:ascii="仿宋" w:hAnsi="仿宋" w:eastAsia="仿宋" w:cs="仿宋"/>
          <w:bCs/>
          <w:color w:val="auto"/>
          <w:sz w:val="21"/>
          <w:szCs w:val="21"/>
          <w:highlight w:val="none"/>
          <w:u w:val="single"/>
        </w:rPr>
        <w:t xml:space="preserve">   </w:t>
      </w:r>
      <w:r>
        <w:rPr>
          <w:rFonts w:hint="eastAsia" w:ascii="仿宋" w:hAnsi="仿宋" w:eastAsia="仿宋" w:cs="仿宋"/>
          <w:color w:val="auto"/>
          <w:sz w:val="21"/>
          <w:szCs w:val="21"/>
          <w:highlight w:val="none"/>
          <w:u w:val="single"/>
        </w:rPr>
        <w:t>详见</w:t>
      </w:r>
      <w:r>
        <w:rPr>
          <w:rFonts w:hint="eastAsia" w:ascii="仿宋" w:hAnsi="仿宋" w:eastAsia="仿宋" w:cs="仿宋"/>
          <w:bCs/>
          <w:color w:val="auto"/>
          <w:sz w:val="21"/>
          <w:szCs w:val="21"/>
          <w:highlight w:val="none"/>
          <w:u w:val="single"/>
        </w:rPr>
        <w:t xml:space="preserve">附件一：合同价格清单    </w:t>
      </w:r>
      <w:r>
        <w:rPr>
          <w:rFonts w:hint="eastAsia" w:ascii="仿宋" w:hAnsi="仿宋" w:eastAsia="仿宋" w:cs="仿宋"/>
          <w:color w:val="auto"/>
          <w:sz w:val="21"/>
          <w:szCs w:val="21"/>
          <w:highlight w:val="none"/>
        </w:rPr>
        <w:t>。服务工作量的计量方式为：</w:t>
      </w:r>
      <w:r>
        <w:rPr>
          <w:rFonts w:hint="eastAsia" w:ascii="仿宋" w:hAnsi="仿宋" w:eastAsia="仿宋" w:cs="仿宋"/>
          <w:bCs/>
          <w:color w:val="auto"/>
          <w:sz w:val="21"/>
          <w:szCs w:val="21"/>
          <w:highlight w:val="none"/>
          <w:u w:val="single"/>
        </w:rPr>
        <w:t xml:space="preserve">    </w:t>
      </w:r>
      <w:r>
        <w:rPr>
          <w:rFonts w:hint="eastAsia" w:ascii="仿宋" w:hAnsi="仿宋" w:eastAsia="仿宋" w:cs="仿宋"/>
          <w:b/>
          <w:i/>
          <w:color w:val="auto"/>
          <w:sz w:val="21"/>
          <w:szCs w:val="21"/>
          <w:highlight w:val="none"/>
          <w:u w:val="single"/>
        </w:rPr>
        <w:t>合同专用条款</w:t>
      </w:r>
      <w:r>
        <w:rPr>
          <w:rFonts w:hint="eastAsia" w:ascii="仿宋" w:hAnsi="仿宋" w:eastAsia="仿宋" w:cs="仿宋"/>
          <w:bCs/>
          <w:color w:val="auto"/>
          <w:sz w:val="21"/>
          <w:szCs w:val="21"/>
          <w:highlight w:val="none"/>
          <w:u w:val="single"/>
        </w:rPr>
        <w:t xml:space="preserve">   </w:t>
      </w:r>
      <w:r>
        <w:rPr>
          <w:rFonts w:hint="eastAsia" w:ascii="仿宋" w:hAnsi="仿宋" w:eastAsia="仿宋" w:cs="仿宋"/>
          <w:color w:val="auto"/>
          <w:sz w:val="21"/>
          <w:szCs w:val="21"/>
          <w:highlight w:val="none"/>
        </w:rPr>
        <w:t>。单价合同，在合同履行期间内，根据</w:t>
      </w:r>
      <w:r>
        <w:rPr>
          <w:rFonts w:hint="eastAsia" w:ascii="仿宋" w:hAnsi="仿宋" w:eastAsia="仿宋" w:cs="仿宋"/>
          <w:color w:val="auto"/>
          <w:sz w:val="21"/>
          <w:szCs w:val="21"/>
          <w:highlight w:val="none"/>
          <w:u w:val="single"/>
          <w:lang w:val="en-US" w:eastAsia="zh-CN"/>
        </w:rPr>
        <w:t xml:space="preserve"> 最终按实际案件分析报告数量、监测数据数量和合同单价 </w:t>
      </w:r>
      <w:r>
        <w:rPr>
          <w:rFonts w:hint="eastAsia" w:ascii="仿宋" w:hAnsi="仿宋" w:eastAsia="仿宋" w:cs="仿宋"/>
          <w:color w:val="auto"/>
          <w:kern w:val="0"/>
          <w:sz w:val="21"/>
          <w:szCs w:val="21"/>
          <w:highlight w:val="none"/>
        </w:rPr>
        <w:t>按实结算支付</w:t>
      </w:r>
      <w:r>
        <w:rPr>
          <w:rFonts w:hint="eastAsia" w:ascii="仿宋" w:hAnsi="仿宋" w:eastAsia="仿宋" w:cs="仿宋"/>
          <w:color w:val="auto"/>
          <w:sz w:val="21"/>
          <w:szCs w:val="21"/>
          <w:highlight w:val="none"/>
        </w:rPr>
        <w:t>，但结算总价上限不得超过</w:t>
      </w:r>
      <w:r>
        <w:rPr>
          <w:rFonts w:hint="eastAsia" w:ascii="仿宋" w:hAnsi="仿宋" w:eastAsia="仿宋" w:cs="仿宋"/>
          <w:color w:val="auto"/>
          <w:sz w:val="21"/>
          <w:szCs w:val="21"/>
          <w:highlight w:val="none"/>
        </w:rPr>
        <w:t>合同总价</w:t>
      </w:r>
      <w:r>
        <w:rPr>
          <w:rFonts w:hint="default" w:ascii="仿宋" w:hAnsi="仿宋" w:eastAsia="仿宋" w:cs="仿宋"/>
          <w:color w:val="auto"/>
          <w:sz w:val="21"/>
          <w:szCs w:val="21"/>
          <w:highlight w:val="none"/>
          <w:lang w:val="en-US"/>
        </w:rPr>
        <w:t>金额</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元（大写：</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元人民币）。</w:t>
      </w:r>
    </w:p>
    <w:p w14:paraId="1EC0EF20">
      <w:pPr>
        <w:keepNext w:val="0"/>
        <w:keepLines w:val="0"/>
        <w:pageBreakBefore w:val="0"/>
        <w:kinsoku/>
        <w:wordWrap/>
        <w:overflowPunct/>
        <w:topLinePunct w:val="0"/>
        <w:bidi w:val="0"/>
        <w:snapToGrid/>
        <w:spacing w:line="360" w:lineRule="auto"/>
        <w:ind w:firstLine="480"/>
        <w:textAlignment w:val="auto"/>
        <w:outlineLvl w:val="9"/>
        <w:rPr>
          <w:rFonts w:hint="eastAsia" w:ascii="仿宋" w:hAnsi="仿宋" w:eastAsia="仿宋" w:cs="仿宋"/>
          <w:bCs/>
          <w:color w:val="auto"/>
          <w:sz w:val="21"/>
          <w:szCs w:val="21"/>
          <w:highlight w:val="none"/>
        </w:rPr>
      </w:pPr>
      <w:r>
        <w:rPr>
          <w:rFonts w:hint="eastAsia" w:ascii="仿宋" w:hAnsi="仿宋" w:eastAsia="仿宋" w:cs="仿宋"/>
          <w:color w:val="auto"/>
          <w:kern w:val="0"/>
          <w:sz w:val="21"/>
          <w:szCs w:val="21"/>
          <w:highlight w:val="none"/>
        </w:rPr>
        <w:t>合同价格清单：详见附件一：合同价格清单</w:t>
      </w:r>
    </w:p>
    <w:p w14:paraId="0A259C18">
      <w:pPr>
        <w:keepNext w:val="0"/>
        <w:keepLines w:val="0"/>
        <w:pageBreakBefore w:val="0"/>
        <w:tabs>
          <w:tab w:val="left" w:pos="432"/>
        </w:tabs>
        <w:kinsoku/>
        <w:wordWrap/>
        <w:overflowPunct/>
        <w:topLinePunct w:val="0"/>
        <w:bidi w:val="0"/>
        <w:snapToGrid/>
        <w:spacing w:line="360" w:lineRule="auto"/>
        <w:textAlignment w:val="auto"/>
        <w:outlineLvl w:val="9"/>
        <w:rPr>
          <w:rFonts w:hint="eastAsia" w:ascii="仿宋" w:hAnsi="仿宋" w:eastAsia="仿宋" w:cs="仿宋"/>
          <w:color w:val="auto"/>
          <w:sz w:val="21"/>
          <w:szCs w:val="21"/>
          <w:highlight w:val="none"/>
          <w:lang w:val="en-US"/>
        </w:rPr>
      </w:pPr>
      <w:r>
        <w:rPr>
          <w:rFonts w:hint="eastAsia" w:ascii="仿宋" w:hAnsi="仿宋" w:eastAsia="仿宋" w:cs="仿宋"/>
          <w:color w:val="auto"/>
          <w:sz w:val="21"/>
          <w:szCs w:val="21"/>
          <w:highlight w:val="none"/>
          <w:lang w:val="en-US"/>
        </w:rPr>
        <w:t xml:space="preserve">    </w:t>
      </w:r>
      <w:r>
        <w:rPr>
          <w:rFonts w:hint="eastAsia" w:ascii="仿宋" w:hAnsi="仿宋" w:eastAsia="仿宋" w:cs="仿宋"/>
          <w:b w:val="0"/>
          <w:bCs w:val="0"/>
          <w:color w:val="auto"/>
          <w:sz w:val="21"/>
          <w:szCs w:val="21"/>
          <w:highlight w:val="none"/>
          <w:lang w:val="en-US"/>
        </w:rPr>
        <w:t>1.3.3其他计价方式：</w:t>
      </w:r>
      <w:r>
        <w:rPr>
          <w:rFonts w:hint="eastAsia" w:ascii="仿宋" w:hAnsi="仿宋" w:eastAsia="仿宋" w:cs="仿宋"/>
          <w:b w:val="0"/>
          <w:bCs w:val="0"/>
          <w:color w:val="auto"/>
          <w:sz w:val="21"/>
          <w:szCs w:val="21"/>
          <w:highlight w:val="none"/>
          <w:u w:val="single"/>
          <w:lang w:val="en-US"/>
        </w:rPr>
        <w:t xml:space="preserve">      </w:t>
      </w:r>
      <w:r>
        <w:rPr>
          <w:rFonts w:hint="eastAsia" w:ascii="仿宋" w:hAnsi="仿宋" w:eastAsia="仿宋" w:cs="仿宋"/>
          <w:b w:val="0"/>
          <w:bCs w:val="0"/>
          <w:color w:val="auto"/>
          <w:sz w:val="21"/>
          <w:szCs w:val="21"/>
          <w:highlight w:val="none"/>
          <w:u w:val="single"/>
          <w:lang w:val="en-US" w:eastAsia="zh-CN"/>
        </w:rPr>
        <w:t>/</w:t>
      </w:r>
      <w:r>
        <w:rPr>
          <w:rFonts w:hint="eastAsia" w:ascii="仿宋" w:hAnsi="仿宋" w:eastAsia="仿宋" w:cs="仿宋"/>
          <w:b w:val="0"/>
          <w:bCs w:val="0"/>
          <w:color w:val="auto"/>
          <w:sz w:val="21"/>
          <w:szCs w:val="21"/>
          <w:highlight w:val="none"/>
          <w:u w:val="single"/>
          <w:lang w:val="en-US"/>
        </w:rPr>
        <w:t xml:space="preserve">             </w:t>
      </w:r>
      <w:r>
        <w:rPr>
          <w:rFonts w:hint="eastAsia" w:ascii="仿宋" w:hAnsi="仿宋" w:eastAsia="仿宋" w:cs="仿宋"/>
          <w:b w:val="0"/>
          <w:bCs w:val="0"/>
          <w:color w:val="auto"/>
          <w:sz w:val="21"/>
          <w:szCs w:val="21"/>
          <w:highlight w:val="none"/>
        </w:rPr>
        <w:t>。</w:t>
      </w:r>
    </w:p>
    <w:bookmarkEnd w:id="427"/>
    <w:bookmarkEnd w:id="428"/>
    <w:bookmarkEnd w:id="429"/>
    <w:bookmarkEnd w:id="430"/>
    <w:bookmarkEnd w:id="431"/>
    <w:p w14:paraId="6F102B7C">
      <w:pPr>
        <w:pStyle w:val="976"/>
        <w:keepNext w:val="0"/>
        <w:keepLines w:val="0"/>
        <w:pageBreakBefore w:val="0"/>
        <w:kinsoku/>
        <w:wordWrap/>
        <w:overflowPunct/>
        <w:topLinePunct w:val="0"/>
        <w:bidi w:val="0"/>
        <w:snapToGrid/>
        <w:spacing w:before="0" w:beforeAutospacing="0" w:after="0" w:afterAutospacing="0" w:line="360" w:lineRule="auto"/>
        <w:ind w:firstLine="480"/>
        <w:textAlignment w:val="auto"/>
        <w:outlineLvl w:val="9"/>
        <w:rPr>
          <w:rFonts w:hint="eastAsia" w:ascii="仿宋" w:hAnsi="仿宋" w:eastAsia="仿宋" w:cs="仿宋"/>
          <w:b/>
          <w:color w:val="auto"/>
          <w:sz w:val="21"/>
          <w:szCs w:val="21"/>
          <w:highlight w:val="none"/>
        </w:rPr>
      </w:pPr>
      <w:bookmarkStart w:id="432" w:name="_Toc22618"/>
      <w:bookmarkStart w:id="433" w:name="_Toc10340"/>
      <w:bookmarkStart w:id="434" w:name="_Toc1814"/>
      <w:bookmarkStart w:id="435" w:name="_Toc4760"/>
      <w:bookmarkStart w:id="436" w:name="_Toc31421"/>
      <w:bookmarkStart w:id="437" w:name="_Toc3625"/>
      <w:bookmarkStart w:id="438" w:name="_Toc8772"/>
      <w:bookmarkStart w:id="439" w:name="_Toc11108"/>
      <w:r>
        <w:rPr>
          <w:rFonts w:hint="eastAsia" w:ascii="仿宋" w:hAnsi="仿宋" w:eastAsia="仿宋" w:cs="仿宋"/>
          <w:b/>
          <w:color w:val="auto"/>
          <w:sz w:val="21"/>
          <w:szCs w:val="21"/>
          <w:highlight w:val="none"/>
        </w:rPr>
        <w:t>1.4履约保证金</w:t>
      </w:r>
    </w:p>
    <w:p w14:paraId="23ED2F0A">
      <w:pPr>
        <w:pStyle w:val="976"/>
        <w:keepNext w:val="0"/>
        <w:keepLines w:val="0"/>
        <w:pageBreakBefore w:val="0"/>
        <w:kinsoku/>
        <w:wordWrap/>
        <w:overflowPunct/>
        <w:topLinePunct w:val="0"/>
        <w:bidi w:val="0"/>
        <w:snapToGrid/>
        <w:spacing w:before="0" w:beforeAutospacing="0" w:after="0" w:afterAutospacing="0" w:line="360" w:lineRule="auto"/>
        <w:ind w:firstLine="48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乙方</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val="en-US" w:eastAsia="zh-CN"/>
        </w:rPr>
        <w:t>是</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（是/否）需要支付履约保证金。若需要支付履约保证金的，则：</w:t>
      </w:r>
    </w:p>
    <w:p w14:paraId="60AD76E2">
      <w:pPr>
        <w:keepNext w:val="0"/>
        <w:keepLines w:val="0"/>
        <w:pageBreakBefore w:val="0"/>
        <w:kinsoku/>
        <w:wordWrap/>
        <w:overflowPunct/>
        <w:topLinePunct w:val="0"/>
        <w:bidi w:val="0"/>
        <w:snapToGrid/>
        <w:spacing w:line="360" w:lineRule="auto"/>
        <w:ind w:firstLine="420" w:firstLineChars="200"/>
        <w:textAlignment w:val="auto"/>
        <w:outlineLvl w:val="9"/>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1.4.1履约保证金的比例为合同金额的</w:t>
      </w:r>
      <w:r>
        <w:rPr>
          <w:rFonts w:hint="eastAsia" w:ascii="仿宋" w:hAnsi="仿宋" w:eastAsia="仿宋" w:cs="仿宋"/>
          <w:color w:val="auto"/>
          <w:kern w:val="0"/>
          <w:sz w:val="21"/>
          <w:szCs w:val="21"/>
          <w:highlight w:val="none"/>
          <w:u w:val="single"/>
        </w:rPr>
        <w:t xml:space="preserve">  </w:t>
      </w:r>
      <w:r>
        <w:rPr>
          <w:rFonts w:hint="eastAsia" w:ascii="仿宋" w:hAnsi="仿宋" w:eastAsia="仿宋" w:cs="仿宋"/>
          <w:color w:val="auto"/>
          <w:kern w:val="0"/>
          <w:sz w:val="21"/>
          <w:szCs w:val="21"/>
          <w:highlight w:val="none"/>
          <w:u w:val="single"/>
          <w:lang w:val="en-US" w:eastAsia="zh-CN"/>
        </w:rPr>
        <w:t xml:space="preserve"> 1 </w:t>
      </w:r>
      <w:r>
        <w:rPr>
          <w:rFonts w:hint="eastAsia" w:ascii="仿宋" w:hAnsi="仿宋" w:eastAsia="仿宋" w:cs="仿宋"/>
          <w:color w:val="auto"/>
          <w:kern w:val="0"/>
          <w:sz w:val="21"/>
          <w:szCs w:val="21"/>
          <w:highlight w:val="none"/>
          <w:u w:val="single"/>
        </w:rPr>
        <w:t xml:space="preserve">  </w:t>
      </w:r>
      <w:r>
        <w:rPr>
          <w:rFonts w:hint="eastAsia" w:ascii="仿宋" w:hAnsi="仿宋" w:eastAsia="仿宋" w:cs="仿宋"/>
          <w:color w:val="auto"/>
          <w:kern w:val="0"/>
          <w:sz w:val="21"/>
          <w:szCs w:val="21"/>
          <w:highlight w:val="none"/>
        </w:rPr>
        <w:t>%；</w:t>
      </w:r>
    </w:p>
    <w:p w14:paraId="3AC01A3D">
      <w:pPr>
        <w:keepNext w:val="0"/>
        <w:keepLines w:val="0"/>
        <w:pageBreakBefore w:val="0"/>
        <w:kinsoku/>
        <w:wordWrap/>
        <w:overflowPunct/>
        <w:topLinePunct w:val="0"/>
        <w:bidi w:val="0"/>
        <w:snapToGrid/>
        <w:spacing w:line="360" w:lineRule="auto"/>
        <w:ind w:firstLine="420" w:firstLineChars="200"/>
        <w:textAlignment w:val="auto"/>
        <w:outlineLvl w:val="9"/>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1.4.2履约保证金支付方式详见</w:t>
      </w:r>
      <w:r>
        <w:rPr>
          <w:rFonts w:hint="eastAsia" w:ascii="仿宋" w:hAnsi="仿宋" w:eastAsia="仿宋" w:cs="仿宋"/>
          <w:color w:val="auto"/>
          <w:kern w:val="0"/>
          <w:sz w:val="21"/>
          <w:szCs w:val="21"/>
          <w:highlight w:val="none"/>
          <w:u w:val="single"/>
        </w:rPr>
        <w:t xml:space="preserve">  </w:t>
      </w:r>
      <w:r>
        <w:rPr>
          <w:rFonts w:hint="eastAsia" w:ascii="仿宋" w:hAnsi="仿宋" w:eastAsia="仿宋" w:cs="仿宋"/>
          <w:b/>
          <w:i/>
          <w:color w:val="auto"/>
          <w:sz w:val="21"/>
          <w:szCs w:val="21"/>
          <w:highlight w:val="none"/>
          <w:u w:val="single"/>
        </w:rPr>
        <w:t>合同专用条款</w:t>
      </w:r>
      <w:r>
        <w:rPr>
          <w:rFonts w:hint="eastAsia" w:ascii="仿宋" w:hAnsi="仿宋" w:eastAsia="仿宋" w:cs="仿宋"/>
          <w:color w:val="auto"/>
          <w:kern w:val="0"/>
          <w:sz w:val="21"/>
          <w:szCs w:val="21"/>
          <w:highlight w:val="none"/>
          <w:u w:val="single"/>
          <w:lang w:val="en-US" w:eastAsia="zh-CN"/>
        </w:rPr>
        <w:t xml:space="preserve"> </w:t>
      </w:r>
      <w:r>
        <w:rPr>
          <w:rFonts w:hint="eastAsia" w:ascii="仿宋" w:hAnsi="仿宋" w:eastAsia="仿宋" w:cs="仿宋"/>
          <w:color w:val="auto"/>
          <w:kern w:val="0"/>
          <w:sz w:val="21"/>
          <w:szCs w:val="21"/>
          <w:highlight w:val="none"/>
          <w:u w:val="single"/>
        </w:rPr>
        <w:t xml:space="preserve">  </w:t>
      </w:r>
      <w:r>
        <w:rPr>
          <w:rFonts w:hint="eastAsia" w:ascii="仿宋" w:hAnsi="仿宋" w:eastAsia="仿宋" w:cs="仿宋"/>
          <w:color w:val="auto"/>
          <w:kern w:val="0"/>
          <w:sz w:val="21"/>
          <w:szCs w:val="21"/>
          <w:highlight w:val="none"/>
        </w:rPr>
        <w:t>；</w:t>
      </w:r>
    </w:p>
    <w:p w14:paraId="3A316577">
      <w:pPr>
        <w:keepNext w:val="0"/>
        <w:keepLines w:val="0"/>
        <w:pageBreakBefore w:val="0"/>
        <w:tabs>
          <w:tab w:val="left" w:pos="0"/>
          <w:tab w:val="left" w:pos="432"/>
        </w:tabs>
        <w:kinsoku/>
        <w:wordWrap/>
        <w:overflowPunct/>
        <w:topLinePunct w:val="0"/>
        <w:bidi w:val="0"/>
        <w:snapToGrid/>
        <w:spacing w:line="360" w:lineRule="auto"/>
        <w:ind w:left="0" w:firstLine="420" w:firstLineChars="200"/>
        <w:textAlignment w:val="auto"/>
        <w:outlineLvl w:val="9"/>
        <w:rPr>
          <w:rFonts w:hint="eastAsia" w:ascii="仿宋" w:hAnsi="仿宋" w:eastAsia="仿宋" w:cs="仿宋"/>
          <w:color w:val="auto"/>
          <w:sz w:val="21"/>
          <w:szCs w:val="21"/>
          <w:highlight w:val="none"/>
          <w:lang w:val="en-US"/>
        </w:rPr>
      </w:pPr>
      <w:r>
        <w:rPr>
          <w:rFonts w:hint="eastAsia" w:ascii="仿宋" w:hAnsi="仿宋" w:eastAsia="仿宋" w:cs="仿宋"/>
          <w:b w:val="0"/>
          <w:bCs w:val="0"/>
          <w:color w:val="auto"/>
          <w:kern w:val="0"/>
          <w:sz w:val="21"/>
          <w:szCs w:val="21"/>
          <w:highlight w:val="none"/>
          <w:lang w:val="en-US"/>
        </w:rPr>
        <w:t>1.4.3 如果乙方不履行合同，履约保证金不予退还；如果乙方未能按合同约定全面履行义务，那么甲方有权从履约保证金中取得补偿或赔偿，同时不影响甲方要求乙方承担合同约定的超过履约保证金的违约责任的权利；</w:t>
      </w:r>
    </w:p>
    <w:p w14:paraId="7755B198">
      <w:pPr>
        <w:keepNext w:val="0"/>
        <w:keepLines w:val="0"/>
        <w:pageBreakBefore w:val="0"/>
        <w:kinsoku/>
        <w:wordWrap/>
        <w:overflowPunct/>
        <w:topLinePunct w:val="0"/>
        <w:bidi w:val="0"/>
        <w:snapToGrid/>
        <w:spacing w:line="360" w:lineRule="auto"/>
        <w:ind w:firstLine="420" w:firstLineChars="200"/>
        <w:textAlignment w:val="auto"/>
        <w:outlineLvl w:val="9"/>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1.4.4甲方在项目验收结束后及时退还履约保证金。甲方在项目通过验收且收到乙方退还履约保证金申请之日起5个工作日内将履约保证金无息退还乙方，逾期退还的，乙方可要求甲方支付违约金，违约金按每迟延退还一日的应退还而未退还金额的</w:t>
      </w:r>
      <w:r>
        <w:rPr>
          <w:rFonts w:hint="eastAsia" w:ascii="仿宋" w:hAnsi="仿宋" w:eastAsia="仿宋" w:cs="仿宋"/>
          <w:color w:val="auto"/>
          <w:kern w:val="0"/>
          <w:sz w:val="21"/>
          <w:szCs w:val="21"/>
          <w:highlight w:val="none"/>
          <w:u w:val="single"/>
        </w:rPr>
        <w:t xml:space="preserve">  0.05  </w:t>
      </w:r>
      <w:r>
        <w:rPr>
          <w:rFonts w:hint="eastAsia" w:ascii="仿宋" w:hAnsi="仿宋" w:eastAsia="仿宋" w:cs="仿宋"/>
          <w:color w:val="auto"/>
          <w:kern w:val="0"/>
          <w:sz w:val="21"/>
          <w:szCs w:val="21"/>
          <w:highlight w:val="none"/>
        </w:rPr>
        <w:t>%计算，最高限额为本合同履约保证金的</w:t>
      </w:r>
      <w:r>
        <w:rPr>
          <w:rFonts w:hint="eastAsia" w:ascii="仿宋" w:hAnsi="仿宋" w:eastAsia="仿宋" w:cs="仿宋"/>
          <w:color w:val="auto"/>
          <w:kern w:val="0"/>
          <w:sz w:val="21"/>
          <w:szCs w:val="21"/>
          <w:highlight w:val="none"/>
          <w:u w:val="single"/>
        </w:rPr>
        <w:t xml:space="preserve">  20  </w:t>
      </w:r>
      <w:r>
        <w:rPr>
          <w:rFonts w:hint="eastAsia" w:ascii="仿宋" w:hAnsi="仿宋" w:eastAsia="仿宋" w:cs="仿宋"/>
          <w:color w:val="auto"/>
          <w:kern w:val="0"/>
          <w:sz w:val="21"/>
          <w:szCs w:val="21"/>
          <w:highlight w:val="none"/>
        </w:rPr>
        <w:t xml:space="preserve"> %。</w:t>
      </w:r>
    </w:p>
    <w:p w14:paraId="763F33AE">
      <w:pPr>
        <w:keepNext w:val="0"/>
        <w:keepLines w:val="0"/>
        <w:pageBreakBefore w:val="0"/>
        <w:kinsoku/>
        <w:wordWrap/>
        <w:overflowPunct/>
        <w:topLinePunct w:val="0"/>
        <w:bidi w:val="0"/>
        <w:snapToGrid/>
        <w:spacing w:line="360" w:lineRule="auto"/>
        <w:ind w:firstLine="422" w:firstLineChars="200"/>
        <w:textAlignment w:val="auto"/>
        <w:outlineLvl w:val="9"/>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1.5</w:t>
      </w:r>
      <w:bookmarkEnd w:id="432"/>
      <w:bookmarkEnd w:id="433"/>
      <w:bookmarkEnd w:id="434"/>
      <w:r>
        <w:rPr>
          <w:rFonts w:hint="eastAsia" w:ascii="仿宋" w:hAnsi="仿宋" w:eastAsia="仿宋" w:cs="仿宋"/>
          <w:b/>
          <w:color w:val="auto"/>
          <w:sz w:val="21"/>
          <w:szCs w:val="21"/>
          <w:highlight w:val="none"/>
        </w:rPr>
        <w:t>预付款</w:t>
      </w:r>
    </w:p>
    <w:p w14:paraId="1C8758CE">
      <w:pPr>
        <w:pStyle w:val="976"/>
        <w:keepNext w:val="0"/>
        <w:keepLines w:val="0"/>
        <w:pageBreakBefore w:val="0"/>
        <w:kinsoku/>
        <w:wordWrap/>
        <w:overflowPunct/>
        <w:topLinePunct w:val="0"/>
        <w:bidi w:val="0"/>
        <w:snapToGrid/>
        <w:spacing w:before="0" w:beforeAutospacing="0" w:after="0" w:afterAutospacing="0" w:line="360" w:lineRule="auto"/>
        <w:ind w:firstLine="48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甲方</w:t>
      </w:r>
      <w:r>
        <w:rPr>
          <w:rFonts w:hint="eastAsia" w:ascii="仿宋" w:hAnsi="仿宋" w:eastAsia="仿宋" w:cs="仿宋"/>
          <w:color w:val="auto"/>
          <w:sz w:val="21"/>
          <w:szCs w:val="21"/>
          <w:highlight w:val="none"/>
          <w:u w:val="single"/>
        </w:rPr>
        <w:t xml:space="preserve">  是   </w:t>
      </w:r>
      <w:r>
        <w:rPr>
          <w:rFonts w:hint="eastAsia" w:ascii="仿宋" w:hAnsi="仿宋" w:eastAsia="仿宋" w:cs="仿宋"/>
          <w:color w:val="auto"/>
          <w:sz w:val="21"/>
          <w:szCs w:val="21"/>
          <w:highlight w:val="none"/>
        </w:rPr>
        <w:t>（是/否）需要支付预付款。若需要支付预付款的，则：</w:t>
      </w:r>
    </w:p>
    <w:p w14:paraId="246B16EB">
      <w:pPr>
        <w:keepNext w:val="0"/>
        <w:keepLines w:val="0"/>
        <w:pageBreakBefore w:val="0"/>
        <w:kinsoku/>
        <w:wordWrap/>
        <w:overflowPunct/>
        <w:topLinePunct w:val="0"/>
        <w:bidi w:val="0"/>
        <w:snapToGrid/>
        <w:spacing w:line="360" w:lineRule="auto"/>
        <w:ind w:firstLine="420" w:firstLineChars="200"/>
        <w:textAlignment w:val="auto"/>
        <w:outlineLvl w:val="9"/>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1.5.1预付款比例、支付方式、时间详见</w:t>
      </w:r>
      <w:r>
        <w:rPr>
          <w:rFonts w:hint="eastAsia" w:ascii="仿宋" w:hAnsi="仿宋" w:eastAsia="仿宋" w:cs="仿宋"/>
          <w:color w:val="auto"/>
          <w:kern w:val="0"/>
          <w:sz w:val="21"/>
          <w:szCs w:val="21"/>
          <w:highlight w:val="none"/>
          <w:u w:val="single"/>
        </w:rPr>
        <w:t xml:space="preserve">    </w:t>
      </w:r>
      <w:r>
        <w:rPr>
          <w:rFonts w:hint="eastAsia" w:ascii="仿宋" w:hAnsi="仿宋" w:eastAsia="仿宋" w:cs="仿宋"/>
          <w:b/>
          <w:i/>
          <w:color w:val="auto"/>
          <w:sz w:val="21"/>
          <w:szCs w:val="21"/>
          <w:highlight w:val="none"/>
          <w:u w:val="single"/>
        </w:rPr>
        <w:t>合同专用条款</w:t>
      </w:r>
      <w:r>
        <w:rPr>
          <w:rFonts w:hint="eastAsia" w:ascii="仿宋" w:hAnsi="仿宋" w:eastAsia="仿宋" w:cs="仿宋"/>
          <w:color w:val="auto"/>
          <w:kern w:val="0"/>
          <w:sz w:val="21"/>
          <w:szCs w:val="21"/>
          <w:highlight w:val="none"/>
          <w:u w:val="single"/>
        </w:rPr>
        <w:t xml:space="preserve">           </w:t>
      </w:r>
      <w:r>
        <w:rPr>
          <w:rFonts w:hint="eastAsia" w:ascii="仿宋" w:hAnsi="仿宋" w:eastAsia="仿宋" w:cs="仿宋"/>
          <w:color w:val="auto"/>
          <w:kern w:val="0"/>
          <w:sz w:val="21"/>
          <w:szCs w:val="21"/>
          <w:highlight w:val="none"/>
        </w:rPr>
        <w:t>；</w:t>
      </w:r>
    </w:p>
    <w:p w14:paraId="4775AE38">
      <w:pPr>
        <w:pStyle w:val="976"/>
        <w:keepNext w:val="0"/>
        <w:keepLines w:val="0"/>
        <w:pageBreakBefore w:val="0"/>
        <w:kinsoku/>
        <w:wordWrap/>
        <w:overflowPunct/>
        <w:topLinePunct w:val="0"/>
        <w:bidi w:val="0"/>
        <w:snapToGrid/>
        <w:spacing w:before="0" w:beforeAutospacing="0" w:after="0" w:afterAutospacing="0" w:line="360" w:lineRule="auto"/>
        <w:ind w:firstLine="48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1.5.2预付款的扣回方式详见</w:t>
      </w:r>
      <w:r>
        <w:rPr>
          <w:rFonts w:hint="eastAsia" w:ascii="仿宋" w:hAnsi="仿宋" w:eastAsia="仿宋" w:cs="仿宋"/>
          <w:color w:val="auto"/>
          <w:sz w:val="21"/>
          <w:szCs w:val="21"/>
          <w:highlight w:val="none"/>
          <w:u w:val="single"/>
        </w:rPr>
        <w:t xml:space="preserve">    </w:t>
      </w:r>
      <w:r>
        <w:rPr>
          <w:rFonts w:hint="eastAsia" w:ascii="仿宋" w:hAnsi="仿宋" w:eastAsia="仿宋" w:cs="仿宋"/>
          <w:b/>
          <w:i/>
          <w:color w:val="auto"/>
          <w:sz w:val="21"/>
          <w:szCs w:val="21"/>
          <w:highlight w:val="none"/>
          <w:u w:val="single"/>
        </w:rPr>
        <w:t>合同专用条款</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w:t>
      </w:r>
    </w:p>
    <w:p w14:paraId="06CC85C1">
      <w:pPr>
        <w:pStyle w:val="976"/>
        <w:keepNext w:val="0"/>
        <w:keepLines w:val="0"/>
        <w:pageBreakBefore w:val="0"/>
        <w:kinsoku/>
        <w:wordWrap/>
        <w:overflowPunct/>
        <w:topLinePunct w:val="0"/>
        <w:bidi w:val="0"/>
        <w:snapToGrid/>
        <w:spacing w:before="0" w:beforeAutospacing="0" w:after="0" w:afterAutospacing="0" w:line="360" w:lineRule="auto"/>
        <w:ind w:firstLine="480"/>
        <w:textAlignment w:val="auto"/>
        <w:outlineLvl w:val="9"/>
        <w:rPr>
          <w:rFonts w:hint="eastAsia" w:ascii="仿宋" w:hAnsi="仿宋" w:eastAsia="仿宋" w:cs="仿宋"/>
          <w:color w:val="auto"/>
          <w:sz w:val="21"/>
          <w:szCs w:val="21"/>
          <w:highlight w:val="none"/>
          <w:u w:val="single"/>
        </w:rPr>
      </w:pPr>
      <w:r>
        <w:rPr>
          <w:rFonts w:hint="eastAsia" w:ascii="仿宋" w:hAnsi="仿宋" w:eastAsia="仿宋" w:cs="仿宋"/>
          <w:color w:val="auto"/>
          <w:sz w:val="21"/>
          <w:szCs w:val="21"/>
          <w:highlight w:val="none"/>
        </w:rPr>
        <w:t>1.5.3预付款的担保措施详见</w:t>
      </w:r>
      <w:r>
        <w:rPr>
          <w:rFonts w:hint="eastAsia" w:ascii="仿宋" w:hAnsi="仿宋" w:eastAsia="仿宋" w:cs="仿宋"/>
          <w:color w:val="auto"/>
          <w:sz w:val="21"/>
          <w:szCs w:val="21"/>
          <w:highlight w:val="none"/>
          <w:u w:val="single"/>
        </w:rPr>
        <w:t xml:space="preserve">    </w:t>
      </w:r>
      <w:r>
        <w:rPr>
          <w:rFonts w:hint="eastAsia" w:ascii="仿宋" w:hAnsi="仿宋" w:eastAsia="仿宋" w:cs="仿宋"/>
          <w:b/>
          <w:i/>
          <w:color w:val="auto"/>
          <w:sz w:val="21"/>
          <w:szCs w:val="21"/>
          <w:highlight w:val="none"/>
          <w:u w:val="single"/>
        </w:rPr>
        <w:t>合同专用条款</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w:t>
      </w:r>
    </w:p>
    <w:p w14:paraId="46CEDFC7">
      <w:pPr>
        <w:pStyle w:val="976"/>
        <w:keepNext w:val="0"/>
        <w:keepLines w:val="0"/>
        <w:pageBreakBefore w:val="0"/>
        <w:kinsoku/>
        <w:wordWrap/>
        <w:overflowPunct/>
        <w:topLinePunct w:val="0"/>
        <w:bidi w:val="0"/>
        <w:snapToGrid/>
        <w:spacing w:before="0" w:beforeAutospacing="0" w:after="0" w:afterAutospacing="0" w:line="360" w:lineRule="auto"/>
        <w:ind w:firstLine="480"/>
        <w:textAlignment w:val="auto"/>
        <w:outlineLvl w:val="9"/>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1.6资金支付</w:t>
      </w:r>
    </w:p>
    <w:p w14:paraId="222378BA">
      <w:pPr>
        <w:pStyle w:val="976"/>
        <w:keepNext w:val="0"/>
        <w:keepLines w:val="0"/>
        <w:pageBreakBefore w:val="0"/>
        <w:kinsoku/>
        <w:wordWrap/>
        <w:overflowPunct/>
        <w:topLinePunct w:val="0"/>
        <w:bidi w:val="0"/>
        <w:snapToGrid/>
        <w:spacing w:before="0" w:beforeAutospacing="0" w:after="0" w:afterAutospacing="0" w:line="360" w:lineRule="auto"/>
        <w:ind w:firstLine="48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1.6.1甲方应严格履行合同，及时组织验收，验收合格后及时将合同款支付完毕。对于满足合同约定支付条件的，甲方自收到发票后5个工作日内将资金支付到合同约定的乙方账户，有条件的甲方可以即时支付。甲方不得以机构变动、人员更替、政策调整、单位放假等为由延迟付款。</w:t>
      </w:r>
    </w:p>
    <w:p w14:paraId="6833BAB6">
      <w:pPr>
        <w:keepNext w:val="0"/>
        <w:keepLines w:val="0"/>
        <w:pageBreakBefore w:val="0"/>
        <w:kinsoku/>
        <w:wordWrap/>
        <w:overflowPunct/>
        <w:topLinePunct w:val="0"/>
        <w:bidi w:val="0"/>
        <w:snapToGrid/>
        <w:spacing w:line="360" w:lineRule="auto"/>
        <w:ind w:firstLine="420" w:firstLineChars="2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1.6.2资金支付的方式、时间和条件详见</w:t>
      </w:r>
      <w:r>
        <w:rPr>
          <w:rFonts w:hint="eastAsia" w:ascii="仿宋" w:hAnsi="仿宋" w:eastAsia="仿宋" w:cs="仿宋"/>
          <w:b/>
          <w:i/>
          <w:color w:val="auto"/>
          <w:sz w:val="21"/>
          <w:szCs w:val="21"/>
          <w:highlight w:val="none"/>
          <w:u w:val="single"/>
        </w:rPr>
        <w:t>合同专用条款</w:t>
      </w:r>
      <w:r>
        <w:rPr>
          <w:rFonts w:hint="eastAsia" w:ascii="仿宋" w:hAnsi="仿宋" w:eastAsia="仿宋" w:cs="仿宋"/>
          <w:color w:val="auto"/>
          <w:sz w:val="21"/>
          <w:szCs w:val="21"/>
          <w:highlight w:val="none"/>
        </w:rPr>
        <w:t>。</w:t>
      </w:r>
    </w:p>
    <w:p w14:paraId="1331EAF6">
      <w:pPr>
        <w:keepNext w:val="0"/>
        <w:keepLines w:val="0"/>
        <w:pageBreakBefore w:val="0"/>
        <w:kinsoku/>
        <w:wordWrap/>
        <w:overflowPunct/>
        <w:topLinePunct w:val="0"/>
        <w:bidi w:val="0"/>
        <w:snapToGrid/>
        <w:spacing w:line="360" w:lineRule="auto"/>
        <w:ind w:firstLine="422" w:firstLineChars="200"/>
        <w:textAlignment w:val="auto"/>
        <w:outlineLvl w:val="9"/>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1.7 履行期限、地点和方式</w:t>
      </w:r>
      <w:bookmarkEnd w:id="435"/>
      <w:bookmarkEnd w:id="436"/>
      <w:bookmarkEnd w:id="437"/>
      <w:bookmarkEnd w:id="438"/>
      <w:bookmarkEnd w:id="439"/>
    </w:p>
    <w:p w14:paraId="00A4FB2A">
      <w:pPr>
        <w:keepNext w:val="0"/>
        <w:keepLines w:val="0"/>
        <w:pageBreakBefore w:val="0"/>
        <w:kinsoku/>
        <w:wordWrap/>
        <w:overflowPunct/>
        <w:topLinePunct w:val="0"/>
        <w:bidi w:val="0"/>
        <w:snapToGrid/>
        <w:spacing w:line="360" w:lineRule="auto"/>
        <w:ind w:firstLine="420" w:firstLineChars="200"/>
        <w:textAlignment w:val="auto"/>
        <w:outlineLvl w:val="9"/>
        <w:rPr>
          <w:rFonts w:hint="eastAsia" w:ascii="仿宋" w:hAnsi="仿宋" w:eastAsia="仿宋" w:cs="仿宋"/>
          <w:color w:val="auto"/>
          <w:sz w:val="21"/>
          <w:szCs w:val="21"/>
          <w:highlight w:val="none"/>
          <w:u w:val="single"/>
        </w:rPr>
      </w:pPr>
      <w:r>
        <w:rPr>
          <w:rFonts w:hint="eastAsia" w:ascii="仿宋" w:hAnsi="仿宋" w:eastAsia="仿宋" w:cs="仿宋"/>
          <w:color w:val="auto"/>
          <w:sz w:val="21"/>
          <w:szCs w:val="21"/>
          <w:highlight w:val="none"/>
        </w:rPr>
        <w:t>1.7.1 服务交付（实施）的时间（期限）：</w:t>
      </w:r>
      <w:r>
        <w:rPr>
          <w:rFonts w:hint="eastAsia" w:ascii="仿宋" w:hAnsi="仿宋" w:eastAsia="仿宋" w:cs="仿宋"/>
          <w:b/>
          <w:i/>
          <w:color w:val="auto"/>
          <w:sz w:val="21"/>
          <w:szCs w:val="21"/>
          <w:highlight w:val="none"/>
          <w:u w:val="single"/>
        </w:rPr>
        <w:t>合同专用条款</w:t>
      </w:r>
      <w:r>
        <w:rPr>
          <w:rFonts w:hint="eastAsia" w:ascii="仿宋" w:hAnsi="仿宋" w:eastAsia="仿宋" w:cs="仿宋"/>
          <w:color w:val="auto"/>
          <w:sz w:val="21"/>
          <w:szCs w:val="21"/>
          <w:highlight w:val="none"/>
        </w:rPr>
        <w:t>；</w:t>
      </w:r>
    </w:p>
    <w:p w14:paraId="10AE4C53">
      <w:pPr>
        <w:keepNext w:val="0"/>
        <w:keepLines w:val="0"/>
        <w:pageBreakBefore w:val="0"/>
        <w:kinsoku/>
        <w:wordWrap/>
        <w:overflowPunct/>
        <w:topLinePunct w:val="0"/>
        <w:bidi w:val="0"/>
        <w:snapToGrid/>
        <w:spacing w:line="360" w:lineRule="auto"/>
        <w:ind w:firstLine="420" w:firstLineChars="2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1.7.2 服务交付（实施）的地点（地域范围）：</w:t>
      </w:r>
      <w:r>
        <w:rPr>
          <w:rFonts w:hint="eastAsia" w:ascii="仿宋" w:hAnsi="仿宋" w:eastAsia="仿宋" w:cs="仿宋"/>
          <w:b/>
          <w:i/>
          <w:color w:val="auto"/>
          <w:sz w:val="21"/>
          <w:szCs w:val="21"/>
          <w:highlight w:val="none"/>
          <w:u w:val="single"/>
        </w:rPr>
        <w:t>合同专用条款</w:t>
      </w:r>
      <w:r>
        <w:rPr>
          <w:rFonts w:hint="eastAsia" w:ascii="仿宋" w:hAnsi="仿宋" w:eastAsia="仿宋" w:cs="仿宋"/>
          <w:color w:val="auto"/>
          <w:sz w:val="21"/>
          <w:szCs w:val="21"/>
          <w:highlight w:val="none"/>
        </w:rPr>
        <w:t>；</w:t>
      </w:r>
    </w:p>
    <w:p w14:paraId="17FB05D1">
      <w:pPr>
        <w:keepNext w:val="0"/>
        <w:keepLines w:val="0"/>
        <w:pageBreakBefore w:val="0"/>
        <w:kinsoku/>
        <w:wordWrap/>
        <w:overflowPunct/>
        <w:topLinePunct w:val="0"/>
        <w:bidi w:val="0"/>
        <w:snapToGrid/>
        <w:spacing w:line="360" w:lineRule="auto"/>
        <w:ind w:firstLine="420" w:firstLineChars="2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1.7.3 服务交付（实施）的方式：</w:t>
      </w:r>
      <w:r>
        <w:rPr>
          <w:rFonts w:hint="eastAsia" w:ascii="仿宋" w:hAnsi="仿宋" w:eastAsia="仿宋" w:cs="仿宋"/>
          <w:b/>
          <w:i/>
          <w:color w:val="auto"/>
          <w:sz w:val="21"/>
          <w:szCs w:val="21"/>
          <w:highlight w:val="none"/>
          <w:u w:val="single"/>
        </w:rPr>
        <w:t>合同专用条款</w:t>
      </w:r>
      <w:r>
        <w:rPr>
          <w:rFonts w:hint="eastAsia" w:ascii="仿宋" w:hAnsi="仿宋" w:eastAsia="仿宋" w:cs="仿宋"/>
          <w:color w:val="auto"/>
          <w:sz w:val="21"/>
          <w:szCs w:val="21"/>
          <w:highlight w:val="none"/>
        </w:rPr>
        <w:t>。</w:t>
      </w:r>
    </w:p>
    <w:p w14:paraId="27F01DF4">
      <w:pPr>
        <w:keepNext w:val="0"/>
        <w:keepLines w:val="0"/>
        <w:pageBreakBefore w:val="0"/>
        <w:kinsoku/>
        <w:wordWrap/>
        <w:overflowPunct/>
        <w:topLinePunct w:val="0"/>
        <w:bidi w:val="0"/>
        <w:snapToGrid/>
        <w:spacing w:line="360" w:lineRule="auto"/>
        <w:ind w:firstLine="420" w:firstLineChars="200"/>
        <w:textAlignment w:val="auto"/>
        <w:outlineLvl w:val="9"/>
        <w:rPr>
          <w:rFonts w:hint="eastAsia" w:ascii="仿宋" w:hAnsi="仿宋" w:eastAsia="仿宋" w:cs="仿宋"/>
          <w:bCs/>
          <w:color w:val="auto"/>
          <w:sz w:val="21"/>
          <w:szCs w:val="21"/>
          <w:highlight w:val="none"/>
        </w:rPr>
      </w:pPr>
      <w:bookmarkStart w:id="440" w:name="_Toc5698"/>
      <w:bookmarkStart w:id="441" w:name="_Toc8586"/>
      <w:bookmarkStart w:id="442" w:name="_Toc3079"/>
      <w:bookmarkStart w:id="443" w:name="_Toc24662"/>
      <w:bookmarkStart w:id="444" w:name="_Toc2375"/>
      <w:r>
        <w:rPr>
          <w:rFonts w:hint="eastAsia" w:ascii="仿宋" w:hAnsi="仿宋" w:eastAsia="仿宋" w:cs="仿宋"/>
          <w:bCs/>
          <w:color w:val="auto"/>
          <w:sz w:val="21"/>
          <w:szCs w:val="21"/>
          <w:highlight w:val="none"/>
        </w:rPr>
        <w:t>1.7.4若服务涉及货物的，则货物的：</w:t>
      </w:r>
    </w:p>
    <w:p w14:paraId="76368244">
      <w:pPr>
        <w:keepNext w:val="0"/>
        <w:keepLines w:val="0"/>
        <w:pageBreakBefore w:val="0"/>
        <w:kinsoku/>
        <w:wordWrap/>
        <w:overflowPunct/>
        <w:topLinePunct w:val="0"/>
        <w:bidi w:val="0"/>
        <w:snapToGrid/>
        <w:spacing w:line="360" w:lineRule="auto"/>
        <w:ind w:firstLine="420" w:firstLineChars="200"/>
        <w:textAlignment w:val="auto"/>
        <w:outlineLvl w:val="9"/>
        <w:rPr>
          <w:rFonts w:hint="eastAsia" w:ascii="仿宋" w:hAnsi="仿宋" w:eastAsia="仿宋" w:cs="仿宋"/>
          <w:color w:val="auto"/>
          <w:sz w:val="21"/>
          <w:szCs w:val="21"/>
          <w:highlight w:val="none"/>
          <w:u w:val="single"/>
        </w:rPr>
      </w:pPr>
      <w:r>
        <w:rPr>
          <w:rFonts w:hint="eastAsia" w:ascii="仿宋" w:hAnsi="仿宋" w:eastAsia="仿宋" w:cs="仿宋"/>
          <w:color w:val="auto"/>
          <w:sz w:val="21"/>
          <w:szCs w:val="21"/>
          <w:highlight w:val="none"/>
        </w:rPr>
        <w:t>1.7.4.1 交付期限：详见</w:t>
      </w:r>
      <w:r>
        <w:rPr>
          <w:rFonts w:hint="eastAsia" w:ascii="仿宋" w:hAnsi="仿宋" w:eastAsia="仿宋" w:cs="仿宋"/>
          <w:b/>
          <w:i/>
          <w:color w:val="auto"/>
          <w:sz w:val="21"/>
          <w:szCs w:val="21"/>
          <w:highlight w:val="none"/>
          <w:u w:val="single"/>
        </w:rPr>
        <w:t>合同专用条款</w:t>
      </w:r>
      <w:r>
        <w:rPr>
          <w:rFonts w:hint="eastAsia" w:ascii="仿宋" w:hAnsi="仿宋" w:eastAsia="仿宋" w:cs="仿宋"/>
          <w:color w:val="auto"/>
          <w:sz w:val="21"/>
          <w:szCs w:val="21"/>
          <w:highlight w:val="none"/>
        </w:rPr>
        <w:t>；</w:t>
      </w:r>
    </w:p>
    <w:p w14:paraId="73F7B83A">
      <w:pPr>
        <w:keepNext w:val="0"/>
        <w:keepLines w:val="0"/>
        <w:pageBreakBefore w:val="0"/>
        <w:kinsoku/>
        <w:wordWrap/>
        <w:overflowPunct/>
        <w:topLinePunct w:val="0"/>
        <w:bidi w:val="0"/>
        <w:snapToGrid/>
        <w:spacing w:line="360" w:lineRule="auto"/>
        <w:ind w:firstLine="420" w:firstLineChars="2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1.7.4.2 交付地点：</w:t>
      </w:r>
      <w:r>
        <w:rPr>
          <w:rFonts w:hint="eastAsia" w:ascii="仿宋" w:hAnsi="仿宋" w:eastAsia="仿宋" w:cs="仿宋"/>
          <w:b/>
          <w:i/>
          <w:color w:val="auto"/>
          <w:sz w:val="21"/>
          <w:szCs w:val="21"/>
          <w:highlight w:val="none"/>
          <w:u w:val="single"/>
        </w:rPr>
        <w:t>合同专用条款</w:t>
      </w:r>
      <w:r>
        <w:rPr>
          <w:rFonts w:hint="eastAsia" w:ascii="仿宋" w:hAnsi="仿宋" w:eastAsia="仿宋" w:cs="仿宋"/>
          <w:color w:val="auto"/>
          <w:sz w:val="21"/>
          <w:szCs w:val="21"/>
          <w:highlight w:val="none"/>
        </w:rPr>
        <w:t>；</w:t>
      </w:r>
    </w:p>
    <w:p w14:paraId="51EB8570">
      <w:pPr>
        <w:keepNext w:val="0"/>
        <w:keepLines w:val="0"/>
        <w:pageBreakBefore w:val="0"/>
        <w:kinsoku/>
        <w:wordWrap/>
        <w:overflowPunct/>
        <w:topLinePunct w:val="0"/>
        <w:bidi w:val="0"/>
        <w:snapToGrid/>
        <w:spacing w:line="360" w:lineRule="auto"/>
        <w:ind w:firstLine="420" w:firstLineChars="2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1.7.4.3 交付方式：</w:t>
      </w:r>
      <w:r>
        <w:rPr>
          <w:rFonts w:hint="eastAsia" w:ascii="仿宋" w:hAnsi="仿宋" w:eastAsia="仿宋" w:cs="仿宋"/>
          <w:b/>
          <w:i/>
          <w:color w:val="auto"/>
          <w:sz w:val="21"/>
          <w:szCs w:val="21"/>
          <w:highlight w:val="none"/>
          <w:u w:val="single"/>
        </w:rPr>
        <w:t>合同专用条款</w:t>
      </w:r>
      <w:r>
        <w:rPr>
          <w:rFonts w:hint="eastAsia" w:ascii="仿宋" w:hAnsi="仿宋" w:eastAsia="仿宋" w:cs="仿宋"/>
          <w:color w:val="auto"/>
          <w:sz w:val="21"/>
          <w:szCs w:val="21"/>
          <w:highlight w:val="none"/>
        </w:rPr>
        <w:t>。</w:t>
      </w:r>
    </w:p>
    <w:p w14:paraId="3C130ED9">
      <w:pPr>
        <w:keepNext w:val="0"/>
        <w:keepLines w:val="0"/>
        <w:pageBreakBefore w:val="0"/>
        <w:kinsoku/>
        <w:wordWrap/>
        <w:overflowPunct/>
        <w:topLinePunct w:val="0"/>
        <w:bidi w:val="0"/>
        <w:snapToGrid/>
        <w:spacing w:line="360" w:lineRule="auto"/>
        <w:ind w:firstLine="422" w:firstLineChars="200"/>
        <w:textAlignment w:val="auto"/>
        <w:outlineLvl w:val="9"/>
        <w:rPr>
          <w:rFonts w:hint="eastAsia" w:ascii="仿宋" w:hAnsi="仿宋" w:eastAsia="仿宋" w:cs="仿宋"/>
          <w:color w:val="auto"/>
          <w:sz w:val="21"/>
          <w:szCs w:val="21"/>
          <w:highlight w:val="none"/>
          <w:u w:val="single"/>
        </w:rPr>
      </w:pPr>
      <w:r>
        <w:rPr>
          <w:rFonts w:hint="eastAsia" w:ascii="仿宋" w:hAnsi="仿宋" w:eastAsia="仿宋" w:cs="仿宋"/>
          <w:b/>
          <w:color w:val="auto"/>
          <w:sz w:val="21"/>
          <w:szCs w:val="21"/>
          <w:highlight w:val="none"/>
        </w:rPr>
        <w:t>1.8违约责任</w:t>
      </w:r>
      <w:bookmarkEnd w:id="440"/>
      <w:bookmarkEnd w:id="441"/>
      <w:bookmarkEnd w:id="442"/>
      <w:bookmarkEnd w:id="443"/>
      <w:bookmarkEnd w:id="444"/>
    </w:p>
    <w:p w14:paraId="01CBA795">
      <w:pPr>
        <w:keepNext w:val="0"/>
        <w:keepLines w:val="0"/>
        <w:pageBreakBefore w:val="0"/>
        <w:kinsoku/>
        <w:wordWrap/>
        <w:overflowPunct/>
        <w:topLinePunct w:val="0"/>
        <w:bidi w:val="0"/>
        <w:snapToGrid/>
        <w:spacing w:line="360" w:lineRule="auto"/>
        <w:ind w:firstLine="420" w:firstLineChars="2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1.8.1 除不可抗力外，如果乙方没有按照本合同约定的期限、地点和方式交付服务成果或者实施服务，那么甲方可要求乙方支付违约金，迟延履行违约金按每迟延履行一日的应提供而未提供服务价格的</w:t>
      </w:r>
      <w:r>
        <w:rPr>
          <w:rFonts w:hint="eastAsia" w:ascii="仿宋" w:hAnsi="仿宋" w:eastAsia="仿宋" w:cs="仿宋"/>
          <w:color w:val="auto"/>
          <w:sz w:val="21"/>
          <w:szCs w:val="21"/>
          <w:highlight w:val="none"/>
          <w:u w:val="single"/>
        </w:rPr>
        <w:t xml:space="preserve">0.05 </w:t>
      </w:r>
      <w:r>
        <w:rPr>
          <w:rFonts w:hint="eastAsia" w:ascii="仿宋" w:hAnsi="仿宋" w:eastAsia="仿宋" w:cs="仿宋"/>
          <w:color w:val="auto"/>
          <w:sz w:val="21"/>
          <w:szCs w:val="21"/>
          <w:highlight w:val="none"/>
        </w:rPr>
        <w:t>%计算，最高限额为本合同总价的</w:t>
      </w:r>
      <w:r>
        <w:rPr>
          <w:rFonts w:hint="eastAsia" w:ascii="仿宋" w:hAnsi="仿宋" w:eastAsia="仿宋" w:cs="仿宋"/>
          <w:color w:val="auto"/>
          <w:sz w:val="21"/>
          <w:szCs w:val="21"/>
          <w:highlight w:val="none"/>
          <w:u w:val="single"/>
        </w:rPr>
        <w:t xml:space="preserve">  20   </w:t>
      </w:r>
      <w:r>
        <w:rPr>
          <w:rFonts w:hint="eastAsia" w:ascii="仿宋" w:hAnsi="仿宋" w:eastAsia="仿宋" w:cs="仿宋"/>
          <w:color w:val="auto"/>
          <w:sz w:val="21"/>
          <w:szCs w:val="21"/>
          <w:highlight w:val="none"/>
        </w:rPr>
        <w:t>%；迟延履行的违约金计算数额达到前述最高限额之日起，甲方有权在要求乙方支付违约金的同时，书面通知乙方解除本合同；</w:t>
      </w:r>
    </w:p>
    <w:p w14:paraId="6C907C93">
      <w:pPr>
        <w:keepNext w:val="0"/>
        <w:keepLines w:val="0"/>
        <w:pageBreakBefore w:val="0"/>
        <w:tabs>
          <w:tab w:val="left" w:pos="432"/>
        </w:tabs>
        <w:kinsoku/>
        <w:wordWrap/>
        <w:overflowPunct/>
        <w:topLinePunct w:val="0"/>
        <w:bidi w:val="0"/>
        <w:snapToGrid/>
        <w:spacing w:line="360" w:lineRule="auto"/>
        <w:ind w:left="0" w:firstLine="420" w:firstLineChars="200"/>
        <w:textAlignment w:val="auto"/>
        <w:outlineLvl w:val="9"/>
        <w:rPr>
          <w:rFonts w:hint="eastAsia" w:ascii="仿宋" w:hAnsi="仿宋" w:eastAsia="仿宋" w:cs="仿宋"/>
          <w:b w:val="0"/>
          <w:bCs w:val="0"/>
          <w:color w:val="auto"/>
          <w:sz w:val="21"/>
          <w:szCs w:val="21"/>
          <w:highlight w:val="none"/>
          <w:lang w:val="en-US"/>
        </w:rPr>
      </w:pPr>
      <w:r>
        <w:rPr>
          <w:rFonts w:hint="eastAsia" w:ascii="仿宋" w:hAnsi="仿宋" w:eastAsia="仿宋" w:cs="仿宋"/>
          <w:b w:val="0"/>
          <w:bCs w:val="0"/>
          <w:color w:val="auto"/>
          <w:sz w:val="21"/>
          <w:szCs w:val="21"/>
          <w:highlight w:val="none"/>
          <w:lang w:val="en-US"/>
        </w:rPr>
        <w:t>1.8.2服务中涉及的货物，除不可抗力外，如果乙方没有按照本合同约定的期限、地点和方式交付货物，那么甲方可要求乙方支付违约金，违约金按每迟延交付货物一日的应交付而未交付货物价格的</w:t>
      </w:r>
      <w:r>
        <w:rPr>
          <w:rFonts w:hint="eastAsia" w:ascii="仿宋" w:hAnsi="仿宋" w:eastAsia="仿宋" w:cs="仿宋"/>
          <w:b w:val="0"/>
          <w:bCs w:val="0"/>
          <w:color w:val="auto"/>
          <w:sz w:val="21"/>
          <w:szCs w:val="21"/>
          <w:highlight w:val="none"/>
          <w:u w:val="single"/>
          <w:lang w:val="en-US"/>
        </w:rPr>
        <w:t xml:space="preserve">  0.0</w:t>
      </w:r>
      <w:r>
        <w:rPr>
          <w:rFonts w:hint="eastAsia" w:ascii="仿宋" w:hAnsi="仿宋" w:eastAsia="仿宋" w:cs="仿宋"/>
          <w:b w:val="0"/>
          <w:bCs w:val="0"/>
          <w:color w:val="auto"/>
          <w:sz w:val="21"/>
          <w:szCs w:val="21"/>
          <w:highlight w:val="none"/>
          <w:lang w:val="en-US"/>
        </w:rPr>
        <w:t>5</w:t>
      </w:r>
      <w:r>
        <w:rPr>
          <w:rFonts w:hint="eastAsia" w:ascii="仿宋" w:hAnsi="仿宋" w:eastAsia="仿宋" w:cs="仿宋"/>
          <w:b w:val="0"/>
          <w:bCs w:val="0"/>
          <w:color w:val="auto"/>
          <w:sz w:val="21"/>
          <w:szCs w:val="21"/>
          <w:highlight w:val="none"/>
          <w:u w:val="single"/>
          <w:lang w:val="en-US"/>
        </w:rPr>
        <w:t xml:space="preserve">  </w:t>
      </w:r>
      <w:r>
        <w:rPr>
          <w:rFonts w:hint="eastAsia" w:ascii="仿宋" w:hAnsi="仿宋" w:eastAsia="仿宋" w:cs="仿宋"/>
          <w:b w:val="0"/>
          <w:bCs w:val="0"/>
          <w:color w:val="auto"/>
          <w:sz w:val="21"/>
          <w:szCs w:val="21"/>
          <w:highlight w:val="none"/>
          <w:lang w:val="en-US"/>
        </w:rPr>
        <w:t>%计算，最高限额为本合同总价的</w:t>
      </w:r>
      <w:r>
        <w:rPr>
          <w:rFonts w:hint="eastAsia" w:ascii="仿宋" w:hAnsi="仿宋" w:eastAsia="仿宋" w:cs="仿宋"/>
          <w:b w:val="0"/>
          <w:bCs w:val="0"/>
          <w:color w:val="auto"/>
          <w:sz w:val="21"/>
          <w:szCs w:val="21"/>
          <w:highlight w:val="none"/>
          <w:u w:val="single"/>
          <w:lang w:val="en-US"/>
        </w:rPr>
        <w:t xml:space="preserve">  20  </w:t>
      </w:r>
      <w:r>
        <w:rPr>
          <w:rFonts w:hint="eastAsia" w:ascii="仿宋" w:hAnsi="仿宋" w:eastAsia="仿宋" w:cs="仿宋"/>
          <w:b w:val="0"/>
          <w:bCs w:val="0"/>
          <w:color w:val="auto"/>
          <w:sz w:val="21"/>
          <w:szCs w:val="21"/>
          <w:highlight w:val="none"/>
          <w:lang w:val="en-US"/>
        </w:rPr>
        <w:t>%；迟延交付货物的违约金计算数额达到前述最高限额之日起，甲方有权在要求乙方支付违约金的同时，书面通知乙方解除本合同；</w:t>
      </w:r>
    </w:p>
    <w:p w14:paraId="6C6F9E51">
      <w:pPr>
        <w:keepNext w:val="0"/>
        <w:keepLines w:val="0"/>
        <w:pageBreakBefore w:val="0"/>
        <w:kinsoku/>
        <w:wordWrap/>
        <w:overflowPunct/>
        <w:topLinePunct w:val="0"/>
        <w:bidi w:val="0"/>
        <w:snapToGrid/>
        <w:spacing w:line="360" w:lineRule="auto"/>
        <w:ind w:firstLine="420" w:firstLineChars="2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1.8.3除不可抗力外，如果甲方没有按照本合同约定的付款方式付款，那么乙方可要求甲方支付违约金，违约金按每迟延付款一日的应付而未付款的</w:t>
      </w:r>
      <w:r>
        <w:rPr>
          <w:rFonts w:hint="eastAsia" w:ascii="仿宋" w:hAnsi="仿宋" w:eastAsia="仿宋" w:cs="仿宋"/>
          <w:color w:val="auto"/>
          <w:sz w:val="21"/>
          <w:szCs w:val="21"/>
          <w:highlight w:val="none"/>
          <w:u w:val="single"/>
        </w:rPr>
        <w:t xml:space="preserve">   0.05   </w:t>
      </w:r>
      <w:r>
        <w:rPr>
          <w:rFonts w:hint="eastAsia" w:ascii="仿宋" w:hAnsi="仿宋" w:eastAsia="仿宋" w:cs="仿宋"/>
          <w:color w:val="auto"/>
          <w:sz w:val="21"/>
          <w:szCs w:val="21"/>
          <w:highlight w:val="none"/>
        </w:rPr>
        <w:t>%计算，最高限额为本合同总价的</w:t>
      </w:r>
      <w:r>
        <w:rPr>
          <w:rFonts w:hint="eastAsia" w:ascii="仿宋" w:hAnsi="仿宋" w:eastAsia="仿宋" w:cs="仿宋"/>
          <w:color w:val="auto"/>
          <w:sz w:val="21"/>
          <w:szCs w:val="21"/>
          <w:highlight w:val="none"/>
          <w:u w:val="single"/>
        </w:rPr>
        <w:t xml:space="preserve">   20   </w:t>
      </w:r>
      <w:r>
        <w:rPr>
          <w:rFonts w:hint="eastAsia" w:ascii="仿宋" w:hAnsi="仿宋" w:eastAsia="仿宋" w:cs="仿宋"/>
          <w:color w:val="auto"/>
          <w:sz w:val="21"/>
          <w:szCs w:val="21"/>
          <w:highlight w:val="none"/>
        </w:rPr>
        <w:t>%；迟延付款的违约金计算数额达到前述最高限额之日起，乙方有权在要求甲方支付违约金的同时，书面通知甲方解除本合同；</w:t>
      </w:r>
    </w:p>
    <w:p w14:paraId="46441CC3">
      <w:pPr>
        <w:keepNext w:val="0"/>
        <w:keepLines w:val="0"/>
        <w:pageBreakBefore w:val="0"/>
        <w:kinsoku/>
        <w:wordWrap/>
        <w:overflowPunct/>
        <w:topLinePunct w:val="0"/>
        <w:bidi w:val="0"/>
        <w:snapToGrid/>
        <w:spacing w:line="360" w:lineRule="auto"/>
        <w:ind w:firstLine="420" w:firstLineChars="200"/>
        <w:textAlignment w:val="auto"/>
        <w:outlineLvl w:val="9"/>
        <w:rPr>
          <w:rFonts w:hint="eastAsia" w:ascii="仿宋" w:hAnsi="仿宋" w:eastAsia="仿宋" w:cs="仿宋"/>
          <w:color w:val="auto"/>
          <w:sz w:val="21"/>
          <w:szCs w:val="21"/>
          <w:highlight w:val="none"/>
        </w:rPr>
      </w:pPr>
      <w:bookmarkStart w:id="445" w:name="_Toc9497"/>
      <w:bookmarkStart w:id="446" w:name="_Toc26807"/>
      <w:bookmarkStart w:id="447" w:name="_Toc30329"/>
      <w:bookmarkStart w:id="448" w:name="_Toc18683"/>
      <w:bookmarkStart w:id="449" w:name="_Toc32454"/>
      <w:r>
        <w:rPr>
          <w:rFonts w:hint="eastAsia" w:ascii="仿宋" w:hAnsi="仿宋" w:eastAsia="仿宋" w:cs="仿宋"/>
          <w:color w:val="auto"/>
          <w:sz w:val="21"/>
          <w:szCs w:val="21"/>
          <w:highlight w:val="none"/>
        </w:rPr>
        <w:t>1.8.4 除不可抗力外，任何一方未能履行本合同约定的其他主要义务，经催告后在合理期限内仍未履行的，或者任何一方有其他违约行为致使不能实现合同目的的，或者任何一方有腐败行为（即：提供或给予或接受或索取任何财物或其他好处或者采取其他不正当手段影响对方当事人在合同签订、履行过程中的行为）或者欺诈行为（即：以谎报事实或者隐瞒真相的方法来影响对方当事人在合同签订、履行过程中的行为）的，对方当事人可以书面通知违约方解除本合同；</w:t>
      </w:r>
    </w:p>
    <w:p w14:paraId="1E31AB5C">
      <w:pPr>
        <w:keepNext w:val="0"/>
        <w:keepLines w:val="0"/>
        <w:pageBreakBefore w:val="0"/>
        <w:kinsoku/>
        <w:wordWrap/>
        <w:overflowPunct/>
        <w:topLinePunct w:val="0"/>
        <w:bidi w:val="0"/>
        <w:snapToGrid/>
        <w:spacing w:line="360" w:lineRule="auto"/>
        <w:ind w:firstLine="420" w:firstLineChars="2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1.8.5 除前述约定外，任何一方未能履行本合同约定的义务，对方当事人均有权要求继续履行、采取补救措施或者赔偿损失等，且对方当事人行使的任何权利救济方式均不视为其放弃了其他法定或者约定的权利救济方式；</w:t>
      </w:r>
    </w:p>
    <w:p w14:paraId="66F145AE">
      <w:pPr>
        <w:keepNext w:val="0"/>
        <w:keepLines w:val="0"/>
        <w:pageBreakBefore w:val="0"/>
        <w:kinsoku/>
        <w:wordWrap/>
        <w:overflowPunct/>
        <w:topLinePunct w:val="0"/>
        <w:bidi w:val="0"/>
        <w:snapToGrid/>
        <w:spacing w:line="360" w:lineRule="auto"/>
        <w:ind w:firstLine="420" w:firstLineChars="2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1.8.6如果出现政府采购监督管理部门在处理投诉事项期间，书面通知甲方暂停采购活动的情形，或者询问或质疑事项可能影响中标或者成交结果的，导致甲方中止履行合同的情形，均不视为甲方违约。</w:t>
      </w:r>
    </w:p>
    <w:p w14:paraId="1BB9E47E">
      <w:pPr>
        <w:keepNext w:val="0"/>
        <w:keepLines w:val="0"/>
        <w:pageBreakBefore w:val="0"/>
        <w:kinsoku/>
        <w:wordWrap/>
        <w:overflowPunct/>
        <w:topLinePunct w:val="0"/>
        <w:bidi w:val="0"/>
        <w:snapToGrid/>
        <w:spacing w:line="360" w:lineRule="auto"/>
        <w:ind w:right="-420" w:rightChars="-200" w:firstLine="420" w:firstLineChars="2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1.8.7违约责任</w:t>
      </w:r>
      <w:r>
        <w:rPr>
          <w:rFonts w:hint="eastAsia" w:ascii="仿宋" w:hAnsi="仿宋" w:eastAsia="仿宋" w:cs="仿宋"/>
          <w:b/>
          <w:i/>
          <w:color w:val="auto"/>
          <w:sz w:val="21"/>
          <w:szCs w:val="21"/>
          <w:highlight w:val="none"/>
          <w:u w:val="single"/>
        </w:rPr>
        <w:t>合同专用条款</w:t>
      </w:r>
      <w:r>
        <w:rPr>
          <w:rFonts w:hint="eastAsia" w:ascii="仿宋" w:hAnsi="仿宋" w:eastAsia="仿宋" w:cs="仿宋"/>
          <w:color w:val="auto"/>
          <w:sz w:val="21"/>
          <w:szCs w:val="21"/>
          <w:highlight w:val="none"/>
        </w:rPr>
        <w:t>另有约定的，从其约定。</w:t>
      </w:r>
    </w:p>
    <w:bookmarkEnd w:id="445"/>
    <w:bookmarkEnd w:id="446"/>
    <w:bookmarkEnd w:id="447"/>
    <w:bookmarkEnd w:id="448"/>
    <w:bookmarkEnd w:id="449"/>
    <w:p w14:paraId="7D00A3BD">
      <w:pPr>
        <w:keepNext w:val="0"/>
        <w:keepLines w:val="0"/>
        <w:pageBreakBefore w:val="0"/>
        <w:kinsoku/>
        <w:wordWrap/>
        <w:overflowPunct/>
        <w:topLinePunct w:val="0"/>
        <w:bidi w:val="0"/>
        <w:snapToGrid/>
        <w:spacing w:line="360" w:lineRule="auto"/>
        <w:ind w:firstLine="422" w:firstLineChars="200"/>
        <w:textAlignment w:val="auto"/>
        <w:outlineLvl w:val="9"/>
        <w:rPr>
          <w:rFonts w:hint="eastAsia" w:ascii="仿宋" w:hAnsi="仿宋" w:eastAsia="仿宋" w:cs="仿宋"/>
          <w:b/>
          <w:color w:val="auto"/>
          <w:sz w:val="21"/>
          <w:szCs w:val="21"/>
          <w:highlight w:val="none"/>
        </w:rPr>
      </w:pPr>
      <w:bookmarkStart w:id="450" w:name="_Toc28375"/>
      <w:bookmarkStart w:id="451" w:name="_Toc15583"/>
      <w:bookmarkStart w:id="452" w:name="_Toc16021"/>
      <w:r>
        <w:rPr>
          <w:rFonts w:hint="eastAsia" w:ascii="仿宋" w:hAnsi="仿宋" w:eastAsia="仿宋" w:cs="仿宋"/>
          <w:b/>
          <w:color w:val="auto"/>
          <w:sz w:val="21"/>
          <w:szCs w:val="21"/>
          <w:highlight w:val="none"/>
        </w:rPr>
        <w:t>1.9合同争议的解决</w:t>
      </w:r>
      <w:bookmarkEnd w:id="450"/>
      <w:bookmarkEnd w:id="451"/>
      <w:bookmarkEnd w:id="452"/>
    </w:p>
    <w:p w14:paraId="1A745E20">
      <w:pPr>
        <w:keepNext w:val="0"/>
        <w:keepLines w:val="0"/>
        <w:pageBreakBefore w:val="0"/>
        <w:kinsoku/>
        <w:wordWrap/>
        <w:overflowPunct/>
        <w:topLinePunct w:val="0"/>
        <w:bidi w:val="0"/>
        <w:snapToGrid/>
        <w:spacing w:line="360" w:lineRule="auto"/>
        <w:ind w:left="-61" w:leftChars="-29" w:right="-420" w:rightChars="-200" w:firstLine="210" w:firstLineChars="1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本合同履行过程中发生的任何争议，双方当事人均可通过和解或者调解解决；不愿和解、调解或者和解、调解不成的，可以选择以下第</w:t>
      </w:r>
      <w:r>
        <w:rPr>
          <w:rFonts w:hint="eastAsia" w:ascii="仿宋" w:hAnsi="仿宋" w:eastAsia="仿宋" w:cs="仿宋"/>
          <w:b/>
          <w:i/>
          <w:color w:val="auto"/>
          <w:sz w:val="21"/>
          <w:szCs w:val="21"/>
          <w:highlight w:val="none"/>
          <w:u w:val="single"/>
        </w:rPr>
        <w:t xml:space="preserve">   1.9.2   </w:t>
      </w:r>
      <w:r>
        <w:rPr>
          <w:rFonts w:hint="eastAsia" w:ascii="仿宋" w:hAnsi="仿宋" w:eastAsia="仿宋" w:cs="仿宋"/>
          <w:color w:val="auto"/>
          <w:sz w:val="21"/>
          <w:szCs w:val="21"/>
          <w:highlight w:val="none"/>
        </w:rPr>
        <w:t>条款规定的方式解决：</w:t>
      </w:r>
    </w:p>
    <w:p w14:paraId="51BF48D6">
      <w:pPr>
        <w:keepNext w:val="0"/>
        <w:keepLines w:val="0"/>
        <w:pageBreakBefore w:val="0"/>
        <w:kinsoku/>
        <w:wordWrap/>
        <w:overflowPunct/>
        <w:topLinePunct w:val="0"/>
        <w:bidi w:val="0"/>
        <w:snapToGrid/>
        <w:spacing w:line="360" w:lineRule="auto"/>
        <w:ind w:left="-420" w:leftChars="-200" w:right="-420" w:rightChars="-200" w:firstLine="840" w:firstLineChars="4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1.9.1 将争议提交</w:t>
      </w:r>
      <w:r>
        <w:rPr>
          <w:rFonts w:hint="eastAsia" w:ascii="仿宋" w:hAnsi="仿宋" w:eastAsia="仿宋" w:cs="仿宋"/>
          <w:b/>
          <w:i/>
          <w:color w:val="auto"/>
          <w:sz w:val="21"/>
          <w:szCs w:val="21"/>
          <w:highlight w:val="none"/>
          <w:u w:val="single"/>
        </w:rPr>
        <w:t>合同专用条款</w:t>
      </w:r>
      <w:r>
        <w:rPr>
          <w:rFonts w:hint="eastAsia" w:ascii="仿宋" w:hAnsi="仿宋" w:eastAsia="仿宋" w:cs="仿宋"/>
          <w:color w:val="auto"/>
          <w:sz w:val="21"/>
          <w:szCs w:val="21"/>
          <w:highlight w:val="none"/>
        </w:rPr>
        <w:t>仲裁委员会依申请仲裁时其现行有效的仲裁规则裁决；</w:t>
      </w:r>
    </w:p>
    <w:p w14:paraId="3424E021">
      <w:pPr>
        <w:keepNext w:val="0"/>
        <w:keepLines w:val="0"/>
        <w:pageBreakBefore w:val="0"/>
        <w:kinsoku/>
        <w:wordWrap/>
        <w:overflowPunct/>
        <w:topLinePunct w:val="0"/>
        <w:bidi w:val="0"/>
        <w:snapToGrid/>
        <w:spacing w:line="360" w:lineRule="auto"/>
        <w:ind w:left="-420" w:leftChars="-200" w:right="-420" w:rightChars="-200" w:firstLine="840" w:firstLineChars="4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1.9.2 向</w:t>
      </w:r>
      <w:r>
        <w:rPr>
          <w:rFonts w:hint="eastAsia" w:ascii="仿宋" w:hAnsi="仿宋" w:eastAsia="仿宋" w:cs="仿宋"/>
          <w:b/>
          <w:i/>
          <w:color w:val="auto"/>
          <w:sz w:val="21"/>
          <w:szCs w:val="21"/>
          <w:highlight w:val="none"/>
          <w:u w:val="single"/>
        </w:rPr>
        <w:t>合同专用条款</w:t>
      </w:r>
      <w:r>
        <w:rPr>
          <w:rFonts w:hint="eastAsia" w:ascii="仿宋" w:hAnsi="仿宋" w:eastAsia="仿宋" w:cs="仿宋"/>
          <w:color w:val="auto"/>
          <w:sz w:val="21"/>
          <w:szCs w:val="21"/>
          <w:highlight w:val="none"/>
        </w:rPr>
        <w:t>人民法院起诉。</w:t>
      </w:r>
    </w:p>
    <w:p w14:paraId="0589E326">
      <w:pPr>
        <w:keepNext w:val="0"/>
        <w:keepLines w:val="0"/>
        <w:pageBreakBefore w:val="0"/>
        <w:kinsoku/>
        <w:wordWrap/>
        <w:overflowPunct/>
        <w:topLinePunct w:val="0"/>
        <w:bidi w:val="0"/>
        <w:snapToGrid/>
        <w:spacing w:line="360" w:lineRule="auto"/>
        <w:ind w:firstLine="422" w:firstLineChars="200"/>
        <w:textAlignment w:val="auto"/>
        <w:outlineLvl w:val="9"/>
        <w:rPr>
          <w:rFonts w:hint="eastAsia" w:ascii="仿宋" w:hAnsi="仿宋" w:eastAsia="仿宋" w:cs="仿宋"/>
          <w:b/>
          <w:color w:val="auto"/>
          <w:sz w:val="21"/>
          <w:szCs w:val="21"/>
          <w:highlight w:val="none"/>
        </w:rPr>
      </w:pPr>
      <w:bookmarkStart w:id="453" w:name="_Toc11173"/>
      <w:bookmarkStart w:id="454" w:name="_Toc15322"/>
      <w:bookmarkStart w:id="455" w:name="_Toc7245"/>
      <w:r>
        <w:rPr>
          <w:rFonts w:hint="eastAsia" w:ascii="仿宋" w:hAnsi="仿宋" w:eastAsia="仿宋" w:cs="仿宋"/>
          <w:b/>
          <w:color w:val="auto"/>
          <w:sz w:val="21"/>
          <w:szCs w:val="21"/>
          <w:highlight w:val="none"/>
        </w:rPr>
        <w:t>2.0 合同生效</w:t>
      </w:r>
      <w:bookmarkEnd w:id="453"/>
      <w:bookmarkEnd w:id="454"/>
      <w:bookmarkEnd w:id="455"/>
    </w:p>
    <w:p w14:paraId="2E68E87D">
      <w:pPr>
        <w:keepNext w:val="0"/>
        <w:keepLines w:val="0"/>
        <w:pageBreakBefore w:val="0"/>
        <w:kinsoku/>
        <w:wordWrap/>
        <w:overflowPunct/>
        <w:topLinePunct w:val="0"/>
        <w:bidi w:val="0"/>
        <w:snapToGrid/>
        <w:spacing w:line="360" w:lineRule="auto"/>
        <w:ind w:firstLine="420" w:firstLineChars="200"/>
        <w:textAlignment w:val="auto"/>
        <w:outlineLvl w:val="9"/>
        <w:rPr>
          <w:rFonts w:hint="eastAsia" w:ascii="仿宋" w:hAnsi="仿宋" w:eastAsia="仿宋" w:cs="仿宋"/>
          <w:b/>
          <w:color w:val="auto"/>
          <w:sz w:val="21"/>
          <w:szCs w:val="21"/>
          <w:highlight w:val="none"/>
        </w:rPr>
      </w:pPr>
      <w:r>
        <w:rPr>
          <w:rFonts w:hint="eastAsia" w:ascii="仿宋" w:hAnsi="仿宋" w:eastAsia="仿宋" w:cs="仿宋"/>
          <w:color w:val="auto"/>
          <w:sz w:val="21"/>
          <w:szCs w:val="21"/>
          <w:highlight w:val="none"/>
        </w:rPr>
        <w:t>本合同自双方当事人盖章</w:t>
      </w:r>
      <w:r>
        <w:rPr>
          <w:rFonts w:hint="eastAsia" w:ascii="仿宋" w:hAnsi="仿宋" w:eastAsia="仿宋" w:cs="仿宋"/>
          <w:color w:val="auto"/>
          <w:sz w:val="21"/>
          <w:szCs w:val="21"/>
          <w:highlight w:val="none"/>
          <w:lang w:val="en-US" w:eastAsia="zh-CN"/>
        </w:rPr>
        <w:t>并</w:t>
      </w:r>
      <w:r>
        <w:rPr>
          <w:rFonts w:hint="eastAsia" w:ascii="仿宋" w:hAnsi="仿宋" w:eastAsia="仿宋" w:cs="仿宋"/>
          <w:color w:val="auto"/>
          <w:sz w:val="21"/>
          <w:szCs w:val="21"/>
          <w:highlight w:val="none"/>
        </w:rPr>
        <w:t>签字时生效。</w:t>
      </w:r>
    </w:p>
    <w:p w14:paraId="6B16B5E7">
      <w:pPr>
        <w:keepNext w:val="0"/>
        <w:keepLines w:val="0"/>
        <w:pageBreakBefore w:val="0"/>
        <w:kinsoku/>
        <w:wordWrap/>
        <w:overflowPunct/>
        <w:topLinePunct w:val="0"/>
        <w:autoSpaceDE w:val="0"/>
        <w:autoSpaceDN w:val="0"/>
        <w:bidi w:val="0"/>
        <w:snapToGrid/>
        <w:spacing w:line="360" w:lineRule="auto"/>
        <w:textAlignment w:val="auto"/>
        <w:outlineLvl w:val="9"/>
        <w:rPr>
          <w:rFonts w:hint="eastAsia" w:ascii="仿宋" w:hAnsi="仿宋" w:eastAsia="仿宋" w:cs="仿宋"/>
          <w:color w:val="auto"/>
          <w:sz w:val="21"/>
          <w:szCs w:val="21"/>
          <w:highlight w:val="none"/>
          <w:lang w:val="zh-CN"/>
        </w:rPr>
      </w:pPr>
    </w:p>
    <w:p w14:paraId="40192DAF">
      <w:pPr>
        <w:keepNext w:val="0"/>
        <w:keepLines w:val="0"/>
        <w:pageBreakBefore w:val="0"/>
        <w:kinsoku/>
        <w:wordWrap/>
        <w:overflowPunct/>
        <w:topLinePunct w:val="0"/>
        <w:autoSpaceDE w:val="0"/>
        <w:autoSpaceDN w:val="0"/>
        <w:bidi w:val="0"/>
        <w:snapToGrid/>
        <w:spacing w:line="360" w:lineRule="auto"/>
        <w:textAlignment w:val="auto"/>
        <w:outlineLvl w:val="9"/>
        <w:rPr>
          <w:rFonts w:hint="eastAsia" w:ascii="仿宋" w:hAnsi="仿宋" w:eastAsia="仿宋" w:cs="仿宋"/>
          <w:color w:val="auto"/>
          <w:sz w:val="21"/>
          <w:szCs w:val="21"/>
          <w:highlight w:val="none"/>
          <w:lang w:val="zh-CN"/>
        </w:rPr>
      </w:pPr>
      <w:r>
        <w:rPr>
          <w:rFonts w:hint="eastAsia" w:ascii="仿宋" w:hAnsi="仿宋" w:eastAsia="仿宋" w:cs="仿宋"/>
          <w:b/>
          <w:color w:val="auto"/>
          <w:sz w:val="21"/>
          <w:szCs w:val="21"/>
          <w:highlight w:val="none"/>
          <w:lang w:val="zh-CN"/>
        </w:rPr>
        <w:t>甲方</w:t>
      </w:r>
      <w:r>
        <w:rPr>
          <w:rFonts w:hint="eastAsia" w:ascii="仿宋" w:hAnsi="仿宋" w:eastAsia="仿宋" w:cs="仿宋"/>
          <w:color w:val="auto"/>
          <w:sz w:val="21"/>
          <w:szCs w:val="21"/>
          <w:highlight w:val="none"/>
          <w:lang w:val="zh-CN"/>
        </w:rPr>
        <w:t xml:space="preserve">：                             </w:t>
      </w:r>
      <w:r>
        <w:rPr>
          <w:rFonts w:hint="eastAsia" w:ascii="仿宋" w:hAnsi="仿宋" w:eastAsia="仿宋" w:cs="仿宋"/>
          <w:b/>
          <w:color w:val="auto"/>
          <w:sz w:val="21"/>
          <w:szCs w:val="21"/>
          <w:highlight w:val="none"/>
          <w:lang w:val="zh-CN"/>
        </w:rPr>
        <w:t xml:space="preserve">      乙方</w:t>
      </w:r>
      <w:r>
        <w:rPr>
          <w:rFonts w:hint="eastAsia" w:ascii="仿宋" w:hAnsi="仿宋" w:eastAsia="仿宋" w:cs="仿宋"/>
          <w:color w:val="auto"/>
          <w:sz w:val="21"/>
          <w:szCs w:val="21"/>
          <w:highlight w:val="none"/>
          <w:lang w:val="zh-CN"/>
        </w:rPr>
        <w:t>：</w:t>
      </w:r>
    </w:p>
    <w:p w14:paraId="042B91BF">
      <w:pPr>
        <w:keepNext w:val="0"/>
        <w:keepLines w:val="0"/>
        <w:pageBreakBefore w:val="0"/>
        <w:kinsoku/>
        <w:wordWrap/>
        <w:overflowPunct/>
        <w:topLinePunct w:val="0"/>
        <w:autoSpaceDE w:val="0"/>
        <w:autoSpaceDN w:val="0"/>
        <w:bidi w:val="0"/>
        <w:snapToGrid/>
        <w:spacing w:line="360" w:lineRule="auto"/>
        <w:textAlignment w:val="auto"/>
        <w:outlineLvl w:val="9"/>
        <w:rPr>
          <w:rFonts w:hint="eastAsia" w:ascii="仿宋" w:hAnsi="仿宋" w:eastAsia="仿宋" w:cs="仿宋"/>
          <w:color w:val="auto"/>
          <w:sz w:val="21"/>
          <w:szCs w:val="21"/>
          <w:highlight w:val="none"/>
          <w:lang w:val="zh-CN"/>
        </w:rPr>
      </w:pPr>
      <w:r>
        <w:rPr>
          <w:rFonts w:hint="eastAsia" w:ascii="仿宋" w:hAnsi="仿宋" w:eastAsia="仿宋" w:cs="仿宋"/>
          <w:color w:val="auto"/>
          <w:sz w:val="21"/>
          <w:szCs w:val="21"/>
          <w:highlight w:val="none"/>
          <w:lang w:val="zh-CN"/>
        </w:rPr>
        <w:t>统一社会信用代码：                        统一社会信用代码或身份证号码：</w:t>
      </w:r>
    </w:p>
    <w:p w14:paraId="2751ACC4">
      <w:pPr>
        <w:keepNext w:val="0"/>
        <w:keepLines w:val="0"/>
        <w:pageBreakBefore w:val="0"/>
        <w:kinsoku/>
        <w:wordWrap/>
        <w:overflowPunct/>
        <w:topLinePunct w:val="0"/>
        <w:autoSpaceDE w:val="0"/>
        <w:autoSpaceDN w:val="0"/>
        <w:bidi w:val="0"/>
        <w:snapToGrid/>
        <w:spacing w:line="360" w:lineRule="auto"/>
        <w:textAlignment w:val="auto"/>
        <w:outlineLvl w:val="9"/>
        <w:rPr>
          <w:rFonts w:hint="eastAsia" w:ascii="仿宋" w:hAnsi="仿宋" w:eastAsia="仿宋" w:cs="仿宋"/>
          <w:color w:val="auto"/>
          <w:sz w:val="21"/>
          <w:szCs w:val="21"/>
          <w:highlight w:val="none"/>
          <w:lang w:val="zh-CN"/>
        </w:rPr>
      </w:pPr>
    </w:p>
    <w:p w14:paraId="44BEAC2F">
      <w:pPr>
        <w:keepNext w:val="0"/>
        <w:keepLines w:val="0"/>
        <w:pageBreakBefore w:val="0"/>
        <w:kinsoku/>
        <w:wordWrap/>
        <w:overflowPunct/>
        <w:topLinePunct w:val="0"/>
        <w:autoSpaceDE w:val="0"/>
        <w:autoSpaceDN w:val="0"/>
        <w:bidi w:val="0"/>
        <w:snapToGrid/>
        <w:spacing w:line="360" w:lineRule="auto"/>
        <w:textAlignment w:val="auto"/>
        <w:outlineLvl w:val="9"/>
        <w:rPr>
          <w:rFonts w:hint="eastAsia" w:ascii="仿宋" w:hAnsi="仿宋" w:eastAsia="仿宋" w:cs="仿宋"/>
          <w:color w:val="auto"/>
          <w:sz w:val="21"/>
          <w:szCs w:val="21"/>
          <w:highlight w:val="none"/>
          <w:lang w:val="zh-CN"/>
        </w:rPr>
      </w:pPr>
      <w:r>
        <w:rPr>
          <w:rFonts w:hint="eastAsia" w:ascii="仿宋" w:hAnsi="仿宋" w:eastAsia="仿宋" w:cs="仿宋"/>
          <w:color w:val="auto"/>
          <w:sz w:val="21"/>
          <w:szCs w:val="21"/>
          <w:highlight w:val="none"/>
          <w:lang w:val="zh-CN"/>
        </w:rPr>
        <w:t>住所：                                   住所：</w:t>
      </w:r>
    </w:p>
    <w:p w14:paraId="1BEB6D79">
      <w:pPr>
        <w:keepNext w:val="0"/>
        <w:keepLines w:val="0"/>
        <w:pageBreakBefore w:val="0"/>
        <w:kinsoku/>
        <w:wordWrap/>
        <w:overflowPunct/>
        <w:topLinePunct w:val="0"/>
        <w:autoSpaceDE w:val="0"/>
        <w:autoSpaceDN w:val="0"/>
        <w:bidi w:val="0"/>
        <w:snapToGrid/>
        <w:spacing w:line="360" w:lineRule="auto"/>
        <w:textAlignment w:val="auto"/>
        <w:outlineLvl w:val="9"/>
        <w:rPr>
          <w:rFonts w:hint="eastAsia" w:ascii="仿宋" w:hAnsi="仿宋" w:eastAsia="仿宋" w:cs="仿宋"/>
          <w:color w:val="auto"/>
          <w:sz w:val="21"/>
          <w:szCs w:val="21"/>
          <w:highlight w:val="none"/>
          <w:lang w:val="zh-CN"/>
        </w:rPr>
      </w:pPr>
      <w:r>
        <w:rPr>
          <w:rFonts w:hint="eastAsia" w:ascii="仿宋" w:hAnsi="仿宋" w:eastAsia="仿宋" w:cs="仿宋"/>
          <w:color w:val="auto"/>
          <w:sz w:val="21"/>
          <w:szCs w:val="21"/>
          <w:highlight w:val="none"/>
          <w:lang w:val="zh-CN"/>
        </w:rPr>
        <w:t>法定代表人或                             法定代表人或</w:t>
      </w:r>
    </w:p>
    <w:p w14:paraId="1FF70691">
      <w:pPr>
        <w:keepNext w:val="0"/>
        <w:keepLines w:val="0"/>
        <w:pageBreakBefore w:val="0"/>
        <w:kinsoku/>
        <w:wordWrap/>
        <w:overflowPunct/>
        <w:topLinePunct w:val="0"/>
        <w:autoSpaceDE w:val="0"/>
        <w:autoSpaceDN w:val="0"/>
        <w:bidi w:val="0"/>
        <w:snapToGrid/>
        <w:spacing w:line="360" w:lineRule="auto"/>
        <w:textAlignment w:val="auto"/>
        <w:outlineLvl w:val="9"/>
        <w:rPr>
          <w:rFonts w:hint="eastAsia" w:ascii="仿宋" w:hAnsi="仿宋" w:eastAsia="仿宋" w:cs="仿宋"/>
          <w:color w:val="auto"/>
          <w:sz w:val="21"/>
          <w:szCs w:val="21"/>
          <w:highlight w:val="none"/>
          <w:lang w:val="zh-CN"/>
        </w:rPr>
      </w:pPr>
      <w:r>
        <w:rPr>
          <w:rFonts w:hint="eastAsia" w:ascii="仿宋" w:hAnsi="仿宋" w:eastAsia="仿宋" w:cs="仿宋"/>
          <w:color w:val="auto"/>
          <w:sz w:val="21"/>
          <w:szCs w:val="21"/>
          <w:highlight w:val="none"/>
          <w:lang w:val="zh-CN"/>
        </w:rPr>
        <w:t xml:space="preserve">授权代表（签字）：                       授权代表（签字）: </w:t>
      </w:r>
    </w:p>
    <w:p w14:paraId="0B00734F">
      <w:pPr>
        <w:keepNext w:val="0"/>
        <w:keepLines w:val="0"/>
        <w:pageBreakBefore w:val="0"/>
        <w:kinsoku/>
        <w:wordWrap/>
        <w:overflowPunct/>
        <w:topLinePunct w:val="0"/>
        <w:autoSpaceDE w:val="0"/>
        <w:autoSpaceDN w:val="0"/>
        <w:bidi w:val="0"/>
        <w:snapToGrid/>
        <w:spacing w:line="360" w:lineRule="auto"/>
        <w:textAlignment w:val="auto"/>
        <w:outlineLvl w:val="9"/>
        <w:rPr>
          <w:rFonts w:hint="eastAsia" w:ascii="仿宋" w:hAnsi="仿宋" w:eastAsia="仿宋" w:cs="仿宋"/>
          <w:color w:val="auto"/>
          <w:sz w:val="21"/>
          <w:szCs w:val="21"/>
          <w:highlight w:val="none"/>
          <w:lang w:val="zh-CN"/>
        </w:rPr>
      </w:pPr>
      <w:r>
        <w:rPr>
          <w:rFonts w:hint="eastAsia" w:ascii="仿宋" w:hAnsi="仿宋" w:eastAsia="仿宋" w:cs="仿宋"/>
          <w:color w:val="auto"/>
          <w:sz w:val="21"/>
          <w:szCs w:val="21"/>
          <w:highlight w:val="none"/>
          <w:lang w:val="zh-CN"/>
        </w:rPr>
        <w:t>联系人：                                 联系人：</w:t>
      </w:r>
    </w:p>
    <w:p w14:paraId="3F021F03">
      <w:pPr>
        <w:keepNext w:val="0"/>
        <w:keepLines w:val="0"/>
        <w:pageBreakBefore w:val="0"/>
        <w:kinsoku/>
        <w:wordWrap/>
        <w:overflowPunct/>
        <w:topLinePunct w:val="0"/>
        <w:autoSpaceDE w:val="0"/>
        <w:autoSpaceDN w:val="0"/>
        <w:bidi w:val="0"/>
        <w:snapToGrid/>
        <w:spacing w:line="360" w:lineRule="auto"/>
        <w:textAlignment w:val="auto"/>
        <w:outlineLvl w:val="9"/>
        <w:rPr>
          <w:rFonts w:hint="eastAsia" w:ascii="仿宋" w:hAnsi="仿宋" w:eastAsia="仿宋" w:cs="仿宋"/>
          <w:color w:val="auto"/>
          <w:sz w:val="21"/>
          <w:szCs w:val="21"/>
          <w:highlight w:val="none"/>
          <w:lang w:val="zh-CN"/>
        </w:rPr>
      </w:pPr>
      <w:r>
        <w:rPr>
          <w:rFonts w:hint="eastAsia" w:ascii="仿宋" w:hAnsi="仿宋" w:eastAsia="仿宋" w:cs="仿宋"/>
          <w:color w:val="auto"/>
          <w:sz w:val="21"/>
          <w:szCs w:val="21"/>
          <w:highlight w:val="none"/>
          <w:lang w:val="zh-CN"/>
        </w:rPr>
        <w:t>约定送达地址：                           约定送达地址：</w:t>
      </w:r>
    </w:p>
    <w:p w14:paraId="643E92A4">
      <w:pPr>
        <w:keepNext w:val="0"/>
        <w:keepLines w:val="0"/>
        <w:pageBreakBefore w:val="0"/>
        <w:kinsoku/>
        <w:wordWrap/>
        <w:overflowPunct/>
        <w:topLinePunct w:val="0"/>
        <w:autoSpaceDE w:val="0"/>
        <w:autoSpaceDN w:val="0"/>
        <w:bidi w:val="0"/>
        <w:snapToGrid/>
        <w:spacing w:line="360" w:lineRule="auto"/>
        <w:textAlignment w:val="auto"/>
        <w:outlineLvl w:val="9"/>
        <w:rPr>
          <w:rFonts w:hint="eastAsia" w:ascii="仿宋" w:hAnsi="仿宋" w:eastAsia="仿宋" w:cs="仿宋"/>
          <w:color w:val="auto"/>
          <w:sz w:val="21"/>
          <w:szCs w:val="21"/>
          <w:highlight w:val="none"/>
          <w:lang w:val="zh-CN"/>
        </w:rPr>
      </w:pPr>
      <w:r>
        <w:rPr>
          <w:rFonts w:hint="eastAsia" w:ascii="仿宋" w:hAnsi="仿宋" w:eastAsia="仿宋" w:cs="仿宋"/>
          <w:color w:val="auto"/>
          <w:sz w:val="21"/>
          <w:szCs w:val="21"/>
          <w:highlight w:val="none"/>
          <w:lang w:val="zh-CN"/>
        </w:rPr>
        <w:t>邮政编码：                               邮政编码：</w:t>
      </w:r>
    </w:p>
    <w:p w14:paraId="6EE9CB82">
      <w:pPr>
        <w:keepNext w:val="0"/>
        <w:keepLines w:val="0"/>
        <w:pageBreakBefore w:val="0"/>
        <w:kinsoku/>
        <w:wordWrap/>
        <w:overflowPunct/>
        <w:topLinePunct w:val="0"/>
        <w:autoSpaceDE w:val="0"/>
        <w:autoSpaceDN w:val="0"/>
        <w:bidi w:val="0"/>
        <w:snapToGrid/>
        <w:spacing w:line="360" w:lineRule="auto"/>
        <w:textAlignment w:val="auto"/>
        <w:outlineLvl w:val="9"/>
        <w:rPr>
          <w:rFonts w:hint="eastAsia" w:ascii="仿宋" w:hAnsi="仿宋" w:eastAsia="仿宋" w:cs="仿宋"/>
          <w:color w:val="auto"/>
          <w:sz w:val="21"/>
          <w:szCs w:val="21"/>
          <w:highlight w:val="none"/>
          <w:lang w:val="zh-CN"/>
        </w:rPr>
      </w:pPr>
      <w:r>
        <w:rPr>
          <w:rFonts w:hint="eastAsia" w:ascii="仿宋" w:hAnsi="仿宋" w:eastAsia="仿宋" w:cs="仿宋"/>
          <w:color w:val="auto"/>
          <w:sz w:val="21"/>
          <w:szCs w:val="21"/>
          <w:highlight w:val="none"/>
          <w:lang w:val="zh-CN"/>
        </w:rPr>
        <w:t xml:space="preserve">电话:                                    电话: </w:t>
      </w:r>
    </w:p>
    <w:p w14:paraId="7F7E5E3D">
      <w:pPr>
        <w:keepNext w:val="0"/>
        <w:keepLines w:val="0"/>
        <w:pageBreakBefore w:val="0"/>
        <w:kinsoku/>
        <w:wordWrap/>
        <w:overflowPunct/>
        <w:topLinePunct w:val="0"/>
        <w:autoSpaceDE w:val="0"/>
        <w:autoSpaceDN w:val="0"/>
        <w:bidi w:val="0"/>
        <w:snapToGrid/>
        <w:spacing w:line="360" w:lineRule="auto"/>
        <w:textAlignment w:val="auto"/>
        <w:outlineLvl w:val="9"/>
        <w:rPr>
          <w:rFonts w:hint="eastAsia" w:ascii="仿宋" w:hAnsi="仿宋" w:eastAsia="仿宋" w:cs="仿宋"/>
          <w:color w:val="auto"/>
          <w:sz w:val="21"/>
          <w:szCs w:val="21"/>
          <w:highlight w:val="none"/>
          <w:lang w:val="zh-CN"/>
        </w:rPr>
      </w:pPr>
      <w:r>
        <w:rPr>
          <w:rFonts w:hint="eastAsia" w:ascii="仿宋" w:hAnsi="仿宋" w:eastAsia="仿宋" w:cs="仿宋"/>
          <w:color w:val="auto"/>
          <w:sz w:val="21"/>
          <w:szCs w:val="21"/>
          <w:highlight w:val="none"/>
          <w:lang w:val="zh-CN"/>
        </w:rPr>
        <w:t>传真:                                    传真:</w:t>
      </w:r>
    </w:p>
    <w:p w14:paraId="0A48518E">
      <w:pPr>
        <w:keepNext w:val="0"/>
        <w:keepLines w:val="0"/>
        <w:pageBreakBefore w:val="0"/>
        <w:kinsoku/>
        <w:wordWrap/>
        <w:overflowPunct/>
        <w:topLinePunct w:val="0"/>
        <w:autoSpaceDE w:val="0"/>
        <w:autoSpaceDN w:val="0"/>
        <w:bidi w:val="0"/>
        <w:snapToGrid/>
        <w:spacing w:line="360" w:lineRule="auto"/>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zh-CN"/>
        </w:rPr>
        <w:t>电子邮箱：                               电子邮箱：</w:t>
      </w:r>
    </w:p>
    <w:p w14:paraId="58F90054">
      <w:pPr>
        <w:keepNext w:val="0"/>
        <w:keepLines w:val="0"/>
        <w:pageBreakBefore w:val="0"/>
        <w:kinsoku/>
        <w:wordWrap/>
        <w:overflowPunct/>
        <w:topLinePunct w:val="0"/>
        <w:autoSpaceDE w:val="0"/>
        <w:autoSpaceDN w:val="0"/>
        <w:bidi w:val="0"/>
        <w:snapToGrid/>
        <w:spacing w:line="360" w:lineRule="auto"/>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开户银行：                               开户银行： </w:t>
      </w:r>
    </w:p>
    <w:p w14:paraId="3CBFA5FB">
      <w:pPr>
        <w:keepNext w:val="0"/>
        <w:keepLines w:val="0"/>
        <w:pageBreakBefore w:val="0"/>
        <w:kinsoku/>
        <w:wordWrap/>
        <w:overflowPunct/>
        <w:topLinePunct w:val="0"/>
        <w:autoSpaceDE w:val="0"/>
        <w:autoSpaceDN w:val="0"/>
        <w:bidi w:val="0"/>
        <w:snapToGrid/>
        <w:spacing w:line="360" w:lineRule="auto"/>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开户名称：                               开户名称： </w:t>
      </w:r>
    </w:p>
    <w:p w14:paraId="31211DA3">
      <w:pPr>
        <w:keepNext w:val="0"/>
        <w:keepLines w:val="0"/>
        <w:pageBreakBefore w:val="0"/>
        <w:kinsoku/>
        <w:wordWrap/>
        <w:overflowPunct/>
        <w:topLinePunct w:val="0"/>
        <w:autoSpaceDE w:val="0"/>
        <w:autoSpaceDN w:val="0"/>
        <w:bidi w:val="0"/>
        <w:snapToGrid/>
        <w:spacing w:line="360" w:lineRule="auto"/>
        <w:textAlignment w:val="auto"/>
        <w:outlineLvl w:val="9"/>
        <w:rPr>
          <w:rFonts w:hint="eastAsia" w:ascii="仿宋" w:hAnsi="仿宋" w:eastAsia="仿宋" w:cs="仿宋"/>
          <w:b/>
          <w:color w:val="auto"/>
          <w:sz w:val="24"/>
          <w:highlight w:val="none"/>
        </w:rPr>
      </w:pPr>
      <w:r>
        <w:rPr>
          <w:rFonts w:hint="eastAsia" w:ascii="仿宋" w:hAnsi="仿宋" w:eastAsia="仿宋" w:cs="仿宋"/>
          <w:color w:val="auto"/>
          <w:sz w:val="21"/>
          <w:szCs w:val="21"/>
          <w:highlight w:val="none"/>
        </w:rPr>
        <w:t>开户账号：</w:t>
      </w:r>
      <w:r>
        <w:rPr>
          <w:rFonts w:hint="eastAsia" w:ascii="仿宋" w:hAnsi="仿宋" w:eastAsia="仿宋" w:cs="仿宋"/>
          <w:color w:val="auto"/>
          <w:sz w:val="21"/>
          <w:szCs w:val="21"/>
          <w:highlight w:val="none"/>
          <w:lang w:val="zh-CN"/>
        </w:rPr>
        <w:t xml:space="preserve">                               </w:t>
      </w:r>
      <w:r>
        <w:rPr>
          <w:rFonts w:hint="eastAsia" w:ascii="仿宋" w:hAnsi="仿宋" w:eastAsia="仿宋" w:cs="仿宋"/>
          <w:color w:val="auto"/>
          <w:sz w:val="21"/>
          <w:szCs w:val="21"/>
          <w:highlight w:val="none"/>
        </w:rPr>
        <w:t>开户账号：</w:t>
      </w:r>
    </w:p>
    <w:p w14:paraId="150AFC54">
      <w:pPr>
        <w:pageBreakBefore w:val="0"/>
        <w:widowControl/>
        <w:kinsoku/>
        <w:wordWrap/>
        <w:overflowPunct/>
        <w:topLinePunct w:val="0"/>
        <w:bidi w:val="0"/>
        <w:adjustRightInd/>
        <w:jc w:val="left"/>
        <w:outlineLvl w:val="9"/>
        <w:rPr>
          <w:rFonts w:hint="eastAsia" w:ascii="仿宋" w:hAnsi="仿宋" w:eastAsia="仿宋" w:cs="仿宋"/>
          <w:b/>
          <w:color w:val="auto"/>
          <w:sz w:val="24"/>
          <w:highlight w:val="none"/>
        </w:rPr>
      </w:pPr>
      <w:r>
        <w:rPr>
          <w:rFonts w:hint="eastAsia" w:ascii="仿宋" w:hAnsi="仿宋" w:eastAsia="仿宋" w:cs="仿宋"/>
          <w:b/>
          <w:color w:val="auto"/>
          <w:highlight w:val="none"/>
        </w:rPr>
        <w:br w:type="page"/>
      </w:r>
    </w:p>
    <w:p w14:paraId="0F89DAD7">
      <w:pPr>
        <w:snapToGrid w:val="0"/>
        <w:spacing w:line="360" w:lineRule="auto"/>
        <w:jc w:val="center"/>
        <w:outlineLvl w:val="1"/>
        <w:rPr>
          <w:rFonts w:hint="eastAsia" w:ascii="仿宋" w:hAnsi="仿宋" w:eastAsia="仿宋" w:cs="仿宋"/>
          <w:b/>
          <w:color w:val="auto"/>
          <w:sz w:val="32"/>
          <w:szCs w:val="20"/>
          <w:highlight w:val="none"/>
        </w:rPr>
      </w:pPr>
      <w:r>
        <w:rPr>
          <w:rFonts w:hint="eastAsia" w:ascii="仿宋" w:hAnsi="仿宋" w:eastAsia="仿宋" w:cs="仿宋"/>
          <w:b/>
          <w:color w:val="auto"/>
          <w:sz w:val="32"/>
          <w:szCs w:val="20"/>
          <w:highlight w:val="none"/>
        </w:rPr>
        <w:t>第二部分 合同一般条款</w:t>
      </w:r>
    </w:p>
    <w:p w14:paraId="6CACDCF6">
      <w:pPr>
        <w:keepNext w:val="0"/>
        <w:keepLines w:val="0"/>
        <w:pageBreakBefore w:val="0"/>
        <w:widowControl w:val="0"/>
        <w:kinsoku/>
        <w:wordWrap/>
        <w:overflowPunct/>
        <w:topLinePunct w:val="0"/>
        <w:autoSpaceDE/>
        <w:autoSpaceDN/>
        <w:bidi w:val="0"/>
        <w:adjustRightInd w:val="0"/>
        <w:snapToGrid/>
        <w:spacing w:line="360" w:lineRule="auto"/>
        <w:ind w:firstLine="422" w:firstLineChars="200"/>
        <w:textAlignment w:val="auto"/>
        <w:outlineLvl w:val="9"/>
        <w:rPr>
          <w:rFonts w:hint="eastAsia" w:ascii="仿宋" w:hAnsi="仿宋" w:eastAsia="仿宋" w:cs="仿宋"/>
          <w:b/>
          <w:color w:val="auto"/>
          <w:sz w:val="21"/>
          <w:szCs w:val="21"/>
          <w:highlight w:val="none"/>
        </w:rPr>
      </w:pPr>
      <w:bookmarkStart w:id="456" w:name="_Toc14021"/>
      <w:bookmarkStart w:id="457" w:name="_Toc19680"/>
      <w:bookmarkStart w:id="458" w:name="_Toc25079"/>
      <w:bookmarkStart w:id="459" w:name="_Toc31297"/>
      <w:bookmarkStart w:id="460" w:name="_Toc5228"/>
      <w:r>
        <w:rPr>
          <w:rFonts w:hint="eastAsia" w:ascii="仿宋" w:hAnsi="仿宋" w:eastAsia="仿宋" w:cs="仿宋"/>
          <w:b/>
          <w:color w:val="auto"/>
          <w:sz w:val="21"/>
          <w:szCs w:val="21"/>
          <w:highlight w:val="none"/>
        </w:rPr>
        <w:t>2.1 定义</w:t>
      </w:r>
      <w:bookmarkEnd w:id="456"/>
      <w:bookmarkEnd w:id="457"/>
      <w:bookmarkEnd w:id="458"/>
      <w:bookmarkEnd w:id="459"/>
      <w:bookmarkEnd w:id="460"/>
    </w:p>
    <w:p w14:paraId="392E11C5">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本合同中的下列词语应按以下内容进行解释：</w:t>
      </w:r>
    </w:p>
    <w:p w14:paraId="7927932A">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2.1.1 “合同”系指采购人和中标或成交供应商签订的载明双方当事人所达成的协议，并包括所有的附件、附录和构成合同的其他文件。</w:t>
      </w:r>
    </w:p>
    <w:p w14:paraId="0DDE44E5">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2.1.2 “合同价”系指根据合同约定，中标或成交供应商在完全履行合同义务后，采购人应支付给中标或成交供应商的价格。</w:t>
      </w:r>
    </w:p>
    <w:p w14:paraId="56423469">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2.1.3 “服务”系指中标或成交供应商根据合同约定应向采购人履行的除货物和工程以外的其他政府采购对象，包括采购人自身需要的服务和向社会公众提供的公共服务。</w:t>
      </w:r>
    </w:p>
    <w:p w14:paraId="0191AAF3">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2.1.4 “甲方”系指与中标或成交供应商签署合同的采购人；采购人委托采购代理机构代表其与乙方签订合同的，采购人的授权委托书作为合同附件。</w:t>
      </w:r>
    </w:p>
    <w:p w14:paraId="5DDCA72B">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2.1.5 “乙方”系指根据合同约定提供服务的中标或成交供应商；两个以上的自然人、法人或者其他组织组成一个联合体，以一个供应商的身份共同参加政府采购的，联合体各方均应为乙方或者与乙方相同地位的合同当事人，并就合同约定的事项对甲方承担连带责任。</w:t>
      </w:r>
    </w:p>
    <w:p w14:paraId="6E09B6F5">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2.1.6 “现场”系指合同约定提供服务的地点。</w:t>
      </w:r>
    </w:p>
    <w:p w14:paraId="68A84134">
      <w:pPr>
        <w:keepNext w:val="0"/>
        <w:keepLines w:val="0"/>
        <w:pageBreakBefore w:val="0"/>
        <w:widowControl w:val="0"/>
        <w:kinsoku/>
        <w:wordWrap/>
        <w:overflowPunct/>
        <w:topLinePunct w:val="0"/>
        <w:autoSpaceDE/>
        <w:autoSpaceDN/>
        <w:bidi w:val="0"/>
        <w:adjustRightInd w:val="0"/>
        <w:snapToGrid/>
        <w:spacing w:line="360" w:lineRule="auto"/>
        <w:ind w:firstLine="422" w:firstLineChars="200"/>
        <w:textAlignment w:val="auto"/>
        <w:outlineLvl w:val="9"/>
        <w:rPr>
          <w:rFonts w:hint="eastAsia" w:ascii="仿宋" w:hAnsi="仿宋" w:eastAsia="仿宋" w:cs="仿宋"/>
          <w:b/>
          <w:color w:val="auto"/>
          <w:sz w:val="21"/>
          <w:szCs w:val="21"/>
          <w:highlight w:val="none"/>
        </w:rPr>
      </w:pPr>
      <w:bookmarkStart w:id="461" w:name="_Toc31402"/>
      <w:bookmarkStart w:id="462" w:name="_Toc3769"/>
      <w:bookmarkStart w:id="463" w:name="_Toc16752"/>
      <w:bookmarkStart w:id="464" w:name="_Toc19539"/>
      <w:bookmarkStart w:id="465" w:name="_Toc23289"/>
      <w:r>
        <w:rPr>
          <w:rFonts w:hint="eastAsia" w:ascii="仿宋" w:hAnsi="仿宋" w:eastAsia="仿宋" w:cs="仿宋"/>
          <w:b/>
          <w:color w:val="auto"/>
          <w:sz w:val="21"/>
          <w:szCs w:val="21"/>
          <w:highlight w:val="none"/>
        </w:rPr>
        <w:t>2.2 技术规范</w:t>
      </w:r>
      <w:bookmarkEnd w:id="461"/>
      <w:bookmarkEnd w:id="462"/>
      <w:bookmarkEnd w:id="463"/>
      <w:bookmarkEnd w:id="464"/>
      <w:bookmarkEnd w:id="465"/>
    </w:p>
    <w:p w14:paraId="3D29AF05">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服务所应遵守的技术规范应与采购文件规定的技术规范和技术规范附件(如果有的话)及其技术规范偏差表(如果被甲方接受的话)相一致；如果采购文件中没有技术规范的相应说明，那么应以国家有关部门最新颁布的相应标准和规范为准。</w:t>
      </w:r>
    </w:p>
    <w:p w14:paraId="14F9B73D">
      <w:pPr>
        <w:keepNext w:val="0"/>
        <w:keepLines w:val="0"/>
        <w:pageBreakBefore w:val="0"/>
        <w:widowControl w:val="0"/>
        <w:kinsoku/>
        <w:wordWrap/>
        <w:overflowPunct/>
        <w:topLinePunct w:val="0"/>
        <w:autoSpaceDE/>
        <w:autoSpaceDN/>
        <w:bidi w:val="0"/>
        <w:adjustRightInd w:val="0"/>
        <w:snapToGrid/>
        <w:spacing w:line="360" w:lineRule="auto"/>
        <w:ind w:firstLine="422" w:firstLineChars="200"/>
        <w:textAlignment w:val="auto"/>
        <w:outlineLvl w:val="9"/>
        <w:rPr>
          <w:rFonts w:hint="eastAsia" w:ascii="仿宋" w:hAnsi="仿宋" w:eastAsia="仿宋" w:cs="仿宋"/>
          <w:b/>
          <w:color w:val="auto"/>
          <w:sz w:val="21"/>
          <w:szCs w:val="21"/>
          <w:highlight w:val="none"/>
        </w:rPr>
      </w:pPr>
      <w:bookmarkStart w:id="466" w:name="_Toc27945"/>
      <w:bookmarkStart w:id="467" w:name="_Toc9161"/>
      <w:bookmarkStart w:id="468" w:name="_Toc13673"/>
      <w:bookmarkStart w:id="469" w:name="_Toc4133"/>
      <w:bookmarkStart w:id="470" w:name="_Toc12412"/>
      <w:r>
        <w:rPr>
          <w:rFonts w:hint="eastAsia" w:ascii="仿宋" w:hAnsi="仿宋" w:eastAsia="仿宋" w:cs="仿宋"/>
          <w:b/>
          <w:color w:val="auto"/>
          <w:sz w:val="21"/>
          <w:szCs w:val="21"/>
          <w:highlight w:val="none"/>
        </w:rPr>
        <w:t>2.3 知识产权</w:t>
      </w:r>
      <w:bookmarkEnd w:id="466"/>
      <w:bookmarkEnd w:id="467"/>
      <w:bookmarkEnd w:id="468"/>
      <w:bookmarkEnd w:id="469"/>
      <w:bookmarkEnd w:id="470"/>
    </w:p>
    <w:p w14:paraId="57B49266">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2.3.1 乙方应保证其提供的服务不受任何第三方提出的侵犯其著作权、商标权、专利权等知识产权方面的起诉；如果任何第三方提出侵权指控，那么乙方须与该第三方交涉并承担由此发生的一切责任、费用和赔偿，乙方还应及时澄清相关信息，使甲方声誉免受损害，甲方保留追责的权利。</w:t>
      </w:r>
    </w:p>
    <w:p w14:paraId="2BF081F7">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2.3.2 合同涉及技术成果的归属和收益的分成办法的，详见</w:t>
      </w:r>
      <w:r>
        <w:rPr>
          <w:rFonts w:hint="eastAsia" w:ascii="仿宋" w:hAnsi="仿宋" w:eastAsia="仿宋" w:cs="仿宋"/>
          <w:b/>
          <w:i/>
          <w:color w:val="auto"/>
          <w:sz w:val="21"/>
          <w:szCs w:val="21"/>
          <w:highlight w:val="none"/>
          <w:u w:val="single"/>
        </w:rPr>
        <w:t>合同专用条款</w:t>
      </w:r>
      <w:r>
        <w:rPr>
          <w:rFonts w:hint="eastAsia" w:ascii="仿宋" w:hAnsi="仿宋" w:eastAsia="仿宋" w:cs="仿宋"/>
          <w:color w:val="auto"/>
          <w:sz w:val="21"/>
          <w:szCs w:val="21"/>
          <w:highlight w:val="none"/>
        </w:rPr>
        <w:t>。</w:t>
      </w:r>
    </w:p>
    <w:p w14:paraId="611DBCDA">
      <w:pPr>
        <w:keepNext w:val="0"/>
        <w:keepLines w:val="0"/>
        <w:pageBreakBefore w:val="0"/>
        <w:widowControl w:val="0"/>
        <w:kinsoku/>
        <w:wordWrap/>
        <w:overflowPunct/>
        <w:topLinePunct w:val="0"/>
        <w:autoSpaceDE/>
        <w:autoSpaceDN/>
        <w:bidi w:val="0"/>
        <w:adjustRightInd w:val="0"/>
        <w:snapToGrid/>
        <w:spacing w:line="360" w:lineRule="auto"/>
        <w:ind w:firstLine="422" w:firstLineChars="200"/>
        <w:textAlignment w:val="auto"/>
        <w:outlineLvl w:val="9"/>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2.4 履约检查和问题反馈</w:t>
      </w:r>
    </w:p>
    <w:p w14:paraId="63365AC4">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2.4.1甲方有权在其认为必要时，对乙方是否能够按照合同约定提供服务进行履约检查，以确保乙方所提供的服务能够依约满足甲方之项目需求，但不得因履约检查妨碍乙方的正常工作，乙方应予积极配合；</w:t>
      </w:r>
    </w:p>
    <w:p w14:paraId="4EA67829">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2.4.2 合同履行期间，甲方有权将履行过程中出现的问题反馈给乙方，双方当事人应以书面形式约定需要完善和改进的内容。</w:t>
      </w:r>
    </w:p>
    <w:p w14:paraId="1A147B53">
      <w:pPr>
        <w:keepNext w:val="0"/>
        <w:keepLines w:val="0"/>
        <w:pageBreakBefore w:val="0"/>
        <w:widowControl w:val="0"/>
        <w:kinsoku/>
        <w:wordWrap/>
        <w:overflowPunct/>
        <w:topLinePunct w:val="0"/>
        <w:autoSpaceDE/>
        <w:autoSpaceDN/>
        <w:bidi w:val="0"/>
        <w:adjustRightInd w:val="0"/>
        <w:snapToGrid/>
        <w:spacing w:line="360" w:lineRule="auto"/>
        <w:ind w:firstLine="422" w:firstLineChars="200"/>
        <w:textAlignment w:val="auto"/>
        <w:outlineLvl w:val="9"/>
        <w:rPr>
          <w:rFonts w:hint="eastAsia" w:ascii="仿宋" w:hAnsi="仿宋" w:eastAsia="仿宋" w:cs="仿宋"/>
          <w:b/>
          <w:color w:val="auto"/>
          <w:sz w:val="21"/>
          <w:szCs w:val="21"/>
          <w:highlight w:val="none"/>
        </w:rPr>
      </w:pPr>
      <w:bookmarkStart w:id="471" w:name="_Toc22011"/>
      <w:bookmarkStart w:id="472" w:name="_Toc15447"/>
      <w:bookmarkStart w:id="473" w:name="_Toc26555"/>
      <w:bookmarkStart w:id="474" w:name="_Toc31233"/>
      <w:bookmarkStart w:id="475" w:name="_Toc32670"/>
      <w:r>
        <w:rPr>
          <w:rFonts w:hint="eastAsia" w:ascii="仿宋" w:hAnsi="仿宋" w:eastAsia="仿宋" w:cs="仿宋"/>
          <w:b/>
          <w:color w:val="auto"/>
          <w:sz w:val="21"/>
          <w:szCs w:val="21"/>
          <w:highlight w:val="none"/>
        </w:rPr>
        <w:t>2.5 结算方式和付款条件</w:t>
      </w:r>
      <w:bookmarkEnd w:id="471"/>
      <w:bookmarkEnd w:id="472"/>
      <w:bookmarkEnd w:id="473"/>
      <w:bookmarkEnd w:id="474"/>
      <w:bookmarkEnd w:id="475"/>
    </w:p>
    <w:p w14:paraId="703E0B02">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详见</w:t>
      </w:r>
      <w:r>
        <w:rPr>
          <w:rFonts w:hint="eastAsia" w:ascii="仿宋" w:hAnsi="仿宋" w:eastAsia="仿宋" w:cs="仿宋"/>
          <w:b/>
          <w:i/>
          <w:color w:val="auto"/>
          <w:sz w:val="21"/>
          <w:szCs w:val="21"/>
          <w:highlight w:val="none"/>
          <w:u w:val="single"/>
        </w:rPr>
        <w:t>合同专用条款</w:t>
      </w:r>
      <w:r>
        <w:rPr>
          <w:rFonts w:hint="eastAsia" w:ascii="仿宋" w:hAnsi="仿宋" w:eastAsia="仿宋" w:cs="仿宋"/>
          <w:color w:val="auto"/>
          <w:sz w:val="21"/>
          <w:szCs w:val="21"/>
          <w:highlight w:val="none"/>
        </w:rPr>
        <w:t>。</w:t>
      </w:r>
    </w:p>
    <w:p w14:paraId="028E9849">
      <w:pPr>
        <w:keepNext w:val="0"/>
        <w:keepLines w:val="0"/>
        <w:pageBreakBefore w:val="0"/>
        <w:widowControl w:val="0"/>
        <w:kinsoku/>
        <w:wordWrap/>
        <w:overflowPunct/>
        <w:topLinePunct w:val="0"/>
        <w:autoSpaceDE/>
        <w:autoSpaceDN/>
        <w:bidi w:val="0"/>
        <w:adjustRightInd w:val="0"/>
        <w:snapToGrid/>
        <w:spacing w:line="360" w:lineRule="auto"/>
        <w:ind w:firstLine="422" w:firstLineChars="200"/>
        <w:textAlignment w:val="auto"/>
        <w:outlineLvl w:val="9"/>
        <w:rPr>
          <w:rFonts w:hint="eastAsia" w:ascii="仿宋" w:hAnsi="仿宋" w:eastAsia="仿宋" w:cs="仿宋"/>
          <w:b/>
          <w:color w:val="auto"/>
          <w:sz w:val="21"/>
          <w:szCs w:val="21"/>
          <w:highlight w:val="none"/>
        </w:rPr>
      </w:pPr>
      <w:bookmarkStart w:id="476" w:name="_Toc13154"/>
      <w:bookmarkStart w:id="477" w:name="_Toc18990"/>
      <w:bookmarkStart w:id="478" w:name="_Toc16163"/>
      <w:bookmarkStart w:id="479" w:name="_Toc13467"/>
      <w:bookmarkStart w:id="480" w:name="_Toc30507"/>
      <w:r>
        <w:rPr>
          <w:rFonts w:hint="eastAsia" w:ascii="仿宋" w:hAnsi="仿宋" w:eastAsia="仿宋" w:cs="仿宋"/>
          <w:b/>
          <w:color w:val="auto"/>
          <w:sz w:val="21"/>
          <w:szCs w:val="21"/>
          <w:highlight w:val="none"/>
        </w:rPr>
        <w:t>2.6 技术资料和保密义务</w:t>
      </w:r>
      <w:bookmarkEnd w:id="476"/>
      <w:bookmarkEnd w:id="477"/>
      <w:bookmarkEnd w:id="478"/>
      <w:bookmarkEnd w:id="479"/>
      <w:bookmarkEnd w:id="480"/>
    </w:p>
    <w:p w14:paraId="3214EA25">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2.6.1 乙方有权依据合同约定和项目需要，向甲方了解有关情况，调阅有关资料等，甲方应予积极配合；</w:t>
      </w:r>
    </w:p>
    <w:p w14:paraId="7F8BEBBE">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2.6.2 乙方有义务妥善保管和保护由甲方提供的前款信息和资料等；</w:t>
      </w:r>
    </w:p>
    <w:p w14:paraId="1EF33920">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2.6.3 除非依照法律规定或者对方当事人的书面同意，任何一方均应保证不向任何第三方提供或披露有关合同的或者履行合同过程中知悉的对方当事人任何未公开的信息和资料，包括但不限于技术情报、技术资料、商业秘密和商业信息等，并采取一切合理和必要措施和方式防止任何第三方接触到对方当事人的上述保密信息和资料。</w:t>
      </w:r>
    </w:p>
    <w:p w14:paraId="689C6E26">
      <w:pPr>
        <w:keepNext w:val="0"/>
        <w:keepLines w:val="0"/>
        <w:pageBreakBefore w:val="0"/>
        <w:widowControl w:val="0"/>
        <w:kinsoku/>
        <w:wordWrap/>
        <w:overflowPunct/>
        <w:topLinePunct w:val="0"/>
        <w:autoSpaceDE/>
        <w:autoSpaceDN/>
        <w:bidi w:val="0"/>
        <w:adjustRightInd w:val="0"/>
        <w:snapToGrid/>
        <w:spacing w:line="360" w:lineRule="auto"/>
        <w:ind w:firstLine="422" w:firstLineChars="200"/>
        <w:textAlignment w:val="auto"/>
        <w:outlineLvl w:val="9"/>
        <w:rPr>
          <w:rFonts w:hint="eastAsia" w:ascii="仿宋" w:hAnsi="仿宋" w:eastAsia="仿宋" w:cs="仿宋"/>
          <w:b/>
          <w:color w:val="auto"/>
          <w:sz w:val="21"/>
          <w:szCs w:val="21"/>
          <w:highlight w:val="none"/>
        </w:rPr>
      </w:pPr>
      <w:bookmarkStart w:id="481" w:name="_Toc19069"/>
      <w:r>
        <w:rPr>
          <w:rFonts w:hint="eastAsia" w:ascii="仿宋" w:hAnsi="仿宋" w:eastAsia="仿宋" w:cs="仿宋"/>
          <w:b/>
          <w:color w:val="auto"/>
          <w:sz w:val="21"/>
          <w:szCs w:val="21"/>
          <w:highlight w:val="none"/>
        </w:rPr>
        <w:t>2.7 质量保证</w:t>
      </w:r>
      <w:bookmarkEnd w:id="481"/>
    </w:p>
    <w:p w14:paraId="7745CA77">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2.7.1 乙方应建立和完善履行合同的内部质量保证体系，并提供相关内部规章制度给甲方，以便甲方进行监督检查；</w:t>
      </w:r>
    </w:p>
    <w:p w14:paraId="05AB7758">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2.7.2 乙方应保证履行合同的人员数量和素质、软件和硬件设备的配置、场地、环境和设施等满足全面履行合同的要求，并应接受甲方的监督检查。</w:t>
      </w:r>
    </w:p>
    <w:p w14:paraId="258A42BC">
      <w:pPr>
        <w:keepNext w:val="0"/>
        <w:keepLines w:val="0"/>
        <w:pageBreakBefore w:val="0"/>
        <w:widowControl w:val="0"/>
        <w:kinsoku/>
        <w:wordWrap/>
        <w:overflowPunct/>
        <w:topLinePunct w:val="0"/>
        <w:autoSpaceDE/>
        <w:autoSpaceDN/>
        <w:bidi w:val="0"/>
        <w:adjustRightInd w:val="0"/>
        <w:snapToGrid/>
        <w:spacing w:line="360" w:lineRule="auto"/>
        <w:ind w:firstLine="422" w:firstLineChars="200"/>
        <w:textAlignment w:val="auto"/>
        <w:outlineLvl w:val="9"/>
        <w:rPr>
          <w:rFonts w:hint="eastAsia" w:ascii="仿宋" w:hAnsi="仿宋" w:eastAsia="仿宋" w:cs="仿宋"/>
          <w:b/>
          <w:color w:val="auto"/>
          <w:sz w:val="21"/>
          <w:szCs w:val="21"/>
          <w:highlight w:val="none"/>
        </w:rPr>
      </w:pPr>
      <w:bookmarkStart w:id="482" w:name="_Toc22267"/>
      <w:r>
        <w:rPr>
          <w:rFonts w:hint="eastAsia" w:ascii="仿宋" w:hAnsi="仿宋" w:eastAsia="仿宋" w:cs="仿宋"/>
          <w:b/>
          <w:color w:val="auto"/>
          <w:sz w:val="21"/>
          <w:szCs w:val="21"/>
          <w:highlight w:val="none"/>
        </w:rPr>
        <w:t>2.8 延迟履行</w:t>
      </w:r>
      <w:bookmarkEnd w:id="482"/>
    </w:p>
    <w:p w14:paraId="51FE3F85">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甲乙双方签订合同后，乙方应按照合同约定履行合同义务，除不可抗力外，乙方不得延迟履行。在合同履行过程中，如果因不可抗力，乙方遇到不能按时提供服务的情况，应及时以书面形式将不能按时提供服务的理由、预期延误时间通知甲方；甲方收到乙方通知后，认为其理由正当的，可以书面形式酌情同意乙方可以延长履行的具体时间。</w:t>
      </w:r>
    </w:p>
    <w:p w14:paraId="3CF2B646">
      <w:pPr>
        <w:keepNext w:val="0"/>
        <w:keepLines w:val="0"/>
        <w:pageBreakBefore w:val="0"/>
        <w:widowControl w:val="0"/>
        <w:kinsoku/>
        <w:wordWrap/>
        <w:overflowPunct/>
        <w:topLinePunct w:val="0"/>
        <w:autoSpaceDE/>
        <w:autoSpaceDN/>
        <w:bidi w:val="0"/>
        <w:adjustRightInd w:val="0"/>
        <w:snapToGrid/>
        <w:spacing w:line="360" w:lineRule="auto"/>
        <w:ind w:firstLine="422" w:firstLineChars="200"/>
        <w:textAlignment w:val="auto"/>
        <w:outlineLvl w:val="9"/>
        <w:rPr>
          <w:rFonts w:hint="eastAsia" w:ascii="仿宋" w:hAnsi="仿宋" w:eastAsia="仿宋" w:cs="仿宋"/>
          <w:b/>
          <w:color w:val="auto"/>
          <w:sz w:val="21"/>
          <w:szCs w:val="21"/>
          <w:highlight w:val="none"/>
        </w:rPr>
      </w:pPr>
      <w:bookmarkStart w:id="483" w:name="_Toc10611"/>
      <w:r>
        <w:rPr>
          <w:rFonts w:hint="eastAsia" w:ascii="仿宋" w:hAnsi="仿宋" w:eastAsia="仿宋" w:cs="仿宋"/>
          <w:b/>
          <w:color w:val="auto"/>
          <w:sz w:val="21"/>
          <w:szCs w:val="21"/>
          <w:highlight w:val="none"/>
        </w:rPr>
        <w:t>2.9 合同变更</w:t>
      </w:r>
      <w:bookmarkEnd w:id="483"/>
    </w:p>
    <w:p w14:paraId="7EB5535D">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合同继续履行将损害国家利益和社会公共利益的，双方当事人应当以书面形式变更合同。有过错的一方应当承担赔偿责任，双方当事人都有过错的，各自承担相应的责任。</w:t>
      </w:r>
    </w:p>
    <w:p w14:paraId="2F597B05">
      <w:pPr>
        <w:keepNext w:val="0"/>
        <w:keepLines w:val="0"/>
        <w:pageBreakBefore w:val="0"/>
        <w:widowControl w:val="0"/>
        <w:kinsoku/>
        <w:wordWrap/>
        <w:overflowPunct/>
        <w:topLinePunct w:val="0"/>
        <w:autoSpaceDE/>
        <w:autoSpaceDN/>
        <w:bidi w:val="0"/>
        <w:adjustRightInd w:val="0"/>
        <w:snapToGrid/>
        <w:spacing w:line="360" w:lineRule="auto"/>
        <w:ind w:firstLine="422" w:firstLineChars="200"/>
        <w:textAlignment w:val="auto"/>
        <w:outlineLvl w:val="9"/>
        <w:rPr>
          <w:rFonts w:hint="eastAsia" w:ascii="仿宋" w:hAnsi="仿宋" w:eastAsia="仿宋" w:cs="仿宋"/>
          <w:b/>
          <w:color w:val="auto"/>
          <w:sz w:val="21"/>
          <w:szCs w:val="21"/>
          <w:highlight w:val="none"/>
        </w:rPr>
      </w:pPr>
      <w:bookmarkStart w:id="484" w:name="_Toc23368"/>
      <w:bookmarkStart w:id="485" w:name="_Toc42"/>
      <w:bookmarkStart w:id="486" w:name="_Toc10663"/>
      <w:bookmarkStart w:id="487" w:name="_Toc21830"/>
      <w:bookmarkStart w:id="488" w:name="_Toc26689"/>
      <w:r>
        <w:rPr>
          <w:rFonts w:hint="eastAsia" w:ascii="仿宋" w:hAnsi="仿宋" w:eastAsia="仿宋" w:cs="仿宋"/>
          <w:b/>
          <w:color w:val="auto"/>
          <w:sz w:val="21"/>
          <w:szCs w:val="21"/>
          <w:highlight w:val="none"/>
        </w:rPr>
        <w:t>2.10 合同转让和分包</w:t>
      </w:r>
      <w:bookmarkEnd w:id="484"/>
      <w:bookmarkEnd w:id="485"/>
      <w:bookmarkEnd w:id="486"/>
      <w:bookmarkEnd w:id="487"/>
      <w:bookmarkEnd w:id="488"/>
    </w:p>
    <w:p w14:paraId="4814DA1A">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合同的权利义务依法不得转让，但经甲方书面同意，乙方可以依法采取分包方式履行合同，即：依法可以将合同项下的部分非主体、非关键性的</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b/>
          <w:bCs/>
          <w:color w:val="auto"/>
          <w:kern w:val="0"/>
          <w:sz w:val="21"/>
          <w:szCs w:val="21"/>
          <w:highlight w:val="none"/>
          <w:u w:val="single"/>
          <w:lang w:val="en-US" w:eastAsia="zh-CN"/>
        </w:rPr>
        <w:t xml:space="preserve"> 大数据智能查控服务、资金智能查控服务、新型涉网案件智勘联侦分析服务</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rPr>
        <w:t>工作分包给他人完成，接受分包的人应当具备相应的资格条件，并不得再次分包，且乙方应就分包项目向甲方负责，并与分包供应商就分包项目向甲方承担连带责任。详见“附件</w:t>
      </w:r>
      <w:r>
        <w:rPr>
          <w:rFonts w:hint="eastAsia" w:ascii="仿宋" w:hAnsi="仿宋" w:eastAsia="仿宋" w:cs="仿宋"/>
          <w:color w:val="auto"/>
          <w:sz w:val="21"/>
          <w:szCs w:val="21"/>
          <w:highlight w:val="none"/>
          <w:lang w:val="en-US" w:eastAsia="zh-CN"/>
        </w:rPr>
        <w:t>四</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分包合同”。</w:t>
      </w:r>
    </w:p>
    <w:p w14:paraId="725F923E">
      <w:pPr>
        <w:keepNext w:val="0"/>
        <w:keepLines w:val="0"/>
        <w:pageBreakBefore w:val="0"/>
        <w:widowControl w:val="0"/>
        <w:kinsoku/>
        <w:wordWrap/>
        <w:overflowPunct/>
        <w:topLinePunct w:val="0"/>
        <w:autoSpaceDE/>
        <w:autoSpaceDN/>
        <w:bidi w:val="0"/>
        <w:adjustRightInd w:val="0"/>
        <w:snapToGrid/>
        <w:spacing w:line="360" w:lineRule="auto"/>
        <w:ind w:firstLine="422" w:firstLineChars="200"/>
        <w:textAlignment w:val="auto"/>
        <w:outlineLvl w:val="9"/>
        <w:rPr>
          <w:rFonts w:hint="eastAsia" w:ascii="仿宋" w:hAnsi="仿宋" w:eastAsia="仿宋" w:cs="仿宋"/>
          <w:b/>
          <w:color w:val="auto"/>
          <w:sz w:val="21"/>
          <w:szCs w:val="21"/>
          <w:highlight w:val="none"/>
        </w:rPr>
      </w:pPr>
      <w:bookmarkStart w:id="489" w:name="_Toc26633"/>
      <w:bookmarkStart w:id="490" w:name="_Toc4720"/>
      <w:bookmarkStart w:id="491" w:name="_Toc14371"/>
      <w:bookmarkStart w:id="492" w:name="_Toc25571"/>
      <w:bookmarkStart w:id="493" w:name="_Toc32494"/>
      <w:r>
        <w:rPr>
          <w:rFonts w:hint="eastAsia" w:ascii="仿宋" w:hAnsi="仿宋" w:eastAsia="仿宋" w:cs="仿宋"/>
          <w:b/>
          <w:color w:val="auto"/>
          <w:sz w:val="21"/>
          <w:szCs w:val="21"/>
          <w:highlight w:val="none"/>
        </w:rPr>
        <w:t>2.11 不可抗力</w:t>
      </w:r>
      <w:bookmarkEnd w:id="489"/>
      <w:bookmarkEnd w:id="490"/>
      <w:bookmarkEnd w:id="491"/>
      <w:bookmarkEnd w:id="492"/>
      <w:bookmarkEnd w:id="493"/>
    </w:p>
    <w:p w14:paraId="7A375DFA">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2.11.1如果任何一方遭遇法律规定的不可抗力，致使合同履行受阻时，履行合同的期限应予延长，延长的期限应相当于不可抗力所影响的时间；</w:t>
      </w:r>
    </w:p>
    <w:p w14:paraId="644B3FC8">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2.11.2 因不可抗力致使不能实现合同目的的，当事人可以解除合同；</w:t>
      </w:r>
    </w:p>
    <w:p w14:paraId="31489B62">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2.11.3 因不可抗力致使合同有变更必要的，双方当事人应在</w:t>
      </w:r>
      <w:r>
        <w:rPr>
          <w:rFonts w:hint="eastAsia" w:ascii="仿宋" w:hAnsi="仿宋" w:eastAsia="仿宋" w:cs="仿宋"/>
          <w:b/>
          <w:i/>
          <w:color w:val="auto"/>
          <w:sz w:val="21"/>
          <w:szCs w:val="21"/>
          <w:highlight w:val="none"/>
          <w:u w:val="single"/>
        </w:rPr>
        <w:t>合同专用条款</w:t>
      </w:r>
      <w:r>
        <w:rPr>
          <w:rFonts w:hint="eastAsia" w:ascii="仿宋" w:hAnsi="仿宋" w:eastAsia="仿宋" w:cs="仿宋"/>
          <w:color w:val="auto"/>
          <w:sz w:val="21"/>
          <w:szCs w:val="21"/>
          <w:highlight w:val="none"/>
        </w:rPr>
        <w:t>约定时间内以书面形式变更合同；</w:t>
      </w:r>
    </w:p>
    <w:p w14:paraId="59E8E312">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2.11.4受不可抗力影响的一方在不可抗力发生后，应在</w:t>
      </w:r>
      <w:r>
        <w:rPr>
          <w:rFonts w:hint="eastAsia" w:ascii="仿宋" w:hAnsi="仿宋" w:eastAsia="仿宋" w:cs="仿宋"/>
          <w:b/>
          <w:i/>
          <w:color w:val="auto"/>
          <w:sz w:val="21"/>
          <w:szCs w:val="21"/>
          <w:highlight w:val="none"/>
          <w:u w:val="single"/>
        </w:rPr>
        <w:t>合同专用条款</w:t>
      </w:r>
      <w:r>
        <w:rPr>
          <w:rFonts w:hint="eastAsia" w:ascii="仿宋" w:hAnsi="仿宋" w:eastAsia="仿宋" w:cs="仿宋"/>
          <w:color w:val="auto"/>
          <w:sz w:val="21"/>
          <w:szCs w:val="21"/>
          <w:highlight w:val="none"/>
        </w:rPr>
        <w:t>约定时间内以书面形式通知对方当事人，并在</w:t>
      </w:r>
      <w:r>
        <w:rPr>
          <w:rFonts w:hint="eastAsia" w:ascii="仿宋" w:hAnsi="仿宋" w:eastAsia="仿宋" w:cs="仿宋"/>
          <w:b/>
          <w:i/>
          <w:color w:val="auto"/>
          <w:sz w:val="21"/>
          <w:szCs w:val="21"/>
          <w:highlight w:val="none"/>
          <w:u w:val="single"/>
        </w:rPr>
        <w:t>合同专用条款</w:t>
      </w:r>
      <w:r>
        <w:rPr>
          <w:rFonts w:hint="eastAsia" w:ascii="仿宋" w:hAnsi="仿宋" w:eastAsia="仿宋" w:cs="仿宋"/>
          <w:color w:val="auto"/>
          <w:sz w:val="21"/>
          <w:szCs w:val="21"/>
          <w:highlight w:val="none"/>
        </w:rPr>
        <w:t>约定时间内，将有关部门出具的证明文件送达对方当事人。</w:t>
      </w:r>
    </w:p>
    <w:p w14:paraId="36190027">
      <w:pPr>
        <w:keepNext w:val="0"/>
        <w:keepLines w:val="0"/>
        <w:pageBreakBefore w:val="0"/>
        <w:widowControl w:val="0"/>
        <w:kinsoku/>
        <w:wordWrap/>
        <w:overflowPunct/>
        <w:topLinePunct w:val="0"/>
        <w:autoSpaceDE/>
        <w:autoSpaceDN/>
        <w:bidi w:val="0"/>
        <w:adjustRightInd w:val="0"/>
        <w:snapToGrid/>
        <w:spacing w:line="360" w:lineRule="auto"/>
        <w:ind w:firstLine="422" w:firstLineChars="200"/>
        <w:textAlignment w:val="auto"/>
        <w:outlineLvl w:val="9"/>
        <w:rPr>
          <w:rFonts w:hint="eastAsia" w:ascii="仿宋" w:hAnsi="仿宋" w:eastAsia="仿宋" w:cs="仿宋"/>
          <w:b/>
          <w:color w:val="auto"/>
          <w:sz w:val="21"/>
          <w:szCs w:val="21"/>
          <w:highlight w:val="none"/>
        </w:rPr>
      </w:pPr>
      <w:bookmarkStart w:id="494" w:name="_Toc25783"/>
      <w:bookmarkStart w:id="495" w:name="_Toc24465"/>
      <w:bookmarkStart w:id="496" w:name="_Toc23854"/>
      <w:bookmarkStart w:id="497" w:name="_Toc3638"/>
      <w:bookmarkStart w:id="498" w:name="_Toc14115"/>
      <w:r>
        <w:rPr>
          <w:rFonts w:hint="eastAsia" w:ascii="仿宋" w:hAnsi="仿宋" w:eastAsia="仿宋" w:cs="仿宋"/>
          <w:b/>
          <w:color w:val="auto"/>
          <w:sz w:val="21"/>
          <w:szCs w:val="21"/>
          <w:highlight w:val="none"/>
        </w:rPr>
        <w:t>2.12 税费</w:t>
      </w:r>
      <w:bookmarkEnd w:id="494"/>
      <w:bookmarkEnd w:id="495"/>
      <w:bookmarkEnd w:id="496"/>
      <w:bookmarkEnd w:id="497"/>
      <w:bookmarkEnd w:id="498"/>
    </w:p>
    <w:p w14:paraId="1714A245">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与合同有关的一切税费，均按照中华人民共和国法律的相关规定缴纳。</w:t>
      </w:r>
    </w:p>
    <w:p w14:paraId="33AC0321">
      <w:pPr>
        <w:keepNext w:val="0"/>
        <w:keepLines w:val="0"/>
        <w:pageBreakBefore w:val="0"/>
        <w:widowControl w:val="0"/>
        <w:kinsoku/>
        <w:wordWrap/>
        <w:overflowPunct/>
        <w:topLinePunct w:val="0"/>
        <w:autoSpaceDE/>
        <w:autoSpaceDN/>
        <w:bidi w:val="0"/>
        <w:adjustRightInd w:val="0"/>
        <w:snapToGrid/>
        <w:spacing w:line="360" w:lineRule="auto"/>
        <w:ind w:firstLine="422" w:firstLineChars="200"/>
        <w:textAlignment w:val="auto"/>
        <w:outlineLvl w:val="9"/>
        <w:rPr>
          <w:rFonts w:hint="eastAsia" w:ascii="仿宋" w:hAnsi="仿宋" w:eastAsia="仿宋" w:cs="仿宋"/>
          <w:b/>
          <w:color w:val="auto"/>
          <w:sz w:val="21"/>
          <w:szCs w:val="21"/>
          <w:highlight w:val="none"/>
        </w:rPr>
      </w:pPr>
      <w:bookmarkStart w:id="499" w:name="_Toc26883"/>
      <w:bookmarkStart w:id="500" w:name="_Toc14814"/>
      <w:bookmarkStart w:id="501" w:name="_Toc30105"/>
      <w:bookmarkStart w:id="502" w:name="_Toc25525"/>
      <w:bookmarkStart w:id="503" w:name="_Toc7315"/>
      <w:r>
        <w:rPr>
          <w:rFonts w:hint="eastAsia" w:ascii="仿宋" w:hAnsi="仿宋" w:eastAsia="仿宋" w:cs="仿宋"/>
          <w:b/>
          <w:color w:val="auto"/>
          <w:sz w:val="21"/>
          <w:szCs w:val="21"/>
          <w:highlight w:val="none"/>
        </w:rPr>
        <w:t>2.13 乙方破产</w:t>
      </w:r>
      <w:bookmarkEnd w:id="499"/>
      <w:bookmarkEnd w:id="500"/>
      <w:bookmarkEnd w:id="501"/>
      <w:bookmarkEnd w:id="502"/>
      <w:bookmarkEnd w:id="503"/>
    </w:p>
    <w:p w14:paraId="3ED4867B">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如果乙方破产导致合同无法履行时，甲方可以书面形式通知乙方终止合同且不给予乙方任何补偿和赔偿，但合同的终止不损害或不影响甲方已经采取或将要采取的任何要求乙方支付违约金、赔偿损失等的行动或补救措施的权利。</w:t>
      </w:r>
    </w:p>
    <w:p w14:paraId="6E4BE47F">
      <w:pPr>
        <w:keepNext w:val="0"/>
        <w:keepLines w:val="0"/>
        <w:pageBreakBefore w:val="0"/>
        <w:widowControl w:val="0"/>
        <w:kinsoku/>
        <w:wordWrap/>
        <w:overflowPunct/>
        <w:topLinePunct w:val="0"/>
        <w:autoSpaceDE/>
        <w:autoSpaceDN/>
        <w:bidi w:val="0"/>
        <w:adjustRightInd w:val="0"/>
        <w:snapToGrid/>
        <w:spacing w:line="360" w:lineRule="auto"/>
        <w:ind w:firstLine="422" w:firstLineChars="200"/>
        <w:textAlignment w:val="auto"/>
        <w:outlineLvl w:val="9"/>
        <w:rPr>
          <w:rFonts w:hint="eastAsia" w:ascii="仿宋" w:hAnsi="仿宋" w:eastAsia="仿宋" w:cs="仿宋"/>
          <w:b/>
          <w:color w:val="auto"/>
          <w:sz w:val="21"/>
          <w:szCs w:val="21"/>
          <w:highlight w:val="none"/>
        </w:rPr>
      </w:pPr>
      <w:bookmarkStart w:id="504" w:name="_Toc2016"/>
      <w:bookmarkStart w:id="505" w:name="_Toc1123"/>
      <w:bookmarkStart w:id="506" w:name="_Toc23323"/>
      <w:r>
        <w:rPr>
          <w:rFonts w:hint="eastAsia" w:ascii="仿宋" w:hAnsi="仿宋" w:eastAsia="仿宋" w:cs="仿宋"/>
          <w:b/>
          <w:color w:val="auto"/>
          <w:sz w:val="21"/>
          <w:szCs w:val="21"/>
          <w:highlight w:val="none"/>
        </w:rPr>
        <w:t>2.14 合同中止、终止</w:t>
      </w:r>
      <w:bookmarkEnd w:id="504"/>
      <w:bookmarkEnd w:id="505"/>
      <w:bookmarkEnd w:id="506"/>
    </w:p>
    <w:p w14:paraId="7B0A4808">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2.14.1 双方当事人不得擅自中止或者终止合同；</w:t>
      </w:r>
    </w:p>
    <w:p w14:paraId="6F956734">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2.14.2合同继续履行将损害国家利益和社会公共利益的，双方当事人应当中止或者终止合同。有过错的一方应当承担赔偿责任，双方当事人都有过错的，各自承担相应的责任。</w:t>
      </w:r>
    </w:p>
    <w:p w14:paraId="6CAE0021">
      <w:pPr>
        <w:keepNext w:val="0"/>
        <w:keepLines w:val="0"/>
        <w:pageBreakBefore w:val="0"/>
        <w:widowControl w:val="0"/>
        <w:kinsoku/>
        <w:wordWrap/>
        <w:overflowPunct/>
        <w:topLinePunct w:val="0"/>
        <w:autoSpaceDE/>
        <w:autoSpaceDN/>
        <w:bidi w:val="0"/>
        <w:adjustRightInd w:val="0"/>
        <w:snapToGrid/>
        <w:spacing w:line="360" w:lineRule="auto"/>
        <w:ind w:firstLine="422" w:firstLineChars="200"/>
        <w:textAlignment w:val="auto"/>
        <w:outlineLvl w:val="9"/>
        <w:rPr>
          <w:rFonts w:hint="eastAsia" w:ascii="仿宋" w:hAnsi="仿宋" w:eastAsia="仿宋" w:cs="仿宋"/>
          <w:b/>
          <w:color w:val="auto"/>
          <w:sz w:val="21"/>
          <w:szCs w:val="21"/>
          <w:highlight w:val="none"/>
        </w:rPr>
      </w:pPr>
      <w:bookmarkStart w:id="507" w:name="_Toc17363"/>
      <w:bookmarkStart w:id="508" w:name="_Toc14525"/>
      <w:bookmarkStart w:id="509" w:name="_Toc1969"/>
      <w:r>
        <w:rPr>
          <w:rFonts w:hint="eastAsia" w:ascii="仿宋" w:hAnsi="仿宋" w:eastAsia="仿宋" w:cs="仿宋"/>
          <w:b/>
          <w:color w:val="auto"/>
          <w:sz w:val="21"/>
          <w:szCs w:val="21"/>
          <w:highlight w:val="none"/>
        </w:rPr>
        <w:t>2.15 检验和验收</w:t>
      </w:r>
      <w:bookmarkEnd w:id="507"/>
      <w:bookmarkEnd w:id="508"/>
      <w:bookmarkEnd w:id="509"/>
    </w:p>
    <w:p w14:paraId="1ACD2014">
      <w:pPr>
        <w:keepNext w:val="0"/>
        <w:keepLines w:val="0"/>
        <w:pageBreakBefore w:val="0"/>
        <w:widowControl w:val="0"/>
        <w:tabs>
          <w:tab w:val="left" w:pos="360"/>
          <w:tab w:val="left" w:pos="540"/>
          <w:tab w:val="left" w:pos="1080"/>
        </w:tabs>
        <w:kinsoku/>
        <w:wordWrap/>
        <w:overflowPunct/>
        <w:topLinePunct w:val="0"/>
        <w:autoSpaceDE/>
        <w:autoSpaceDN/>
        <w:bidi w:val="0"/>
        <w:adjustRightInd w:val="0"/>
        <w:snapToGrid/>
        <w:spacing w:line="360" w:lineRule="auto"/>
        <w:ind w:firstLine="420" w:firstLineChars="2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2.15.1 乙方按照</w:t>
      </w:r>
      <w:r>
        <w:rPr>
          <w:rFonts w:hint="eastAsia" w:ascii="仿宋" w:hAnsi="仿宋" w:eastAsia="仿宋" w:cs="仿宋"/>
          <w:b/>
          <w:i/>
          <w:color w:val="auto"/>
          <w:sz w:val="21"/>
          <w:szCs w:val="21"/>
          <w:highlight w:val="none"/>
          <w:u w:val="single"/>
        </w:rPr>
        <w:t>合同专用条款</w:t>
      </w:r>
      <w:r>
        <w:rPr>
          <w:rFonts w:hint="eastAsia" w:ascii="仿宋" w:hAnsi="仿宋" w:eastAsia="仿宋" w:cs="仿宋"/>
          <w:color w:val="auto"/>
          <w:sz w:val="21"/>
          <w:szCs w:val="21"/>
          <w:highlight w:val="none"/>
        </w:rPr>
        <w:t>的约定，定期提交服务报告，甲方按照</w:t>
      </w:r>
      <w:r>
        <w:rPr>
          <w:rFonts w:hint="eastAsia" w:ascii="仿宋" w:hAnsi="仿宋" w:eastAsia="仿宋" w:cs="仿宋"/>
          <w:b/>
          <w:i/>
          <w:color w:val="auto"/>
          <w:sz w:val="21"/>
          <w:szCs w:val="21"/>
          <w:highlight w:val="none"/>
          <w:u w:val="single"/>
        </w:rPr>
        <w:t>合同专用条款</w:t>
      </w:r>
      <w:r>
        <w:rPr>
          <w:rFonts w:hint="eastAsia" w:ascii="仿宋" w:hAnsi="仿宋" w:eastAsia="仿宋" w:cs="仿宋"/>
          <w:color w:val="auto"/>
          <w:sz w:val="21"/>
          <w:szCs w:val="21"/>
          <w:highlight w:val="none"/>
        </w:rPr>
        <w:t>的约定进行定期验收；</w:t>
      </w:r>
    </w:p>
    <w:p w14:paraId="419431D6">
      <w:pPr>
        <w:keepNext w:val="0"/>
        <w:keepLines w:val="0"/>
        <w:pageBreakBefore w:val="0"/>
        <w:widowControl w:val="0"/>
        <w:tabs>
          <w:tab w:val="left" w:pos="360"/>
          <w:tab w:val="left" w:pos="540"/>
          <w:tab w:val="left" w:pos="1080"/>
        </w:tabs>
        <w:kinsoku/>
        <w:wordWrap/>
        <w:overflowPunct/>
        <w:topLinePunct w:val="0"/>
        <w:autoSpaceDE/>
        <w:autoSpaceDN/>
        <w:bidi w:val="0"/>
        <w:adjustRightInd w:val="0"/>
        <w:snapToGrid/>
        <w:spacing w:line="360" w:lineRule="auto"/>
        <w:ind w:firstLine="420" w:firstLineChars="2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2.15.2 合同期满或者履行完毕后，甲方有权组织（包括依法邀请国家认可的质量检测机构参加）对乙方履约的验收，即：按照合同约定的标准，组织对乙方履约情况的验收，并出具验收书；向社会公众提供的公共服务项目，验收时应当邀请服务对象参与并出具意见，验收结果应当向社会公告；</w:t>
      </w:r>
    </w:p>
    <w:p w14:paraId="7F291C71">
      <w:pPr>
        <w:keepNext w:val="0"/>
        <w:keepLines w:val="0"/>
        <w:pageBreakBefore w:val="0"/>
        <w:widowControl w:val="0"/>
        <w:tabs>
          <w:tab w:val="left" w:pos="360"/>
          <w:tab w:val="left" w:pos="540"/>
          <w:tab w:val="left" w:pos="1080"/>
        </w:tabs>
        <w:kinsoku/>
        <w:wordWrap/>
        <w:overflowPunct/>
        <w:topLinePunct w:val="0"/>
        <w:autoSpaceDE/>
        <w:autoSpaceDN/>
        <w:bidi w:val="0"/>
        <w:adjustRightInd w:val="0"/>
        <w:snapToGrid/>
        <w:spacing w:line="360" w:lineRule="auto"/>
        <w:ind w:firstLine="420" w:firstLineChars="2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2.15.3 检验和验收标准、程序等具体内容以及前述验收书的效力详见</w:t>
      </w:r>
      <w:r>
        <w:rPr>
          <w:rFonts w:hint="eastAsia" w:ascii="仿宋" w:hAnsi="仿宋" w:eastAsia="仿宋" w:cs="仿宋"/>
          <w:b/>
          <w:i/>
          <w:color w:val="auto"/>
          <w:sz w:val="21"/>
          <w:szCs w:val="21"/>
          <w:highlight w:val="none"/>
          <w:u w:val="single"/>
        </w:rPr>
        <w:t>合同专用条款</w:t>
      </w:r>
      <w:r>
        <w:rPr>
          <w:rFonts w:hint="eastAsia" w:ascii="仿宋" w:hAnsi="仿宋" w:eastAsia="仿宋" w:cs="仿宋"/>
          <w:i/>
          <w:color w:val="auto"/>
          <w:sz w:val="21"/>
          <w:szCs w:val="21"/>
          <w:highlight w:val="none"/>
        </w:rPr>
        <w:t>。</w:t>
      </w:r>
    </w:p>
    <w:p w14:paraId="661421C9">
      <w:pPr>
        <w:keepNext w:val="0"/>
        <w:keepLines w:val="0"/>
        <w:pageBreakBefore w:val="0"/>
        <w:widowControl w:val="0"/>
        <w:kinsoku/>
        <w:wordWrap/>
        <w:overflowPunct/>
        <w:topLinePunct w:val="0"/>
        <w:autoSpaceDE/>
        <w:autoSpaceDN/>
        <w:bidi w:val="0"/>
        <w:adjustRightInd w:val="0"/>
        <w:snapToGrid/>
        <w:spacing w:line="360" w:lineRule="auto"/>
        <w:ind w:firstLine="422" w:firstLineChars="200"/>
        <w:textAlignment w:val="auto"/>
        <w:outlineLvl w:val="9"/>
        <w:rPr>
          <w:rFonts w:hint="eastAsia" w:ascii="仿宋" w:hAnsi="仿宋" w:eastAsia="仿宋" w:cs="仿宋"/>
          <w:b/>
          <w:color w:val="auto"/>
          <w:sz w:val="21"/>
          <w:szCs w:val="21"/>
          <w:highlight w:val="none"/>
        </w:rPr>
      </w:pPr>
      <w:bookmarkStart w:id="510" w:name="_Toc9808"/>
      <w:bookmarkStart w:id="511" w:name="_Toc2308"/>
      <w:bookmarkStart w:id="512" w:name="_Toc25198"/>
      <w:bookmarkStart w:id="513" w:name="_Toc31892"/>
      <w:bookmarkStart w:id="514" w:name="_Toc12666"/>
      <w:r>
        <w:rPr>
          <w:rFonts w:hint="eastAsia" w:ascii="仿宋" w:hAnsi="仿宋" w:eastAsia="仿宋" w:cs="仿宋"/>
          <w:b/>
          <w:color w:val="auto"/>
          <w:sz w:val="21"/>
          <w:szCs w:val="21"/>
          <w:highlight w:val="none"/>
        </w:rPr>
        <w:t>2.16 通知和送达</w:t>
      </w:r>
      <w:bookmarkEnd w:id="510"/>
      <w:bookmarkEnd w:id="511"/>
      <w:bookmarkEnd w:id="512"/>
      <w:bookmarkEnd w:id="513"/>
      <w:bookmarkEnd w:id="514"/>
    </w:p>
    <w:p w14:paraId="47E9854D">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outlineLvl w:val="9"/>
        <w:rPr>
          <w:rFonts w:hint="eastAsia" w:ascii="仿宋" w:hAnsi="仿宋" w:eastAsia="仿宋" w:cs="仿宋"/>
          <w:color w:val="auto"/>
          <w:sz w:val="21"/>
          <w:szCs w:val="21"/>
          <w:highlight w:val="none"/>
        </w:rPr>
      </w:pPr>
      <w:bookmarkStart w:id="515" w:name="_Toc18401"/>
      <w:bookmarkStart w:id="516" w:name="_Toc27674"/>
      <w:r>
        <w:rPr>
          <w:rFonts w:hint="eastAsia" w:ascii="仿宋" w:hAnsi="仿宋" w:eastAsia="仿宋" w:cs="仿宋"/>
          <w:color w:val="auto"/>
          <w:sz w:val="21"/>
          <w:szCs w:val="21"/>
          <w:highlight w:val="none"/>
        </w:rPr>
        <w:t>2.17.1任何一方因履行合同而以合同第一部分尾部所列明的传真或电子邮件发出的所有通知、文件、材料，均视为已向对方当事人送达；任何一方变更上述送达方式或者地址的，应于</w:t>
      </w:r>
      <w:r>
        <w:rPr>
          <w:rFonts w:hint="eastAsia" w:ascii="仿宋" w:hAnsi="仿宋" w:eastAsia="仿宋" w:cs="仿宋"/>
          <w:color w:val="auto"/>
          <w:sz w:val="21"/>
          <w:szCs w:val="21"/>
          <w:highlight w:val="none"/>
          <w:u w:val="single"/>
        </w:rPr>
        <w:t>3</w:t>
      </w:r>
      <w:r>
        <w:rPr>
          <w:rFonts w:hint="eastAsia" w:ascii="仿宋" w:hAnsi="仿宋" w:eastAsia="仿宋" w:cs="仿宋"/>
          <w:color w:val="auto"/>
          <w:sz w:val="21"/>
          <w:szCs w:val="21"/>
          <w:highlight w:val="none"/>
        </w:rPr>
        <w:t>个工作日内书面通知对方当事人，在对方当事人收到有关变更通知之前，变更前的约定送达方式或者地址仍视为有效。</w:t>
      </w:r>
    </w:p>
    <w:p w14:paraId="77CAB45F">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2.17.2以当面交付方式送达的，交付之时视为送达；以电子邮件方式送达的，发出电子邮件之时视为送达；以传真方式送达的，发出传真之时视为送达；以邮寄方式送达的，邮件挂号寄出或者交邮之日之次日视为送达。</w:t>
      </w:r>
      <w:bookmarkEnd w:id="515"/>
      <w:bookmarkEnd w:id="516"/>
    </w:p>
    <w:p w14:paraId="188BDBEC">
      <w:pPr>
        <w:keepNext w:val="0"/>
        <w:keepLines w:val="0"/>
        <w:pageBreakBefore w:val="0"/>
        <w:widowControl w:val="0"/>
        <w:kinsoku/>
        <w:wordWrap/>
        <w:overflowPunct/>
        <w:topLinePunct w:val="0"/>
        <w:autoSpaceDE/>
        <w:autoSpaceDN/>
        <w:bidi w:val="0"/>
        <w:adjustRightInd w:val="0"/>
        <w:snapToGrid/>
        <w:spacing w:line="360" w:lineRule="auto"/>
        <w:ind w:firstLine="422" w:firstLineChars="200"/>
        <w:textAlignment w:val="auto"/>
        <w:outlineLvl w:val="9"/>
        <w:rPr>
          <w:rFonts w:hint="eastAsia" w:ascii="仿宋" w:hAnsi="仿宋" w:eastAsia="仿宋" w:cs="仿宋"/>
          <w:b/>
          <w:color w:val="auto"/>
          <w:sz w:val="21"/>
          <w:szCs w:val="21"/>
          <w:highlight w:val="none"/>
        </w:rPr>
      </w:pPr>
      <w:bookmarkStart w:id="517" w:name="_Toc12254"/>
      <w:bookmarkStart w:id="518" w:name="_Toc28906"/>
      <w:bookmarkStart w:id="519" w:name="_Toc5063"/>
      <w:bookmarkStart w:id="520" w:name="_Toc27644"/>
      <w:bookmarkStart w:id="521" w:name="_Toc20808"/>
      <w:r>
        <w:rPr>
          <w:rFonts w:hint="eastAsia" w:ascii="仿宋" w:hAnsi="仿宋" w:eastAsia="仿宋" w:cs="仿宋"/>
          <w:b/>
          <w:color w:val="auto"/>
          <w:sz w:val="21"/>
          <w:szCs w:val="21"/>
          <w:highlight w:val="none"/>
        </w:rPr>
        <w:t>2.17 合同使用的文字和适用的法律</w:t>
      </w:r>
      <w:bookmarkEnd w:id="517"/>
      <w:bookmarkEnd w:id="518"/>
      <w:bookmarkEnd w:id="519"/>
      <w:bookmarkEnd w:id="520"/>
      <w:bookmarkEnd w:id="521"/>
    </w:p>
    <w:p w14:paraId="462EE496">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2.17.1 合同使用汉语书就、变更和解释；</w:t>
      </w:r>
    </w:p>
    <w:p w14:paraId="11367644">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2.17.2 合同适用中华人民共和国法律。</w:t>
      </w:r>
    </w:p>
    <w:p w14:paraId="2FACACB4">
      <w:pPr>
        <w:keepNext w:val="0"/>
        <w:keepLines w:val="0"/>
        <w:pageBreakBefore w:val="0"/>
        <w:widowControl w:val="0"/>
        <w:kinsoku/>
        <w:wordWrap/>
        <w:overflowPunct/>
        <w:topLinePunct w:val="0"/>
        <w:autoSpaceDE/>
        <w:autoSpaceDN/>
        <w:bidi w:val="0"/>
        <w:adjustRightInd w:val="0"/>
        <w:snapToGrid/>
        <w:spacing w:line="360" w:lineRule="auto"/>
        <w:ind w:firstLine="422" w:firstLineChars="200"/>
        <w:textAlignment w:val="auto"/>
        <w:outlineLvl w:val="9"/>
        <w:rPr>
          <w:rFonts w:hint="eastAsia" w:ascii="仿宋" w:hAnsi="仿宋" w:eastAsia="仿宋" w:cs="仿宋"/>
          <w:b/>
          <w:color w:val="auto"/>
          <w:sz w:val="21"/>
          <w:szCs w:val="21"/>
          <w:highlight w:val="none"/>
        </w:rPr>
      </w:pPr>
      <w:bookmarkStart w:id="522" w:name="_Toc18540"/>
      <w:bookmarkStart w:id="523" w:name="_Toc4355"/>
      <w:bookmarkStart w:id="524" w:name="_Toc30599"/>
      <w:r>
        <w:rPr>
          <w:rFonts w:hint="eastAsia" w:ascii="仿宋" w:hAnsi="仿宋" w:eastAsia="仿宋" w:cs="仿宋"/>
          <w:b/>
          <w:color w:val="auto"/>
          <w:sz w:val="21"/>
          <w:szCs w:val="21"/>
          <w:highlight w:val="none"/>
        </w:rPr>
        <w:t>2.18 计量单位</w:t>
      </w:r>
      <w:bookmarkEnd w:id="522"/>
      <w:bookmarkEnd w:id="523"/>
      <w:bookmarkEnd w:id="524"/>
    </w:p>
    <w:p w14:paraId="38AF1EA7">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除技术规范中另有规定外,合同的计量单位均使用国家法定计量单位。</w:t>
      </w:r>
    </w:p>
    <w:p w14:paraId="75B5D888">
      <w:pPr>
        <w:keepNext w:val="0"/>
        <w:keepLines w:val="0"/>
        <w:pageBreakBefore w:val="0"/>
        <w:widowControl w:val="0"/>
        <w:kinsoku/>
        <w:wordWrap/>
        <w:overflowPunct/>
        <w:topLinePunct w:val="0"/>
        <w:autoSpaceDE/>
        <w:autoSpaceDN/>
        <w:bidi w:val="0"/>
        <w:adjustRightInd w:val="0"/>
        <w:snapToGrid/>
        <w:spacing w:line="360" w:lineRule="auto"/>
        <w:ind w:firstLine="422" w:firstLineChars="200"/>
        <w:textAlignment w:val="auto"/>
        <w:outlineLvl w:val="9"/>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2.19合同份数</w:t>
      </w:r>
    </w:p>
    <w:p w14:paraId="2DD5299B">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合同份数按</w:t>
      </w:r>
      <w:r>
        <w:rPr>
          <w:rFonts w:hint="eastAsia" w:ascii="仿宋" w:hAnsi="仿宋" w:eastAsia="仿宋" w:cs="仿宋"/>
          <w:b/>
          <w:i/>
          <w:color w:val="auto"/>
          <w:sz w:val="21"/>
          <w:szCs w:val="21"/>
          <w:highlight w:val="none"/>
          <w:u w:val="single"/>
        </w:rPr>
        <w:t>合同专用条款</w:t>
      </w:r>
      <w:r>
        <w:rPr>
          <w:rFonts w:hint="eastAsia" w:ascii="仿宋" w:hAnsi="仿宋" w:eastAsia="仿宋" w:cs="仿宋"/>
          <w:color w:val="auto"/>
          <w:sz w:val="21"/>
          <w:szCs w:val="21"/>
          <w:highlight w:val="none"/>
        </w:rPr>
        <w:t>规定，每份均具有同等法律效力。</w:t>
      </w:r>
    </w:p>
    <w:p w14:paraId="0B03A55A">
      <w:pPr>
        <w:keepNext w:val="0"/>
        <w:keepLines w:val="0"/>
        <w:pageBreakBefore w:val="0"/>
        <w:widowControl w:val="0"/>
        <w:kinsoku/>
        <w:wordWrap/>
        <w:overflowPunct/>
        <w:topLinePunct w:val="0"/>
        <w:autoSpaceDE/>
        <w:autoSpaceDN/>
        <w:bidi w:val="0"/>
        <w:adjustRightInd w:val="0"/>
        <w:snapToGrid/>
        <w:spacing w:line="360" w:lineRule="auto"/>
        <w:textAlignment w:val="auto"/>
        <w:outlineLvl w:val="9"/>
        <w:rPr>
          <w:rFonts w:hint="eastAsia" w:ascii="仿宋" w:hAnsi="仿宋" w:eastAsia="仿宋" w:cs="仿宋"/>
          <w:color w:val="auto"/>
          <w:sz w:val="21"/>
          <w:szCs w:val="21"/>
          <w:highlight w:val="none"/>
        </w:rPr>
      </w:pPr>
    </w:p>
    <w:p w14:paraId="58C92490">
      <w:pPr>
        <w:keepNext w:val="0"/>
        <w:keepLines w:val="0"/>
        <w:pageBreakBefore w:val="0"/>
        <w:widowControl w:val="0"/>
        <w:kinsoku/>
        <w:wordWrap/>
        <w:overflowPunct/>
        <w:topLinePunct w:val="0"/>
        <w:autoSpaceDE/>
        <w:autoSpaceDN/>
        <w:bidi w:val="0"/>
        <w:adjustRightInd w:val="0"/>
        <w:snapToGrid/>
        <w:spacing w:line="360" w:lineRule="auto"/>
        <w:textAlignment w:val="auto"/>
        <w:outlineLvl w:val="9"/>
        <w:rPr>
          <w:rFonts w:hint="eastAsia" w:ascii="仿宋" w:hAnsi="仿宋" w:eastAsia="仿宋" w:cs="仿宋"/>
          <w:color w:val="auto"/>
          <w:sz w:val="21"/>
          <w:szCs w:val="21"/>
          <w:highlight w:val="none"/>
        </w:rPr>
      </w:pPr>
    </w:p>
    <w:p w14:paraId="263AC225">
      <w:pPr>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639358E3">
      <w:pPr>
        <w:pStyle w:val="30"/>
        <w:rPr>
          <w:rFonts w:hint="eastAsia" w:ascii="仿宋" w:hAnsi="仿宋" w:eastAsia="仿宋" w:cs="仿宋"/>
          <w:color w:val="auto"/>
          <w:highlight w:val="none"/>
        </w:rPr>
      </w:pPr>
    </w:p>
    <w:p w14:paraId="02FE8166">
      <w:pPr>
        <w:snapToGrid w:val="0"/>
        <w:spacing w:line="360" w:lineRule="auto"/>
        <w:jc w:val="center"/>
        <w:outlineLvl w:val="1"/>
        <w:rPr>
          <w:rFonts w:hint="eastAsia" w:ascii="仿宋" w:hAnsi="仿宋" w:eastAsia="仿宋" w:cs="仿宋"/>
          <w:b/>
          <w:color w:val="auto"/>
          <w:sz w:val="32"/>
          <w:szCs w:val="20"/>
          <w:highlight w:val="none"/>
        </w:rPr>
      </w:pPr>
      <w:r>
        <w:rPr>
          <w:rFonts w:hint="eastAsia" w:ascii="仿宋" w:hAnsi="仿宋" w:eastAsia="仿宋" w:cs="仿宋"/>
          <w:b/>
          <w:color w:val="auto"/>
          <w:sz w:val="32"/>
          <w:szCs w:val="20"/>
          <w:highlight w:val="none"/>
        </w:rPr>
        <w:t>第三部分</w:t>
      </w:r>
      <w:r>
        <w:rPr>
          <w:rFonts w:hint="eastAsia" w:ascii="仿宋" w:hAnsi="仿宋" w:eastAsia="仿宋" w:cs="仿宋"/>
          <w:b/>
          <w:color w:val="auto"/>
          <w:sz w:val="32"/>
          <w:szCs w:val="20"/>
          <w:highlight w:val="none"/>
          <w:lang w:val="en-US" w:eastAsia="zh-CN"/>
        </w:rPr>
        <w:t xml:space="preserve"> </w:t>
      </w:r>
      <w:r>
        <w:rPr>
          <w:rFonts w:hint="eastAsia" w:ascii="仿宋" w:hAnsi="仿宋" w:eastAsia="仿宋" w:cs="仿宋"/>
          <w:b/>
          <w:color w:val="auto"/>
          <w:sz w:val="32"/>
          <w:szCs w:val="20"/>
          <w:highlight w:val="none"/>
        </w:rPr>
        <w:t>合同专用条款</w:t>
      </w:r>
    </w:p>
    <w:p w14:paraId="7C34FCE6">
      <w:pPr>
        <w:keepNext w:val="0"/>
        <w:keepLines w:val="0"/>
        <w:pageBreakBefore w:val="0"/>
        <w:widowControl w:val="0"/>
        <w:kinsoku/>
        <w:wordWrap/>
        <w:overflowPunct/>
        <w:topLinePunct w:val="0"/>
        <w:autoSpaceDE/>
        <w:autoSpaceDN/>
        <w:bidi w:val="0"/>
        <w:adjustRightInd w:val="0"/>
        <w:snapToGrid/>
        <w:spacing w:line="360" w:lineRule="auto"/>
        <w:ind w:left="0" w:leftChars="0" w:right="0" w:rightChars="0" w:firstLine="420" w:firstLineChars="2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本部分是对前两部分的补充和修改，如果前两部分和本部分的约定不一致，应以本部分的约定为准。本部分的条款号应与前两部分的条款号保持对应；与前两部分无对应关系的内容可另行编制条款号。</w:t>
      </w:r>
    </w:p>
    <w:p w14:paraId="1A8011C5">
      <w:pPr>
        <w:snapToGrid/>
        <w:spacing w:line="360" w:lineRule="auto"/>
        <w:ind w:firstLine="422" w:firstLineChars="200"/>
        <w:jc w:val="left"/>
        <w:rPr>
          <w:rFonts w:hint="eastAsia" w:ascii="仿宋" w:hAnsi="仿宋" w:eastAsia="仿宋" w:cs="仿宋"/>
          <w:bCs/>
          <w:color w:val="auto"/>
          <w:szCs w:val="21"/>
          <w:highlight w:val="none"/>
        </w:rPr>
      </w:pPr>
      <w:r>
        <w:rPr>
          <w:rFonts w:hint="eastAsia" w:ascii="仿宋" w:hAnsi="仿宋" w:eastAsia="仿宋" w:cs="仿宋"/>
          <w:b/>
          <w:color w:val="auto"/>
          <w:szCs w:val="21"/>
          <w:highlight w:val="none"/>
        </w:rPr>
        <w:t>1.4.2</w:t>
      </w:r>
      <w:r>
        <w:rPr>
          <w:rFonts w:hint="eastAsia" w:ascii="仿宋" w:hAnsi="仿宋" w:eastAsia="仿宋" w:cs="宋体"/>
          <w:color w:val="auto"/>
          <w:kern w:val="0"/>
          <w:szCs w:val="21"/>
          <w:highlight w:val="none"/>
        </w:rPr>
        <w:t>履约保证金支付方式：</w:t>
      </w:r>
      <w:r>
        <w:rPr>
          <w:rFonts w:hint="eastAsia" w:ascii="仿宋" w:hAnsi="仿宋" w:eastAsia="仿宋" w:cs="仿宋"/>
          <w:bCs/>
          <w:color w:val="auto"/>
          <w:szCs w:val="21"/>
          <w:highlight w:val="none"/>
          <w:u w:val="single"/>
          <w:lang w:val="zh-CN"/>
        </w:rPr>
        <w:t>合同签订后5个工作日内</w:t>
      </w:r>
      <w:r>
        <w:rPr>
          <w:rFonts w:hint="eastAsia" w:ascii="仿宋" w:hAnsi="仿宋" w:eastAsia="仿宋" w:cs="仿宋"/>
          <w:bCs/>
          <w:color w:val="auto"/>
          <w:szCs w:val="21"/>
          <w:highlight w:val="none"/>
          <w:u w:val="single"/>
          <w:lang w:val="zh-CN"/>
        </w:rPr>
        <w:t>乙方向甲方交纳合同总价1%的履约保证金</w:t>
      </w:r>
      <w:r>
        <w:rPr>
          <w:rFonts w:hint="eastAsia" w:ascii="仿宋" w:hAnsi="仿宋" w:eastAsia="仿宋" w:cs="仿宋"/>
          <w:bCs/>
          <w:color w:val="auto"/>
          <w:szCs w:val="21"/>
          <w:highlight w:val="none"/>
        </w:rPr>
        <w:t>，支付方式为：</w:t>
      </w:r>
      <w:r>
        <w:rPr>
          <w:rFonts w:hint="eastAsia" w:ascii="仿宋" w:hAnsi="仿宋" w:eastAsia="仿宋" w:cs="仿宋"/>
          <w:bCs/>
          <w:color w:val="auto"/>
          <w:szCs w:val="21"/>
          <w:highlight w:val="none"/>
          <w:u w:val="single"/>
        </w:rPr>
        <w:t xml:space="preserve"> </w:t>
      </w:r>
      <w:r>
        <w:rPr>
          <w:rFonts w:hint="eastAsia" w:ascii="仿宋" w:hAnsi="仿宋" w:eastAsia="仿宋" w:cs="仿宋"/>
          <w:color w:val="auto"/>
          <w:szCs w:val="21"/>
          <w:highlight w:val="none"/>
          <w:u w:val="single"/>
        </w:rPr>
        <w:t>以支票、汇票、本票或者金融机构、担保机构出具的保函等非现金形式提交履约保证金。鼓励和支持乙方以履约保函形式提供履约保证。</w:t>
      </w:r>
    </w:p>
    <w:p w14:paraId="25D37155">
      <w:pPr>
        <w:snapToGrid w:val="0"/>
        <w:spacing w:line="360" w:lineRule="auto"/>
        <w:ind w:firstLine="420" w:firstLineChars="200"/>
        <w:rPr>
          <w:rFonts w:hint="eastAsia" w:ascii="仿宋" w:hAnsi="仿宋" w:eastAsia="仿宋" w:cs="仿宋"/>
          <w:bCs/>
          <w:color w:val="auto"/>
          <w:szCs w:val="21"/>
          <w:highlight w:val="none"/>
          <w:u w:val="single"/>
        </w:rPr>
      </w:pPr>
      <w:r>
        <w:rPr>
          <w:rFonts w:hint="eastAsia" w:ascii="仿宋" w:hAnsi="仿宋" w:eastAsia="仿宋" w:cs="仿宋"/>
          <w:bCs/>
          <w:color w:val="auto"/>
          <w:szCs w:val="21"/>
          <w:highlight w:val="none"/>
        </w:rPr>
        <w:t>履约保证金退还：</w:t>
      </w:r>
      <w:r>
        <w:rPr>
          <w:rFonts w:hint="eastAsia" w:ascii="仿宋" w:hAnsi="仿宋" w:eastAsia="仿宋" w:cs="宋体"/>
          <w:color w:val="auto"/>
          <w:szCs w:val="21"/>
          <w:highlight w:val="none"/>
          <w:u w:val="single"/>
        </w:rPr>
        <w:t>服务期结束</w:t>
      </w:r>
      <w:r>
        <w:rPr>
          <w:rFonts w:ascii="仿宋" w:hAnsi="仿宋" w:eastAsia="仿宋" w:cs="宋体"/>
          <w:color w:val="auto"/>
          <w:szCs w:val="21"/>
          <w:highlight w:val="none"/>
          <w:u w:val="single"/>
        </w:rPr>
        <w:t>验收合格后，无任何质量问题，</w:t>
      </w:r>
      <w:r>
        <w:rPr>
          <w:rFonts w:hint="eastAsia" w:ascii="仿宋" w:hAnsi="仿宋" w:eastAsia="仿宋" w:cs="宋体"/>
          <w:color w:val="auto"/>
          <w:szCs w:val="21"/>
          <w:highlight w:val="none"/>
          <w:u w:val="single"/>
          <w:lang w:eastAsia="zh-CN"/>
        </w:rPr>
        <w:t>甲方</w:t>
      </w:r>
      <w:r>
        <w:rPr>
          <w:rFonts w:ascii="仿宋" w:hAnsi="仿宋" w:eastAsia="仿宋" w:cs="宋体"/>
          <w:color w:val="auto"/>
          <w:szCs w:val="21"/>
          <w:highlight w:val="none"/>
          <w:u w:val="single"/>
        </w:rPr>
        <w:t>于收到</w:t>
      </w:r>
      <w:r>
        <w:rPr>
          <w:rFonts w:hint="eastAsia" w:ascii="仿宋" w:hAnsi="仿宋" w:eastAsia="仿宋" w:cs="宋体"/>
          <w:color w:val="auto"/>
          <w:szCs w:val="21"/>
          <w:highlight w:val="none"/>
          <w:u w:val="single"/>
          <w:lang w:eastAsia="zh-CN"/>
        </w:rPr>
        <w:t>乙方</w:t>
      </w:r>
      <w:r>
        <w:rPr>
          <w:rFonts w:ascii="仿宋" w:hAnsi="仿宋" w:eastAsia="仿宋" w:cs="宋体"/>
          <w:color w:val="auto"/>
          <w:szCs w:val="21"/>
          <w:highlight w:val="none"/>
          <w:u w:val="single"/>
        </w:rPr>
        <w:t>退还履约保证金申请之日起5个工作日内凭双方签字盖章的验收意见，无息归还履约保证金。</w:t>
      </w:r>
    </w:p>
    <w:p w14:paraId="31F571F8">
      <w:pPr>
        <w:keepNext w:val="0"/>
        <w:keepLines w:val="0"/>
        <w:pageBreakBefore w:val="0"/>
        <w:widowControl w:val="0"/>
        <w:kinsoku/>
        <w:wordWrap/>
        <w:overflowPunct/>
        <w:topLinePunct w:val="0"/>
        <w:autoSpaceDE/>
        <w:autoSpaceDN/>
        <w:bidi w:val="0"/>
        <w:adjustRightInd w:val="0"/>
        <w:snapToGrid/>
        <w:spacing w:line="360" w:lineRule="auto"/>
        <w:ind w:left="0" w:leftChars="0" w:right="0" w:rightChars="0" w:firstLine="420" w:firstLineChars="200"/>
        <w:jc w:val="left"/>
        <w:textAlignment w:val="auto"/>
        <w:outlineLvl w:val="9"/>
        <w:rPr>
          <w:rFonts w:hint="eastAsia" w:ascii="仿宋" w:hAnsi="仿宋" w:eastAsia="仿宋" w:cs="仿宋"/>
          <w:color w:val="auto"/>
          <w:sz w:val="21"/>
          <w:szCs w:val="21"/>
          <w:highlight w:val="none"/>
          <w:lang w:val="en-GB"/>
        </w:rPr>
      </w:pPr>
      <w:r>
        <w:rPr>
          <w:rFonts w:hint="eastAsia" w:ascii="仿宋" w:hAnsi="仿宋" w:eastAsia="仿宋" w:cs="仿宋"/>
          <w:color w:val="auto"/>
          <w:sz w:val="21"/>
          <w:szCs w:val="21"/>
          <w:highlight w:val="none"/>
        </w:rPr>
        <w:t>1.5.1</w:t>
      </w:r>
      <w:r>
        <w:rPr>
          <w:rFonts w:hint="eastAsia" w:ascii="仿宋" w:hAnsi="仿宋" w:eastAsia="仿宋" w:cs="仿宋"/>
          <w:color w:val="auto"/>
          <w:kern w:val="0"/>
          <w:sz w:val="21"/>
          <w:szCs w:val="21"/>
          <w:highlight w:val="none"/>
        </w:rPr>
        <w:t>预付款比例、支付方式、时间</w:t>
      </w:r>
      <w:r>
        <w:rPr>
          <w:rFonts w:hint="eastAsia" w:ascii="仿宋" w:hAnsi="仿宋" w:eastAsia="仿宋" w:cs="仿宋"/>
          <w:color w:val="auto"/>
          <w:kern w:val="0"/>
          <w:sz w:val="21"/>
          <w:szCs w:val="21"/>
          <w:highlight w:val="none"/>
          <w:lang w:eastAsia="zh-CN"/>
        </w:rPr>
        <w:t>：</w:t>
      </w:r>
      <w:r>
        <w:rPr>
          <w:rFonts w:hint="eastAsia" w:ascii="仿宋" w:hAnsi="仿宋" w:eastAsia="仿宋" w:cs="仿宋"/>
          <w:color w:val="auto"/>
          <w:sz w:val="21"/>
          <w:szCs w:val="21"/>
          <w:highlight w:val="none"/>
          <w:u w:val="single"/>
          <w:lang w:val="en-GB"/>
        </w:rPr>
        <w:t>签订合同后5个工作日内，</w:t>
      </w:r>
      <w:r>
        <w:rPr>
          <w:rFonts w:hint="eastAsia" w:ascii="仿宋" w:hAnsi="仿宋" w:eastAsia="仿宋" w:cs="仿宋"/>
          <w:color w:val="auto"/>
          <w:sz w:val="21"/>
          <w:szCs w:val="21"/>
          <w:highlight w:val="none"/>
          <w:u w:val="single"/>
          <w:lang w:val="en-GB" w:eastAsia="zh-CN"/>
        </w:rPr>
        <w:t>乙方</w:t>
      </w:r>
      <w:r>
        <w:rPr>
          <w:rFonts w:hint="eastAsia" w:ascii="仿宋" w:hAnsi="仿宋" w:eastAsia="仿宋" w:cs="仿宋"/>
          <w:color w:val="auto"/>
          <w:sz w:val="21"/>
          <w:szCs w:val="21"/>
          <w:highlight w:val="none"/>
          <w:u w:val="single"/>
          <w:lang w:val="en-GB"/>
        </w:rPr>
        <w:t>具备项目实施条件后，甲方向乙方支付</w:t>
      </w:r>
      <w:r>
        <w:rPr>
          <w:rFonts w:hint="eastAsia" w:ascii="仿宋" w:hAnsi="仿宋" w:eastAsia="仿宋" w:cs="仿宋"/>
          <w:color w:val="auto"/>
          <w:sz w:val="21"/>
          <w:szCs w:val="21"/>
          <w:highlight w:val="none"/>
          <w:u w:val="single"/>
          <w:lang w:val="en-GB"/>
        </w:rPr>
        <w:t>合同总价</w:t>
      </w:r>
      <w:r>
        <w:rPr>
          <w:rFonts w:hint="eastAsia" w:ascii="仿宋" w:hAnsi="仿宋" w:eastAsia="仿宋" w:cs="仿宋"/>
          <w:color w:val="auto"/>
          <w:sz w:val="21"/>
          <w:szCs w:val="21"/>
          <w:highlight w:val="none"/>
          <w:u w:val="single"/>
          <w:lang w:val="en-US" w:eastAsia="zh-CN"/>
        </w:rPr>
        <w:t>20</w:t>
      </w:r>
      <w:r>
        <w:rPr>
          <w:rFonts w:hint="eastAsia" w:ascii="仿宋" w:hAnsi="仿宋" w:eastAsia="仿宋" w:cs="仿宋"/>
          <w:color w:val="auto"/>
          <w:sz w:val="21"/>
          <w:szCs w:val="21"/>
          <w:highlight w:val="none"/>
          <w:u w:val="single"/>
          <w:lang w:val="en-GB"/>
        </w:rPr>
        <w:t>%</w:t>
      </w:r>
      <w:r>
        <w:rPr>
          <w:rFonts w:hint="eastAsia" w:ascii="仿宋" w:hAnsi="仿宋" w:eastAsia="仿宋" w:cs="仿宋"/>
          <w:color w:val="auto"/>
          <w:sz w:val="21"/>
          <w:szCs w:val="21"/>
          <w:highlight w:val="none"/>
          <w:u w:val="single"/>
          <w:lang w:val="en-GB"/>
        </w:rPr>
        <w:t>的预付款。</w:t>
      </w:r>
    </w:p>
    <w:p w14:paraId="0CD585B8">
      <w:pPr>
        <w:keepNext w:val="0"/>
        <w:keepLines w:val="0"/>
        <w:pageBreakBefore w:val="0"/>
        <w:widowControl w:val="0"/>
        <w:kinsoku/>
        <w:wordWrap/>
        <w:overflowPunct/>
        <w:topLinePunct w:val="0"/>
        <w:autoSpaceDE/>
        <w:autoSpaceDN/>
        <w:bidi w:val="0"/>
        <w:adjustRightInd w:val="0"/>
        <w:snapToGrid/>
        <w:spacing w:line="360" w:lineRule="auto"/>
        <w:ind w:left="0" w:leftChars="0" w:right="0" w:rightChars="0" w:firstLine="420" w:firstLineChars="200"/>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1.5.2预付款的扣回方式</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u w:val="single"/>
        </w:rPr>
        <w:t>预付款不扣回。</w:t>
      </w:r>
    </w:p>
    <w:p w14:paraId="2068A35C">
      <w:pPr>
        <w:keepNext w:val="0"/>
        <w:keepLines w:val="0"/>
        <w:pageBreakBefore w:val="0"/>
        <w:widowControl w:val="0"/>
        <w:kinsoku/>
        <w:wordWrap/>
        <w:overflowPunct/>
        <w:topLinePunct w:val="0"/>
        <w:autoSpaceDE/>
        <w:autoSpaceDN/>
        <w:bidi w:val="0"/>
        <w:adjustRightInd w:val="0"/>
        <w:snapToGrid/>
        <w:spacing w:line="360" w:lineRule="auto"/>
        <w:ind w:left="0" w:leftChars="0" w:right="0" w:rightChars="0" w:firstLine="420" w:firstLineChars="200"/>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1.6.2资金支付的方式、时间和条件：</w:t>
      </w:r>
    </w:p>
    <w:tbl>
      <w:tblPr>
        <w:tblStyle w:val="80"/>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6"/>
        <w:gridCol w:w="7004"/>
        <w:gridCol w:w="1510"/>
      </w:tblGrid>
      <w:tr w14:paraId="5D96B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413" w:type="pct"/>
            <w:tcBorders>
              <w:top w:val="single" w:color="auto" w:sz="4" w:space="0"/>
              <w:left w:val="single" w:color="auto" w:sz="4" w:space="0"/>
              <w:bottom w:val="single" w:color="auto" w:sz="4" w:space="0"/>
              <w:right w:val="single" w:color="auto" w:sz="4" w:space="0"/>
            </w:tcBorders>
            <w:noWrap w:val="0"/>
            <w:vAlign w:val="center"/>
          </w:tcPr>
          <w:p w14:paraId="47F928CE">
            <w:pPr>
              <w:spacing w:line="360" w:lineRule="auto"/>
              <w:jc w:val="center"/>
              <w:rPr>
                <w:rFonts w:ascii="仿宋" w:hAnsi="仿宋" w:eastAsia="仿宋" w:cs="仿宋"/>
                <w:color w:val="auto"/>
                <w:szCs w:val="21"/>
                <w:highlight w:val="none"/>
              </w:rPr>
            </w:pPr>
            <w:r>
              <w:rPr>
                <w:rFonts w:hint="eastAsia" w:ascii="仿宋" w:hAnsi="仿宋" w:eastAsia="仿宋" w:cs="仿宋"/>
                <w:color w:val="auto"/>
                <w:szCs w:val="21"/>
                <w:highlight w:val="none"/>
              </w:rPr>
              <w:t>序号</w:t>
            </w:r>
          </w:p>
        </w:tc>
        <w:tc>
          <w:tcPr>
            <w:tcW w:w="3772" w:type="pct"/>
            <w:tcBorders>
              <w:top w:val="single" w:color="auto" w:sz="4" w:space="0"/>
              <w:left w:val="single" w:color="auto" w:sz="4" w:space="0"/>
              <w:bottom w:val="single" w:color="auto" w:sz="4" w:space="0"/>
              <w:right w:val="single" w:color="auto" w:sz="4" w:space="0"/>
            </w:tcBorders>
            <w:noWrap w:val="0"/>
            <w:vAlign w:val="center"/>
          </w:tcPr>
          <w:p w14:paraId="2BE2BB00">
            <w:pPr>
              <w:spacing w:line="360" w:lineRule="auto"/>
              <w:jc w:val="center"/>
              <w:rPr>
                <w:rFonts w:ascii="仿宋" w:hAnsi="仿宋" w:eastAsia="仿宋" w:cs="仿宋"/>
                <w:color w:val="auto"/>
                <w:szCs w:val="21"/>
                <w:highlight w:val="none"/>
              </w:rPr>
            </w:pPr>
            <w:r>
              <w:rPr>
                <w:rFonts w:hint="eastAsia" w:ascii="仿宋" w:hAnsi="仿宋" w:eastAsia="仿宋" w:cs="仿宋"/>
                <w:color w:val="auto"/>
                <w:szCs w:val="21"/>
                <w:highlight w:val="none"/>
              </w:rPr>
              <w:t>付款比例（%）</w:t>
            </w:r>
          </w:p>
        </w:tc>
        <w:tc>
          <w:tcPr>
            <w:tcW w:w="813" w:type="pct"/>
            <w:tcBorders>
              <w:top w:val="single" w:color="auto" w:sz="4" w:space="0"/>
              <w:left w:val="single" w:color="auto" w:sz="4" w:space="0"/>
              <w:bottom w:val="single" w:color="auto" w:sz="4" w:space="0"/>
              <w:right w:val="single" w:color="auto" w:sz="4" w:space="0"/>
            </w:tcBorders>
            <w:noWrap w:val="0"/>
            <w:vAlign w:val="center"/>
          </w:tcPr>
          <w:p w14:paraId="34B61F0E">
            <w:pPr>
              <w:spacing w:line="360" w:lineRule="auto"/>
              <w:jc w:val="center"/>
              <w:rPr>
                <w:rFonts w:ascii="仿宋" w:hAnsi="仿宋" w:eastAsia="仿宋" w:cs="仿宋"/>
                <w:color w:val="auto"/>
                <w:szCs w:val="21"/>
                <w:highlight w:val="none"/>
              </w:rPr>
            </w:pPr>
            <w:r>
              <w:rPr>
                <w:rFonts w:hint="eastAsia" w:ascii="仿宋" w:hAnsi="仿宋" w:eastAsia="仿宋" w:cs="仿宋"/>
                <w:color w:val="auto"/>
                <w:szCs w:val="21"/>
                <w:highlight w:val="none"/>
              </w:rPr>
              <w:t>付款方式</w:t>
            </w:r>
          </w:p>
        </w:tc>
      </w:tr>
      <w:tr w14:paraId="04064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3" w:type="pct"/>
            <w:tcBorders>
              <w:top w:val="single" w:color="auto" w:sz="4" w:space="0"/>
              <w:left w:val="single" w:color="auto" w:sz="4" w:space="0"/>
              <w:bottom w:val="single" w:color="auto" w:sz="4" w:space="0"/>
              <w:right w:val="single" w:color="auto" w:sz="4" w:space="0"/>
            </w:tcBorders>
            <w:noWrap w:val="0"/>
            <w:vAlign w:val="top"/>
          </w:tcPr>
          <w:p w14:paraId="71326BF3">
            <w:pPr>
              <w:spacing w:line="360" w:lineRule="auto"/>
              <w:jc w:val="center"/>
              <w:rPr>
                <w:rFonts w:ascii="仿宋" w:hAnsi="仿宋" w:eastAsia="仿宋" w:cs="仿宋"/>
                <w:color w:val="auto"/>
                <w:szCs w:val="21"/>
                <w:highlight w:val="none"/>
              </w:rPr>
            </w:pPr>
            <w:r>
              <w:rPr>
                <w:rFonts w:hint="eastAsia" w:ascii="仿宋" w:hAnsi="仿宋" w:eastAsia="仿宋" w:cs="仿宋"/>
                <w:color w:val="auto"/>
                <w:szCs w:val="21"/>
                <w:highlight w:val="none"/>
              </w:rPr>
              <w:t>1</w:t>
            </w:r>
          </w:p>
        </w:tc>
        <w:tc>
          <w:tcPr>
            <w:tcW w:w="3772" w:type="pct"/>
            <w:tcBorders>
              <w:top w:val="single" w:color="auto" w:sz="4" w:space="0"/>
              <w:left w:val="single" w:color="auto" w:sz="4" w:space="0"/>
              <w:bottom w:val="single" w:color="auto" w:sz="4" w:space="0"/>
              <w:right w:val="single" w:color="auto" w:sz="4" w:space="0"/>
            </w:tcBorders>
            <w:noWrap w:val="0"/>
            <w:vAlign w:val="top"/>
          </w:tcPr>
          <w:p w14:paraId="491306F6">
            <w:pPr>
              <w:spacing w:line="360" w:lineRule="auto"/>
              <w:rPr>
                <w:rFonts w:ascii="仿宋" w:hAnsi="仿宋" w:eastAsia="仿宋" w:cs="仿宋"/>
                <w:color w:val="auto"/>
                <w:szCs w:val="21"/>
                <w:highlight w:val="none"/>
              </w:rPr>
            </w:pPr>
            <w:r>
              <w:rPr>
                <w:rFonts w:hint="eastAsia" w:ascii="仿宋" w:hAnsi="仿宋" w:eastAsia="仿宋" w:cs="仿宋"/>
                <w:b/>
                <w:color w:val="auto"/>
                <w:szCs w:val="21"/>
                <w:highlight w:val="none"/>
              </w:rPr>
              <w:t>第一期：</w:t>
            </w:r>
            <w:r>
              <w:rPr>
                <w:rFonts w:hint="eastAsia" w:ascii="仿宋" w:hAnsi="仿宋" w:eastAsia="仿宋" w:cs="仿宋"/>
                <w:color w:val="auto"/>
                <w:szCs w:val="21"/>
                <w:highlight w:val="none"/>
                <w:lang w:val="zh-CN"/>
              </w:rPr>
              <w:t>合同签订后</w:t>
            </w:r>
            <w:r>
              <w:rPr>
                <w:rFonts w:ascii="仿宋" w:hAnsi="仿宋" w:eastAsia="仿宋" w:cs="仿宋"/>
                <w:color w:val="auto"/>
                <w:szCs w:val="21"/>
                <w:highlight w:val="none"/>
                <w:lang w:val="zh-CN"/>
              </w:rPr>
              <w:t>5个工作日内，</w:t>
            </w:r>
            <w:r>
              <w:rPr>
                <w:rFonts w:hint="eastAsia" w:ascii="仿宋" w:hAnsi="仿宋" w:eastAsia="仿宋" w:cs="仿宋"/>
                <w:color w:val="auto"/>
                <w:szCs w:val="21"/>
                <w:highlight w:val="none"/>
                <w:lang w:val="zh-CN"/>
              </w:rPr>
              <w:t>乙方具备项目实施条件后，甲方支付</w:t>
            </w:r>
            <w:r>
              <w:rPr>
                <w:rFonts w:hint="eastAsia" w:ascii="仿宋" w:hAnsi="仿宋" w:eastAsia="仿宋" w:cs="仿宋"/>
                <w:color w:val="auto"/>
                <w:szCs w:val="21"/>
                <w:highlight w:val="none"/>
                <w:lang w:val="zh-CN"/>
              </w:rPr>
              <w:t>合同总价的</w:t>
            </w:r>
            <w:r>
              <w:rPr>
                <w:rFonts w:hint="eastAsia" w:ascii="仿宋" w:hAnsi="仿宋" w:eastAsia="仿宋" w:cs="仿宋"/>
                <w:color w:val="auto"/>
                <w:szCs w:val="21"/>
                <w:highlight w:val="none"/>
                <w:lang w:val="en-US" w:eastAsia="zh-CN"/>
              </w:rPr>
              <w:t>20</w:t>
            </w:r>
            <w:r>
              <w:rPr>
                <w:rFonts w:ascii="仿宋" w:hAnsi="仿宋" w:eastAsia="仿宋" w:cs="仿宋"/>
                <w:color w:val="auto"/>
                <w:szCs w:val="21"/>
                <w:highlight w:val="none"/>
                <w:lang w:val="zh-CN"/>
              </w:rPr>
              <w:t>%。</w:t>
            </w:r>
            <w:r>
              <w:rPr>
                <w:rFonts w:ascii="仿宋" w:hAnsi="仿宋" w:eastAsia="仿宋" w:cs="仿宋"/>
                <w:color w:val="auto"/>
                <w:szCs w:val="21"/>
                <w:highlight w:val="none"/>
                <w:lang w:val="zh-CN"/>
              </w:rPr>
              <w:t>同时，</w:t>
            </w:r>
            <w:r>
              <w:rPr>
                <w:rFonts w:hint="eastAsia" w:ascii="仿宋" w:hAnsi="仿宋" w:eastAsia="仿宋" w:cs="仿宋"/>
                <w:color w:val="auto"/>
                <w:szCs w:val="21"/>
                <w:highlight w:val="none"/>
                <w:lang w:val="zh-CN"/>
              </w:rPr>
              <w:t>乙方向甲方交纳合同总价</w:t>
            </w:r>
            <w:r>
              <w:rPr>
                <w:rFonts w:ascii="仿宋" w:hAnsi="仿宋" w:eastAsia="仿宋" w:cs="仿宋"/>
                <w:color w:val="auto"/>
                <w:szCs w:val="21"/>
                <w:highlight w:val="none"/>
                <w:lang w:val="zh-CN"/>
              </w:rPr>
              <w:t>1%的履约保证金。</w:t>
            </w:r>
            <w:r>
              <w:rPr>
                <w:rFonts w:hint="eastAsia" w:ascii="仿宋" w:hAnsi="仿宋" w:eastAsia="仿宋" w:cs="仿宋"/>
                <w:color w:val="auto"/>
                <w:szCs w:val="21"/>
                <w:highlight w:val="none"/>
                <w:lang w:eastAsia="zh-CN"/>
              </w:rPr>
              <w:t>（鼓励和支持</w:t>
            </w:r>
            <w:r>
              <w:rPr>
                <w:rFonts w:hint="eastAsia" w:ascii="仿宋" w:hAnsi="仿宋" w:eastAsia="仿宋" w:cs="仿宋"/>
                <w:color w:val="auto"/>
                <w:szCs w:val="21"/>
                <w:highlight w:val="none"/>
                <w:lang w:val="en-US" w:eastAsia="zh-CN"/>
              </w:rPr>
              <w:t>乙方</w:t>
            </w:r>
            <w:r>
              <w:rPr>
                <w:rFonts w:hint="eastAsia" w:ascii="仿宋" w:hAnsi="仿宋" w:eastAsia="仿宋" w:cs="仿宋"/>
                <w:color w:val="auto"/>
                <w:szCs w:val="21"/>
                <w:highlight w:val="none"/>
                <w:lang w:eastAsia="zh-CN"/>
              </w:rPr>
              <w:t>以履约保函形式提供履约保证）</w:t>
            </w:r>
          </w:p>
        </w:tc>
        <w:tc>
          <w:tcPr>
            <w:tcW w:w="813" w:type="pct"/>
            <w:tcBorders>
              <w:top w:val="single" w:color="auto" w:sz="4" w:space="0"/>
              <w:left w:val="single" w:color="auto" w:sz="4" w:space="0"/>
              <w:bottom w:val="single" w:color="auto" w:sz="4" w:space="0"/>
              <w:right w:val="single" w:color="auto" w:sz="4" w:space="0"/>
            </w:tcBorders>
            <w:noWrap w:val="0"/>
            <w:vAlign w:val="top"/>
          </w:tcPr>
          <w:p w14:paraId="15CC112F">
            <w:pPr>
              <w:spacing w:line="360" w:lineRule="auto"/>
              <w:jc w:val="center"/>
              <w:rPr>
                <w:rFonts w:ascii="仿宋" w:hAnsi="仿宋" w:eastAsia="仿宋" w:cs="仿宋"/>
                <w:color w:val="auto"/>
                <w:szCs w:val="21"/>
                <w:highlight w:val="none"/>
              </w:rPr>
            </w:pPr>
            <w:r>
              <w:rPr>
                <w:rFonts w:hint="eastAsia" w:ascii="仿宋" w:hAnsi="仿宋" w:eastAsia="仿宋" w:cs="仿宋"/>
                <w:color w:val="auto"/>
                <w:szCs w:val="21"/>
                <w:highlight w:val="none"/>
              </w:rPr>
              <w:t>国库转账支付</w:t>
            </w:r>
          </w:p>
        </w:tc>
      </w:tr>
      <w:tr w14:paraId="768AC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3" w:type="pct"/>
            <w:tcBorders>
              <w:top w:val="single" w:color="auto" w:sz="4" w:space="0"/>
              <w:left w:val="single" w:color="auto" w:sz="4" w:space="0"/>
              <w:bottom w:val="single" w:color="auto" w:sz="4" w:space="0"/>
              <w:right w:val="single" w:color="auto" w:sz="4" w:space="0"/>
            </w:tcBorders>
            <w:noWrap w:val="0"/>
            <w:vAlign w:val="top"/>
          </w:tcPr>
          <w:p w14:paraId="1051E9D3">
            <w:pPr>
              <w:spacing w:line="360" w:lineRule="auto"/>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2</w:t>
            </w:r>
          </w:p>
        </w:tc>
        <w:tc>
          <w:tcPr>
            <w:tcW w:w="3772" w:type="pct"/>
            <w:tcBorders>
              <w:top w:val="single" w:color="auto" w:sz="4" w:space="0"/>
              <w:left w:val="single" w:color="auto" w:sz="4" w:space="0"/>
              <w:bottom w:val="single" w:color="auto" w:sz="4" w:space="0"/>
              <w:right w:val="single" w:color="auto" w:sz="4" w:space="0"/>
            </w:tcBorders>
            <w:noWrap w:val="0"/>
            <w:vAlign w:val="top"/>
          </w:tcPr>
          <w:p w14:paraId="20E00237">
            <w:pPr>
              <w:spacing w:line="360" w:lineRule="auto"/>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第二期：</w:t>
            </w:r>
            <w:r>
              <w:rPr>
                <w:rFonts w:hint="eastAsia" w:ascii="仿宋" w:hAnsi="仿宋" w:eastAsia="仿宋" w:cs="仿宋"/>
                <w:color w:val="auto"/>
                <w:szCs w:val="21"/>
                <w:highlight w:val="none"/>
              </w:rPr>
              <w:t>服务至</w:t>
            </w:r>
            <w:r>
              <w:rPr>
                <w:rFonts w:ascii="仿宋" w:hAnsi="仿宋" w:eastAsia="仿宋" w:cs="仿宋"/>
                <w:color w:val="auto"/>
                <w:szCs w:val="21"/>
                <w:highlight w:val="none"/>
              </w:rPr>
              <w:t>202</w:t>
            </w:r>
            <w:r>
              <w:rPr>
                <w:rFonts w:hint="eastAsia" w:ascii="仿宋" w:hAnsi="仿宋" w:eastAsia="仿宋" w:cs="仿宋"/>
                <w:color w:val="auto"/>
                <w:szCs w:val="21"/>
                <w:highlight w:val="none"/>
                <w:lang w:val="en-US" w:eastAsia="zh-CN"/>
              </w:rPr>
              <w:t>5</w:t>
            </w:r>
            <w:r>
              <w:rPr>
                <w:rFonts w:hint="eastAsia" w:ascii="仿宋" w:hAnsi="仿宋" w:eastAsia="仿宋" w:cs="仿宋"/>
                <w:color w:val="auto"/>
                <w:szCs w:val="21"/>
                <w:highlight w:val="none"/>
              </w:rPr>
              <w:t>年</w:t>
            </w:r>
            <w:r>
              <w:rPr>
                <w:rFonts w:hint="eastAsia" w:ascii="仿宋" w:hAnsi="仿宋" w:eastAsia="仿宋" w:cs="仿宋"/>
                <w:color w:val="auto"/>
                <w:szCs w:val="21"/>
                <w:highlight w:val="none"/>
                <w:lang w:val="en-US" w:eastAsia="zh-CN"/>
              </w:rPr>
              <w:t>11</w:t>
            </w:r>
            <w:r>
              <w:rPr>
                <w:rFonts w:hint="eastAsia" w:ascii="仿宋" w:hAnsi="仿宋" w:eastAsia="仿宋" w:cs="仿宋"/>
                <w:color w:val="auto"/>
                <w:szCs w:val="21"/>
                <w:highlight w:val="none"/>
              </w:rPr>
              <w:t>月</w:t>
            </w:r>
            <w:r>
              <w:rPr>
                <w:rFonts w:ascii="仿宋" w:hAnsi="仿宋" w:eastAsia="仿宋" w:cs="仿宋"/>
                <w:color w:val="auto"/>
                <w:szCs w:val="21"/>
                <w:highlight w:val="none"/>
              </w:rPr>
              <w:t>3</w:t>
            </w:r>
            <w:r>
              <w:rPr>
                <w:rFonts w:hint="eastAsia" w:ascii="仿宋" w:hAnsi="仿宋" w:eastAsia="仿宋" w:cs="仿宋"/>
                <w:color w:val="auto"/>
                <w:szCs w:val="21"/>
                <w:highlight w:val="none"/>
                <w:lang w:val="en-US" w:eastAsia="zh-CN"/>
              </w:rPr>
              <w:t>0</w:t>
            </w:r>
            <w:r>
              <w:rPr>
                <w:rFonts w:hint="eastAsia" w:ascii="仿宋" w:hAnsi="仿宋" w:eastAsia="仿宋" w:cs="仿宋"/>
                <w:color w:val="auto"/>
                <w:szCs w:val="21"/>
                <w:highlight w:val="none"/>
              </w:rPr>
              <w:t>日，经验收合格后，凭双方签字盖章的验收意见、验收小组签字的验收报告、每月考核表、人员清单（包括项目实施人员明细清单、</w:t>
            </w:r>
            <w:r>
              <w:rPr>
                <w:rFonts w:hint="eastAsia" w:ascii="仿宋" w:hAnsi="仿宋" w:eastAsia="仿宋" w:cs="仿宋"/>
                <w:color w:val="auto"/>
                <w:szCs w:val="21"/>
                <w:highlight w:val="none"/>
              </w:rPr>
              <w:t>驻点人员每日考勤</w:t>
            </w:r>
            <w:r>
              <w:rPr>
                <w:rFonts w:hint="eastAsia" w:ascii="仿宋" w:hAnsi="仿宋" w:eastAsia="仿宋" w:cs="仿宋"/>
                <w:color w:val="auto"/>
                <w:szCs w:val="21"/>
                <w:highlight w:val="none"/>
                <w:lang w:eastAsia="zh-Hans"/>
              </w:rPr>
              <w:t>签到</w:t>
            </w:r>
            <w:r>
              <w:rPr>
                <w:rFonts w:hint="eastAsia" w:ascii="仿宋" w:hAnsi="仿宋" w:eastAsia="仿宋" w:cs="仿宋"/>
                <w:color w:val="auto"/>
                <w:szCs w:val="21"/>
                <w:highlight w:val="none"/>
              </w:rPr>
              <w:t>记录</w:t>
            </w:r>
            <w:r>
              <w:rPr>
                <w:rFonts w:hint="eastAsia" w:ascii="仿宋" w:hAnsi="仿宋" w:eastAsia="仿宋" w:cs="仿宋"/>
                <w:color w:val="auto"/>
                <w:szCs w:val="21"/>
                <w:highlight w:val="none"/>
              </w:rPr>
              <w:t>、人员社保缴纳证明、人员相关资质证书）、人员变更审批表（如有）、分析报告汇总表、单个案件分析报告、</w:t>
            </w:r>
            <w:r>
              <w:rPr>
                <w:rFonts w:hint="eastAsia" w:ascii="仿宋" w:hAnsi="仿宋" w:eastAsia="仿宋" w:cs="仿宋"/>
                <w:color w:val="auto"/>
                <w:szCs w:val="21"/>
                <w:highlight w:val="none"/>
              </w:rPr>
              <w:t>每月监测数据确认表</w:t>
            </w:r>
            <w:r>
              <w:rPr>
                <w:rFonts w:hint="eastAsia" w:ascii="仿宋" w:hAnsi="仿宋" w:eastAsia="仿宋" w:cs="仿宋"/>
                <w:color w:val="auto"/>
                <w:szCs w:val="21"/>
                <w:highlight w:val="none"/>
              </w:rPr>
              <w:t>、</w:t>
            </w:r>
            <w:r>
              <w:rPr>
                <w:rFonts w:hint="eastAsia" w:ascii="仿宋" w:hAnsi="仿宋" w:eastAsia="仿宋" w:cs="宋体"/>
                <w:color w:val="auto"/>
                <w:szCs w:val="21"/>
                <w:highlight w:val="none"/>
              </w:rPr>
              <w:t>网络安全保障方案、网络安全事件应急预案、网络安全风险书面报告（如有）、网络安全重大事项书面报告（如有）、网络安全报告、</w:t>
            </w:r>
            <w:r>
              <w:rPr>
                <w:rFonts w:hint="eastAsia" w:ascii="仿宋" w:hAnsi="仿宋" w:eastAsia="仿宋" w:cs="仿宋"/>
                <w:color w:val="auto"/>
                <w:szCs w:val="21"/>
                <w:highlight w:val="none"/>
              </w:rPr>
              <w:t>单位保密协议、个人保密承诺书、日常保密教育台账、</w:t>
            </w:r>
            <w:r>
              <w:rPr>
                <w:rFonts w:hint="eastAsia" w:ascii="仿宋" w:hAnsi="仿宋" w:eastAsia="仿宋" w:cs="仿宋"/>
                <w:color w:val="auto"/>
                <w:szCs w:val="21"/>
                <w:highlight w:val="none"/>
              </w:rPr>
              <w:t>服务总结报告</w:t>
            </w:r>
            <w:r>
              <w:rPr>
                <w:rFonts w:hint="eastAsia" w:ascii="仿宋" w:hAnsi="仿宋" w:eastAsia="仿宋" w:cs="仿宋"/>
                <w:color w:val="auto"/>
                <w:szCs w:val="21"/>
                <w:highlight w:val="none"/>
              </w:rPr>
              <w:t>、</w:t>
            </w:r>
            <w:r>
              <w:rPr>
                <w:rFonts w:hint="eastAsia" w:ascii="仿宋" w:hAnsi="仿宋" w:eastAsia="仿宋" w:cs="仿宋"/>
                <w:color w:val="auto"/>
                <w:szCs w:val="21"/>
                <w:highlight w:val="none"/>
              </w:rPr>
              <w:t>分包意向协议、中小企业佐证材料</w:t>
            </w:r>
            <w:r>
              <w:rPr>
                <w:rFonts w:hint="eastAsia" w:ascii="仿宋" w:hAnsi="仿宋" w:eastAsia="仿宋" w:cs="仿宋"/>
                <w:color w:val="auto"/>
                <w:szCs w:val="21"/>
                <w:highlight w:val="none"/>
              </w:rPr>
              <w:t>等相关资料，</w:t>
            </w:r>
            <w:r>
              <w:rPr>
                <w:rFonts w:hint="eastAsia" w:ascii="仿宋" w:hAnsi="仿宋" w:eastAsia="仿宋" w:cs="仿宋"/>
                <w:color w:val="auto"/>
                <w:szCs w:val="21"/>
                <w:highlight w:val="none"/>
              </w:rPr>
              <w:t>最多支付至2</w:t>
            </w:r>
            <w:r>
              <w:rPr>
                <w:rFonts w:ascii="仿宋" w:hAnsi="仿宋" w:eastAsia="仿宋" w:cs="仿宋"/>
                <w:color w:val="auto"/>
                <w:szCs w:val="21"/>
                <w:highlight w:val="none"/>
              </w:rPr>
              <w:t>02</w:t>
            </w:r>
            <w:r>
              <w:rPr>
                <w:rFonts w:hint="eastAsia" w:ascii="仿宋" w:hAnsi="仿宋" w:eastAsia="仿宋" w:cs="仿宋"/>
                <w:color w:val="auto"/>
                <w:szCs w:val="21"/>
                <w:highlight w:val="none"/>
                <w:lang w:val="en-US" w:eastAsia="zh-CN"/>
              </w:rPr>
              <w:t>5</w:t>
            </w:r>
            <w:r>
              <w:rPr>
                <w:rFonts w:hint="eastAsia" w:ascii="仿宋" w:hAnsi="仿宋" w:eastAsia="仿宋" w:cs="仿宋"/>
                <w:color w:val="auto"/>
                <w:szCs w:val="21"/>
                <w:highlight w:val="none"/>
              </w:rPr>
              <w:t>年预算安排资金</w:t>
            </w:r>
            <w:r>
              <w:rPr>
                <w:rFonts w:hint="eastAsia" w:ascii="仿宋" w:hAnsi="仿宋" w:eastAsia="仿宋" w:cs="仿宋"/>
                <w:color w:val="auto"/>
                <w:szCs w:val="21"/>
                <w:highlight w:val="none"/>
                <w:lang w:val="en-US" w:eastAsia="zh-CN"/>
              </w:rPr>
              <w:t>147.34</w:t>
            </w:r>
            <w:r>
              <w:rPr>
                <w:rFonts w:hint="eastAsia" w:ascii="仿宋" w:hAnsi="仿宋" w:eastAsia="仿宋" w:cs="仿宋"/>
                <w:color w:val="auto"/>
                <w:szCs w:val="21"/>
                <w:highlight w:val="none"/>
              </w:rPr>
              <w:t>万元（含</w:t>
            </w:r>
            <w:r>
              <w:rPr>
                <w:rFonts w:hint="eastAsia" w:ascii="仿宋" w:hAnsi="仿宋" w:eastAsia="仿宋" w:cs="仿宋"/>
                <w:color w:val="auto"/>
                <w:szCs w:val="21"/>
                <w:highlight w:val="none"/>
                <w:lang w:eastAsia="zh-CN"/>
              </w:rPr>
              <w:t>甲方</w:t>
            </w:r>
            <w:r>
              <w:rPr>
                <w:rFonts w:hint="eastAsia" w:ascii="仿宋" w:hAnsi="仿宋" w:eastAsia="仿宋" w:cs="仿宋"/>
                <w:color w:val="auto"/>
                <w:szCs w:val="21"/>
                <w:highlight w:val="none"/>
              </w:rPr>
              <w:t>向</w:t>
            </w:r>
            <w:r>
              <w:rPr>
                <w:rFonts w:hint="eastAsia" w:ascii="仿宋" w:hAnsi="仿宋" w:eastAsia="仿宋" w:cs="仿宋"/>
                <w:color w:val="auto"/>
                <w:szCs w:val="21"/>
                <w:highlight w:val="none"/>
                <w:lang w:eastAsia="zh-CN"/>
              </w:rPr>
              <w:t>乙方</w:t>
            </w:r>
            <w:r>
              <w:rPr>
                <w:rFonts w:hint="eastAsia" w:ascii="仿宋" w:hAnsi="仿宋" w:eastAsia="仿宋" w:cs="仿宋"/>
                <w:color w:val="auto"/>
                <w:szCs w:val="21"/>
                <w:highlight w:val="none"/>
              </w:rPr>
              <w:t>支付的第一期合同价款）</w:t>
            </w:r>
            <w:r>
              <w:rPr>
                <w:rFonts w:hint="eastAsia" w:ascii="仿宋" w:hAnsi="仿宋" w:eastAsia="仿宋" w:cs="仿宋"/>
                <w:color w:val="auto"/>
                <w:szCs w:val="21"/>
                <w:highlight w:val="none"/>
              </w:rPr>
              <w:t>。</w:t>
            </w:r>
          </w:p>
        </w:tc>
        <w:tc>
          <w:tcPr>
            <w:tcW w:w="813" w:type="pct"/>
            <w:tcBorders>
              <w:top w:val="single" w:color="auto" w:sz="4" w:space="0"/>
              <w:left w:val="single" w:color="auto" w:sz="4" w:space="0"/>
              <w:bottom w:val="single" w:color="auto" w:sz="4" w:space="0"/>
              <w:right w:val="single" w:color="auto" w:sz="4" w:space="0"/>
            </w:tcBorders>
            <w:noWrap w:val="0"/>
            <w:vAlign w:val="top"/>
          </w:tcPr>
          <w:p w14:paraId="1BF226C2">
            <w:pPr>
              <w:spacing w:line="360" w:lineRule="auto"/>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国库转账支付</w:t>
            </w:r>
          </w:p>
        </w:tc>
      </w:tr>
      <w:tr w14:paraId="5239E7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3" w:type="pct"/>
            <w:tcBorders>
              <w:top w:val="single" w:color="auto" w:sz="4" w:space="0"/>
              <w:left w:val="single" w:color="auto" w:sz="4" w:space="0"/>
              <w:bottom w:val="single" w:color="auto" w:sz="4" w:space="0"/>
              <w:right w:val="single" w:color="auto" w:sz="4" w:space="0"/>
            </w:tcBorders>
            <w:shd w:val="clear" w:color="auto" w:fill="auto"/>
            <w:noWrap w:val="0"/>
            <w:vAlign w:val="top"/>
          </w:tcPr>
          <w:p w14:paraId="6A5EEA2E">
            <w:pPr>
              <w:spacing w:line="360" w:lineRule="auto"/>
              <w:jc w:val="center"/>
              <w:rPr>
                <w:rFonts w:hint="eastAsia" w:ascii="仿宋" w:hAnsi="仿宋" w:eastAsia="仿宋" w:cs="仿宋"/>
                <w:color w:val="auto"/>
                <w:kern w:val="2"/>
                <w:sz w:val="21"/>
                <w:szCs w:val="21"/>
                <w:highlight w:val="none"/>
                <w:lang w:val="en-US" w:eastAsia="zh-CN" w:bidi="ar-SA"/>
              </w:rPr>
            </w:pPr>
            <w:r>
              <w:rPr>
                <w:rFonts w:hint="eastAsia" w:ascii="仿宋" w:hAnsi="仿宋" w:eastAsia="仿宋" w:cs="仿宋"/>
                <w:color w:val="auto"/>
                <w:szCs w:val="21"/>
                <w:highlight w:val="none"/>
                <w:lang w:val="en-US" w:eastAsia="zh-CN"/>
              </w:rPr>
              <w:t>3</w:t>
            </w:r>
          </w:p>
        </w:tc>
        <w:tc>
          <w:tcPr>
            <w:tcW w:w="3772" w:type="pct"/>
            <w:tcBorders>
              <w:top w:val="single" w:color="auto" w:sz="4" w:space="0"/>
              <w:left w:val="single" w:color="auto" w:sz="4" w:space="0"/>
              <w:bottom w:val="single" w:color="auto" w:sz="4" w:space="0"/>
              <w:right w:val="single" w:color="auto" w:sz="4" w:space="0"/>
            </w:tcBorders>
            <w:shd w:val="clear" w:color="auto" w:fill="auto"/>
            <w:noWrap w:val="0"/>
            <w:vAlign w:val="top"/>
          </w:tcPr>
          <w:p w14:paraId="14605A8E">
            <w:pPr>
              <w:spacing w:line="360" w:lineRule="auto"/>
              <w:rPr>
                <w:rFonts w:hint="eastAsia" w:ascii="仿宋" w:hAnsi="仿宋" w:eastAsia="仿宋" w:cs="仿宋"/>
                <w:b/>
                <w:color w:val="auto"/>
                <w:kern w:val="2"/>
                <w:sz w:val="21"/>
                <w:szCs w:val="21"/>
                <w:highlight w:val="none"/>
                <w:lang w:val="en-US" w:eastAsia="zh-CN" w:bidi="ar-SA"/>
              </w:rPr>
            </w:pPr>
            <w:r>
              <w:rPr>
                <w:rFonts w:hint="eastAsia" w:ascii="仿宋" w:hAnsi="仿宋" w:eastAsia="仿宋" w:cs="仿宋"/>
                <w:b/>
                <w:color w:val="auto"/>
                <w:szCs w:val="21"/>
                <w:highlight w:val="none"/>
              </w:rPr>
              <w:t>第</w:t>
            </w:r>
            <w:r>
              <w:rPr>
                <w:rFonts w:hint="eastAsia" w:ascii="仿宋" w:hAnsi="仿宋" w:eastAsia="仿宋" w:cs="仿宋"/>
                <w:b/>
                <w:color w:val="auto"/>
                <w:szCs w:val="21"/>
                <w:highlight w:val="none"/>
                <w:lang w:val="en-US" w:eastAsia="zh-CN"/>
              </w:rPr>
              <w:t>三</w:t>
            </w:r>
            <w:r>
              <w:rPr>
                <w:rFonts w:hint="eastAsia" w:ascii="仿宋" w:hAnsi="仿宋" w:eastAsia="仿宋" w:cs="仿宋"/>
                <w:b/>
                <w:color w:val="auto"/>
                <w:szCs w:val="21"/>
                <w:highlight w:val="none"/>
              </w:rPr>
              <w:t>期：</w:t>
            </w:r>
            <w:r>
              <w:rPr>
                <w:rFonts w:hint="eastAsia" w:ascii="仿宋" w:hAnsi="仿宋" w:eastAsia="仿宋" w:cs="仿宋"/>
                <w:color w:val="auto"/>
                <w:szCs w:val="21"/>
                <w:highlight w:val="none"/>
              </w:rPr>
              <w:t>服务至</w:t>
            </w:r>
            <w:r>
              <w:rPr>
                <w:rFonts w:ascii="仿宋" w:hAnsi="仿宋" w:eastAsia="仿宋" w:cs="仿宋"/>
                <w:color w:val="auto"/>
                <w:szCs w:val="21"/>
                <w:highlight w:val="none"/>
              </w:rPr>
              <w:t>202</w:t>
            </w:r>
            <w:r>
              <w:rPr>
                <w:rFonts w:hint="eastAsia" w:ascii="仿宋" w:hAnsi="仿宋" w:eastAsia="仿宋" w:cs="仿宋"/>
                <w:color w:val="auto"/>
                <w:szCs w:val="21"/>
                <w:highlight w:val="none"/>
                <w:lang w:val="en-US" w:eastAsia="zh-CN"/>
              </w:rPr>
              <w:t>6</w:t>
            </w:r>
            <w:r>
              <w:rPr>
                <w:rFonts w:hint="eastAsia" w:ascii="仿宋" w:hAnsi="仿宋" w:eastAsia="仿宋" w:cs="仿宋"/>
                <w:color w:val="auto"/>
                <w:szCs w:val="21"/>
                <w:highlight w:val="none"/>
              </w:rPr>
              <w:t>年</w:t>
            </w:r>
            <w:r>
              <w:rPr>
                <w:rFonts w:hint="eastAsia" w:ascii="仿宋" w:hAnsi="仿宋" w:eastAsia="仿宋" w:cs="仿宋"/>
                <w:color w:val="auto"/>
                <w:szCs w:val="21"/>
                <w:highlight w:val="none"/>
                <w:lang w:val="en-US" w:eastAsia="zh-CN"/>
              </w:rPr>
              <w:t>3</w:t>
            </w:r>
            <w:r>
              <w:rPr>
                <w:rFonts w:hint="eastAsia" w:ascii="仿宋" w:hAnsi="仿宋" w:eastAsia="仿宋" w:cs="仿宋"/>
                <w:color w:val="auto"/>
                <w:szCs w:val="21"/>
                <w:highlight w:val="none"/>
              </w:rPr>
              <w:t>月</w:t>
            </w:r>
            <w:r>
              <w:rPr>
                <w:rFonts w:ascii="仿宋" w:hAnsi="仿宋" w:eastAsia="仿宋" w:cs="仿宋"/>
                <w:color w:val="auto"/>
                <w:szCs w:val="21"/>
                <w:highlight w:val="none"/>
              </w:rPr>
              <w:t>3</w:t>
            </w:r>
            <w:r>
              <w:rPr>
                <w:rFonts w:hint="eastAsia" w:ascii="仿宋" w:hAnsi="仿宋" w:eastAsia="仿宋" w:cs="仿宋"/>
                <w:color w:val="auto"/>
                <w:szCs w:val="21"/>
                <w:highlight w:val="none"/>
                <w:lang w:val="en-US" w:eastAsia="zh-CN"/>
              </w:rPr>
              <w:t>1</w:t>
            </w:r>
            <w:r>
              <w:rPr>
                <w:rFonts w:hint="eastAsia" w:ascii="仿宋" w:hAnsi="仿宋" w:eastAsia="仿宋" w:cs="仿宋"/>
                <w:color w:val="auto"/>
                <w:szCs w:val="21"/>
                <w:highlight w:val="none"/>
              </w:rPr>
              <w:t>日，经验收合格后，凭双方签字盖章的验收意见、验收小组签字的验收报告、每月考核表、人员清单（包括项目实施人员明细清单、</w:t>
            </w:r>
            <w:r>
              <w:rPr>
                <w:rFonts w:hint="eastAsia" w:ascii="仿宋" w:hAnsi="仿宋" w:eastAsia="仿宋" w:cs="仿宋"/>
                <w:color w:val="auto"/>
                <w:szCs w:val="21"/>
                <w:highlight w:val="none"/>
              </w:rPr>
              <w:t>驻点人员每日考勤</w:t>
            </w:r>
            <w:r>
              <w:rPr>
                <w:rFonts w:hint="eastAsia" w:ascii="仿宋" w:hAnsi="仿宋" w:eastAsia="仿宋" w:cs="仿宋"/>
                <w:color w:val="auto"/>
                <w:szCs w:val="21"/>
                <w:highlight w:val="none"/>
                <w:lang w:eastAsia="zh-Hans"/>
              </w:rPr>
              <w:t>签到</w:t>
            </w:r>
            <w:r>
              <w:rPr>
                <w:rFonts w:hint="eastAsia" w:ascii="仿宋" w:hAnsi="仿宋" w:eastAsia="仿宋" w:cs="仿宋"/>
                <w:color w:val="auto"/>
                <w:szCs w:val="21"/>
                <w:highlight w:val="none"/>
              </w:rPr>
              <w:t>记录</w:t>
            </w:r>
            <w:r>
              <w:rPr>
                <w:rFonts w:hint="eastAsia" w:ascii="仿宋" w:hAnsi="仿宋" w:eastAsia="仿宋" w:cs="仿宋"/>
                <w:color w:val="auto"/>
                <w:szCs w:val="21"/>
                <w:highlight w:val="none"/>
              </w:rPr>
              <w:t>、人员社保缴纳证明、人员相关资质证书）、人员变更审批表（如有）、分析报告汇总表、单个案件分析报告、</w:t>
            </w:r>
            <w:r>
              <w:rPr>
                <w:rFonts w:hint="eastAsia" w:ascii="仿宋" w:hAnsi="仿宋" w:eastAsia="仿宋" w:cs="仿宋"/>
                <w:color w:val="auto"/>
                <w:szCs w:val="21"/>
                <w:highlight w:val="none"/>
              </w:rPr>
              <w:t>每月监测数据确认表</w:t>
            </w:r>
            <w:r>
              <w:rPr>
                <w:rFonts w:hint="eastAsia" w:ascii="仿宋" w:hAnsi="仿宋" w:eastAsia="仿宋" w:cs="仿宋"/>
                <w:color w:val="auto"/>
                <w:szCs w:val="21"/>
                <w:highlight w:val="none"/>
              </w:rPr>
              <w:t>、</w:t>
            </w:r>
            <w:r>
              <w:rPr>
                <w:rFonts w:hint="eastAsia" w:ascii="仿宋" w:hAnsi="仿宋" w:eastAsia="仿宋" w:cs="宋体"/>
                <w:color w:val="auto"/>
                <w:szCs w:val="21"/>
                <w:highlight w:val="none"/>
              </w:rPr>
              <w:t>网络安全保障方案、网络安全事件应急预案、网络安全风险书面报告（如有）、网络安全重大事项书面报告（如有）、网络安全报告、</w:t>
            </w:r>
            <w:r>
              <w:rPr>
                <w:rFonts w:hint="eastAsia" w:ascii="仿宋" w:hAnsi="仿宋" w:eastAsia="仿宋" w:cs="仿宋"/>
                <w:color w:val="auto"/>
                <w:szCs w:val="21"/>
                <w:highlight w:val="none"/>
              </w:rPr>
              <w:t>单位保密协议、个人保密承诺书、日常保密教育台账、</w:t>
            </w:r>
            <w:r>
              <w:rPr>
                <w:rFonts w:hint="eastAsia" w:ascii="仿宋" w:hAnsi="仿宋" w:eastAsia="仿宋" w:cs="仿宋"/>
                <w:color w:val="auto"/>
                <w:szCs w:val="21"/>
                <w:highlight w:val="none"/>
              </w:rPr>
              <w:t>服务总结报告</w:t>
            </w:r>
            <w:r>
              <w:rPr>
                <w:rFonts w:hint="eastAsia" w:ascii="仿宋" w:hAnsi="仿宋" w:eastAsia="仿宋" w:cs="仿宋"/>
                <w:color w:val="auto"/>
                <w:szCs w:val="21"/>
                <w:highlight w:val="none"/>
              </w:rPr>
              <w:t>、</w:t>
            </w:r>
            <w:r>
              <w:rPr>
                <w:rFonts w:hint="eastAsia" w:ascii="仿宋" w:hAnsi="仿宋" w:eastAsia="仿宋" w:cs="仿宋"/>
                <w:color w:val="auto"/>
                <w:szCs w:val="21"/>
                <w:highlight w:val="none"/>
              </w:rPr>
              <w:t>分包意向协议、中小企业佐证材料</w:t>
            </w:r>
            <w:r>
              <w:rPr>
                <w:rFonts w:hint="eastAsia" w:ascii="仿宋" w:hAnsi="仿宋" w:eastAsia="仿宋" w:cs="仿宋"/>
                <w:color w:val="auto"/>
                <w:szCs w:val="21"/>
                <w:highlight w:val="none"/>
              </w:rPr>
              <w:t>等相关资料，</w:t>
            </w:r>
            <w:r>
              <w:rPr>
                <w:rFonts w:hint="eastAsia" w:ascii="仿宋" w:hAnsi="仿宋" w:eastAsia="仿宋" w:cs="仿宋"/>
                <w:color w:val="auto"/>
                <w:szCs w:val="21"/>
                <w:highlight w:val="none"/>
              </w:rPr>
              <w:t>按照实际发生服务数量、合同单价进行结算（本期支付金额不超过合同总价的30%）。</w:t>
            </w:r>
          </w:p>
        </w:tc>
        <w:tc>
          <w:tcPr>
            <w:tcW w:w="813" w:type="pct"/>
            <w:tcBorders>
              <w:top w:val="single" w:color="auto" w:sz="4" w:space="0"/>
              <w:left w:val="single" w:color="auto" w:sz="4" w:space="0"/>
              <w:bottom w:val="single" w:color="auto" w:sz="4" w:space="0"/>
              <w:right w:val="single" w:color="auto" w:sz="4" w:space="0"/>
            </w:tcBorders>
            <w:shd w:val="clear" w:color="auto" w:fill="auto"/>
            <w:noWrap w:val="0"/>
            <w:vAlign w:val="top"/>
          </w:tcPr>
          <w:p w14:paraId="5D7DC98F">
            <w:pPr>
              <w:spacing w:line="360" w:lineRule="auto"/>
              <w:jc w:val="center"/>
              <w:rPr>
                <w:rFonts w:hint="eastAsia" w:ascii="仿宋" w:hAnsi="仿宋" w:eastAsia="仿宋" w:cs="仿宋"/>
                <w:color w:val="auto"/>
                <w:kern w:val="2"/>
                <w:sz w:val="21"/>
                <w:szCs w:val="21"/>
                <w:highlight w:val="none"/>
                <w:lang w:val="en-US" w:eastAsia="zh-CN" w:bidi="ar-SA"/>
              </w:rPr>
            </w:pPr>
            <w:r>
              <w:rPr>
                <w:rFonts w:hint="eastAsia" w:ascii="仿宋" w:hAnsi="仿宋" w:eastAsia="仿宋" w:cs="仿宋"/>
                <w:color w:val="auto"/>
                <w:szCs w:val="21"/>
                <w:highlight w:val="none"/>
              </w:rPr>
              <w:t>国库转账支付</w:t>
            </w:r>
          </w:p>
        </w:tc>
      </w:tr>
      <w:tr w14:paraId="6C3A55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3" w:type="pct"/>
            <w:tcBorders>
              <w:top w:val="single" w:color="auto" w:sz="4" w:space="0"/>
              <w:left w:val="single" w:color="auto" w:sz="4" w:space="0"/>
              <w:bottom w:val="single" w:color="auto" w:sz="4" w:space="0"/>
              <w:right w:val="single" w:color="auto" w:sz="4" w:space="0"/>
            </w:tcBorders>
            <w:noWrap w:val="0"/>
            <w:vAlign w:val="top"/>
          </w:tcPr>
          <w:p w14:paraId="1496E2D3">
            <w:pPr>
              <w:spacing w:line="360" w:lineRule="auto"/>
              <w:jc w:val="center"/>
              <w:rPr>
                <w:rFonts w:hint="eastAsia" w:ascii="仿宋" w:hAnsi="仿宋" w:eastAsia="仿宋" w:cs="仿宋"/>
                <w:color w:val="auto"/>
                <w:szCs w:val="21"/>
                <w:highlight w:val="none"/>
                <w:lang w:val="en-US" w:eastAsia="zh-CN"/>
              </w:rPr>
            </w:pPr>
            <w:r>
              <w:rPr>
                <w:rFonts w:hint="eastAsia" w:ascii="仿宋" w:hAnsi="仿宋" w:eastAsia="仿宋" w:cs="仿宋"/>
                <w:color w:val="auto"/>
                <w:szCs w:val="21"/>
                <w:highlight w:val="none"/>
                <w:lang w:val="en-US" w:eastAsia="zh-CN"/>
              </w:rPr>
              <w:t>4</w:t>
            </w:r>
          </w:p>
        </w:tc>
        <w:tc>
          <w:tcPr>
            <w:tcW w:w="3772" w:type="pct"/>
            <w:tcBorders>
              <w:top w:val="single" w:color="auto" w:sz="4" w:space="0"/>
              <w:left w:val="single" w:color="auto" w:sz="4" w:space="0"/>
              <w:bottom w:val="single" w:color="auto" w:sz="4" w:space="0"/>
              <w:right w:val="single" w:color="auto" w:sz="4" w:space="0"/>
            </w:tcBorders>
            <w:noWrap w:val="0"/>
            <w:vAlign w:val="top"/>
          </w:tcPr>
          <w:p w14:paraId="5812D590">
            <w:pPr>
              <w:spacing w:line="360" w:lineRule="auto"/>
              <w:rPr>
                <w:rFonts w:ascii="仿宋" w:hAnsi="仿宋" w:eastAsia="仿宋" w:cs="仿宋"/>
                <w:color w:val="auto"/>
                <w:szCs w:val="21"/>
                <w:highlight w:val="none"/>
              </w:rPr>
            </w:pPr>
            <w:r>
              <w:rPr>
                <w:rFonts w:hint="eastAsia" w:ascii="仿宋" w:hAnsi="仿宋" w:eastAsia="仿宋" w:cs="仿宋"/>
                <w:b/>
                <w:color w:val="auto"/>
                <w:szCs w:val="21"/>
                <w:highlight w:val="none"/>
              </w:rPr>
              <w:t>第</w:t>
            </w:r>
            <w:r>
              <w:rPr>
                <w:rFonts w:hint="eastAsia" w:ascii="仿宋" w:hAnsi="仿宋" w:eastAsia="仿宋" w:cs="仿宋"/>
                <w:b/>
                <w:color w:val="auto"/>
                <w:szCs w:val="21"/>
                <w:highlight w:val="none"/>
                <w:lang w:val="en-US" w:eastAsia="zh-CN"/>
              </w:rPr>
              <w:t>四</w:t>
            </w:r>
            <w:r>
              <w:rPr>
                <w:rFonts w:hint="eastAsia" w:ascii="仿宋" w:hAnsi="仿宋" w:eastAsia="仿宋" w:cs="仿宋"/>
                <w:b/>
                <w:color w:val="auto"/>
                <w:szCs w:val="21"/>
                <w:highlight w:val="none"/>
              </w:rPr>
              <w:t>期：</w:t>
            </w:r>
            <w:r>
              <w:rPr>
                <w:rFonts w:hint="eastAsia" w:ascii="仿宋" w:hAnsi="仿宋" w:eastAsia="仿宋" w:cs="仿宋"/>
                <w:color w:val="auto"/>
                <w:szCs w:val="21"/>
                <w:highlight w:val="none"/>
              </w:rPr>
              <w:t>服务期结束，经验收合格后，凭双方签字盖章的验收意见、验收小组签字的验收报告、每月考核表、人员清单（包括项目实施人员明细清单、</w:t>
            </w:r>
            <w:r>
              <w:rPr>
                <w:rFonts w:hint="eastAsia" w:ascii="仿宋" w:hAnsi="仿宋" w:eastAsia="仿宋" w:cs="仿宋"/>
                <w:color w:val="auto"/>
                <w:szCs w:val="21"/>
                <w:highlight w:val="none"/>
              </w:rPr>
              <w:t>驻点人员每日考勤</w:t>
            </w:r>
            <w:r>
              <w:rPr>
                <w:rFonts w:hint="eastAsia" w:ascii="仿宋" w:hAnsi="仿宋" w:eastAsia="仿宋" w:cs="仿宋"/>
                <w:color w:val="auto"/>
                <w:szCs w:val="21"/>
                <w:highlight w:val="none"/>
                <w:lang w:eastAsia="zh-Hans"/>
              </w:rPr>
              <w:t>签到</w:t>
            </w:r>
            <w:r>
              <w:rPr>
                <w:rFonts w:hint="eastAsia" w:ascii="仿宋" w:hAnsi="仿宋" w:eastAsia="仿宋" w:cs="仿宋"/>
                <w:color w:val="auto"/>
                <w:szCs w:val="21"/>
                <w:highlight w:val="none"/>
              </w:rPr>
              <w:t>记录</w:t>
            </w:r>
            <w:r>
              <w:rPr>
                <w:rFonts w:hint="eastAsia" w:ascii="仿宋" w:hAnsi="仿宋" w:eastAsia="仿宋" w:cs="仿宋"/>
                <w:color w:val="auto"/>
                <w:szCs w:val="21"/>
                <w:highlight w:val="none"/>
              </w:rPr>
              <w:t>、人员社保缴纳证明、人员相关资质证书）、人员变更审批表（如有）、分析报告汇总表、单个案件分析报告、</w:t>
            </w:r>
            <w:r>
              <w:rPr>
                <w:rFonts w:hint="eastAsia" w:ascii="仿宋" w:hAnsi="仿宋" w:eastAsia="仿宋" w:cs="仿宋"/>
                <w:color w:val="auto"/>
                <w:szCs w:val="21"/>
                <w:highlight w:val="none"/>
              </w:rPr>
              <w:t>每月监测数据确认表</w:t>
            </w:r>
            <w:r>
              <w:rPr>
                <w:rFonts w:hint="eastAsia" w:ascii="仿宋" w:hAnsi="仿宋" w:eastAsia="仿宋" w:cs="仿宋"/>
                <w:color w:val="auto"/>
                <w:szCs w:val="21"/>
                <w:highlight w:val="none"/>
              </w:rPr>
              <w:t>、</w:t>
            </w:r>
            <w:r>
              <w:rPr>
                <w:rFonts w:hint="eastAsia" w:ascii="仿宋" w:hAnsi="仿宋" w:eastAsia="仿宋" w:cs="宋体"/>
                <w:color w:val="auto"/>
                <w:szCs w:val="21"/>
                <w:highlight w:val="none"/>
              </w:rPr>
              <w:t>网络安全保障方案、网络安全事件应急预案、网络安全风险书面报告（如有）、网络安全重大事项书面报告（如有）、网络安全报告、</w:t>
            </w:r>
            <w:r>
              <w:rPr>
                <w:rFonts w:hint="eastAsia" w:ascii="仿宋" w:hAnsi="仿宋" w:eastAsia="仿宋" w:cs="仿宋"/>
                <w:color w:val="auto"/>
                <w:szCs w:val="21"/>
                <w:highlight w:val="none"/>
              </w:rPr>
              <w:t>单位保密协议、个人保密承诺书、日常保密教育台账、</w:t>
            </w:r>
            <w:r>
              <w:rPr>
                <w:rFonts w:hint="eastAsia" w:ascii="仿宋" w:hAnsi="仿宋" w:eastAsia="仿宋" w:cs="仿宋"/>
                <w:color w:val="auto"/>
                <w:szCs w:val="21"/>
                <w:highlight w:val="none"/>
              </w:rPr>
              <w:t>服务总结报告</w:t>
            </w:r>
            <w:r>
              <w:rPr>
                <w:rFonts w:hint="eastAsia" w:ascii="仿宋" w:hAnsi="仿宋" w:eastAsia="仿宋" w:cs="仿宋"/>
                <w:color w:val="auto"/>
                <w:szCs w:val="21"/>
                <w:highlight w:val="none"/>
              </w:rPr>
              <w:t>、</w:t>
            </w:r>
            <w:r>
              <w:rPr>
                <w:rFonts w:hint="eastAsia" w:ascii="仿宋" w:hAnsi="仿宋" w:eastAsia="仿宋" w:cs="仿宋"/>
                <w:color w:val="auto"/>
                <w:szCs w:val="21"/>
                <w:highlight w:val="none"/>
              </w:rPr>
              <w:t>分包意向协议、中小企业佐证材料</w:t>
            </w:r>
            <w:r>
              <w:rPr>
                <w:rFonts w:hint="eastAsia" w:ascii="仿宋" w:hAnsi="仿宋" w:eastAsia="仿宋" w:cs="仿宋"/>
                <w:color w:val="auto"/>
                <w:szCs w:val="21"/>
                <w:highlight w:val="none"/>
              </w:rPr>
              <w:t>及验收公示截图等相关资料，</w:t>
            </w:r>
            <w:r>
              <w:rPr>
                <w:rFonts w:hint="eastAsia" w:ascii="仿宋" w:hAnsi="仿宋" w:eastAsia="仿宋" w:cs="仿宋"/>
                <w:color w:val="auto"/>
                <w:szCs w:val="21"/>
                <w:highlight w:val="none"/>
              </w:rPr>
              <w:t>按实际案件分析报告数量、监测数据数量和合同单价结算尾款，</w:t>
            </w:r>
            <w:r>
              <w:rPr>
                <w:rFonts w:hint="eastAsia" w:ascii="仿宋" w:hAnsi="仿宋" w:eastAsia="仿宋" w:cs="仿宋"/>
                <w:color w:val="auto"/>
                <w:szCs w:val="21"/>
                <w:highlight w:val="none"/>
              </w:rPr>
              <w:t>同时扣除</w:t>
            </w:r>
            <w:r>
              <w:rPr>
                <w:rFonts w:hint="eastAsia" w:ascii="仿宋" w:hAnsi="仿宋" w:eastAsia="仿宋" w:cs="仿宋"/>
                <w:color w:val="auto"/>
                <w:szCs w:val="21"/>
                <w:highlight w:val="none"/>
                <w:lang w:eastAsia="zh-CN"/>
              </w:rPr>
              <w:t>乙方</w:t>
            </w:r>
            <w:r>
              <w:rPr>
                <w:rFonts w:hint="eastAsia" w:ascii="仿宋" w:hAnsi="仿宋" w:eastAsia="仿宋" w:cs="仿宋"/>
                <w:color w:val="auto"/>
                <w:szCs w:val="21"/>
                <w:highlight w:val="none"/>
              </w:rPr>
              <w:t>应向</w:t>
            </w:r>
            <w:r>
              <w:rPr>
                <w:rFonts w:hint="eastAsia" w:ascii="仿宋" w:hAnsi="仿宋" w:eastAsia="仿宋" w:cs="仿宋"/>
                <w:color w:val="auto"/>
                <w:szCs w:val="21"/>
                <w:highlight w:val="none"/>
                <w:lang w:eastAsia="zh-CN"/>
              </w:rPr>
              <w:t>甲方</w:t>
            </w:r>
            <w:r>
              <w:rPr>
                <w:rFonts w:hint="eastAsia" w:ascii="仿宋" w:hAnsi="仿宋" w:eastAsia="仿宋" w:cs="仿宋"/>
                <w:color w:val="auto"/>
                <w:szCs w:val="21"/>
                <w:highlight w:val="none"/>
              </w:rPr>
              <w:t>支付的违约金。</w:t>
            </w:r>
          </w:p>
        </w:tc>
        <w:tc>
          <w:tcPr>
            <w:tcW w:w="813" w:type="pct"/>
            <w:tcBorders>
              <w:top w:val="single" w:color="auto" w:sz="4" w:space="0"/>
              <w:left w:val="single" w:color="auto" w:sz="4" w:space="0"/>
              <w:bottom w:val="single" w:color="auto" w:sz="4" w:space="0"/>
              <w:right w:val="single" w:color="auto" w:sz="4" w:space="0"/>
            </w:tcBorders>
            <w:noWrap w:val="0"/>
            <w:vAlign w:val="top"/>
          </w:tcPr>
          <w:p w14:paraId="64CE085D">
            <w:pPr>
              <w:spacing w:line="360" w:lineRule="auto"/>
              <w:jc w:val="center"/>
              <w:rPr>
                <w:rFonts w:ascii="仿宋" w:hAnsi="仿宋" w:eastAsia="仿宋" w:cs="仿宋"/>
                <w:color w:val="auto"/>
                <w:szCs w:val="21"/>
                <w:highlight w:val="none"/>
              </w:rPr>
            </w:pPr>
            <w:r>
              <w:rPr>
                <w:rFonts w:hint="eastAsia" w:ascii="仿宋" w:hAnsi="仿宋" w:eastAsia="仿宋" w:cs="仿宋"/>
                <w:color w:val="auto"/>
                <w:szCs w:val="21"/>
                <w:highlight w:val="none"/>
              </w:rPr>
              <w:t>国库转账支付</w:t>
            </w:r>
          </w:p>
        </w:tc>
      </w:tr>
    </w:tbl>
    <w:p w14:paraId="337FC31F">
      <w:pPr>
        <w:snapToGrid w:val="0"/>
        <w:spacing w:line="360" w:lineRule="auto"/>
        <w:ind w:firstLine="420" w:firstLineChars="200"/>
        <w:rPr>
          <w:rFonts w:ascii="仿宋" w:hAnsi="仿宋" w:eastAsia="仿宋" w:cs="仿宋"/>
          <w:color w:val="auto"/>
          <w:szCs w:val="21"/>
          <w:highlight w:val="none"/>
          <w:u w:val="single"/>
          <w:lang w:val="zh-CN"/>
        </w:rPr>
      </w:pPr>
      <w:r>
        <w:rPr>
          <w:rFonts w:hint="eastAsia" w:ascii="仿宋" w:hAnsi="仿宋" w:eastAsia="仿宋" w:cs="仿宋"/>
          <w:bCs/>
          <w:color w:val="auto"/>
          <w:szCs w:val="21"/>
          <w:highlight w:val="none"/>
          <w:u w:val="single"/>
          <w:lang w:val="zh-CN"/>
        </w:rPr>
        <w:t>双方确认，甲方按前款结算并向乙方支付的款项总额不超过合同总价。</w:t>
      </w:r>
    </w:p>
    <w:p w14:paraId="75124972">
      <w:pPr>
        <w:snapToGrid w:val="0"/>
        <w:spacing w:line="360" w:lineRule="auto"/>
        <w:ind w:firstLine="420" w:firstLineChars="200"/>
        <w:rPr>
          <w:rFonts w:ascii="仿宋" w:hAnsi="仿宋" w:eastAsia="仿宋" w:cs="仿宋"/>
          <w:color w:val="auto"/>
          <w:sz w:val="21"/>
          <w:szCs w:val="21"/>
          <w:highlight w:val="none"/>
          <w:u w:val="single"/>
          <w:lang w:val="zh-CN"/>
        </w:rPr>
      </w:pPr>
      <w:r>
        <w:rPr>
          <w:rFonts w:hint="eastAsia" w:ascii="仿宋" w:hAnsi="仿宋" w:eastAsia="仿宋" w:cs="仿宋"/>
          <w:bCs/>
          <w:color w:val="auto"/>
          <w:szCs w:val="21"/>
          <w:highlight w:val="none"/>
          <w:u w:val="single"/>
          <w:lang w:val="zh-CN"/>
        </w:rPr>
        <w:t>前述甲方按实际案件分析报告数量</w:t>
      </w:r>
      <w:r>
        <w:rPr>
          <w:rFonts w:hint="eastAsia" w:ascii="仿宋" w:hAnsi="仿宋" w:eastAsia="仿宋" w:cs="仿宋"/>
          <w:bCs/>
          <w:color w:val="auto"/>
          <w:szCs w:val="21"/>
          <w:highlight w:val="none"/>
          <w:u w:val="single"/>
          <w:lang w:val="zh-CN"/>
        </w:rPr>
        <w:t>、监测数据数量</w:t>
      </w:r>
      <w:r>
        <w:rPr>
          <w:rFonts w:hint="eastAsia" w:ascii="仿宋" w:hAnsi="仿宋" w:eastAsia="仿宋" w:cs="仿宋"/>
          <w:bCs/>
          <w:color w:val="auto"/>
          <w:szCs w:val="21"/>
          <w:highlight w:val="none"/>
          <w:u w:val="single"/>
          <w:lang w:val="zh-CN"/>
        </w:rPr>
        <w:t>和合同单价结算付款的方式不影响甲方向乙方再行收取因乙方未全面按照合同约定履行而产生的违约金。</w:t>
      </w:r>
      <w:r>
        <w:rPr>
          <w:rFonts w:hint="eastAsia" w:ascii="仿宋" w:hAnsi="仿宋" w:eastAsia="仿宋" w:cs="仿宋"/>
          <w:color w:val="auto"/>
          <w:sz w:val="21"/>
          <w:szCs w:val="21"/>
          <w:highlight w:val="none"/>
          <w:u w:val="single"/>
          <w:lang w:val="zh-CN"/>
        </w:rPr>
        <w:t>。</w:t>
      </w:r>
    </w:p>
    <w:p w14:paraId="5E94A107">
      <w:pPr>
        <w:pStyle w:val="31"/>
        <w:rPr>
          <w:rFonts w:hint="eastAsia"/>
          <w:color w:val="auto"/>
          <w:highlight w:val="none"/>
          <w:lang w:val="en-GB"/>
        </w:rPr>
      </w:pPr>
    </w:p>
    <w:p w14:paraId="46EE1594">
      <w:pPr>
        <w:keepNext w:val="0"/>
        <w:keepLines w:val="0"/>
        <w:pageBreakBefore w:val="0"/>
        <w:widowControl w:val="0"/>
        <w:kinsoku/>
        <w:wordWrap/>
        <w:overflowPunct/>
        <w:topLinePunct w:val="0"/>
        <w:autoSpaceDE/>
        <w:autoSpaceDN/>
        <w:bidi w:val="0"/>
        <w:adjustRightInd w:val="0"/>
        <w:snapToGrid/>
        <w:spacing w:line="360" w:lineRule="auto"/>
        <w:ind w:left="0" w:leftChars="0" w:right="0" w:rightChars="0" w:firstLine="420" w:firstLineChars="200"/>
        <w:jc w:val="left"/>
        <w:textAlignment w:val="auto"/>
        <w:outlineLvl w:val="9"/>
        <w:rPr>
          <w:rFonts w:hint="eastAsia" w:ascii="仿宋" w:hAnsi="仿宋" w:eastAsia="仿宋" w:cs="仿宋"/>
          <w:color w:val="auto"/>
          <w:sz w:val="21"/>
          <w:szCs w:val="21"/>
          <w:highlight w:val="none"/>
          <w:u w:val="single"/>
        </w:rPr>
      </w:pPr>
      <w:r>
        <w:rPr>
          <w:rFonts w:hint="eastAsia" w:ascii="仿宋" w:hAnsi="仿宋" w:eastAsia="仿宋" w:cs="仿宋"/>
          <w:color w:val="auto"/>
          <w:sz w:val="21"/>
          <w:szCs w:val="21"/>
          <w:highlight w:val="none"/>
        </w:rPr>
        <w:t>1.7.1 服务实施的期限：</w:t>
      </w:r>
      <w:r>
        <w:rPr>
          <w:rFonts w:hint="eastAsia" w:ascii="仿宋" w:hAnsi="仿宋" w:eastAsia="仿宋" w:cs="仿宋"/>
          <w:color w:val="auto"/>
          <w:sz w:val="21"/>
          <w:szCs w:val="21"/>
          <w:highlight w:val="none"/>
          <w:u w:val="single"/>
          <w:lang w:val="en-US" w:eastAsia="zh-CN"/>
        </w:rPr>
        <w:t xml:space="preserve"> 2025年7月28日-2026年7月27日。</w:t>
      </w:r>
    </w:p>
    <w:p w14:paraId="1EB2FAAA">
      <w:pPr>
        <w:keepNext w:val="0"/>
        <w:keepLines w:val="0"/>
        <w:pageBreakBefore w:val="0"/>
        <w:widowControl w:val="0"/>
        <w:kinsoku/>
        <w:wordWrap/>
        <w:overflowPunct/>
        <w:topLinePunct w:val="0"/>
        <w:autoSpaceDE/>
        <w:autoSpaceDN/>
        <w:bidi w:val="0"/>
        <w:adjustRightInd w:val="0"/>
        <w:snapToGrid/>
        <w:spacing w:line="360" w:lineRule="auto"/>
        <w:ind w:left="0" w:leftChars="0" w:right="0" w:rightChars="0" w:firstLine="420" w:firstLineChars="200"/>
        <w:jc w:val="left"/>
        <w:textAlignment w:val="auto"/>
        <w:outlineLvl w:val="9"/>
        <w:rPr>
          <w:rFonts w:hint="eastAsia" w:ascii="仿宋" w:hAnsi="仿宋" w:eastAsia="仿宋" w:cs="仿宋"/>
          <w:color w:val="auto"/>
          <w:sz w:val="21"/>
          <w:szCs w:val="21"/>
          <w:highlight w:val="none"/>
          <w:u w:val="single"/>
          <w:lang w:val="en-GB"/>
        </w:rPr>
      </w:pPr>
      <w:r>
        <w:rPr>
          <w:rFonts w:hint="eastAsia" w:ascii="仿宋" w:hAnsi="仿宋" w:eastAsia="仿宋" w:cs="仿宋"/>
          <w:color w:val="auto"/>
          <w:sz w:val="21"/>
          <w:szCs w:val="21"/>
          <w:highlight w:val="none"/>
        </w:rPr>
        <w:t>1.7.2 服务实施的地点：</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_GB2312"/>
          <w:color w:val="auto"/>
          <w:szCs w:val="21"/>
          <w:highlight w:val="none"/>
          <w:u w:val="single"/>
        </w:rPr>
        <w:t>杭州市公安局刑事侦查支队及其指定地点</w:t>
      </w:r>
      <w:r>
        <w:rPr>
          <w:rFonts w:hint="eastAsia" w:ascii="仿宋" w:hAnsi="仿宋" w:eastAsia="仿宋" w:cs="仿宋"/>
          <w:color w:val="auto"/>
          <w:sz w:val="21"/>
          <w:szCs w:val="21"/>
          <w:highlight w:val="none"/>
          <w:u w:val="single"/>
          <w:lang w:val="en-GB"/>
        </w:rPr>
        <w:t>。</w:t>
      </w:r>
    </w:p>
    <w:p w14:paraId="717A75A5">
      <w:pPr>
        <w:keepNext w:val="0"/>
        <w:keepLines w:val="0"/>
        <w:pageBreakBefore w:val="0"/>
        <w:widowControl w:val="0"/>
        <w:kinsoku/>
        <w:wordWrap/>
        <w:overflowPunct/>
        <w:topLinePunct w:val="0"/>
        <w:autoSpaceDE/>
        <w:autoSpaceDN/>
        <w:bidi w:val="0"/>
        <w:adjustRightInd w:val="0"/>
        <w:snapToGrid/>
        <w:spacing w:line="360" w:lineRule="auto"/>
        <w:ind w:left="0" w:leftChars="0" w:right="0" w:rightChars="0" w:firstLine="420" w:firstLineChars="200"/>
        <w:jc w:val="left"/>
        <w:textAlignment w:val="auto"/>
        <w:outlineLvl w:val="9"/>
        <w:rPr>
          <w:rFonts w:hint="eastAsia" w:ascii="仿宋" w:hAnsi="仿宋" w:eastAsia="仿宋" w:cs="仿宋"/>
          <w:color w:val="auto"/>
          <w:sz w:val="21"/>
          <w:szCs w:val="21"/>
          <w:highlight w:val="none"/>
          <w:u w:val="single"/>
        </w:rPr>
      </w:pPr>
      <w:r>
        <w:rPr>
          <w:rFonts w:hint="eastAsia" w:ascii="仿宋" w:hAnsi="仿宋" w:eastAsia="仿宋" w:cs="仿宋"/>
          <w:color w:val="auto"/>
          <w:sz w:val="21"/>
          <w:szCs w:val="21"/>
          <w:highlight w:val="none"/>
          <w:u w:val="none"/>
          <w:lang w:val="en-GB"/>
        </w:rPr>
        <w:t>1.7.3 服务实施的方式：</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bCs/>
          <w:iCs/>
          <w:color w:val="auto"/>
          <w:szCs w:val="21"/>
          <w:highlight w:val="none"/>
          <w:u w:val="single"/>
        </w:rPr>
        <w:t>按项目服务要求及本项目服务需求提供服务</w:t>
      </w:r>
      <w:r>
        <w:rPr>
          <w:rFonts w:hint="eastAsia" w:ascii="仿宋" w:hAnsi="仿宋" w:eastAsia="仿宋" w:cs="仿宋"/>
          <w:color w:val="auto"/>
          <w:sz w:val="21"/>
          <w:szCs w:val="21"/>
          <w:highlight w:val="none"/>
          <w:u w:val="single"/>
        </w:rPr>
        <w:t>。</w:t>
      </w:r>
    </w:p>
    <w:p w14:paraId="288606D8">
      <w:pPr>
        <w:keepNext w:val="0"/>
        <w:keepLines w:val="0"/>
        <w:pageBreakBefore w:val="0"/>
        <w:widowControl w:val="0"/>
        <w:kinsoku/>
        <w:wordWrap/>
        <w:overflowPunct/>
        <w:topLinePunct w:val="0"/>
        <w:autoSpaceDE/>
        <w:autoSpaceDN/>
        <w:bidi w:val="0"/>
        <w:adjustRightInd w:val="0"/>
        <w:snapToGrid/>
        <w:spacing w:line="360" w:lineRule="auto"/>
        <w:ind w:left="0" w:leftChars="0" w:right="0" w:rightChars="0" w:firstLine="420" w:firstLineChars="200"/>
        <w:jc w:val="left"/>
        <w:textAlignment w:val="auto"/>
        <w:outlineLvl w:val="9"/>
        <w:rPr>
          <w:rFonts w:hint="eastAsia" w:ascii="仿宋" w:hAnsi="仿宋" w:eastAsia="仿宋" w:cs="仿宋"/>
          <w:color w:val="auto"/>
          <w:sz w:val="21"/>
          <w:szCs w:val="21"/>
          <w:highlight w:val="none"/>
          <w:u w:val="none"/>
          <w:lang w:val="en-GB"/>
        </w:rPr>
      </w:pPr>
      <w:r>
        <w:rPr>
          <w:rFonts w:hint="eastAsia" w:ascii="仿宋" w:hAnsi="仿宋" w:eastAsia="仿宋" w:cs="仿宋"/>
          <w:color w:val="auto"/>
          <w:sz w:val="21"/>
          <w:szCs w:val="21"/>
          <w:highlight w:val="none"/>
          <w:u w:val="none"/>
          <w:lang w:val="en-GB"/>
        </w:rPr>
        <w:t>1.8.7违约责任：</w:t>
      </w:r>
    </w:p>
    <w:p w14:paraId="7344616A">
      <w:pPr>
        <w:snapToGrid w:val="0"/>
        <w:spacing w:line="360" w:lineRule="auto"/>
        <w:ind w:firstLine="420" w:firstLineChars="200"/>
        <w:jc w:val="left"/>
        <w:rPr>
          <w:rFonts w:ascii="仿宋" w:hAnsi="仿宋" w:eastAsia="仿宋"/>
          <w:color w:val="auto"/>
          <w:szCs w:val="21"/>
          <w:highlight w:val="none"/>
          <w:u w:val="single"/>
        </w:rPr>
      </w:pPr>
      <w:r>
        <w:rPr>
          <w:rFonts w:hint="eastAsia" w:ascii="仿宋" w:hAnsi="仿宋" w:eastAsia="仿宋"/>
          <w:color w:val="auto"/>
          <w:szCs w:val="21"/>
          <w:highlight w:val="none"/>
          <w:u w:val="single"/>
        </w:rPr>
        <w:t>（1）乙方应完全按照甲方招标文件的要求和乙方投标文件及相关文件承诺完成本项目，因乙方自身财务、技术、人力等原因导致项目风险的，应承担全部责任。</w:t>
      </w:r>
    </w:p>
    <w:p w14:paraId="3902F103">
      <w:pPr>
        <w:snapToGrid w:val="0"/>
        <w:spacing w:line="360" w:lineRule="auto"/>
        <w:ind w:firstLine="420" w:firstLineChars="200"/>
        <w:jc w:val="left"/>
        <w:rPr>
          <w:rFonts w:ascii="仿宋" w:hAnsi="仿宋" w:eastAsia="仿宋"/>
          <w:color w:val="auto"/>
          <w:szCs w:val="21"/>
          <w:highlight w:val="none"/>
          <w:u w:val="single"/>
        </w:rPr>
      </w:pPr>
      <w:r>
        <w:rPr>
          <w:rFonts w:hint="eastAsia" w:ascii="仿宋" w:hAnsi="仿宋" w:eastAsia="仿宋"/>
          <w:color w:val="auto"/>
          <w:szCs w:val="21"/>
          <w:highlight w:val="none"/>
          <w:u w:val="single"/>
        </w:rPr>
        <w:t>（2）甲方有权依据有关法律法规、政府管理的相关职能规定，对本项目进行监督和检查，有权要求乙方按照监督检查情况制定相应措施并加以整改。甲方不因行使该监督和检查权而承担任何责任，也不因此减轻或免除乙方根据合同约定或相关法律法规规定应承担的任何义务或责任。</w:t>
      </w:r>
    </w:p>
    <w:p w14:paraId="247C82C7">
      <w:pPr>
        <w:snapToGrid w:val="0"/>
        <w:spacing w:line="360" w:lineRule="auto"/>
        <w:ind w:firstLine="420" w:firstLineChars="200"/>
        <w:jc w:val="left"/>
        <w:rPr>
          <w:rFonts w:ascii="仿宋" w:hAnsi="仿宋" w:eastAsia="仿宋"/>
          <w:color w:val="auto"/>
          <w:szCs w:val="21"/>
          <w:highlight w:val="none"/>
          <w:u w:val="single"/>
        </w:rPr>
      </w:pPr>
      <w:bookmarkStart w:id="525" w:name="_Hlk93664418"/>
      <w:r>
        <w:rPr>
          <w:rFonts w:hint="eastAsia" w:ascii="仿宋" w:hAnsi="仿宋" w:eastAsia="仿宋"/>
          <w:iCs/>
          <w:color w:val="auto"/>
          <w:szCs w:val="21"/>
          <w:highlight w:val="none"/>
          <w:u w:val="single"/>
        </w:rPr>
        <w:t>（3）</w:t>
      </w:r>
      <w:r>
        <w:rPr>
          <w:rFonts w:hint="eastAsia" w:ascii="仿宋" w:hAnsi="仿宋" w:eastAsia="仿宋"/>
          <w:color w:val="auto"/>
          <w:szCs w:val="21"/>
          <w:highlight w:val="none"/>
          <w:u w:val="single"/>
        </w:rPr>
        <w:t>除不可抗力外，如果乙方没有按照本合同约定的期限、地点和方式提供服务，那么甲方可要求乙方支付违约金，违约金按每迟延提供服务一日的应提供而未提供服务价格的</w:t>
      </w:r>
      <w:r>
        <w:rPr>
          <w:rFonts w:ascii="仿宋" w:hAnsi="仿宋" w:eastAsia="仿宋"/>
          <w:color w:val="auto"/>
          <w:szCs w:val="21"/>
          <w:highlight w:val="none"/>
          <w:u w:val="single"/>
        </w:rPr>
        <w:t>0.05%计算，最高限额为本合同总价的20%；迟延提供服务的违约金计算数额达到前述最高限额之日起，甲方有权在要求乙方支付违约金的同时，书面通知乙方解除本合同。</w:t>
      </w:r>
    </w:p>
    <w:p w14:paraId="13790FF9">
      <w:pPr>
        <w:snapToGrid w:val="0"/>
        <w:spacing w:line="360" w:lineRule="auto"/>
        <w:ind w:firstLine="420" w:firstLineChars="200"/>
        <w:jc w:val="left"/>
        <w:rPr>
          <w:rFonts w:ascii="仿宋" w:hAnsi="仿宋" w:eastAsia="仿宋"/>
          <w:iCs/>
          <w:color w:val="auto"/>
          <w:szCs w:val="21"/>
          <w:highlight w:val="none"/>
          <w:u w:val="single"/>
        </w:rPr>
      </w:pPr>
      <w:r>
        <w:rPr>
          <w:rFonts w:hint="eastAsia" w:ascii="仿宋" w:hAnsi="仿宋" w:eastAsia="仿宋"/>
          <w:iCs/>
          <w:color w:val="auto"/>
          <w:szCs w:val="21"/>
          <w:highlight w:val="none"/>
          <w:u w:val="single"/>
        </w:rPr>
        <w:t>（</w:t>
      </w:r>
      <w:r>
        <w:rPr>
          <w:rFonts w:ascii="仿宋" w:hAnsi="仿宋" w:eastAsia="仿宋"/>
          <w:iCs/>
          <w:color w:val="auto"/>
          <w:szCs w:val="21"/>
          <w:highlight w:val="none"/>
          <w:u w:val="single"/>
        </w:rPr>
        <w:t>4</w:t>
      </w:r>
      <w:r>
        <w:rPr>
          <w:rFonts w:hint="eastAsia" w:ascii="仿宋" w:hAnsi="仿宋" w:eastAsia="仿宋"/>
          <w:iCs/>
          <w:color w:val="auto"/>
          <w:szCs w:val="21"/>
          <w:highlight w:val="none"/>
          <w:u w:val="single"/>
        </w:rPr>
        <w:t>）除不可抗力外，如果甲方没有按照本合同约定的付款方式付款，那么乙方可要求甲方支付违约金，违约金按每迟延付款一日的应付而未付款的0.05</w:t>
      </w:r>
      <w:r>
        <w:rPr>
          <w:rFonts w:ascii="仿宋" w:hAnsi="仿宋" w:eastAsia="仿宋"/>
          <w:iCs/>
          <w:color w:val="auto"/>
          <w:szCs w:val="21"/>
          <w:highlight w:val="none"/>
          <w:u w:val="single"/>
        </w:rPr>
        <w:t>%计算，最高限额为本合同总价的</w:t>
      </w:r>
      <w:r>
        <w:rPr>
          <w:rFonts w:hint="eastAsia" w:ascii="仿宋" w:hAnsi="仿宋" w:eastAsia="仿宋"/>
          <w:iCs/>
          <w:color w:val="auto"/>
          <w:szCs w:val="21"/>
          <w:highlight w:val="none"/>
          <w:u w:val="single"/>
        </w:rPr>
        <w:t>20</w:t>
      </w:r>
      <w:r>
        <w:rPr>
          <w:rFonts w:ascii="仿宋" w:hAnsi="仿宋" w:eastAsia="仿宋"/>
          <w:iCs/>
          <w:color w:val="auto"/>
          <w:szCs w:val="21"/>
          <w:highlight w:val="none"/>
          <w:u w:val="single"/>
        </w:rPr>
        <w:t>%；迟延付款的违约金计算数额达到前述最高限额之日起，乙方有权在要求甲方支付违约金的同时，书面通知甲方解除本合同；</w:t>
      </w:r>
    </w:p>
    <w:p w14:paraId="6010C46F">
      <w:pPr>
        <w:snapToGrid w:val="0"/>
        <w:spacing w:line="360" w:lineRule="auto"/>
        <w:ind w:firstLine="420" w:firstLineChars="200"/>
        <w:jc w:val="left"/>
        <w:rPr>
          <w:rFonts w:ascii="仿宋" w:hAnsi="仿宋" w:eastAsia="仿宋"/>
          <w:iCs/>
          <w:color w:val="auto"/>
          <w:szCs w:val="21"/>
          <w:highlight w:val="none"/>
          <w:u w:val="single"/>
        </w:rPr>
      </w:pPr>
      <w:r>
        <w:rPr>
          <w:rFonts w:hint="eastAsia" w:ascii="仿宋" w:hAnsi="仿宋" w:eastAsia="仿宋"/>
          <w:iCs/>
          <w:color w:val="auto"/>
          <w:szCs w:val="21"/>
          <w:highlight w:val="none"/>
          <w:u w:val="single"/>
        </w:rPr>
        <w:t>（</w:t>
      </w:r>
      <w:r>
        <w:rPr>
          <w:rFonts w:ascii="仿宋" w:hAnsi="仿宋" w:eastAsia="仿宋"/>
          <w:iCs/>
          <w:color w:val="auto"/>
          <w:szCs w:val="21"/>
          <w:highlight w:val="none"/>
          <w:u w:val="single"/>
        </w:rPr>
        <w:t>5</w:t>
      </w:r>
      <w:r>
        <w:rPr>
          <w:rFonts w:hint="eastAsia" w:ascii="仿宋" w:hAnsi="仿宋" w:eastAsia="仿宋"/>
          <w:iCs/>
          <w:color w:val="auto"/>
          <w:szCs w:val="21"/>
          <w:highlight w:val="none"/>
          <w:u w:val="single"/>
        </w:rPr>
        <w:t>）乙方每延迟一日缴纳履约保证金，违约金则按应缴纳的履约保证金金额的</w:t>
      </w:r>
      <w:r>
        <w:rPr>
          <w:rFonts w:ascii="仿宋" w:hAnsi="仿宋" w:eastAsia="仿宋"/>
          <w:iCs/>
          <w:color w:val="auto"/>
          <w:szCs w:val="21"/>
          <w:highlight w:val="none"/>
          <w:u w:val="single"/>
        </w:rPr>
        <w:t>0.05%计算，最高限额为本合同履约保证金的20%；乙方逾期10日，未按要求缴纳履约保证金的，甲方有权单方面解除合同，并就由此造成的一切损失均由乙方负责赔偿</w:t>
      </w:r>
      <w:r>
        <w:rPr>
          <w:rFonts w:hint="eastAsia" w:ascii="仿宋" w:hAnsi="仿宋" w:eastAsia="仿宋"/>
          <w:iCs/>
          <w:color w:val="auto"/>
          <w:szCs w:val="21"/>
          <w:highlight w:val="none"/>
          <w:u w:val="single"/>
        </w:rPr>
        <w:t>。服务期满，通过验收，甲方于收到乙方退还履约保证金申请之日起</w:t>
      </w:r>
      <w:r>
        <w:rPr>
          <w:rFonts w:ascii="仿宋" w:hAnsi="仿宋" w:eastAsia="仿宋"/>
          <w:iCs/>
          <w:color w:val="auto"/>
          <w:szCs w:val="21"/>
          <w:highlight w:val="none"/>
          <w:u w:val="single"/>
        </w:rPr>
        <w:t>5个工作日内凭双方签字盖章的验收意见，退还</w:t>
      </w:r>
      <w:r>
        <w:rPr>
          <w:rFonts w:hint="eastAsia" w:ascii="仿宋" w:hAnsi="仿宋" w:eastAsia="仿宋"/>
          <w:iCs/>
          <w:color w:val="auto"/>
          <w:szCs w:val="21"/>
          <w:highlight w:val="none"/>
          <w:u w:val="single"/>
        </w:rPr>
        <w:t>乙方履约保证金。逾期退还的，乙方可要求甲方支付违约金，违约金按每迟延退还一日的应退还而未退还金额的</w:t>
      </w:r>
      <w:r>
        <w:rPr>
          <w:rFonts w:ascii="仿宋" w:hAnsi="仿宋" w:eastAsia="仿宋"/>
          <w:iCs/>
          <w:color w:val="auto"/>
          <w:szCs w:val="21"/>
          <w:highlight w:val="none"/>
          <w:u w:val="single"/>
        </w:rPr>
        <w:t>0.05%计算，最高限额为本合同履约保证金的20%。</w:t>
      </w:r>
    </w:p>
    <w:p w14:paraId="61001E33">
      <w:pPr>
        <w:snapToGrid w:val="0"/>
        <w:spacing w:line="360" w:lineRule="auto"/>
        <w:ind w:firstLine="420" w:firstLineChars="200"/>
        <w:jc w:val="left"/>
        <w:rPr>
          <w:rFonts w:ascii="仿宋" w:hAnsi="仿宋" w:eastAsia="仿宋"/>
          <w:iCs/>
          <w:color w:val="auto"/>
          <w:szCs w:val="21"/>
          <w:highlight w:val="none"/>
          <w:u w:val="single"/>
        </w:rPr>
      </w:pPr>
      <w:r>
        <w:rPr>
          <w:rFonts w:hint="eastAsia" w:ascii="仿宋" w:hAnsi="仿宋" w:eastAsia="仿宋"/>
          <w:iCs/>
          <w:color w:val="auto"/>
          <w:szCs w:val="21"/>
          <w:highlight w:val="none"/>
          <w:u w:val="single"/>
        </w:rPr>
        <w:t>（</w:t>
      </w:r>
      <w:r>
        <w:rPr>
          <w:rFonts w:ascii="仿宋" w:hAnsi="仿宋" w:eastAsia="仿宋"/>
          <w:iCs/>
          <w:color w:val="auto"/>
          <w:szCs w:val="21"/>
          <w:highlight w:val="none"/>
          <w:u w:val="single"/>
        </w:rPr>
        <w:t>6）乙方擅自将本合同的全部或部分事务转由第三人</w:t>
      </w:r>
      <w:r>
        <w:rPr>
          <w:rFonts w:hint="eastAsia" w:ascii="仿宋" w:hAnsi="仿宋" w:eastAsia="仿宋"/>
          <w:iCs/>
          <w:color w:val="auto"/>
          <w:szCs w:val="21"/>
          <w:highlight w:val="none"/>
          <w:u w:val="single"/>
        </w:rPr>
        <w:t>（</w:t>
      </w:r>
      <w:r>
        <w:rPr>
          <w:rFonts w:hint="eastAsia" w:ascii="仿宋" w:hAnsi="仿宋" w:eastAsia="仿宋" w:cs="仿宋"/>
          <w:color w:val="auto"/>
          <w:sz w:val="21"/>
          <w:szCs w:val="21"/>
          <w:highlight w:val="none"/>
          <w:u w:val="single"/>
          <w:lang w:val="en-GB"/>
        </w:rPr>
        <w:t>经</w:t>
      </w:r>
      <w:r>
        <w:rPr>
          <w:rFonts w:hint="eastAsia" w:ascii="仿宋" w:hAnsi="仿宋" w:eastAsia="仿宋" w:cs="仿宋"/>
          <w:color w:val="auto"/>
          <w:sz w:val="21"/>
          <w:szCs w:val="21"/>
          <w:highlight w:val="none"/>
          <w:u w:val="single"/>
          <w:lang w:val="en-GB" w:eastAsia="zh-CN"/>
        </w:rPr>
        <w:t>甲方</w:t>
      </w:r>
      <w:r>
        <w:rPr>
          <w:rFonts w:hint="eastAsia" w:ascii="仿宋" w:hAnsi="仿宋" w:eastAsia="仿宋" w:cs="仿宋"/>
          <w:color w:val="auto"/>
          <w:sz w:val="21"/>
          <w:szCs w:val="21"/>
          <w:highlight w:val="none"/>
          <w:u w:val="single"/>
          <w:lang w:val="en-US" w:eastAsia="zh-CN"/>
        </w:rPr>
        <w:t>书面</w:t>
      </w:r>
      <w:r>
        <w:rPr>
          <w:rFonts w:hint="eastAsia" w:ascii="仿宋" w:hAnsi="仿宋" w:eastAsia="仿宋" w:cs="仿宋"/>
          <w:color w:val="auto"/>
          <w:sz w:val="21"/>
          <w:szCs w:val="21"/>
          <w:highlight w:val="none"/>
          <w:u w:val="single"/>
          <w:lang w:val="en-GB"/>
        </w:rPr>
        <w:t>同意的分包人除外</w:t>
      </w:r>
      <w:r>
        <w:rPr>
          <w:rFonts w:hint="eastAsia" w:ascii="仿宋" w:hAnsi="仿宋" w:eastAsia="仿宋"/>
          <w:iCs/>
          <w:color w:val="auto"/>
          <w:szCs w:val="21"/>
          <w:highlight w:val="none"/>
          <w:u w:val="single"/>
        </w:rPr>
        <w:t>）</w:t>
      </w:r>
      <w:r>
        <w:rPr>
          <w:rFonts w:ascii="仿宋" w:hAnsi="仿宋" w:eastAsia="仿宋"/>
          <w:iCs/>
          <w:color w:val="auto"/>
          <w:szCs w:val="21"/>
          <w:highlight w:val="none"/>
          <w:u w:val="single"/>
        </w:rPr>
        <w:t>承担，甲方可解除本合同，且乙方应按合同总价的30％向甲方支付违约金。如发生损失的，乙方还应赔偿甲方损失</w:t>
      </w:r>
      <w:r>
        <w:rPr>
          <w:rFonts w:hint="eastAsia" w:ascii="仿宋" w:hAnsi="仿宋" w:eastAsia="仿宋"/>
          <w:iCs/>
          <w:color w:val="auto"/>
          <w:szCs w:val="21"/>
          <w:highlight w:val="none"/>
          <w:u w:val="single"/>
        </w:rPr>
        <w:t>，赔偿金额不受合同总价限制</w:t>
      </w:r>
      <w:r>
        <w:rPr>
          <w:rFonts w:ascii="仿宋" w:hAnsi="仿宋" w:eastAsia="仿宋"/>
          <w:iCs/>
          <w:color w:val="auto"/>
          <w:szCs w:val="21"/>
          <w:highlight w:val="none"/>
          <w:u w:val="single"/>
        </w:rPr>
        <w:t>。</w:t>
      </w:r>
    </w:p>
    <w:p w14:paraId="067FBBB7">
      <w:pPr>
        <w:snapToGrid w:val="0"/>
        <w:spacing w:line="360" w:lineRule="auto"/>
        <w:ind w:firstLine="420" w:firstLineChars="200"/>
        <w:jc w:val="left"/>
        <w:rPr>
          <w:rFonts w:ascii="仿宋" w:hAnsi="仿宋" w:eastAsia="仿宋"/>
          <w:color w:val="auto"/>
          <w:szCs w:val="21"/>
          <w:highlight w:val="none"/>
          <w:u w:val="single"/>
        </w:rPr>
      </w:pPr>
      <w:r>
        <w:rPr>
          <w:rFonts w:hint="eastAsia" w:ascii="仿宋" w:hAnsi="仿宋" w:eastAsia="仿宋"/>
          <w:color w:val="auto"/>
          <w:szCs w:val="21"/>
          <w:highlight w:val="none"/>
          <w:u w:val="single"/>
        </w:rPr>
        <w:t>（</w:t>
      </w:r>
      <w:r>
        <w:rPr>
          <w:rFonts w:ascii="仿宋" w:hAnsi="仿宋" w:eastAsia="仿宋"/>
          <w:color w:val="auto"/>
          <w:szCs w:val="21"/>
          <w:highlight w:val="none"/>
          <w:u w:val="single"/>
        </w:rPr>
        <w:t>7</w:t>
      </w:r>
      <w:r>
        <w:rPr>
          <w:rFonts w:hint="eastAsia" w:ascii="仿宋" w:hAnsi="仿宋" w:eastAsia="仿宋"/>
          <w:color w:val="auto"/>
          <w:szCs w:val="21"/>
          <w:highlight w:val="none"/>
          <w:u w:val="single"/>
        </w:rPr>
        <w:t>）乙方所有人员的事故和因乙方工作过错造成的安全管理事故，乙方自行负全部责任及相关费用。</w:t>
      </w:r>
    </w:p>
    <w:p w14:paraId="7A166AD3">
      <w:pPr>
        <w:snapToGrid w:val="0"/>
        <w:spacing w:line="360" w:lineRule="auto"/>
        <w:ind w:firstLine="420" w:firstLineChars="200"/>
        <w:jc w:val="left"/>
        <w:rPr>
          <w:rFonts w:ascii="仿宋" w:hAnsi="仿宋" w:eastAsia="仿宋"/>
          <w:color w:val="auto"/>
          <w:szCs w:val="21"/>
          <w:highlight w:val="none"/>
          <w:u w:val="single"/>
        </w:rPr>
      </w:pPr>
      <w:bookmarkStart w:id="526" w:name="_Hlk119428876"/>
      <w:r>
        <w:rPr>
          <w:rFonts w:hint="eastAsia" w:ascii="仿宋" w:hAnsi="仿宋" w:eastAsia="仿宋"/>
          <w:color w:val="auto"/>
          <w:szCs w:val="21"/>
          <w:highlight w:val="none"/>
          <w:u w:val="single"/>
        </w:rPr>
        <w:t>（</w:t>
      </w:r>
      <w:r>
        <w:rPr>
          <w:rFonts w:ascii="仿宋" w:hAnsi="仿宋" w:eastAsia="仿宋"/>
          <w:color w:val="auto"/>
          <w:szCs w:val="21"/>
          <w:highlight w:val="none"/>
          <w:u w:val="single"/>
        </w:rPr>
        <w:t>8</w:t>
      </w:r>
      <w:r>
        <w:rPr>
          <w:rFonts w:hint="eastAsia" w:ascii="仿宋" w:hAnsi="仿宋" w:eastAsia="仿宋"/>
          <w:color w:val="auto"/>
          <w:szCs w:val="21"/>
          <w:highlight w:val="none"/>
          <w:u w:val="single"/>
        </w:rPr>
        <w:t>）乙方未按网络安全履行责任和义务的，每发生一次扣除违约金</w:t>
      </w:r>
      <w:r>
        <w:rPr>
          <w:rFonts w:ascii="仿宋" w:hAnsi="仿宋" w:eastAsia="仿宋"/>
          <w:color w:val="auto"/>
          <w:szCs w:val="21"/>
          <w:highlight w:val="none"/>
          <w:u w:val="single"/>
        </w:rPr>
        <w:t>10000元。</w:t>
      </w:r>
      <w:r>
        <w:rPr>
          <w:rFonts w:hint="eastAsia" w:ascii="仿宋" w:hAnsi="仿宋" w:eastAsia="仿宋"/>
          <w:color w:val="auto"/>
          <w:szCs w:val="21"/>
          <w:highlight w:val="none"/>
          <w:u w:val="single"/>
        </w:rPr>
        <w:t>未按保密管理条款规定执行的，每发现一次处违约金</w:t>
      </w:r>
      <w:r>
        <w:rPr>
          <w:rFonts w:ascii="仿宋" w:hAnsi="仿宋" w:eastAsia="仿宋"/>
          <w:color w:val="auto"/>
          <w:szCs w:val="21"/>
          <w:highlight w:val="none"/>
          <w:u w:val="single"/>
        </w:rPr>
        <w:t>10000元，如发生泄密事件，除赔偿</w:t>
      </w:r>
      <w:r>
        <w:rPr>
          <w:rFonts w:hint="eastAsia" w:ascii="仿宋" w:hAnsi="仿宋" w:eastAsia="仿宋"/>
          <w:color w:val="auto"/>
          <w:szCs w:val="21"/>
          <w:highlight w:val="none"/>
          <w:u w:val="single"/>
        </w:rPr>
        <w:t>甲方损失外，还应承担全部法律责任。</w:t>
      </w:r>
      <w:bookmarkEnd w:id="526"/>
    </w:p>
    <w:p w14:paraId="7E924839">
      <w:pPr>
        <w:snapToGrid w:val="0"/>
        <w:spacing w:line="360" w:lineRule="auto"/>
        <w:ind w:firstLine="420" w:firstLineChars="200"/>
        <w:jc w:val="left"/>
        <w:rPr>
          <w:rFonts w:ascii="仿宋" w:hAnsi="仿宋" w:eastAsia="仿宋"/>
          <w:color w:val="auto"/>
          <w:szCs w:val="21"/>
          <w:highlight w:val="none"/>
          <w:u w:val="single"/>
        </w:rPr>
      </w:pPr>
      <w:r>
        <w:rPr>
          <w:rFonts w:hint="eastAsia" w:ascii="仿宋" w:hAnsi="仿宋" w:eastAsia="仿宋"/>
          <w:color w:val="auto"/>
          <w:szCs w:val="21"/>
          <w:highlight w:val="none"/>
          <w:u w:val="single"/>
        </w:rPr>
        <w:t>（</w:t>
      </w:r>
      <w:r>
        <w:rPr>
          <w:rFonts w:ascii="仿宋" w:hAnsi="仿宋" w:eastAsia="仿宋"/>
          <w:color w:val="auto"/>
          <w:szCs w:val="21"/>
          <w:highlight w:val="none"/>
          <w:u w:val="single"/>
        </w:rPr>
        <w:t>9）</w:t>
      </w:r>
      <w:r>
        <w:rPr>
          <w:rFonts w:hint="eastAsia" w:ascii="仿宋" w:hAnsi="仿宋" w:eastAsia="仿宋"/>
          <w:color w:val="auto"/>
          <w:szCs w:val="21"/>
          <w:highlight w:val="none"/>
          <w:u w:val="single"/>
        </w:rPr>
        <w:t>本项目履约过程中，乙方按承诺进行合同分包，分包意向协议内中小企业合同金额应当达到</w:t>
      </w:r>
      <w:r>
        <w:rPr>
          <w:rFonts w:ascii="仿宋" w:hAnsi="仿宋" w:eastAsia="仿宋"/>
          <w:color w:val="auto"/>
          <w:szCs w:val="21"/>
          <w:highlight w:val="none"/>
          <w:u w:val="single"/>
        </w:rPr>
        <w:t xml:space="preserve"> 40 % </w:t>
      </w:r>
      <w:r>
        <w:rPr>
          <w:rFonts w:hint="eastAsia" w:ascii="仿宋" w:hAnsi="仿宋" w:eastAsia="仿宋"/>
          <w:color w:val="auto"/>
          <w:szCs w:val="21"/>
          <w:highlight w:val="none"/>
          <w:u w:val="single"/>
        </w:rPr>
        <w:t>，小微企业合同金额应当达到</w:t>
      </w:r>
      <w:r>
        <w:rPr>
          <w:rFonts w:ascii="仿宋" w:hAnsi="仿宋" w:eastAsia="仿宋"/>
          <w:color w:val="auto"/>
          <w:szCs w:val="21"/>
          <w:highlight w:val="none"/>
          <w:u w:val="single"/>
        </w:rPr>
        <w:t xml:space="preserve"> 28 %，若未达到</w:t>
      </w:r>
      <w:r>
        <w:rPr>
          <w:rFonts w:hint="eastAsia" w:ascii="仿宋" w:hAnsi="仿宋" w:eastAsia="仿宋"/>
          <w:color w:val="auto"/>
          <w:szCs w:val="21"/>
          <w:highlight w:val="none"/>
          <w:u w:val="single"/>
        </w:rPr>
        <w:t>此</w:t>
      </w:r>
      <w:r>
        <w:rPr>
          <w:rFonts w:ascii="仿宋" w:hAnsi="仿宋" w:eastAsia="仿宋"/>
          <w:color w:val="auto"/>
          <w:szCs w:val="21"/>
          <w:highlight w:val="none"/>
          <w:u w:val="single"/>
        </w:rPr>
        <w:t>要求</w:t>
      </w:r>
      <w:r>
        <w:rPr>
          <w:rFonts w:hint="eastAsia" w:ascii="仿宋" w:hAnsi="仿宋" w:eastAsia="仿宋"/>
          <w:color w:val="auto"/>
          <w:szCs w:val="21"/>
          <w:highlight w:val="none"/>
          <w:u w:val="single"/>
        </w:rPr>
        <w:t>，甲方有权没收全部履约保证金，追究相关责任，且乙方应向甲方支付合同总价</w:t>
      </w:r>
      <w:r>
        <w:rPr>
          <w:rFonts w:ascii="仿宋" w:hAnsi="仿宋" w:eastAsia="仿宋"/>
          <w:color w:val="auto"/>
          <w:szCs w:val="21"/>
          <w:highlight w:val="none"/>
          <w:u w:val="single"/>
        </w:rPr>
        <w:t>30%的违约金。</w:t>
      </w:r>
    </w:p>
    <w:p w14:paraId="13923915">
      <w:pPr>
        <w:snapToGrid w:val="0"/>
        <w:spacing w:line="360" w:lineRule="auto"/>
        <w:ind w:firstLine="420" w:firstLineChars="200"/>
        <w:jc w:val="left"/>
        <w:rPr>
          <w:rFonts w:ascii="仿宋" w:hAnsi="仿宋" w:eastAsia="仿宋"/>
          <w:color w:val="auto"/>
          <w:szCs w:val="21"/>
          <w:highlight w:val="none"/>
          <w:u w:val="single"/>
        </w:rPr>
      </w:pPr>
      <w:r>
        <w:rPr>
          <w:rFonts w:hint="eastAsia" w:ascii="仿宋" w:hAnsi="仿宋" w:eastAsia="仿宋"/>
          <w:color w:val="auto"/>
          <w:szCs w:val="21"/>
          <w:highlight w:val="none"/>
          <w:u w:val="single"/>
        </w:rPr>
        <w:t>（</w:t>
      </w:r>
      <w:r>
        <w:rPr>
          <w:rFonts w:ascii="仿宋" w:hAnsi="仿宋" w:eastAsia="仿宋"/>
          <w:color w:val="auto"/>
          <w:szCs w:val="21"/>
          <w:highlight w:val="none"/>
          <w:u w:val="single"/>
        </w:rPr>
        <w:t>10</w:t>
      </w:r>
      <w:r>
        <w:rPr>
          <w:rFonts w:hint="eastAsia" w:ascii="仿宋" w:hAnsi="仿宋" w:eastAsia="仿宋"/>
          <w:color w:val="auto"/>
          <w:szCs w:val="21"/>
          <w:highlight w:val="none"/>
          <w:u w:val="single"/>
        </w:rPr>
        <w:t>）服务期间，甲方对乙方实施考核，如有违约的，根据考核条款（详见附件</w:t>
      </w:r>
      <w:r>
        <w:rPr>
          <w:rFonts w:hint="eastAsia" w:ascii="仿宋" w:hAnsi="仿宋" w:eastAsia="仿宋"/>
          <w:color w:val="auto"/>
          <w:szCs w:val="21"/>
          <w:highlight w:val="none"/>
          <w:u w:val="single"/>
          <w:lang w:val="en-US" w:eastAsia="zh-CN"/>
        </w:rPr>
        <w:t>三</w:t>
      </w:r>
      <w:r>
        <w:rPr>
          <w:rFonts w:hint="eastAsia" w:ascii="仿宋" w:hAnsi="仿宋" w:eastAsia="仿宋"/>
          <w:color w:val="auto"/>
          <w:szCs w:val="21"/>
          <w:highlight w:val="none"/>
          <w:u w:val="single"/>
        </w:rPr>
        <w:t>）进行处置，直至解除合同。</w:t>
      </w:r>
    </w:p>
    <w:bookmarkEnd w:id="525"/>
    <w:p w14:paraId="31412D31">
      <w:pPr>
        <w:snapToGrid w:val="0"/>
        <w:spacing w:line="360" w:lineRule="auto"/>
        <w:ind w:firstLine="420" w:firstLineChars="200"/>
        <w:jc w:val="left"/>
        <w:rPr>
          <w:rFonts w:ascii="仿宋" w:hAnsi="仿宋" w:eastAsia="仿宋"/>
          <w:color w:val="auto"/>
          <w:szCs w:val="21"/>
          <w:highlight w:val="none"/>
          <w:u w:val="single"/>
        </w:rPr>
      </w:pPr>
      <w:r>
        <w:rPr>
          <w:rFonts w:hint="eastAsia" w:ascii="仿宋" w:hAnsi="仿宋" w:eastAsia="仿宋"/>
          <w:color w:val="auto"/>
          <w:szCs w:val="21"/>
          <w:highlight w:val="none"/>
          <w:u w:val="single"/>
        </w:rPr>
        <w:t>（</w:t>
      </w:r>
      <w:r>
        <w:rPr>
          <w:rFonts w:ascii="仿宋" w:hAnsi="仿宋" w:eastAsia="仿宋"/>
          <w:color w:val="auto"/>
          <w:szCs w:val="21"/>
          <w:highlight w:val="none"/>
          <w:u w:val="single"/>
        </w:rPr>
        <w:t>11</w:t>
      </w:r>
      <w:r>
        <w:rPr>
          <w:rFonts w:hint="eastAsia" w:ascii="仿宋" w:hAnsi="仿宋" w:eastAsia="仿宋"/>
          <w:color w:val="auto"/>
          <w:szCs w:val="21"/>
          <w:highlight w:val="none"/>
          <w:u w:val="single"/>
        </w:rPr>
        <w:t>）违约金在结算合同尾款时一次性扣除。</w:t>
      </w:r>
    </w:p>
    <w:p w14:paraId="71C154CA">
      <w:pPr>
        <w:keepNext w:val="0"/>
        <w:keepLines w:val="0"/>
        <w:pageBreakBefore w:val="0"/>
        <w:kinsoku/>
        <w:wordWrap/>
        <w:overflowPunct/>
        <w:topLinePunct w:val="0"/>
        <w:bidi w:val="0"/>
        <w:snapToGrid/>
        <w:spacing w:line="360" w:lineRule="auto"/>
        <w:ind w:firstLine="422" w:firstLineChars="200"/>
        <w:outlineLvl w:val="9"/>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1.</w:t>
      </w:r>
      <w:r>
        <w:rPr>
          <w:rFonts w:hint="eastAsia" w:ascii="仿宋" w:hAnsi="仿宋" w:eastAsia="仿宋" w:cs="仿宋"/>
          <w:b/>
          <w:color w:val="auto"/>
          <w:sz w:val="21"/>
          <w:szCs w:val="21"/>
          <w:highlight w:val="none"/>
          <w:lang w:val="en-US" w:eastAsia="zh-CN"/>
        </w:rPr>
        <w:t>9</w:t>
      </w:r>
      <w:r>
        <w:rPr>
          <w:rFonts w:hint="eastAsia" w:ascii="仿宋" w:hAnsi="仿宋" w:eastAsia="仿宋" w:cs="仿宋"/>
          <w:b/>
          <w:color w:val="auto"/>
          <w:sz w:val="21"/>
          <w:szCs w:val="21"/>
          <w:highlight w:val="none"/>
        </w:rPr>
        <w:t>合同争议的解决</w:t>
      </w:r>
    </w:p>
    <w:p w14:paraId="4B84762B">
      <w:pPr>
        <w:keepNext w:val="0"/>
        <w:keepLines w:val="0"/>
        <w:pageBreakBefore w:val="0"/>
        <w:kinsoku/>
        <w:wordWrap/>
        <w:overflowPunct/>
        <w:topLinePunct w:val="0"/>
        <w:bidi w:val="0"/>
        <w:snapToGrid/>
        <w:spacing w:line="360" w:lineRule="auto"/>
        <w:ind w:firstLine="420" w:firstLineChars="200"/>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本合同履行过程中发生的任何争议，双方当事人均可通过和解或者调解解决；不愿和解、调解或者和解、调解不成的，可以选择以下第</w:t>
      </w:r>
      <w:r>
        <w:rPr>
          <w:rFonts w:hint="eastAsia" w:ascii="仿宋" w:hAnsi="仿宋" w:eastAsia="仿宋" w:cs="仿宋"/>
          <w:color w:val="auto"/>
          <w:sz w:val="21"/>
          <w:szCs w:val="21"/>
          <w:highlight w:val="none"/>
          <w:u w:val="single"/>
        </w:rPr>
        <w:t xml:space="preserve"> 1.</w:t>
      </w:r>
      <w:r>
        <w:rPr>
          <w:rFonts w:hint="eastAsia" w:ascii="仿宋" w:hAnsi="仿宋" w:eastAsia="仿宋" w:cs="仿宋"/>
          <w:color w:val="auto"/>
          <w:sz w:val="21"/>
          <w:szCs w:val="21"/>
          <w:highlight w:val="none"/>
          <w:u w:val="single"/>
          <w:lang w:val="en-US" w:eastAsia="zh-CN"/>
        </w:rPr>
        <w:t>9</w:t>
      </w:r>
      <w:r>
        <w:rPr>
          <w:rFonts w:hint="eastAsia" w:ascii="仿宋" w:hAnsi="仿宋" w:eastAsia="仿宋" w:cs="仿宋"/>
          <w:color w:val="auto"/>
          <w:sz w:val="21"/>
          <w:szCs w:val="21"/>
          <w:highlight w:val="none"/>
          <w:u w:val="single"/>
        </w:rPr>
        <w:t>.2条</w:t>
      </w:r>
      <w:r>
        <w:rPr>
          <w:rFonts w:hint="eastAsia" w:ascii="仿宋" w:hAnsi="仿宋" w:eastAsia="仿宋" w:cs="仿宋"/>
          <w:color w:val="auto"/>
          <w:sz w:val="21"/>
          <w:szCs w:val="21"/>
          <w:highlight w:val="none"/>
        </w:rPr>
        <w:t>款规定的方式解决：</w:t>
      </w:r>
    </w:p>
    <w:p w14:paraId="7C811E16">
      <w:pPr>
        <w:keepNext w:val="0"/>
        <w:keepLines w:val="0"/>
        <w:pageBreakBefore w:val="0"/>
        <w:kinsoku/>
        <w:wordWrap/>
        <w:overflowPunct/>
        <w:topLinePunct w:val="0"/>
        <w:bidi w:val="0"/>
        <w:snapToGrid/>
        <w:spacing w:line="360" w:lineRule="auto"/>
        <w:ind w:firstLine="420" w:firstLineChars="200"/>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r>
        <w:rPr>
          <w:rFonts w:hint="eastAsia" w:ascii="仿宋" w:hAnsi="仿宋" w:eastAsia="仿宋" w:cs="仿宋"/>
          <w:color w:val="auto"/>
          <w:sz w:val="21"/>
          <w:szCs w:val="21"/>
          <w:highlight w:val="none"/>
          <w:lang w:val="en-US" w:eastAsia="zh-CN"/>
        </w:rPr>
        <w:t>9</w:t>
      </w:r>
      <w:r>
        <w:rPr>
          <w:rFonts w:hint="eastAsia" w:ascii="仿宋" w:hAnsi="仿宋" w:eastAsia="仿宋" w:cs="仿宋"/>
          <w:color w:val="auto"/>
          <w:sz w:val="21"/>
          <w:szCs w:val="21"/>
          <w:highlight w:val="none"/>
        </w:rPr>
        <w:t>.1 将争议提交/仲裁委员会依申请仲裁时其现行有效的仲裁规则裁决；</w:t>
      </w:r>
    </w:p>
    <w:p w14:paraId="6A42EC56">
      <w:pPr>
        <w:keepNext w:val="0"/>
        <w:keepLines w:val="0"/>
        <w:pageBreakBefore w:val="0"/>
        <w:kinsoku/>
        <w:wordWrap/>
        <w:overflowPunct/>
        <w:topLinePunct w:val="0"/>
        <w:bidi w:val="0"/>
        <w:snapToGrid/>
        <w:spacing w:line="360" w:lineRule="auto"/>
        <w:ind w:firstLine="420" w:firstLineChars="200"/>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r>
        <w:rPr>
          <w:rFonts w:hint="eastAsia" w:ascii="仿宋" w:hAnsi="仿宋" w:eastAsia="仿宋" w:cs="仿宋"/>
          <w:color w:val="auto"/>
          <w:sz w:val="21"/>
          <w:szCs w:val="21"/>
          <w:highlight w:val="none"/>
          <w:lang w:val="en-US" w:eastAsia="zh-CN"/>
        </w:rPr>
        <w:t>9</w:t>
      </w:r>
      <w:r>
        <w:rPr>
          <w:rFonts w:hint="eastAsia" w:ascii="仿宋" w:hAnsi="仿宋" w:eastAsia="仿宋" w:cs="仿宋"/>
          <w:color w:val="auto"/>
          <w:sz w:val="21"/>
          <w:szCs w:val="21"/>
          <w:highlight w:val="none"/>
        </w:rPr>
        <w:t>.2 向</w:t>
      </w:r>
      <w:r>
        <w:rPr>
          <w:rFonts w:hint="eastAsia" w:ascii="仿宋" w:hAnsi="仿宋" w:eastAsia="仿宋" w:cs="仿宋"/>
          <w:color w:val="auto"/>
          <w:sz w:val="21"/>
          <w:szCs w:val="21"/>
          <w:highlight w:val="none"/>
          <w:u w:val="single"/>
        </w:rPr>
        <w:t>甲方所在地</w:t>
      </w:r>
      <w:r>
        <w:rPr>
          <w:rFonts w:hint="eastAsia" w:ascii="仿宋" w:hAnsi="仿宋" w:eastAsia="仿宋" w:cs="仿宋"/>
          <w:color w:val="auto"/>
          <w:sz w:val="21"/>
          <w:szCs w:val="21"/>
          <w:highlight w:val="none"/>
        </w:rPr>
        <w:t>人民法院起诉。</w:t>
      </w:r>
    </w:p>
    <w:p w14:paraId="38085214">
      <w:pPr>
        <w:keepNext w:val="0"/>
        <w:keepLines w:val="0"/>
        <w:pageBreakBefore w:val="0"/>
        <w:kinsoku/>
        <w:wordWrap/>
        <w:overflowPunct/>
        <w:topLinePunct w:val="0"/>
        <w:bidi w:val="0"/>
        <w:snapToGrid/>
        <w:spacing w:line="360" w:lineRule="auto"/>
        <w:ind w:firstLine="420" w:firstLineChars="200"/>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2.3.2合同涉及技术成果的归属和收益的分成办法的</w:t>
      </w:r>
      <w:r>
        <w:rPr>
          <w:rFonts w:hint="eastAsia" w:ascii="仿宋" w:hAnsi="仿宋" w:eastAsia="仿宋" w:cs="仿宋"/>
          <w:color w:val="auto"/>
          <w:sz w:val="21"/>
          <w:szCs w:val="21"/>
          <w:highlight w:val="none"/>
          <w:u w:val="single"/>
        </w:rPr>
        <w:t xml:space="preserve"> 无  </w:t>
      </w:r>
      <w:r>
        <w:rPr>
          <w:rFonts w:hint="eastAsia" w:ascii="仿宋" w:hAnsi="仿宋" w:eastAsia="仿宋" w:cs="仿宋"/>
          <w:color w:val="auto"/>
          <w:sz w:val="21"/>
          <w:szCs w:val="21"/>
          <w:highlight w:val="none"/>
        </w:rPr>
        <w:t>。</w:t>
      </w:r>
    </w:p>
    <w:p w14:paraId="5D31454A">
      <w:pPr>
        <w:keepNext w:val="0"/>
        <w:keepLines w:val="0"/>
        <w:pageBreakBefore w:val="0"/>
        <w:kinsoku/>
        <w:wordWrap/>
        <w:overflowPunct/>
        <w:topLinePunct w:val="0"/>
        <w:bidi w:val="0"/>
        <w:snapToGrid/>
        <w:spacing w:line="360" w:lineRule="auto"/>
        <w:ind w:firstLine="420" w:firstLineChars="200"/>
        <w:outlineLvl w:val="9"/>
        <w:rPr>
          <w:rFonts w:hint="eastAsia" w:ascii="仿宋" w:hAnsi="仿宋" w:eastAsia="仿宋" w:cs="仿宋"/>
          <w:color w:val="auto"/>
          <w:sz w:val="21"/>
          <w:szCs w:val="21"/>
          <w:highlight w:val="none"/>
          <w:u w:val="single"/>
        </w:rPr>
      </w:pPr>
      <w:r>
        <w:rPr>
          <w:rFonts w:hint="eastAsia" w:ascii="仿宋" w:hAnsi="仿宋" w:eastAsia="仿宋" w:cs="仿宋"/>
          <w:color w:val="auto"/>
          <w:sz w:val="21"/>
          <w:szCs w:val="21"/>
          <w:highlight w:val="none"/>
        </w:rPr>
        <w:t>2.5</w:t>
      </w:r>
      <w:r>
        <w:rPr>
          <w:rFonts w:hint="eastAsia" w:ascii="仿宋" w:hAnsi="仿宋" w:eastAsia="仿宋" w:cs="仿宋"/>
          <w:b/>
          <w:color w:val="auto"/>
          <w:sz w:val="21"/>
          <w:szCs w:val="21"/>
          <w:highlight w:val="none"/>
        </w:rPr>
        <w:t>结算方式和付款条件：</w:t>
      </w:r>
      <w:r>
        <w:rPr>
          <w:rFonts w:hint="eastAsia" w:ascii="仿宋" w:hAnsi="仿宋" w:eastAsia="仿宋" w:cs="仿宋"/>
          <w:b/>
          <w:color w:val="auto"/>
          <w:sz w:val="21"/>
          <w:szCs w:val="21"/>
          <w:highlight w:val="none"/>
          <w:u w:val="single"/>
        </w:rPr>
        <w:t>见1.6.2条款。</w:t>
      </w:r>
    </w:p>
    <w:p w14:paraId="4F9D5A17">
      <w:pPr>
        <w:keepNext w:val="0"/>
        <w:keepLines w:val="0"/>
        <w:pageBreakBefore w:val="0"/>
        <w:widowControl w:val="0"/>
        <w:kinsoku/>
        <w:wordWrap/>
        <w:overflowPunct/>
        <w:topLinePunct w:val="0"/>
        <w:autoSpaceDE/>
        <w:autoSpaceDN/>
        <w:bidi w:val="0"/>
        <w:adjustRightInd w:val="0"/>
        <w:snapToGrid/>
        <w:spacing w:line="360" w:lineRule="auto"/>
        <w:ind w:left="0" w:leftChars="0" w:right="0" w:rightChars="0" w:firstLine="420" w:firstLineChars="200"/>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2.11.3因不可抗力致使合同有变更必要的，双方当事人应在</w:t>
      </w:r>
      <w:r>
        <w:rPr>
          <w:rFonts w:hint="eastAsia" w:ascii="仿宋" w:hAnsi="仿宋" w:eastAsia="仿宋" w:cs="仿宋"/>
          <w:b/>
          <w:i/>
          <w:color w:val="auto"/>
          <w:sz w:val="21"/>
          <w:szCs w:val="21"/>
          <w:highlight w:val="none"/>
          <w:u w:val="single"/>
        </w:rPr>
        <w:t>15个工作日</w:t>
      </w:r>
      <w:r>
        <w:rPr>
          <w:rFonts w:hint="eastAsia" w:ascii="仿宋" w:hAnsi="仿宋" w:eastAsia="仿宋" w:cs="仿宋"/>
          <w:color w:val="auto"/>
          <w:sz w:val="21"/>
          <w:szCs w:val="21"/>
          <w:highlight w:val="none"/>
        </w:rPr>
        <w:t>内以书面形式变更合同；</w:t>
      </w:r>
    </w:p>
    <w:p w14:paraId="2308E107">
      <w:pPr>
        <w:keepNext w:val="0"/>
        <w:keepLines w:val="0"/>
        <w:pageBreakBefore w:val="0"/>
        <w:widowControl w:val="0"/>
        <w:kinsoku/>
        <w:wordWrap/>
        <w:overflowPunct/>
        <w:topLinePunct w:val="0"/>
        <w:autoSpaceDE/>
        <w:autoSpaceDN/>
        <w:bidi w:val="0"/>
        <w:adjustRightInd w:val="0"/>
        <w:snapToGrid/>
        <w:spacing w:line="360" w:lineRule="auto"/>
        <w:ind w:left="0" w:leftChars="0" w:right="0" w:rightChars="0" w:firstLine="420" w:firstLineChars="200"/>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2.11.4受不可抗力影响的一方在不可抗力发生后，应在</w:t>
      </w:r>
      <w:r>
        <w:rPr>
          <w:rFonts w:hint="eastAsia" w:ascii="仿宋" w:hAnsi="仿宋" w:eastAsia="仿宋" w:cs="仿宋"/>
          <w:b/>
          <w:i/>
          <w:color w:val="auto"/>
          <w:sz w:val="21"/>
          <w:szCs w:val="21"/>
          <w:highlight w:val="none"/>
          <w:u w:val="single"/>
        </w:rPr>
        <w:t>7个工作日</w:t>
      </w:r>
      <w:r>
        <w:rPr>
          <w:rFonts w:hint="eastAsia" w:ascii="仿宋" w:hAnsi="仿宋" w:eastAsia="仿宋" w:cs="仿宋"/>
          <w:color w:val="auto"/>
          <w:sz w:val="21"/>
          <w:szCs w:val="21"/>
          <w:highlight w:val="none"/>
        </w:rPr>
        <w:t>内以书面形式通知对方当事人，并在</w:t>
      </w:r>
      <w:r>
        <w:rPr>
          <w:rFonts w:hint="eastAsia" w:ascii="仿宋" w:hAnsi="仿宋" w:eastAsia="仿宋" w:cs="仿宋"/>
          <w:b/>
          <w:i/>
          <w:color w:val="auto"/>
          <w:sz w:val="21"/>
          <w:szCs w:val="21"/>
          <w:highlight w:val="none"/>
          <w:u w:val="single"/>
        </w:rPr>
        <w:t>10个工作日</w:t>
      </w:r>
      <w:r>
        <w:rPr>
          <w:rFonts w:hint="eastAsia" w:ascii="仿宋" w:hAnsi="仿宋" w:eastAsia="仿宋" w:cs="仿宋"/>
          <w:color w:val="auto"/>
          <w:sz w:val="21"/>
          <w:szCs w:val="21"/>
          <w:highlight w:val="none"/>
        </w:rPr>
        <w:t>内，将有关部门出具的证明文件送达对方当事人。</w:t>
      </w:r>
    </w:p>
    <w:p w14:paraId="52BF0AB8">
      <w:pPr>
        <w:keepNext w:val="0"/>
        <w:keepLines w:val="0"/>
        <w:pageBreakBefore w:val="0"/>
        <w:widowControl w:val="0"/>
        <w:kinsoku/>
        <w:wordWrap/>
        <w:overflowPunct/>
        <w:topLinePunct w:val="0"/>
        <w:autoSpaceDE/>
        <w:autoSpaceDN/>
        <w:bidi w:val="0"/>
        <w:adjustRightInd w:val="0"/>
        <w:snapToGrid/>
        <w:spacing w:line="360" w:lineRule="auto"/>
        <w:ind w:left="0" w:leftChars="0" w:right="0" w:rightChars="0" w:firstLine="420" w:firstLineChars="200"/>
        <w:jc w:val="left"/>
        <w:textAlignment w:val="auto"/>
        <w:outlineLvl w:val="9"/>
        <w:rPr>
          <w:rFonts w:hint="eastAsia" w:ascii="仿宋" w:hAnsi="仿宋" w:eastAsia="仿宋" w:cs="仿宋"/>
          <w:color w:val="auto"/>
          <w:sz w:val="21"/>
          <w:szCs w:val="21"/>
          <w:highlight w:val="none"/>
          <w:u w:val="single"/>
        </w:rPr>
      </w:pPr>
      <w:r>
        <w:rPr>
          <w:rFonts w:hint="eastAsia" w:ascii="仿宋" w:hAnsi="仿宋" w:eastAsia="仿宋" w:cs="仿宋"/>
          <w:color w:val="auto"/>
          <w:sz w:val="21"/>
          <w:szCs w:val="21"/>
          <w:highlight w:val="none"/>
        </w:rPr>
        <w:t>2.15.1 履约验收时间：</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b/>
          <w:color w:val="auto"/>
          <w:szCs w:val="21"/>
          <w:highlight w:val="none"/>
          <w:u w:val="single"/>
        </w:rPr>
        <w:t>第一次验收时间：202</w:t>
      </w:r>
      <w:r>
        <w:rPr>
          <w:rFonts w:hint="eastAsia" w:ascii="仿宋" w:hAnsi="仿宋" w:eastAsia="仿宋"/>
          <w:b/>
          <w:color w:val="auto"/>
          <w:szCs w:val="21"/>
          <w:highlight w:val="none"/>
          <w:u w:val="single"/>
          <w:lang w:val="en-US" w:eastAsia="zh-CN"/>
        </w:rPr>
        <w:t>5</w:t>
      </w:r>
      <w:r>
        <w:rPr>
          <w:rFonts w:hint="eastAsia" w:ascii="仿宋" w:hAnsi="仿宋" w:eastAsia="仿宋"/>
          <w:b/>
          <w:color w:val="auto"/>
          <w:szCs w:val="21"/>
          <w:highlight w:val="none"/>
          <w:u w:val="single"/>
        </w:rPr>
        <w:t>年11月30日后；</w:t>
      </w:r>
      <w:r>
        <w:rPr>
          <w:rFonts w:hint="eastAsia" w:ascii="仿宋" w:hAnsi="仿宋" w:eastAsia="仿宋"/>
          <w:b/>
          <w:color w:val="auto"/>
          <w:szCs w:val="21"/>
          <w:highlight w:val="none"/>
          <w:u w:val="single"/>
        </w:rPr>
        <w:t>第</w:t>
      </w:r>
      <w:r>
        <w:rPr>
          <w:rFonts w:hint="eastAsia" w:ascii="仿宋" w:hAnsi="仿宋" w:eastAsia="仿宋"/>
          <w:b/>
          <w:color w:val="auto"/>
          <w:szCs w:val="21"/>
          <w:highlight w:val="none"/>
          <w:u w:val="single"/>
          <w:lang w:val="en-US" w:eastAsia="zh-CN"/>
        </w:rPr>
        <w:t>二</w:t>
      </w:r>
      <w:r>
        <w:rPr>
          <w:rFonts w:hint="eastAsia" w:ascii="仿宋" w:hAnsi="仿宋" w:eastAsia="仿宋"/>
          <w:b/>
          <w:color w:val="auto"/>
          <w:szCs w:val="21"/>
          <w:highlight w:val="none"/>
          <w:u w:val="single"/>
        </w:rPr>
        <w:t>次验收时间：202</w:t>
      </w:r>
      <w:r>
        <w:rPr>
          <w:rFonts w:hint="eastAsia" w:ascii="仿宋" w:hAnsi="仿宋" w:eastAsia="仿宋"/>
          <w:b/>
          <w:color w:val="auto"/>
          <w:szCs w:val="21"/>
          <w:highlight w:val="none"/>
          <w:u w:val="single"/>
          <w:lang w:val="en-US" w:eastAsia="zh-CN"/>
        </w:rPr>
        <w:t>6</w:t>
      </w:r>
      <w:r>
        <w:rPr>
          <w:rFonts w:hint="eastAsia" w:ascii="仿宋" w:hAnsi="仿宋" w:eastAsia="仿宋"/>
          <w:b/>
          <w:color w:val="auto"/>
          <w:szCs w:val="21"/>
          <w:highlight w:val="none"/>
          <w:u w:val="single"/>
        </w:rPr>
        <w:t>年</w:t>
      </w:r>
      <w:r>
        <w:rPr>
          <w:rFonts w:hint="eastAsia" w:ascii="仿宋" w:hAnsi="仿宋" w:eastAsia="仿宋"/>
          <w:b/>
          <w:color w:val="auto"/>
          <w:szCs w:val="21"/>
          <w:highlight w:val="none"/>
          <w:u w:val="single"/>
          <w:lang w:val="en-US" w:eastAsia="zh-CN"/>
        </w:rPr>
        <w:t>3</w:t>
      </w:r>
      <w:r>
        <w:rPr>
          <w:rFonts w:hint="eastAsia" w:ascii="仿宋" w:hAnsi="仿宋" w:eastAsia="仿宋"/>
          <w:b/>
          <w:color w:val="auto"/>
          <w:szCs w:val="21"/>
          <w:highlight w:val="none"/>
          <w:u w:val="single"/>
        </w:rPr>
        <w:t>月3</w:t>
      </w:r>
      <w:r>
        <w:rPr>
          <w:rFonts w:hint="eastAsia" w:ascii="仿宋" w:hAnsi="仿宋" w:eastAsia="仿宋"/>
          <w:b/>
          <w:color w:val="auto"/>
          <w:szCs w:val="21"/>
          <w:highlight w:val="none"/>
          <w:u w:val="single"/>
          <w:lang w:val="en-US" w:eastAsia="zh-CN"/>
        </w:rPr>
        <w:t>1</w:t>
      </w:r>
      <w:r>
        <w:rPr>
          <w:rFonts w:hint="eastAsia" w:ascii="仿宋" w:hAnsi="仿宋" w:eastAsia="仿宋"/>
          <w:b/>
          <w:color w:val="auto"/>
          <w:szCs w:val="21"/>
          <w:highlight w:val="none"/>
          <w:u w:val="single"/>
        </w:rPr>
        <w:t>日后；</w:t>
      </w:r>
      <w:r>
        <w:rPr>
          <w:rFonts w:hint="eastAsia" w:ascii="仿宋" w:hAnsi="仿宋" w:eastAsia="仿宋"/>
          <w:b/>
          <w:color w:val="auto"/>
          <w:szCs w:val="21"/>
          <w:highlight w:val="none"/>
          <w:u w:val="single"/>
        </w:rPr>
        <w:t>第</w:t>
      </w:r>
      <w:r>
        <w:rPr>
          <w:rFonts w:hint="eastAsia" w:ascii="仿宋" w:hAnsi="仿宋" w:eastAsia="仿宋"/>
          <w:b/>
          <w:color w:val="auto"/>
          <w:szCs w:val="21"/>
          <w:highlight w:val="none"/>
          <w:u w:val="single"/>
          <w:lang w:val="en-US" w:eastAsia="zh-CN"/>
        </w:rPr>
        <w:t>三</w:t>
      </w:r>
      <w:r>
        <w:rPr>
          <w:rFonts w:hint="eastAsia" w:ascii="仿宋" w:hAnsi="仿宋" w:eastAsia="仿宋"/>
          <w:b/>
          <w:color w:val="auto"/>
          <w:szCs w:val="21"/>
          <w:highlight w:val="none"/>
          <w:u w:val="single"/>
        </w:rPr>
        <w:t>次验收时间：服务期结束后。</w:t>
      </w:r>
      <w:r>
        <w:rPr>
          <w:rFonts w:hint="eastAsia" w:ascii="仿宋" w:hAnsi="仿宋" w:eastAsia="仿宋" w:cs="仿宋"/>
          <w:color w:val="auto"/>
          <w:sz w:val="21"/>
          <w:szCs w:val="21"/>
          <w:highlight w:val="none"/>
          <w:u w:val="single"/>
          <w:lang w:val="en-US" w:eastAsia="zh-CN"/>
        </w:rPr>
        <w:t>（具体验收时间由甲方最终确定并通知乙方的时间为准）</w:t>
      </w:r>
      <w:r>
        <w:rPr>
          <w:rFonts w:hint="eastAsia" w:ascii="仿宋" w:hAnsi="仿宋" w:eastAsia="仿宋" w:cs="仿宋"/>
          <w:color w:val="auto"/>
          <w:sz w:val="21"/>
          <w:szCs w:val="21"/>
          <w:highlight w:val="none"/>
          <w:u w:val="single"/>
        </w:rPr>
        <w:t>。</w:t>
      </w:r>
    </w:p>
    <w:p w14:paraId="4828BDE2">
      <w:pPr>
        <w:keepNext w:val="0"/>
        <w:keepLines w:val="0"/>
        <w:pageBreakBefore w:val="0"/>
        <w:widowControl w:val="0"/>
        <w:kinsoku/>
        <w:wordWrap/>
        <w:overflowPunct/>
        <w:topLinePunct w:val="0"/>
        <w:autoSpaceDE/>
        <w:autoSpaceDN/>
        <w:bidi w:val="0"/>
        <w:adjustRightInd w:val="0"/>
        <w:snapToGrid/>
        <w:spacing w:line="360" w:lineRule="auto"/>
        <w:ind w:left="0" w:leftChars="0" w:right="0" w:rightChars="0" w:firstLine="420" w:firstLineChars="200"/>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2.15.3 检验和验收标准、程序：</w:t>
      </w:r>
    </w:p>
    <w:p w14:paraId="710CBA2A">
      <w:pPr>
        <w:spacing w:line="360" w:lineRule="auto"/>
        <w:ind w:firstLine="422" w:firstLineChars="200"/>
        <w:jc w:val="left"/>
        <w:rPr>
          <w:rFonts w:hint="eastAsia" w:ascii="仿宋" w:hAnsi="仿宋" w:eastAsia="仿宋" w:cs="仿宋"/>
          <w:b/>
          <w:color w:val="auto"/>
          <w:sz w:val="21"/>
          <w:szCs w:val="21"/>
          <w:highlight w:val="none"/>
        </w:rPr>
      </w:pPr>
      <w:bookmarkStart w:id="527" w:name="_Hlk161321229"/>
      <w:r>
        <w:rPr>
          <w:rFonts w:hint="eastAsia" w:ascii="仿宋" w:hAnsi="仿宋" w:eastAsia="仿宋" w:cs="仿宋"/>
          <w:b/>
          <w:color w:val="auto"/>
          <w:sz w:val="21"/>
          <w:szCs w:val="21"/>
          <w:highlight w:val="none"/>
        </w:rPr>
        <w:t>1、履约验收主体</w:t>
      </w:r>
    </w:p>
    <w:p w14:paraId="1F19E8B9">
      <w:pPr>
        <w:spacing w:line="360" w:lineRule="auto"/>
        <w:ind w:left="420" w:leftChars="200" w:firstLine="218" w:firstLineChars="104"/>
        <w:jc w:val="left"/>
        <w:rPr>
          <w:rFonts w:hint="eastAsia" w:ascii="仿宋" w:hAnsi="仿宋" w:eastAsia="仿宋" w:cs="仿宋"/>
          <w:color w:val="auto"/>
          <w:sz w:val="21"/>
          <w:szCs w:val="21"/>
          <w:highlight w:val="none"/>
          <w:u w:val="single"/>
          <w:lang w:eastAsia="zh-CN"/>
        </w:rPr>
      </w:pPr>
      <w:r>
        <w:rPr>
          <w:rFonts w:hint="eastAsia" w:ascii="仿宋" w:hAnsi="仿宋" w:eastAsia="仿宋" w:cs="仿宋"/>
          <w:color w:val="auto"/>
          <w:sz w:val="21"/>
          <w:szCs w:val="21"/>
          <w:highlight w:val="none"/>
        </w:rPr>
        <w:t>（1）</w:t>
      </w:r>
      <w:r>
        <w:rPr>
          <w:rFonts w:hint="eastAsia" w:ascii="仿宋" w:hAnsi="仿宋" w:eastAsia="仿宋" w:cs="仿宋"/>
          <w:b/>
          <w:color w:val="auto"/>
          <w:sz w:val="21"/>
          <w:szCs w:val="21"/>
          <w:highlight w:val="none"/>
        </w:rPr>
        <w:t>采购单位：</w:t>
      </w:r>
      <w:r>
        <w:rPr>
          <w:rFonts w:hint="eastAsia" w:ascii="仿宋" w:hAnsi="仿宋" w:eastAsia="仿宋" w:cs="仿宋"/>
          <w:color w:val="auto"/>
          <w:sz w:val="21"/>
          <w:szCs w:val="21"/>
          <w:highlight w:val="none"/>
          <w:u w:val="single"/>
          <w:lang w:eastAsia="zh-CN"/>
        </w:rPr>
        <w:t>杭州市公安局刑事侦查支队</w:t>
      </w:r>
    </w:p>
    <w:p w14:paraId="59EBD418">
      <w:pPr>
        <w:spacing w:line="360" w:lineRule="auto"/>
        <w:ind w:left="420" w:leftChars="200" w:firstLine="218" w:firstLineChars="104"/>
        <w:jc w:val="left"/>
        <w:rPr>
          <w:rFonts w:ascii="仿宋" w:hAnsi="仿宋" w:eastAsia="仿宋" w:cs="仿宋"/>
          <w:color w:val="auto"/>
          <w:sz w:val="21"/>
          <w:szCs w:val="21"/>
          <w:highlight w:val="none"/>
          <w:u w:val="single"/>
        </w:rPr>
      </w:pPr>
      <w:r>
        <w:rPr>
          <w:rFonts w:hint="eastAsia" w:ascii="仿宋" w:hAnsi="仿宋" w:eastAsia="仿宋" w:cs="仿宋"/>
          <w:color w:val="auto"/>
          <w:sz w:val="21"/>
          <w:szCs w:val="21"/>
          <w:highlight w:val="none"/>
        </w:rPr>
        <w:t>（2）</w:t>
      </w:r>
      <w:r>
        <w:rPr>
          <w:rFonts w:hint="eastAsia" w:ascii="仿宋" w:hAnsi="仿宋" w:eastAsia="仿宋" w:cs="仿宋"/>
          <w:b/>
          <w:color w:val="auto"/>
          <w:sz w:val="21"/>
          <w:szCs w:val="21"/>
          <w:highlight w:val="none"/>
        </w:rPr>
        <w:t>是否选择代理机构：</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t xml:space="preserve">☑是   </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t>□否</w:t>
      </w:r>
    </w:p>
    <w:p w14:paraId="3B2321C8">
      <w:pPr>
        <w:spacing w:line="360" w:lineRule="auto"/>
        <w:ind w:left="420" w:leftChars="200" w:firstLine="218" w:firstLineChars="104"/>
        <w:jc w:val="left"/>
        <w:rPr>
          <w:rFonts w:ascii="仿宋" w:hAnsi="仿宋" w:eastAsia="仿宋" w:cs="仿宋"/>
          <w:color w:val="auto"/>
          <w:sz w:val="21"/>
          <w:szCs w:val="21"/>
          <w:highlight w:val="none"/>
          <w:u w:val="single"/>
        </w:rPr>
      </w:pPr>
      <w:r>
        <w:rPr>
          <w:rFonts w:hint="eastAsia" w:ascii="仿宋" w:hAnsi="仿宋" w:eastAsia="仿宋" w:cs="仿宋"/>
          <w:color w:val="auto"/>
          <w:sz w:val="21"/>
          <w:szCs w:val="21"/>
          <w:highlight w:val="none"/>
        </w:rPr>
        <w:t>（3）</w:t>
      </w:r>
      <w:r>
        <w:rPr>
          <w:rFonts w:hint="eastAsia" w:ascii="仿宋" w:hAnsi="仿宋" w:eastAsia="仿宋" w:cs="仿宋"/>
          <w:b/>
          <w:color w:val="auto"/>
          <w:sz w:val="21"/>
          <w:szCs w:val="21"/>
          <w:highlight w:val="none"/>
        </w:rPr>
        <w:t>是否邀请本项目的其他供应商：</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t>□是</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t>☑否</w:t>
      </w:r>
    </w:p>
    <w:p w14:paraId="619C2727">
      <w:pPr>
        <w:spacing w:line="360" w:lineRule="auto"/>
        <w:ind w:left="420" w:leftChars="200" w:firstLine="218" w:firstLineChars="104"/>
        <w:jc w:val="left"/>
        <w:rPr>
          <w:rFonts w:ascii="仿宋" w:hAnsi="仿宋" w:eastAsia="仿宋" w:cs="仿宋"/>
          <w:color w:val="auto"/>
          <w:sz w:val="21"/>
          <w:szCs w:val="21"/>
          <w:highlight w:val="none"/>
        </w:rPr>
      </w:pPr>
      <w:r>
        <w:rPr>
          <w:rFonts w:hint="eastAsia" w:ascii="仿宋" w:hAnsi="仿宋" w:eastAsia="仿宋" w:cs="仿宋"/>
          <w:color w:val="auto"/>
          <w:sz w:val="21"/>
          <w:szCs w:val="21"/>
          <w:highlight w:val="none"/>
        </w:rPr>
        <w:t>（4）</w:t>
      </w:r>
      <w:r>
        <w:rPr>
          <w:rFonts w:hint="eastAsia" w:ascii="仿宋" w:hAnsi="仿宋" w:eastAsia="仿宋" w:cs="仿宋"/>
          <w:b/>
          <w:color w:val="auto"/>
          <w:sz w:val="21"/>
          <w:szCs w:val="21"/>
          <w:highlight w:val="none"/>
        </w:rPr>
        <w:t>是否邀请专家：</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t xml:space="preserve">☑是  </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t>□否</w:t>
      </w:r>
    </w:p>
    <w:p w14:paraId="789363D7">
      <w:pPr>
        <w:spacing w:line="360" w:lineRule="auto"/>
        <w:ind w:left="420" w:leftChars="200" w:firstLine="218" w:firstLineChars="104"/>
        <w:jc w:val="left"/>
        <w:rPr>
          <w:rFonts w:ascii="仿宋" w:hAnsi="仿宋" w:eastAsia="仿宋" w:cs="仿宋"/>
          <w:color w:val="auto"/>
          <w:sz w:val="21"/>
          <w:szCs w:val="21"/>
          <w:highlight w:val="none"/>
        </w:rPr>
      </w:pPr>
      <w:r>
        <w:rPr>
          <w:rFonts w:hint="eastAsia" w:ascii="仿宋" w:hAnsi="仿宋" w:eastAsia="仿宋" w:cs="仿宋"/>
          <w:color w:val="auto"/>
          <w:sz w:val="21"/>
          <w:szCs w:val="21"/>
          <w:highlight w:val="none"/>
        </w:rPr>
        <w:t>（5）</w:t>
      </w:r>
      <w:r>
        <w:rPr>
          <w:rFonts w:hint="eastAsia" w:ascii="仿宋" w:hAnsi="仿宋" w:eastAsia="仿宋" w:cs="仿宋"/>
          <w:b/>
          <w:color w:val="auto"/>
          <w:sz w:val="21"/>
          <w:szCs w:val="21"/>
          <w:highlight w:val="none"/>
        </w:rPr>
        <w:t>是否邀请服务对象：</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t>□是</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t>☑否</w:t>
      </w:r>
    </w:p>
    <w:p w14:paraId="6E09AA8A">
      <w:pPr>
        <w:pStyle w:val="878"/>
        <w:widowControl/>
        <w:spacing w:line="360" w:lineRule="auto"/>
        <w:ind w:left="420" w:leftChars="200" w:firstLine="218" w:firstLineChars="104"/>
        <w:rPr>
          <w:rFonts w:ascii="仿宋" w:hAnsi="仿宋" w:eastAsia="仿宋" w:cs="仿宋"/>
          <w:color w:val="auto"/>
          <w:sz w:val="21"/>
          <w:szCs w:val="21"/>
          <w:highlight w:val="none"/>
          <w:u w:val="single"/>
        </w:rPr>
      </w:pPr>
      <w:r>
        <w:rPr>
          <w:rFonts w:hint="eastAsia" w:ascii="仿宋" w:hAnsi="仿宋" w:eastAsia="仿宋" w:cs="仿宋"/>
          <w:color w:val="auto"/>
          <w:sz w:val="21"/>
          <w:szCs w:val="21"/>
          <w:highlight w:val="none"/>
        </w:rPr>
        <w:t>（6）</w:t>
      </w:r>
      <w:r>
        <w:rPr>
          <w:rFonts w:hint="eastAsia" w:ascii="仿宋" w:hAnsi="仿宋" w:eastAsia="仿宋" w:cs="仿宋"/>
          <w:b/>
          <w:color w:val="auto"/>
          <w:sz w:val="21"/>
          <w:szCs w:val="21"/>
          <w:highlight w:val="none"/>
        </w:rPr>
        <w:t>其他：</w:t>
      </w:r>
      <w:r>
        <w:rPr>
          <w:rFonts w:hint="eastAsia" w:ascii="仿宋" w:hAnsi="仿宋" w:eastAsia="仿宋" w:cs="仿宋"/>
          <w:color w:val="auto"/>
          <w:sz w:val="21"/>
          <w:szCs w:val="21"/>
          <w:highlight w:val="none"/>
          <w:u w:val="single"/>
        </w:rPr>
        <w:t>无</w:t>
      </w:r>
    </w:p>
    <w:p w14:paraId="4E2EF0B2">
      <w:pPr>
        <w:spacing w:line="360" w:lineRule="auto"/>
        <w:ind w:left="0" w:leftChars="0" w:firstLine="422" w:firstLineChars="200"/>
        <w:jc w:val="left"/>
        <w:rPr>
          <w:rFonts w:ascii="仿宋" w:hAnsi="仿宋" w:eastAsia="仿宋" w:cs="仿宋"/>
          <w:color w:val="auto"/>
          <w:sz w:val="21"/>
          <w:szCs w:val="21"/>
          <w:highlight w:val="none"/>
        </w:rPr>
      </w:pPr>
      <w:r>
        <w:rPr>
          <w:rFonts w:hint="eastAsia" w:ascii="仿宋" w:hAnsi="仿宋" w:eastAsia="仿宋" w:cs="仿宋"/>
          <w:b/>
          <w:color w:val="auto"/>
          <w:sz w:val="21"/>
          <w:szCs w:val="21"/>
          <w:highlight w:val="none"/>
          <w:lang w:val="en-US" w:eastAsia="zh-CN"/>
        </w:rPr>
        <w:t>2</w:t>
      </w:r>
      <w:r>
        <w:rPr>
          <w:rFonts w:hint="eastAsia" w:ascii="仿宋" w:hAnsi="仿宋" w:eastAsia="仿宋" w:cs="仿宋"/>
          <w:b/>
          <w:color w:val="auto"/>
          <w:sz w:val="21"/>
          <w:szCs w:val="21"/>
          <w:highlight w:val="none"/>
        </w:rPr>
        <w:t>、履约验收方式：</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t>□简易程序</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t>☑一般程序</w:t>
      </w:r>
    </w:p>
    <w:p w14:paraId="282196D7">
      <w:pPr>
        <w:spacing w:line="360" w:lineRule="auto"/>
        <w:ind w:left="0" w:leftChars="0" w:firstLine="422" w:firstLineChars="200"/>
        <w:jc w:val="left"/>
        <w:rPr>
          <w:rFonts w:ascii="仿宋" w:hAnsi="仿宋" w:eastAsia="仿宋" w:cs="仿宋"/>
          <w:color w:val="auto"/>
          <w:sz w:val="21"/>
          <w:szCs w:val="21"/>
          <w:highlight w:val="none"/>
        </w:rPr>
      </w:pPr>
      <w:r>
        <w:rPr>
          <w:rFonts w:hint="eastAsia" w:ascii="仿宋" w:hAnsi="仿宋" w:eastAsia="仿宋" w:cs="仿宋"/>
          <w:b/>
          <w:color w:val="auto"/>
          <w:sz w:val="21"/>
          <w:szCs w:val="21"/>
          <w:highlight w:val="none"/>
          <w:lang w:val="en-US" w:eastAsia="zh-CN"/>
        </w:rPr>
        <w:t>3</w:t>
      </w:r>
      <w:r>
        <w:rPr>
          <w:rFonts w:hint="eastAsia" w:ascii="仿宋" w:hAnsi="仿宋" w:eastAsia="仿宋" w:cs="仿宋"/>
          <w:b/>
          <w:color w:val="auto"/>
          <w:sz w:val="21"/>
          <w:szCs w:val="21"/>
          <w:highlight w:val="none"/>
        </w:rPr>
        <w:t>、履约验收程序：</w:t>
      </w:r>
      <w:r>
        <w:rPr>
          <w:rFonts w:hint="eastAsia" w:ascii="仿宋" w:hAnsi="仿宋" w:eastAsia="仿宋" w:cs="仿宋"/>
          <w:b/>
          <w:color w:val="auto"/>
          <w:sz w:val="21"/>
          <w:szCs w:val="21"/>
          <w:highlight w:val="none"/>
          <w:lang w:val="en-US" w:eastAsia="zh-CN"/>
        </w:rPr>
        <w:t xml:space="preserve">  </w:t>
      </w:r>
      <w:r>
        <w:rPr>
          <w:rFonts w:hint="eastAsia" w:ascii="仿宋" w:hAnsi="仿宋" w:eastAsia="仿宋" w:cs="仿宋"/>
          <w:color w:val="auto"/>
          <w:sz w:val="21"/>
          <w:szCs w:val="21"/>
          <w:highlight w:val="none"/>
        </w:rPr>
        <w:t xml:space="preserve"> □一次性验收</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t>□分段验收</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☑分期验收</w:t>
      </w:r>
    </w:p>
    <w:p w14:paraId="66699672">
      <w:pPr>
        <w:spacing w:line="360" w:lineRule="auto"/>
        <w:ind w:left="0" w:leftChars="0" w:firstLine="422" w:firstLineChars="200"/>
        <w:jc w:val="left"/>
        <w:rPr>
          <w:rFonts w:ascii="仿宋" w:hAnsi="仿宋" w:eastAsia="仿宋" w:cs="仿宋"/>
          <w:b/>
          <w:color w:val="auto"/>
          <w:sz w:val="21"/>
          <w:szCs w:val="21"/>
          <w:highlight w:val="none"/>
        </w:rPr>
      </w:pPr>
      <w:r>
        <w:rPr>
          <w:rFonts w:hint="eastAsia" w:ascii="仿宋" w:hAnsi="仿宋" w:eastAsia="仿宋" w:cs="仿宋"/>
          <w:b/>
          <w:color w:val="auto"/>
          <w:sz w:val="21"/>
          <w:szCs w:val="21"/>
          <w:highlight w:val="none"/>
          <w:lang w:val="en-US" w:eastAsia="zh-CN"/>
        </w:rPr>
        <w:t>4</w:t>
      </w:r>
      <w:r>
        <w:rPr>
          <w:rFonts w:hint="eastAsia" w:ascii="仿宋" w:hAnsi="仿宋" w:eastAsia="仿宋" w:cs="仿宋"/>
          <w:b/>
          <w:color w:val="auto"/>
          <w:sz w:val="21"/>
          <w:szCs w:val="21"/>
          <w:highlight w:val="none"/>
        </w:rPr>
        <w:t>、履约验收内容</w:t>
      </w:r>
    </w:p>
    <w:p w14:paraId="1ADE11B0">
      <w:pPr>
        <w:spacing w:line="360" w:lineRule="auto"/>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u w:val="single"/>
        </w:rPr>
        <w:t>（1）</w:t>
      </w:r>
      <w:r>
        <w:rPr>
          <w:rFonts w:hint="eastAsia" w:ascii="仿宋" w:hAnsi="仿宋" w:eastAsia="仿宋"/>
          <w:color w:val="auto"/>
          <w:szCs w:val="21"/>
          <w:highlight w:val="none"/>
          <w:u w:val="single"/>
          <w:lang w:eastAsia="zh-CN"/>
        </w:rPr>
        <w:t>甲方</w:t>
      </w:r>
      <w:r>
        <w:rPr>
          <w:rFonts w:hint="eastAsia" w:ascii="仿宋" w:hAnsi="仿宋" w:eastAsia="仿宋"/>
          <w:color w:val="auto"/>
          <w:szCs w:val="21"/>
          <w:highlight w:val="none"/>
          <w:u w:val="single"/>
        </w:rPr>
        <w:t>按照《杭州市政府采购履约验收暂行办法》（杭财采监[2019]10号）规定组织对</w:t>
      </w:r>
      <w:r>
        <w:rPr>
          <w:rFonts w:hint="eastAsia" w:ascii="仿宋" w:hAnsi="仿宋" w:eastAsia="仿宋"/>
          <w:color w:val="auto"/>
          <w:szCs w:val="21"/>
          <w:highlight w:val="none"/>
          <w:u w:val="single"/>
          <w:lang w:eastAsia="zh-CN"/>
        </w:rPr>
        <w:t>乙方</w:t>
      </w:r>
      <w:r>
        <w:rPr>
          <w:rFonts w:hint="eastAsia" w:ascii="仿宋" w:hAnsi="仿宋" w:eastAsia="仿宋"/>
          <w:color w:val="auto"/>
          <w:szCs w:val="21"/>
          <w:highlight w:val="none"/>
          <w:u w:val="single"/>
        </w:rPr>
        <w:t>履约的验收。验收方成员应当在验收书上签字，并承担相应的法律责任。如果发现与合同中要求不符，</w:t>
      </w:r>
      <w:r>
        <w:rPr>
          <w:rFonts w:hint="eastAsia" w:ascii="仿宋" w:hAnsi="仿宋" w:eastAsia="仿宋"/>
          <w:color w:val="auto"/>
          <w:szCs w:val="21"/>
          <w:highlight w:val="none"/>
          <w:u w:val="single"/>
          <w:lang w:eastAsia="zh-CN"/>
        </w:rPr>
        <w:t>乙方</w:t>
      </w:r>
      <w:r>
        <w:rPr>
          <w:rFonts w:hint="eastAsia" w:ascii="仿宋" w:hAnsi="仿宋" w:eastAsia="仿宋"/>
          <w:color w:val="auto"/>
          <w:szCs w:val="21"/>
          <w:highlight w:val="none"/>
          <w:u w:val="single"/>
        </w:rPr>
        <w:t>须承担由此发生的一切损失和费用，并接受相应的处理。</w:t>
      </w:r>
    </w:p>
    <w:p w14:paraId="449ACE1A">
      <w:pPr>
        <w:spacing w:line="360" w:lineRule="auto"/>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u w:val="single"/>
        </w:rPr>
        <w:t>（</w:t>
      </w:r>
      <w:r>
        <w:rPr>
          <w:rFonts w:ascii="仿宋" w:hAnsi="仿宋" w:eastAsia="仿宋"/>
          <w:color w:val="auto"/>
          <w:szCs w:val="21"/>
          <w:highlight w:val="none"/>
          <w:u w:val="single"/>
        </w:rPr>
        <w:t>2</w:t>
      </w:r>
      <w:r>
        <w:rPr>
          <w:rFonts w:hint="eastAsia" w:ascii="仿宋" w:hAnsi="仿宋" w:eastAsia="仿宋"/>
          <w:color w:val="auto"/>
          <w:szCs w:val="21"/>
          <w:highlight w:val="none"/>
          <w:u w:val="single"/>
        </w:rPr>
        <w:t>）严格按照采购合同开展履约验收。</w:t>
      </w:r>
      <w:r>
        <w:rPr>
          <w:rFonts w:hint="eastAsia" w:ascii="仿宋" w:hAnsi="仿宋" w:eastAsia="仿宋"/>
          <w:color w:val="auto"/>
          <w:szCs w:val="21"/>
          <w:highlight w:val="none"/>
          <w:u w:val="single"/>
          <w:lang w:eastAsia="zh-CN"/>
        </w:rPr>
        <w:t>甲方</w:t>
      </w:r>
      <w:r>
        <w:rPr>
          <w:rFonts w:hint="eastAsia" w:ascii="仿宋" w:hAnsi="仿宋" w:eastAsia="仿宋"/>
          <w:color w:val="auto"/>
          <w:szCs w:val="21"/>
          <w:highlight w:val="none"/>
          <w:u w:val="single"/>
        </w:rPr>
        <w:t>委托第三方机构组织验收，成立验收小组（验收小组由5人组成：其中</w:t>
      </w:r>
      <w:r>
        <w:rPr>
          <w:rFonts w:hint="eastAsia" w:ascii="仿宋" w:hAnsi="仿宋" w:eastAsia="仿宋"/>
          <w:color w:val="auto"/>
          <w:szCs w:val="21"/>
          <w:highlight w:val="none"/>
          <w:u w:val="single"/>
          <w:lang w:eastAsia="zh-CN"/>
        </w:rPr>
        <w:t>甲方</w:t>
      </w:r>
      <w:r>
        <w:rPr>
          <w:rFonts w:hint="eastAsia" w:ascii="仿宋" w:hAnsi="仿宋" w:eastAsia="仿宋"/>
          <w:color w:val="auto"/>
          <w:szCs w:val="21"/>
          <w:highlight w:val="none"/>
          <w:u w:val="single"/>
        </w:rPr>
        <w:t>1名，专家4名</w:t>
      </w:r>
      <w:r>
        <w:rPr>
          <w:rFonts w:hint="eastAsia" w:ascii="仿宋" w:hAnsi="仿宋" w:eastAsia="仿宋" w:cs="仿宋"/>
          <w:color w:val="auto"/>
          <w:sz w:val="21"/>
          <w:szCs w:val="21"/>
          <w:highlight w:val="none"/>
          <w:u w:val="single"/>
        </w:rPr>
        <w:t>（由</w:t>
      </w:r>
      <w:r>
        <w:rPr>
          <w:rFonts w:hint="eastAsia" w:ascii="仿宋" w:hAnsi="仿宋" w:eastAsia="仿宋" w:cs="仿宋"/>
          <w:color w:val="auto"/>
          <w:sz w:val="21"/>
          <w:szCs w:val="21"/>
          <w:highlight w:val="none"/>
          <w:u w:val="single"/>
          <w:lang w:val="en-US" w:eastAsia="zh-CN"/>
        </w:rPr>
        <w:t>第三方机构</w:t>
      </w:r>
      <w:r>
        <w:rPr>
          <w:rFonts w:hint="eastAsia" w:ascii="仿宋" w:hAnsi="仿宋" w:eastAsia="仿宋" w:cs="仿宋"/>
          <w:color w:val="auto"/>
          <w:sz w:val="21"/>
          <w:szCs w:val="21"/>
          <w:highlight w:val="none"/>
          <w:u w:val="single"/>
        </w:rPr>
        <w:t>从乐采云平台专家库中随机抽取产生</w:t>
      </w:r>
      <w:r>
        <w:rPr>
          <w:rFonts w:hint="eastAsia" w:ascii="仿宋" w:hAnsi="仿宋" w:eastAsia="仿宋" w:cs="仿宋"/>
          <w:color w:val="auto"/>
          <w:sz w:val="21"/>
          <w:szCs w:val="21"/>
          <w:highlight w:val="none"/>
          <w:u w:val="single"/>
          <w:lang w:eastAsia="zh-CN"/>
        </w:rPr>
        <w:t>）</w:t>
      </w:r>
      <w:r>
        <w:rPr>
          <w:rFonts w:hint="eastAsia" w:ascii="仿宋" w:hAnsi="仿宋" w:eastAsia="仿宋"/>
          <w:color w:val="auto"/>
          <w:szCs w:val="21"/>
          <w:highlight w:val="none"/>
          <w:u w:val="single"/>
        </w:rPr>
        <w:t>），</w:t>
      </w:r>
      <w:r>
        <w:rPr>
          <w:rFonts w:hint="eastAsia" w:ascii="仿宋" w:hAnsi="仿宋" w:eastAsia="仿宋"/>
          <w:color w:val="auto"/>
          <w:szCs w:val="21"/>
          <w:highlight w:val="none"/>
          <w:u w:val="single"/>
        </w:rPr>
        <w:t>按照采购合同的约定对</w:t>
      </w:r>
      <w:r>
        <w:rPr>
          <w:rFonts w:hint="eastAsia" w:ascii="仿宋" w:hAnsi="仿宋" w:eastAsia="仿宋"/>
          <w:color w:val="auto"/>
          <w:szCs w:val="21"/>
          <w:highlight w:val="none"/>
          <w:u w:val="single"/>
          <w:lang w:eastAsia="zh-CN"/>
        </w:rPr>
        <w:t>乙方</w:t>
      </w:r>
      <w:r>
        <w:rPr>
          <w:rFonts w:hint="eastAsia" w:ascii="仿宋" w:hAnsi="仿宋" w:eastAsia="仿宋"/>
          <w:color w:val="auto"/>
          <w:szCs w:val="21"/>
          <w:highlight w:val="none"/>
          <w:u w:val="single"/>
        </w:rPr>
        <w:t>履约情况进行验收，验收时，按照采购合同的约定对每一项技术、服务、安全标准的履约情况进行确认，出具验收报告并经验收小组全体成员签字。</w:t>
      </w:r>
      <w:r>
        <w:rPr>
          <w:rFonts w:hint="eastAsia" w:ascii="仿宋" w:hAnsi="仿宋" w:eastAsia="仿宋"/>
          <w:color w:val="auto"/>
          <w:szCs w:val="21"/>
          <w:highlight w:val="none"/>
          <w:u w:val="single"/>
          <w:lang w:eastAsia="zh-CN"/>
        </w:rPr>
        <w:t>甲方</w:t>
      </w:r>
      <w:r>
        <w:rPr>
          <w:rFonts w:hint="eastAsia" w:ascii="仿宋" w:hAnsi="仿宋" w:eastAsia="仿宋"/>
          <w:color w:val="auto"/>
          <w:szCs w:val="21"/>
          <w:highlight w:val="none"/>
          <w:u w:val="single"/>
        </w:rPr>
        <w:t>根据验收报告形成验收意见并经</w:t>
      </w:r>
      <w:r>
        <w:rPr>
          <w:rFonts w:hint="eastAsia" w:ascii="仿宋" w:hAnsi="仿宋" w:eastAsia="仿宋"/>
          <w:color w:val="auto"/>
          <w:szCs w:val="21"/>
          <w:highlight w:val="none"/>
          <w:u w:val="single"/>
          <w:lang w:eastAsia="zh-CN"/>
        </w:rPr>
        <w:t>甲方</w:t>
      </w:r>
      <w:r>
        <w:rPr>
          <w:rFonts w:hint="eastAsia" w:ascii="仿宋" w:hAnsi="仿宋" w:eastAsia="仿宋"/>
          <w:color w:val="auto"/>
          <w:szCs w:val="21"/>
          <w:highlight w:val="none"/>
          <w:u w:val="single"/>
        </w:rPr>
        <w:t>与</w:t>
      </w:r>
      <w:r>
        <w:rPr>
          <w:rFonts w:hint="eastAsia" w:ascii="仿宋" w:hAnsi="仿宋" w:eastAsia="仿宋"/>
          <w:color w:val="auto"/>
          <w:szCs w:val="21"/>
          <w:highlight w:val="none"/>
          <w:u w:val="single"/>
          <w:lang w:eastAsia="zh-CN"/>
        </w:rPr>
        <w:t>乙方</w:t>
      </w:r>
      <w:r>
        <w:rPr>
          <w:rFonts w:hint="eastAsia" w:ascii="仿宋" w:hAnsi="仿宋" w:eastAsia="仿宋"/>
          <w:color w:val="auto"/>
          <w:szCs w:val="21"/>
          <w:highlight w:val="none"/>
          <w:u w:val="single"/>
        </w:rPr>
        <w:t>签字盖章。验收结果与采购合同约定的资金支付及履约保证金返还条件挂钩。履约验收的各项资料应当存档备查。</w:t>
      </w:r>
    </w:p>
    <w:p w14:paraId="6CF26E46">
      <w:pPr>
        <w:spacing w:line="360" w:lineRule="auto"/>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u w:val="single"/>
        </w:rPr>
        <w:t>（</w:t>
      </w:r>
      <w:r>
        <w:rPr>
          <w:rFonts w:ascii="仿宋" w:hAnsi="仿宋" w:eastAsia="仿宋"/>
          <w:color w:val="auto"/>
          <w:szCs w:val="21"/>
          <w:highlight w:val="none"/>
          <w:u w:val="single"/>
        </w:rPr>
        <w:t>3</w:t>
      </w:r>
      <w:r>
        <w:rPr>
          <w:rFonts w:hint="eastAsia" w:ascii="仿宋" w:hAnsi="仿宋" w:eastAsia="仿宋"/>
          <w:color w:val="auto"/>
          <w:szCs w:val="21"/>
          <w:highlight w:val="none"/>
          <w:u w:val="single"/>
        </w:rPr>
        <w:t>）验收合格的项目，</w:t>
      </w:r>
      <w:r>
        <w:rPr>
          <w:rFonts w:hint="eastAsia" w:ascii="仿宋" w:hAnsi="仿宋" w:eastAsia="仿宋"/>
          <w:color w:val="auto"/>
          <w:szCs w:val="21"/>
          <w:highlight w:val="none"/>
          <w:u w:val="single"/>
          <w:lang w:eastAsia="zh-CN"/>
        </w:rPr>
        <w:t>甲方</w:t>
      </w:r>
      <w:r>
        <w:rPr>
          <w:rFonts w:hint="eastAsia" w:ascii="仿宋" w:hAnsi="仿宋" w:eastAsia="仿宋"/>
          <w:color w:val="auto"/>
          <w:szCs w:val="21"/>
          <w:highlight w:val="none"/>
          <w:u w:val="single"/>
        </w:rPr>
        <w:t>将根据采购合同的约定及时向</w:t>
      </w:r>
      <w:r>
        <w:rPr>
          <w:rFonts w:hint="eastAsia" w:ascii="仿宋" w:hAnsi="仿宋" w:eastAsia="仿宋"/>
          <w:color w:val="auto"/>
          <w:szCs w:val="21"/>
          <w:highlight w:val="none"/>
          <w:u w:val="single"/>
          <w:lang w:eastAsia="zh-CN"/>
        </w:rPr>
        <w:t>乙方</w:t>
      </w:r>
      <w:r>
        <w:rPr>
          <w:rFonts w:hint="eastAsia" w:ascii="仿宋" w:hAnsi="仿宋" w:eastAsia="仿宋"/>
          <w:color w:val="auto"/>
          <w:szCs w:val="21"/>
          <w:highlight w:val="none"/>
          <w:u w:val="single"/>
        </w:rPr>
        <w:t>支付采购资金、退还履约保证金。验收不合格的项目，</w:t>
      </w:r>
      <w:r>
        <w:rPr>
          <w:rFonts w:hint="eastAsia" w:ascii="仿宋" w:hAnsi="仿宋" w:eastAsia="仿宋"/>
          <w:color w:val="auto"/>
          <w:szCs w:val="21"/>
          <w:highlight w:val="none"/>
          <w:u w:val="single"/>
          <w:lang w:eastAsia="zh-CN"/>
        </w:rPr>
        <w:t>甲方</w:t>
      </w:r>
      <w:r>
        <w:rPr>
          <w:rFonts w:hint="eastAsia" w:ascii="仿宋" w:hAnsi="仿宋" w:eastAsia="仿宋"/>
          <w:color w:val="auto"/>
          <w:szCs w:val="21"/>
          <w:highlight w:val="none"/>
          <w:u w:val="single"/>
        </w:rPr>
        <w:t>将依法及时处理。采购合同的履行、违约责任和解决争议的方式等适用《中华人民共和国民法典》。</w:t>
      </w:r>
    </w:p>
    <w:p w14:paraId="1838808A">
      <w:pPr>
        <w:spacing w:line="360" w:lineRule="auto"/>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u w:val="single"/>
        </w:rPr>
        <w:t>（</w:t>
      </w:r>
      <w:r>
        <w:rPr>
          <w:rFonts w:ascii="仿宋" w:hAnsi="仿宋" w:eastAsia="仿宋"/>
          <w:color w:val="auto"/>
          <w:szCs w:val="21"/>
          <w:highlight w:val="none"/>
          <w:u w:val="single"/>
        </w:rPr>
        <w:t>4</w:t>
      </w:r>
      <w:r>
        <w:rPr>
          <w:rFonts w:hint="eastAsia" w:ascii="仿宋" w:hAnsi="仿宋" w:eastAsia="仿宋"/>
          <w:color w:val="auto"/>
          <w:szCs w:val="21"/>
          <w:highlight w:val="none"/>
          <w:u w:val="single"/>
        </w:rPr>
        <w:t>）验收产生的费用首次验收费用由</w:t>
      </w:r>
      <w:r>
        <w:rPr>
          <w:rFonts w:hint="eastAsia" w:ascii="仿宋" w:hAnsi="仿宋" w:eastAsia="仿宋"/>
          <w:color w:val="auto"/>
          <w:szCs w:val="21"/>
          <w:highlight w:val="none"/>
          <w:u w:val="single"/>
          <w:lang w:eastAsia="zh-CN"/>
        </w:rPr>
        <w:t>甲方</w:t>
      </w:r>
      <w:r>
        <w:rPr>
          <w:rFonts w:hint="eastAsia" w:ascii="仿宋" w:hAnsi="仿宋" w:eastAsia="仿宋"/>
          <w:color w:val="auto"/>
          <w:szCs w:val="21"/>
          <w:highlight w:val="none"/>
          <w:u w:val="single"/>
        </w:rPr>
        <w:t>承担，如首次验收不合格，后续验收费用由</w:t>
      </w:r>
      <w:r>
        <w:rPr>
          <w:rFonts w:hint="eastAsia" w:ascii="仿宋" w:hAnsi="仿宋" w:eastAsia="仿宋"/>
          <w:color w:val="auto"/>
          <w:szCs w:val="21"/>
          <w:highlight w:val="none"/>
          <w:u w:val="single"/>
          <w:lang w:eastAsia="zh-CN"/>
        </w:rPr>
        <w:t>乙方</w:t>
      </w:r>
      <w:r>
        <w:rPr>
          <w:rFonts w:hint="eastAsia" w:ascii="仿宋" w:hAnsi="仿宋" w:eastAsia="仿宋"/>
          <w:color w:val="auto"/>
          <w:szCs w:val="21"/>
          <w:highlight w:val="none"/>
          <w:u w:val="single"/>
        </w:rPr>
        <w:t>支付。</w:t>
      </w:r>
    </w:p>
    <w:p w14:paraId="0E4C7CC4">
      <w:pPr>
        <w:spacing w:line="360" w:lineRule="auto"/>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u w:val="single"/>
        </w:rPr>
        <w:t>（</w:t>
      </w:r>
      <w:r>
        <w:rPr>
          <w:rFonts w:ascii="仿宋" w:hAnsi="仿宋" w:eastAsia="仿宋"/>
          <w:color w:val="auto"/>
          <w:szCs w:val="21"/>
          <w:highlight w:val="none"/>
          <w:u w:val="single"/>
        </w:rPr>
        <w:t>5</w:t>
      </w:r>
      <w:r>
        <w:rPr>
          <w:rFonts w:hint="eastAsia" w:ascii="仿宋" w:hAnsi="仿宋" w:eastAsia="仿宋"/>
          <w:color w:val="auto"/>
          <w:szCs w:val="21"/>
          <w:highlight w:val="none"/>
          <w:u w:val="single"/>
        </w:rPr>
        <w:t>）验收内容及资料要求：</w:t>
      </w:r>
    </w:p>
    <w:p w14:paraId="6D7437B2">
      <w:pPr>
        <w:spacing w:line="360" w:lineRule="auto"/>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u w:val="single"/>
        </w:rPr>
        <w:t>根据采购文件确定的技术指标或者服务要求确定验收指标和标准。未进行相应约定的，应当符合国家强制性规定、政策要求、安全标准、行业</w:t>
      </w:r>
      <w:r>
        <w:rPr>
          <w:rFonts w:hint="eastAsia" w:ascii="仿宋" w:hAnsi="仿宋" w:eastAsia="仿宋"/>
          <w:color w:val="auto"/>
          <w:szCs w:val="21"/>
          <w:highlight w:val="none"/>
          <w:u w:val="single"/>
          <w:lang w:val="en-US" w:eastAsia="zh-CN"/>
        </w:rPr>
        <w:t>和</w:t>
      </w:r>
      <w:r>
        <w:rPr>
          <w:rFonts w:hint="eastAsia" w:ascii="仿宋" w:hAnsi="仿宋" w:eastAsia="仿宋"/>
          <w:color w:val="auto"/>
          <w:szCs w:val="21"/>
          <w:highlight w:val="none"/>
          <w:u w:val="single"/>
        </w:rPr>
        <w:t>企业有关标准等。</w:t>
      </w:r>
    </w:p>
    <w:p w14:paraId="46478CCE">
      <w:pPr>
        <w:spacing w:line="360" w:lineRule="auto"/>
        <w:ind w:firstLine="420"/>
        <w:jc w:val="left"/>
        <w:rPr>
          <w:rFonts w:hint="eastAsia" w:ascii="仿宋" w:hAnsi="仿宋" w:eastAsia="仿宋" w:cs="Times New Roman"/>
          <w:b w:val="0"/>
          <w:color w:val="auto"/>
          <w:szCs w:val="21"/>
          <w:highlight w:val="none"/>
          <w:u w:val="single"/>
        </w:rPr>
      </w:pPr>
      <w:r>
        <w:rPr>
          <w:rFonts w:hint="eastAsia" w:ascii="仿宋" w:hAnsi="仿宋" w:eastAsia="仿宋" w:cs="Times New Roman"/>
          <w:b w:val="0"/>
          <w:color w:val="auto"/>
          <w:highlight w:val="none"/>
          <w:u w:val="single"/>
          <w:lang w:val="en-US" w:eastAsia="zh-CN"/>
        </w:rPr>
        <w:t>5.1</w:t>
      </w:r>
      <w:r>
        <w:rPr>
          <w:rFonts w:hint="eastAsia" w:ascii="仿宋" w:hAnsi="仿宋" w:eastAsia="仿宋" w:cs="Times New Roman"/>
          <w:b w:val="0"/>
          <w:color w:val="auto"/>
          <w:szCs w:val="21"/>
          <w:highlight w:val="none"/>
          <w:u w:val="single"/>
          <w:lang w:val="en-US" w:eastAsia="zh-CN"/>
        </w:rPr>
        <w:t>、</w:t>
      </w:r>
      <w:r>
        <w:rPr>
          <w:rFonts w:hint="eastAsia" w:ascii="仿宋" w:hAnsi="仿宋" w:eastAsia="仿宋" w:cs="Times New Roman"/>
          <w:b w:val="0"/>
          <w:color w:val="auto"/>
          <w:szCs w:val="21"/>
          <w:highlight w:val="none"/>
          <w:u w:val="single"/>
        </w:rPr>
        <w:t>验收内容</w:t>
      </w:r>
    </w:p>
    <w:tbl>
      <w:tblPr>
        <w:tblStyle w:val="80"/>
        <w:tblW w:w="88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1"/>
        <w:gridCol w:w="1515"/>
        <w:gridCol w:w="6519"/>
      </w:tblGrid>
      <w:tr w14:paraId="641FD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1" w:type="dxa"/>
            <w:tcBorders>
              <w:top w:val="single" w:color="auto" w:sz="4" w:space="0"/>
              <w:left w:val="single" w:color="auto" w:sz="4" w:space="0"/>
              <w:bottom w:val="single" w:color="auto" w:sz="4" w:space="0"/>
              <w:right w:val="single" w:color="auto" w:sz="4" w:space="0"/>
            </w:tcBorders>
            <w:noWrap/>
            <w:vAlign w:val="center"/>
          </w:tcPr>
          <w:p w14:paraId="0FD63DE1">
            <w:pPr>
              <w:widowControl/>
              <w:spacing w:before="120" w:beforeLines="50" w:line="360" w:lineRule="auto"/>
              <w:jc w:val="center"/>
              <w:outlineLvl w:val="3"/>
              <w:rPr>
                <w:rFonts w:ascii="仿宋" w:hAnsi="仿宋" w:eastAsia="仿宋" w:cs="仿宋"/>
                <w:bCs/>
                <w:color w:val="auto"/>
                <w:szCs w:val="21"/>
                <w:highlight w:val="none"/>
              </w:rPr>
            </w:pPr>
            <w:r>
              <w:rPr>
                <w:rFonts w:hint="eastAsia" w:ascii="仿宋" w:hAnsi="仿宋" w:eastAsia="仿宋" w:cs="仿宋"/>
                <w:bCs/>
                <w:color w:val="auto"/>
                <w:szCs w:val="21"/>
                <w:highlight w:val="none"/>
              </w:rPr>
              <w:t>序号</w:t>
            </w:r>
          </w:p>
        </w:tc>
        <w:tc>
          <w:tcPr>
            <w:tcW w:w="1515" w:type="dxa"/>
            <w:tcBorders>
              <w:top w:val="single" w:color="auto" w:sz="4" w:space="0"/>
              <w:left w:val="single" w:color="auto" w:sz="4" w:space="0"/>
              <w:bottom w:val="single" w:color="auto" w:sz="4" w:space="0"/>
              <w:right w:val="single" w:color="auto" w:sz="4" w:space="0"/>
            </w:tcBorders>
            <w:noWrap/>
            <w:vAlign w:val="center"/>
          </w:tcPr>
          <w:p w14:paraId="62A62A03">
            <w:pPr>
              <w:widowControl/>
              <w:spacing w:before="120" w:beforeLines="50" w:line="360" w:lineRule="auto"/>
              <w:jc w:val="center"/>
              <w:outlineLvl w:val="3"/>
              <w:rPr>
                <w:rFonts w:ascii="仿宋" w:hAnsi="仿宋" w:eastAsia="仿宋" w:cs="仿宋"/>
                <w:bCs/>
                <w:color w:val="auto"/>
                <w:szCs w:val="21"/>
                <w:highlight w:val="none"/>
              </w:rPr>
            </w:pPr>
            <w:r>
              <w:rPr>
                <w:rFonts w:hint="eastAsia" w:ascii="仿宋" w:hAnsi="仿宋" w:eastAsia="仿宋" w:cs="仿宋"/>
                <w:bCs/>
                <w:color w:val="auto"/>
                <w:szCs w:val="21"/>
                <w:highlight w:val="none"/>
              </w:rPr>
              <w:t>验收内容</w:t>
            </w:r>
          </w:p>
        </w:tc>
        <w:tc>
          <w:tcPr>
            <w:tcW w:w="6519" w:type="dxa"/>
            <w:tcBorders>
              <w:top w:val="single" w:color="auto" w:sz="4" w:space="0"/>
              <w:left w:val="single" w:color="auto" w:sz="4" w:space="0"/>
              <w:bottom w:val="single" w:color="auto" w:sz="4" w:space="0"/>
              <w:right w:val="single" w:color="auto" w:sz="4" w:space="0"/>
            </w:tcBorders>
            <w:noWrap w:val="0"/>
            <w:vAlign w:val="center"/>
          </w:tcPr>
          <w:p w14:paraId="030BD4DC">
            <w:pPr>
              <w:widowControl/>
              <w:spacing w:before="120" w:beforeLines="50" w:line="360" w:lineRule="auto"/>
              <w:jc w:val="center"/>
              <w:outlineLvl w:val="3"/>
              <w:rPr>
                <w:rFonts w:ascii="仿宋" w:hAnsi="仿宋" w:eastAsia="仿宋" w:cs="仿宋"/>
                <w:bCs/>
                <w:color w:val="auto"/>
                <w:szCs w:val="21"/>
                <w:highlight w:val="none"/>
              </w:rPr>
            </w:pPr>
            <w:r>
              <w:rPr>
                <w:rFonts w:hint="eastAsia" w:ascii="仿宋" w:hAnsi="仿宋" w:eastAsia="仿宋" w:cs="仿宋"/>
                <w:bCs/>
                <w:color w:val="auto"/>
                <w:szCs w:val="21"/>
                <w:highlight w:val="none"/>
              </w:rPr>
              <w:t>验收标准</w:t>
            </w:r>
          </w:p>
        </w:tc>
      </w:tr>
      <w:tr w14:paraId="67211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1" w:type="dxa"/>
            <w:tcBorders>
              <w:top w:val="single" w:color="auto" w:sz="4" w:space="0"/>
              <w:left w:val="single" w:color="auto" w:sz="4" w:space="0"/>
              <w:bottom w:val="single" w:color="auto" w:sz="4" w:space="0"/>
              <w:right w:val="single" w:color="auto" w:sz="4" w:space="0"/>
            </w:tcBorders>
            <w:noWrap/>
            <w:vAlign w:val="center"/>
          </w:tcPr>
          <w:p w14:paraId="21D1994F">
            <w:pPr>
              <w:widowControl/>
              <w:spacing w:before="120" w:beforeLines="50" w:line="360" w:lineRule="auto"/>
              <w:jc w:val="center"/>
              <w:outlineLvl w:val="3"/>
              <w:rPr>
                <w:rFonts w:ascii="仿宋" w:hAnsi="仿宋" w:eastAsia="仿宋" w:cs="仿宋"/>
                <w:bCs/>
                <w:color w:val="auto"/>
                <w:szCs w:val="21"/>
                <w:highlight w:val="none"/>
              </w:rPr>
            </w:pPr>
            <w:r>
              <w:rPr>
                <w:rFonts w:hint="eastAsia" w:ascii="仿宋" w:hAnsi="仿宋" w:eastAsia="仿宋" w:cs="仿宋"/>
                <w:bCs/>
                <w:color w:val="auto"/>
                <w:szCs w:val="21"/>
                <w:highlight w:val="none"/>
              </w:rPr>
              <w:t>1</w:t>
            </w:r>
          </w:p>
        </w:tc>
        <w:tc>
          <w:tcPr>
            <w:tcW w:w="1515" w:type="dxa"/>
            <w:tcBorders>
              <w:top w:val="single" w:color="auto" w:sz="4" w:space="0"/>
              <w:left w:val="single" w:color="auto" w:sz="4" w:space="0"/>
              <w:bottom w:val="single" w:color="auto" w:sz="4" w:space="0"/>
              <w:right w:val="single" w:color="auto" w:sz="4" w:space="0"/>
            </w:tcBorders>
            <w:noWrap/>
            <w:vAlign w:val="center"/>
          </w:tcPr>
          <w:p w14:paraId="0FA6D468">
            <w:pPr>
              <w:widowControl/>
              <w:spacing w:before="120" w:beforeLines="50" w:line="360" w:lineRule="auto"/>
              <w:jc w:val="center"/>
              <w:outlineLvl w:val="3"/>
              <w:rPr>
                <w:rFonts w:ascii="仿宋" w:hAnsi="仿宋" w:eastAsia="仿宋" w:cs="仿宋"/>
                <w:bCs/>
                <w:color w:val="auto"/>
                <w:szCs w:val="21"/>
                <w:highlight w:val="none"/>
              </w:rPr>
            </w:pPr>
            <w:r>
              <w:rPr>
                <w:rFonts w:hint="eastAsia" w:ascii="仿宋" w:hAnsi="仿宋" w:eastAsia="仿宋" w:cs="仿宋"/>
                <w:bCs/>
                <w:color w:val="auto"/>
                <w:szCs w:val="21"/>
                <w:highlight w:val="none"/>
              </w:rPr>
              <w:t>服务响应程度</w:t>
            </w:r>
          </w:p>
        </w:tc>
        <w:tc>
          <w:tcPr>
            <w:tcW w:w="6519" w:type="dxa"/>
            <w:tcBorders>
              <w:top w:val="single" w:color="auto" w:sz="4" w:space="0"/>
              <w:left w:val="single" w:color="auto" w:sz="4" w:space="0"/>
              <w:bottom w:val="single" w:color="auto" w:sz="4" w:space="0"/>
              <w:right w:val="single" w:color="auto" w:sz="4" w:space="0"/>
            </w:tcBorders>
            <w:noWrap w:val="0"/>
            <w:vAlign w:val="center"/>
          </w:tcPr>
          <w:p w14:paraId="68D1904F">
            <w:pPr>
              <w:spacing w:before="120" w:beforeLines="50" w:line="360" w:lineRule="auto"/>
              <w:outlineLvl w:val="3"/>
              <w:rPr>
                <w:rFonts w:ascii="仿宋" w:hAnsi="仿宋" w:eastAsia="仿宋" w:cs="仿宋"/>
                <w:bCs/>
                <w:color w:val="auto"/>
                <w:szCs w:val="21"/>
                <w:highlight w:val="none"/>
              </w:rPr>
            </w:pPr>
            <w:r>
              <w:rPr>
                <w:rFonts w:hint="eastAsia" w:ascii="仿宋" w:hAnsi="仿宋" w:eastAsia="仿宋" w:cs="仿宋"/>
                <w:bCs/>
                <w:color w:val="auto"/>
                <w:szCs w:val="21"/>
                <w:highlight w:val="none"/>
              </w:rPr>
              <w:t>对合同服务内容的响应情况</w:t>
            </w:r>
          </w:p>
        </w:tc>
      </w:tr>
      <w:tr w14:paraId="3A841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861" w:type="dxa"/>
            <w:vMerge w:val="restart"/>
            <w:tcBorders>
              <w:top w:val="single" w:color="auto" w:sz="4" w:space="0"/>
              <w:left w:val="single" w:color="auto" w:sz="4" w:space="0"/>
              <w:right w:val="single" w:color="auto" w:sz="4" w:space="0"/>
            </w:tcBorders>
            <w:noWrap/>
            <w:vAlign w:val="center"/>
          </w:tcPr>
          <w:p w14:paraId="38BA6FF2">
            <w:pPr>
              <w:widowControl/>
              <w:spacing w:before="120" w:beforeLines="50" w:line="360" w:lineRule="auto"/>
              <w:jc w:val="center"/>
              <w:outlineLvl w:val="3"/>
              <w:rPr>
                <w:rFonts w:ascii="仿宋" w:hAnsi="仿宋" w:eastAsia="仿宋" w:cs="仿宋"/>
                <w:bCs/>
                <w:color w:val="auto"/>
                <w:szCs w:val="21"/>
                <w:highlight w:val="none"/>
              </w:rPr>
            </w:pPr>
            <w:r>
              <w:rPr>
                <w:rFonts w:hint="eastAsia" w:ascii="仿宋" w:hAnsi="仿宋" w:eastAsia="仿宋" w:cs="仿宋"/>
                <w:bCs/>
                <w:color w:val="auto"/>
                <w:szCs w:val="21"/>
                <w:highlight w:val="none"/>
              </w:rPr>
              <w:t>2</w:t>
            </w:r>
          </w:p>
        </w:tc>
        <w:tc>
          <w:tcPr>
            <w:tcW w:w="1515" w:type="dxa"/>
            <w:vMerge w:val="restart"/>
            <w:tcBorders>
              <w:top w:val="single" w:color="auto" w:sz="4" w:space="0"/>
              <w:left w:val="single" w:color="auto" w:sz="4" w:space="0"/>
              <w:right w:val="single" w:color="auto" w:sz="4" w:space="0"/>
            </w:tcBorders>
            <w:noWrap/>
            <w:vAlign w:val="center"/>
          </w:tcPr>
          <w:p w14:paraId="2458E646">
            <w:pPr>
              <w:widowControl/>
              <w:spacing w:before="120" w:beforeLines="50" w:line="360" w:lineRule="auto"/>
              <w:jc w:val="center"/>
              <w:outlineLvl w:val="3"/>
              <w:rPr>
                <w:rFonts w:ascii="仿宋" w:hAnsi="仿宋" w:eastAsia="仿宋" w:cs="仿宋"/>
                <w:bCs/>
                <w:color w:val="auto"/>
                <w:szCs w:val="21"/>
                <w:highlight w:val="none"/>
              </w:rPr>
            </w:pPr>
            <w:r>
              <w:rPr>
                <w:rFonts w:hint="eastAsia" w:ascii="仿宋" w:hAnsi="仿宋" w:eastAsia="仿宋" w:cs="仿宋"/>
                <w:color w:val="auto"/>
                <w:szCs w:val="21"/>
                <w:highlight w:val="none"/>
              </w:rPr>
              <w:t>服务质量验收</w:t>
            </w:r>
          </w:p>
        </w:tc>
        <w:tc>
          <w:tcPr>
            <w:tcW w:w="6519" w:type="dxa"/>
            <w:tcBorders>
              <w:top w:val="single" w:color="auto" w:sz="4" w:space="0"/>
              <w:left w:val="single" w:color="auto" w:sz="4" w:space="0"/>
              <w:bottom w:val="single" w:color="auto" w:sz="4" w:space="0"/>
              <w:right w:val="single" w:color="auto" w:sz="4" w:space="0"/>
            </w:tcBorders>
            <w:noWrap w:val="0"/>
            <w:vAlign w:val="center"/>
          </w:tcPr>
          <w:p w14:paraId="5CAB59F9">
            <w:pPr>
              <w:jc w:val="left"/>
              <w:rPr>
                <w:rFonts w:ascii="仿宋" w:hAnsi="仿宋" w:eastAsia="仿宋" w:cs="仿宋"/>
                <w:bCs/>
                <w:color w:val="auto"/>
                <w:szCs w:val="21"/>
                <w:highlight w:val="none"/>
              </w:rPr>
            </w:pPr>
            <w:r>
              <w:rPr>
                <w:rFonts w:hint="eastAsia" w:ascii="仿宋" w:hAnsi="仿宋" w:eastAsia="仿宋" w:cs="仿宋"/>
                <w:color w:val="auto"/>
                <w:szCs w:val="21"/>
                <w:highlight w:val="none"/>
              </w:rPr>
              <w:t>案件侦查打击服务要求验收：</w:t>
            </w:r>
            <w:r>
              <w:rPr>
                <w:rFonts w:hint="eastAsia" w:ascii="仿宋" w:hAnsi="仿宋" w:eastAsia="仿宋" w:cs="宋体"/>
                <w:color w:val="auto"/>
                <w:kern w:val="0"/>
                <w:szCs w:val="21"/>
                <w:highlight w:val="none"/>
              </w:rPr>
              <w:t>提供任务管理、案件侦查、案件支撑、研判分析、数据还原、数据分析、侦查协助、</w:t>
            </w:r>
            <w:r>
              <w:rPr>
                <w:rFonts w:hint="eastAsia" w:ascii="仿宋" w:hAnsi="仿宋" w:eastAsia="仿宋" w:cs="仿宋"/>
                <w:iCs/>
                <w:color w:val="auto"/>
                <w:szCs w:val="21"/>
                <w:highlight w:val="none"/>
              </w:rPr>
              <w:t>重特大案件专项线索突破</w:t>
            </w:r>
            <w:r>
              <w:rPr>
                <w:rFonts w:hint="eastAsia" w:ascii="仿宋" w:hAnsi="仿宋" w:eastAsia="仿宋" w:cs="宋体"/>
                <w:color w:val="auto"/>
                <w:szCs w:val="21"/>
                <w:highlight w:val="none"/>
              </w:rPr>
              <w:t>等服务</w:t>
            </w:r>
            <w:r>
              <w:rPr>
                <w:rFonts w:hint="eastAsia" w:ascii="仿宋" w:hAnsi="仿宋" w:eastAsia="仿宋" w:cs="仿宋"/>
                <w:iCs/>
                <w:color w:val="auto"/>
                <w:szCs w:val="21"/>
                <w:highlight w:val="none"/>
              </w:rPr>
              <w:t>。服务期内提供重特大案件线索</w:t>
            </w:r>
            <w:r>
              <w:rPr>
                <w:rFonts w:hint="eastAsia" w:ascii="仿宋" w:hAnsi="仿宋" w:eastAsia="仿宋" w:cs="仿宋"/>
                <w:iCs/>
                <w:color w:val="auto"/>
                <w:szCs w:val="21"/>
                <w:highlight w:val="none"/>
              </w:rPr>
              <w:t>不少于</w:t>
            </w:r>
            <w:r>
              <w:rPr>
                <w:rFonts w:hint="eastAsia" w:ascii="仿宋" w:hAnsi="仿宋" w:eastAsia="仿宋" w:cs="仿宋"/>
                <w:iCs/>
                <w:color w:val="auto"/>
                <w:szCs w:val="21"/>
                <w:highlight w:val="none"/>
                <w:lang w:val="en-US" w:eastAsia="zh-CN"/>
              </w:rPr>
              <w:t>5</w:t>
            </w:r>
            <w:r>
              <w:rPr>
                <w:rFonts w:hint="eastAsia" w:ascii="仿宋" w:hAnsi="仿宋" w:eastAsia="仿宋" w:cs="仿宋"/>
                <w:iCs/>
                <w:color w:val="auto"/>
                <w:szCs w:val="21"/>
                <w:highlight w:val="none"/>
              </w:rPr>
              <w:t>起</w:t>
            </w:r>
            <w:r>
              <w:rPr>
                <w:rFonts w:hint="eastAsia" w:ascii="仿宋" w:hAnsi="仿宋" w:eastAsia="仿宋" w:cs="仿宋"/>
                <w:iCs/>
                <w:color w:val="auto"/>
                <w:szCs w:val="21"/>
                <w:highlight w:val="none"/>
              </w:rPr>
              <w:t>， A类分析报告</w:t>
            </w:r>
            <w:r>
              <w:rPr>
                <w:rFonts w:hint="eastAsia" w:ascii="仿宋" w:hAnsi="仿宋" w:eastAsia="仿宋" w:cs="仿宋"/>
                <w:iCs/>
                <w:color w:val="auto"/>
                <w:szCs w:val="21"/>
                <w:highlight w:val="none"/>
              </w:rPr>
              <w:t>不少于</w:t>
            </w:r>
            <w:r>
              <w:rPr>
                <w:rFonts w:hint="eastAsia" w:ascii="仿宋" w:hAnsi="仿宋" w:eastAsia="仿宋" w:cs="仿宋"/>
                <w:iCs/>
                <w:color w:val="auto"/>
                <w:szCs w:val="21"/>
                <w:highlight w:val="none"/>
                <w:lang w:val="en-US" w:eastAsia="zh-CN"/>
              </w:rPr>
              <w:t>8</w:t>
            </w:r>
            <w:r>
              <w:rPr>
                <w:rFonts w:hint="eastAsia" w:ascii="仿宋" w:hAnsi="仿宋" w:eastAsia="仿宋" w:cs="仿宋"/>
                <w:iCs/>
                <w:color w:val="auto"/>
                <w:szCs w:val="21"/>
                <w:highlight w:val="none"/>
              </w:rPr>
              <w:t>份</w:t>
            </w:r>
            <w:r>
              <w:rPr>
                <w:rFonts w:hint="eastAsia" w:ascii="仿宋" w:hAnsi="仿宋" w:eastAsia="仿宋" w:cs="仿宋"/>
                <w:iCs/>
                <w:color w:val="auto"/>
                <w:szCs w:val="21"/>
                <w:highlight w:val="none"/>
              </w:rPr>
              <w:t>；提供案件侦查打击服务</w:t>
            </w:r>
            <w:r>
              <w:rPr>
                <w:rFonts w:hint="eastAsia" w:ascii="仿宋" w:hAnsi="仿宋" w:eastAsia="仿宋" w:cs="仿宋"/>
                <w:iCs/>
                <w:color w:val="auto"/>
                <w:szCs w:val="21"/>
                <w:highlight w:val="none"/>
              </w:rPr>
              <w:t>不少于20起</w:t>
            </w:r>
            <w:r>
              <w:rPr>
                <w:rFonts w:hint="eastAsia" w:ascii="仿宋" w:hAnsi="仿宋" w:eastAsia="仿宋" w:cs="仿宋"/>
                <w:iCs/>
                <w:color w:val="auto"/>
                <w:szCs w:val="21"/>
                <w:highlight w:val="none"/>
              </w:rPr>
              <w:t>，输出B类分析报告</w:t>
            </w:r>
            <w:r>
              <w:rPr>
                <w:rFonts w:hint="eastAsia" w:ascii="仿宋" w:hAnsi="仿宋" w:eastAsia="仿宋" w:cs="仿宋"/>
                <w:iCs/>
                <w:color w:val="auto"/>
                <w:szCs w:val="21"/>
                <w:highlight w:val="none"/>
              </w:rPr>
              <w:t>不少于</w:t>
            </w:r>
            <w:r>
              <w:rPr>
                <w:rFonts w:hint="eastAsia" w:ascii="仿宋" w:hAnsi="仿宋" w:eastAsia="仿宋" w:cs="仿宋"/>
                <w:iCs/>
                <w:color w:val="auto"/>
                <w:szCs w:val="21"/>
                <w:highlight w:val="none"/>
                <w:lang w:val="en-US" w:eastAsia="zh-CN"/>
              </w:rPr>
              <w:t>1</w:t>
            </w:r>
            <w:r>
              <w:rPr>
                <w:rFonts w:hint="eastAsia" w:ascii="仿宋" w:hAnsi="仿宋" w:eastAsia="仿宋" w:cs="仿宋"/>
                <w:iCs/>
                <w:color w:val="auto"/>
                <w:szCs w:val="21"/>
                <w:highlight w:val="none"/>
              </w:rPr>
              <w:t>8份</w:t>
            </w:r>
            <w:r>
              <w:rPr>
                <w:rFonts w:hint="eastAsia" w:ascii="仿宋" w:hAnsi="仿宋" w:eastAsia="仿宋" w:cs="仿宋"/>
                <w:iCs/>
                <w:color w:val="auto"/>
                <w:szCs w:val="21"/>
                <w:highlight w:val="none"/>
              </w:rPr>
              <w:t>、输出C类分析报告</w:t>
            </w:r>
            <w:r>
              <w:rPr>
                <w:rFonts w:hint="eastAsia" w:ascii="仿宋" w:hAnsi="仿宋" w:eastAsia="仿宋" w:cs="仿宋"/>
                <w:iCs/>
                <w:color w:val="auto"/>
                <w:szCs w:val="21"/>
                <w:highlight w:val="none"/>
              </w:rPr>
              <w:t>不少于</w:t>
            </w:r>
            <w:r>
              <w:rPr>
                <w:rFonts w:hint="eastAsia" w:ascii="仿宋" w:hAnsi="仿宋" w:eastAsia="仿宋" w:cs="仿宋"/>
                <w:iCs/>
                <w:color w:val="auto"/>
                <w:szCs w:val="21"/>
                <w:highlight w:val="none"/>
                <w:lang w:val="en-US" w:eastAsia="zh-CN"/>
              </w:rPr>
              <w:t>3</w:t>
            </w:r>
            <w:r>
              <w:rPr>
                <w:rFonts w:hint="eastAsia" w:ascii="仿宋" w:hAnsi="仿宋" w:eastAsia="仿宋" w:cs="仿宋"/>
                <w:iCs/>
                <w:color w:val="auto"/>
                <w:szCs w:val="21"/>
                <w:highlight w:val="none"/>
              </w:rPr>
              <w:t>0份</w:t>
            </w:r>
            <w:r>
              <w:rPr>
                <w:rFonts w:hint="eastAsia" w:ascii="仿宋" w:hAnsi="仿宋" w:eastAsia="仿宋" w:cs="仿宋"/>
                <w:iCs/>
                <w:color w:val="auto"/>
                <w:szCs w:val="21"/>
                <w:highlight w:val="none"/>
              </w:rPr>
              <w:t>。</w:t>
            </w:r>
          </w:p>
        </w:tc>
      </w:tr>
      <w:tr w14:paraId="4DD93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861" w:type="dxa"/>
            <w:vMerge w:val="continue"/>
            <w:tcBorders>
              <w:left w:val="single" w:color="auto" w:sz="4" w:space="0"/>
              <w:right w:val="single" w:color="auto" w:sz="4" w:space="0"/>
            </w:tcBorders>
            <w:noWrap/>
            <w:vAlign w:val="center"/>
          </w:tcPr>
          <w:p w14:paraId="2F6B0556">
            <w:pPr>
              <w:widowControl/>
              <w:spacing w:before="120" w:beforeLines="50" w:line="360" w:lineRule="auto"/>
              <w:jc w:val="center"/>
              <w:outlineLvl w:val="3"/>
              <w:rPr>
                <w:rFonts w:ascii="仿宋" w:hAnsi="仿宋" w:eastAsia="仿宋" w:cs="仿宋"/>
                <w:bCs/>
                <w:color w:val="auto"/>
                <w:szCs w:val="21"/>
                <w:highlight w:val="none"/>
              </w:rPr>
            </w:pPr>
          </w:p>
        </w:tc>
        <w:tc>
          <w:tcPr>
            <w:tcW w:w="1515" w:type="dxa"/>
            <w:vMerge w:val="continue"/>
            <w:tcBorders>
              <w:left w:val="single" w:color="auto" w:sz="4" w:space="0"/>
              <w:right w:val="single" w:color="auto" w:sz="4" w:space="0"/>
            </w:tcBorders>
            <w:noWrap/>
            <w:vAlign w:val="center"/>
          </w:tcPr>
          <w:p w14:paraId="3E8036AC">
            <w:pPr>
              <w:widowControl/>
              <w:spacing w:before="120" w:beforeLines="50" w:line="360" w:lineRule="auto"/>
              <w:jc w:val="center"/>
              <w:outlineLvl w:val="3"/>
              <w:rPr>
                <w:rFonts w:ascii="仿宋" w:hAnsi="仿宋" w:eastAsia="仿宋" w:cs="仿宋"/>
                <w:color w:val="auto"/>
                <w:szCs w:val="21"/>
                <w:highlight w:val="none"/>
              </w:rPr>
            </w:pPr>
          </w:p>
        </w:tc>
        <w:tc>
          <w:tcPr>
            <w:tcW w:w="6519" w:type="dxa"/>
            <w:tcBorders>
              <w:top w:val="single" w:color="auto" w:sz="4" w:space="0"/>
              <w:left w:val="single" w:color="auto" w:sz="4" w:space="0"/>
              <w:right w:val="single" w:color="auto" w:sz="4" w:space="0"/>
            </w:tcBorders>
            <w:noWrap w:val="0"/>
            <w:vAlign w:val="center"/>
          </w:tcPr>
          <w:p w14:paraId="2D63B0F1">
            <w:pPr>
              <w:jc w:val="left"/>
              <w:rPr>
                <w:rFonts w:ascii="仿宋" w:hAnsi="仿宋" w:eastAsia="仿宋" w:cs="仿宋"/>
                <w:bCs/>
                <w:color w:val="auto"/>
                <w:szCs w:val="21"/>
                <w:highlight w:val="none"/>
              </w:rPr>
            </w:pPr>
            <w:r>
              <w:rPr>
                <w:rFonts w:hint="eastAsia" w:ascii="仿宋" w:hAnsi="仿宋" w:eastAsia="仿宋" w:cs="宋体"/>
                <w:color w:val="auto"/>
                <w:kern w:val="0"/>
                <w:szCs w:val="21"/>
                <w:highlight w:val="none"/>
              </w:rPr>
              <w:t>大数据智能查控服务</w:t>
            </w:r>
            <w:r>
              <w:rPr>
                <w:rFonts w:hint="eastAsia" w:ascii="仿宋" w:hAnsi="仿宋" w:eastAsia="仿宋" w:cs="仿宋"/>
                <w:color w:val="auto"/>
                <w:szCs w:val="21"/>
                <w:highlight w:val="none"/>
              </w:rPr>
              <w:t>要求验收：提供任大数据多维研判、终端溯源嫌疑追踪、案件管理数据分析、态势分析报告输出等服务。</w:t>
            </w:r>
            <w:r>
              <w:rPr>
                <w:rFonts w:hint="eastAsia" w:ascii="仿宋" w:hAnsi="仿宋" w:eastAsia="仿宋" w:cs="仿宋"/>
                <w:iCs/>
                <w:color w:val="auto"/>
                <w:szCs w:val="21"/>
                <w:highlight w:val="none"/>
              </w:rPr>
              <w:t>服务期内</w:t>
            </w:r>
            <w:r>
              <w:rPr>
                <w:rFonts w:hint="eastAsia" w:ascii="仿宋" w:hAnsi="仿宋" w:eastAsia="仿宋" w:cs="仿宋"/>
                <w:color w:val="auto"/>
                <w:szCs w:val="21"/>
                <w:highlight w:val="none"/>
              </w:rPr>
              <w:t>提供重特大案件服务</w:t>
            </w:r>
            <w:r>
              <w:rPr>
                <w:rFonts w:hint="eastAsia" w:ascii="仿宋" w:hAnsi="仿宋" w:eastAsia="仿宋" w:cs="仿宋"/>
                <w:color w:val="auto"/>
                <w:szCs w:val="21"/>
                <w:highlight w:val="none"/>
              </w:rPr>
              <w:t>不少于10次</w:t>
            </w:r>
            <w:r>
              <w:rPr>
                <w:rFonts w:hint="eastAsia" w:ascii="仿宋" w:hAnsi="仿宋" w:eastAsia="仿宋" w:cs="仿宋"/>
                <w:color w:val="auto"/>
                <w:szCs w:val="21"/>
                <w:highlight w:val="none"/>
              </w:rPr>
              <w:t>，输出B类分析报告</w:t>
            </w:r>
            <w:r>
              <w:rPr>
                <w:rFonts w:hint="eastAsia" w:ascii="仿宋" w:hAnsi="仿宋" w:eastAsia="仿宋" w:cs="仿宋"/>
                <w:color w:val="auto"/>
                <w:szCs w:val="21"/>
                <w:highlight w:val="none"/>
              </w:rPr>
              <w:t>不少于2</w:t>
            </w:r>
            <w:r>
              <w:rPr>
                <w:rFonts w:hint="eastAsia" w:ascii="仿宋" w:hAnsi="仿宋" w:eastAsia="仿宋" w:cs="仿宋"/>
                <w:color w:val="auto"/>
                <w:szCs w:val="21"/>
                <w:highlight w:val="none"/>
                <w:lang w:val="en-US" w:eastAsia="zh-CN"/>
              </w:rPr>
              <w:t>0</w:t>
            </w:r>
            <w:r>
              <w:rPr>
                <w:rFonts w:hint="eastAsia" w:ascii="仿宋" w:hAnsi="仿宋" w:eastAsia="仿宋" w:cs="仿宋"/>
                <w:color w:val="auto"/>
                <w:szCs w:val="21"/>
                <w:highlight w:val="none"/>
              </w:rPr>
              <w:t>份</w:t>
            </w:r>
            <w:r>
              <w:rPr>
                <w:rFonts w:hint="eastAsia" w:ascii="仿宋" w:hAnsi="仿宋" w:eastAsia="仿宋" w:cs="仿宋"/>
                <w:color w:val="auto"/>
                <w:szCs w:val="21"/>
                <w:highlight w:val="none"/>
              </w:rPr>
              <w:t>；提供涉诈网站数据及线索分析服务</w:t>
            </w:r>
            <w:r>
              <w:rPr>
                <w:rFonts w:hint="eastAsia" w:ascii="仿宋" w:hAnsi="仿宋" w:eastAsia="仿宋" w:cs="仿宋"/>
                <w:color w:val="auto"/>
                <w:szCs w:val="21"/>
                <w:highlight w:val="none"/>
              </w:rPr>
              <w:t>不少于20次</w:t>
            </w:r>
            <w:r>
              <w:rPr>
                <w:rFonts w:hint="eastAsia" w:ascii="仿宋" w:hAnsi="仿宋" w:eastAsia="仿宋" w:cs="仿宋"/>
                <w:color w:val="auto"/>
                <w:szCs w:val="21"/>
                <w:highlight w:val="none"/>
              </w:rPr>
              <w:t>，输出C类分析报告不少</w:t>
            </w:r>
            <w:r>
              <w:rPr>
                <w:rFonts w:hint="eastAsia" w:ascii="仿宋" w:hAnsi="仿宋" w:eastAsia="仿宋" w:cs="仿宋"/>
                <w:color w:val="auto"/>
                <w:szCs w:val="21"/>
                <w:highlight w:val="none"/>
              </w:rPr>
              <w:t>于</w:t>
            </w:r>
            <w:r>
              <w:rPr>
                <w:rFonts w:hint="eastAsia" w:ascii="仿宋" w:hAnsi="仿宋" w:eastAsia="仿宋" w:cs="仿宋"/>
                <w:color w:val="auto"/>
                <w:szCs w:val="21"/>
                <w:highlight w:val="none"/>
                <w:lang w:val="en-US" w:eastAsia="zh-CN"/>
              </w:rPr>
              <w:t>40</w:t>
            </w:r>
            <w:r>
              <w:rPr>
                <w:rFonts w:hint="eastAsia" w:ascii="仿宋" w:hAnsi="仿宋" w:eastAsia="仿宋" w:cs="仿宋"/>
                <w:color w:val="auto"/>
                <w:szCs w:val="21"/>
                <w:highlight w:val="none"/>
              </w:rPr>
              <w:t>份。</w:t>
            </w:r>
          </w:p>
        </w:tc>
      </w:tr>
      <w:tr w14:paraId="44935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861" w:type="dxa"/>
            <w:vMerge w:val="continue"/>
            <w:tcBorders>
              <w:left w:val="single" w:color="auto" w:sz="4" w:space="0"/>
              <w:right w:val="single" w:color="auto" w:sz="4" w:space="0"/>
            </w:tcBorders>
            <w:noWrap/>
            <w:vAlign w:val="center"/>
          </w:tcPr>
          <w:p w14:paraId="6E6696E2">
            <w:pPr>
              <w:widowControl/>
              <w:spacing w:before="120" w:beforeLines="50" w:line="360" w:lineRule="auto"/>
              <w:jc w:val="center"/>
              <w:outlineLvl w:val="3"/>
              <w:rPr>
                <w:rFonts w:ascii="仿宋" w:hAnsi="仿宋" w:eastAsia="仿宋" w:cs="仿宋"/>
                <w:bCs/>
                <w:color w:val="auto"/>
                <w:szCs w:val="21"/>
                <w:highlight w:val="none"/>
              </w:rPr>
            </w:pPr>
          </w:p>
        </w:tc>
        <w:tc>
          <w:tcPr>
            <w:tcW w:w="1515" w:type="dxa"/>
            <w:vMerge w:val="continue"/>
            <w:tcBorders>
              <w:left w:val="single" w:color="auto" w:sz="4" w:space="0"/>
              <w:right w:val="single" w:color="auto" w:sz="4" w:space="0"/>
            </w:tcBorders>
            <w:noWrap/>
            <w:vAlign w:val="center"/>
          </w:tcPr>
          <w:p w14:paraId="3347DA3C">
            <w:pPr>
              <w:widowControl/>
              <w:spacing w:before="120" w:beforeLines="50" w:line="360" w:lineRule="auto"/>
              <w:jc w:val="center"/>
              <w:outlineLvl w:val="3"/>
              <w:rPr>
                <w:rFonts w:ascii="仿宋" w:hAnsi="仿宋" w:eastAsia="仿宋" w:cs="仿宋"/>
                <w:color w:val="auto"/>
                <w:szCs w:val="21"/>
                <w:highlight w:val="none"/>
              </w:rPr>
            </w:pPr>
          </w:p>
        </w:tc>
        <w:tc>
          <w:tcPr>
            <w:tcW w:w="6519" w:type="dxa"/>
            <w:tcBorders>
              <w:top w:val="single" w:color="auto" w:sz="4" w:space="0"/>
              <w:left w:val="single" w:color="auto" w:sz="4" w:space="0"/>
              <w:bottom w:val="single" w:color="auto" w:sz="4" w:space="0"/>
              <w:right w:val="single" w:color="auto" w:sz="4" w:space="0"/>
            </w:tcBorders>
            <w:noWrap w:val="0"/>
            <w:vAlign w:val="center"/>
          </w:tcPr>
          <w:p w14:paraId="6377C789">
            <w:pPr>
              <w:jc w:val="left"/>
              <w:rPr>
                <w:rFonts w:ascii="仿宋" w:hAnsi="仿宋" w:eastAsia="仿宋" w:cs="仿宋"/>
                <w:iCs/>
                <w:color w:val="auto"/>
                <w:szCs w:val="21"/>
                <w:highlight w:val="none"/>
              </w:rPr>
            </w:pPr>
            <w:r>
              <w:rPr>
                <w:rFonts w:hint="eastAsia" w:ascii="仿宋" w:hAnsi="仿宋" w:eastAsia="仿宋" w:cs="宋体"/>
                <w:color w:val="auto"/>
                <w:szCs w:val="21"/>
                <w:highlight w:val="none"/>
              </w:rPr>
              <w:t>资金智能查控服务</w:t>
            </w:r>
            <w:r>
              <w:rPr>
                <w:rFonts w:hint="eastAsia" w:ascii="仿宋" w:hAnsi="仿宋" w:eastAsia="仿宋" w:cs="仿宋"/>
                <w:color w:val="auto"/>
                <w:szCs w:val="21"/>
                <w:highlight w:val="none"/>
              </w:rPr>
              <w:t>要求验收：提供资金查控、智能止付、保护性止付等服务的。</w:t>
            </w:r>
            <w:r>
              <w:rPr>
                <w:rFonts w:hint="eastAsia" w:ascii="仿宋" w:hAnsi="仿宋" w:eastAsia="仿宋" w:cs="仿宋"/>
                <w:iCs/>
                <w:color w:val="auto"/>
                <w:szCs w:val="21"/>
                <w:highlight w:val="none"/>
              </w:rPr>
              <w:t>服务期内</w:t>
            </w:r>
            <w:r>
              <w:rPr>
                <w:rFonts w:hint="eastAsia" w:ascii="仿宋" w:hAnsi="仿宋" w:eastAsia="仿宋"/>
                <w:color w:val="auto"/>
                <w:szCs w:val="21"/>
                <w:highlight w:val="none"/>
              </w:rPr>
              <w:t>资金查控服务输出C类分析报告</w:t>
            </w:r>
            <w:r>
              <w:rPr>
                <w:rFonts w:hint="eastAsia" w:ascii="仿宋" w:hAnsi="仿宋" w:eastAsia="仿宋"/>
                <w:color w:val="auto"/>
                <w:szCs w:val="21"/>
                <w:highlight w:val="none"/>
              </w:rPr>
              <w:t>不少于</w:t>
            </w:r>
            <w:r>
              <w:rPr>
                <w:rFonts w:hint="eastAsia" w:ascii="仿宋" w:hAnsi="仿宋" w:eastAsia="仿宋"/>
                <w:color w:val="auto"/>
                <w:szCs w:val="21"/>
                <w:highlight w:val="none"/>
                <w:lang w:val="en-US" w:eastAsia="zh-CN"/>
              </w:rPr>
              <w:t>2</w:t>
            </w:r>
            <w:r>
              <w:rPr>
                <w:rFonts w:hint="eastAsia" w:ascii="仿宋" w:hAnsi="仿宋" w:eastAsia="仿宋"/>
                <w:color w:val="auto"/>
                <w:szCs w:val="21"/>
                <w:highlight w:val="none"/>
              </w:rPr>
              <w:t>份</w:t>
            </w:r>
            <w:r>
              <w:rPr>
                <w:rFonts w:hint="eastAsia" w:ascii="仿宋" w:hAnsi="仿宋" w:eastAsia="仿宋"/>
                <w:color w:val="auto"/>
                <w:szCs w:val="21"/>
                <w:highlight w:val="none"/>
              </w:rPr>
              <w:t>；智能止付服务输出C类分析报告</w:t>
            </w:r>
            <w:r>
              <w:rPr>
                <w:rFonts w:hint="eastAsia" w:ascii="仿宋" w:hAnsi="仿宋" w:eastAsia="仿宋"/>
                <w:color w:val="auto"/>
                <w:szCs w:val="21"/>
                <w:highlight w:val="none"/>
              </w:rPr>
              <w:t>不少于</w:t>
            </w:r>
            <w:r>
              <w:rPr>
                <w:rFonts w:hint="eastAsia" w:ascii="仿宋" w:hAnsi="仿宋" w:eastAsia="仿宋"/>
                <w:color w:val="auto"/>
                <w:szCs w:val="21"/>
                <w:highlight w:val="none"/>
                <w:lang w:val="en-US" w:eastAsia="zh-CN"/>
              </w:rPr>
              <w:t>2</w:t>
            </w:r>
            <w:r>
              <w:rPr>
                <w:rFonts w:hint="eastAsia" w:ascii="仿宋" w:hAnsi="仿宋" w:eastAsia="仿宋"/>
                <w:color w:val="auto"/>
                <w:szCs w:val="21"/>
                <w:highlight w:val="none"/>
              </w:rPr>
              <w:t>份</w:t>
            </w:r>
            <w:r>
              <w:rPr>
                <w:rFonts w:hint="eastAsia" w:ascii="仿宋" w:hAnsi="仿宋" w:eastAsia="仿宋"/>
                <w:color w:val="auto"/>
                <w:szCs w:val="21"/>
                <w:highlight w:val="none"/>
              </w:rPr>
              <w:t>；保护性止付服务输出C类分析报告</w:t>
            </w:r>
            <w:r>
              <w:rPr>
                <w:rFonts w:hint="eastAsia" w:ascii="仿宋" w:hAnsi="仿宋" w:eastAsia="仿宋"/>
                <w:color w:val="auto"/>
                <w:szCs w:val="21"/>
                <w:highlight w:val="none"/>
              </w:rPr>
              <w:t>不少于</w:t>
            </w:r>
            <w:r>
              <w:rPr>
                <w:rFonts w:hint="eastAsia" w:ascii="仿宋" w:hAnsi="仿宋" w:eastAsia="仿宋"/>
                <w:color w:val="auto"/>
                <w:szCs w:val="21"/>
                <w:highlight w:val="none"/>
                <w:lang w:val="en-US" w:eastAsia="zh-CN"/>
              </w:rPr>
              <w:t>5</w:t>
            </w:r>
            <w:r>
              <w:rPr>
                <w:rFonts w:hint="eastAsia" w:ascii="仿宋" w:hAnsi="仿宋" w:eastAsia="仿宋"/>
                <w:color w:val="auto"/>
                <w:szCs w:val="21"/>
                <w:highlight w:val="none"/>
              </w:rPr>
              <w:t>份</w:t>
            </w:r>
            <w:r>
              <w:rPr>
                <w:rFonts w:hint="eastAsia" w:ascii="仿宋" w:hAnsi="仿宋" w:eastAsia="仿宋"/>
                <w:color w:val="auto"/>
                <w:szCs w:val="21"/>
                <w:highlight w:val="none"/>
              </w:rPr>
              <w:t>。</w:t>
            </w:r>
          </w:p>
        </w:tc>
      </w:tr>
      <w:tr w14:paraId="0CA79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861" w:type="dxa"/>
            <w:vMerge w:val="continue"/>
            <w:tcBorders>
              <w:left w:val="single" w:color="auto" w:sz="4" w:space="0"/>
              <w:right w:val="single" w:color="auto" w:sz="4" w:space="0"/>
            </w:tcBorders>
            <w:noWrap/>
            <w:vAlign w:val="center"/>
          </w:tcPr>
          <w:p w14:paraId="2BA226BD">
            <w:pPr>
              <w:widowControl/>
              <w:spacing w:before="120" w:beforeLines="50" w:line="360" w:lineRule="auto"/>
              <w:jc w:val="center"/>
              <w:outlineLvl w:val="3"/>
              <w:rPr>
                <w:rFonts w:ascii="仿宋" w:hAnsi="仿宋" w:eastAsia="仿宋" w:cs="仿宋"/>
                <w:bCs/>
                <w:color w:val="auto"/>
                <w:szCs w:val="21"/>
                <w:highlight w:val="none"/>
              </w:rPr>
            </w:pPr>
          </w:p>
        </w:tc>
        <w:tc>
          <w:tcPr>
            <w:tcW w:w="1515" w:type="dxa"/>
            <w:vMerge w:val="continue"/>
            <w:tcBorders>
              <w:left w:val="single" w:color="auto" w:sz="4" w:space="0"/>
              <w:right w:val="single" w:color="auto" w:sz="4" w:space="0"/>
            </w:tcBorders>
            <w:noWrap/>
            <w:vAlign w:val="center"/>
          </w:tcPr>
          <w:p w14:paraId="14FE94D4">
            <w:pPr>
              <w:widowControl/>
              <w:spacing w:before="120" w:beforeLines="50" w:line="360" w:lineRule="auto"/>
              <w:jc w:val="center"/>
              <w:outlineLvl w:val="3"/>
              <w:rPr>
                <w:rFonts w:ascii="仿宋" w:hAnsi="仿宋" w:eastAsia="仿宋" w:cs="仿宋"/>
                <w:color w:val="auto"/>
                <w:szCs w:val="21"/>
                <w:highlight w:val="none"/>
              </w:rPr>
            </w:pPr>
          </w:p>
        </w:tc>
        <w:tc>
          <w:tcPr>
            <w:tcW w:w="6519" w:type="dxa"/>
            <w:tcBorders>
              <w:top w:val="single" w:color="auto" w:sz="4" w:space="0"/>
              <w:left w:val="single" w:color="auto" w:sz="4" w:space="0"/>
              <w:bottom w:val="single" w:color="auto" w:sz="4" w:space="0"/>
              <w:right w:val="single" w:color="auto" w:sz="4" w:space="0"/>
            </w:tcBorders>
            <w:noWrap w:val="0"/>
            <w:vAlign w:val="center"/>
          </w:tcPr>
          <w:p w14:paraId="6FF8441F">
            <w:pPr>
              <w:jc w:val="left"/>
              <w:rPr>
                <w:rFonts w:ascii="仿宋" w:hAnsi="仿宋" w:eastAsia="仿宋" w:cs="宋体"/>
                <w:color w:val="auto"/>
                <w:szCs w:val="21"/>
                <w:highlight w:val="none"/>
              </w:rPr>
            </w:pPr>
            <w:r>
              <w:rPr>
                <w:rFonts w:hint="eastAsia" w:ascii="仿宋" w:hAnsi="仿宋" w:eastAsia="仿宋" w:cs="宋体"/>
                <w:color w:val="auto"/>
                <w:szCs w:val="21"/>
                <w:highlight w:val="none"/>
              </w:rPr>
              <w:t>涉网诈骗预感探测数据服务要求验收：</w:t>
            </w:r>
            <w:r>
              <w:rPr>
                <w:rFonts w:hint="eastAsia" w:ascii="仿宋" w:hAnsi="仿宋" w:eastAsia="仿宋"/>
                <w:color w:val="auto"/>
                <w:szCs w:val="21"/>
                <w:highlight w:val="none"/>
              </w:rPr>
              <w:t>通过大数据感知电信网络诈骗违法犯罪的新特点、新动向，探测具有涉诈特征的网站、</w:t>
            </w:r>
            <w:r>
              <w:rPr>
                <w:rFonts w:ascii="仿宋" w:hAnsi="仿宋" w:eastAsia="仿宋"/>
                <w:color w:val="auto"/>
                <w:szCs w:val="21"/>
                <w:highlight w:val="none"/>
              </w:rPr>
              <w:t>APP</w:t>
            </w:r>
            <w:r>
              <w:rPr>
                <w:rFonts w:hint="eastAsia" w:ascii="仿宋" w:hAnsi="仿宋" w:eastAsia="仿宋"/>
                <w:color w:val="auto"/>
                <w:szCs w:val="21"/>
                <w:highlight w:val="none"/>
              </w:rPr>
              <w:t>、电话、</w:t>
            </w:r>
            <w:r>
              <w:rPr>
                <w:rFonts w:ascii="仿宋" w:hAnsi="仿宋" w:eastAsia="仿宋"/>
                <w:color w:val="auto"/>
                <w:szCs w:val="21"/>
                <w:highlight w:val="none"/>
              </w:rPr>
              <w:t>银行</w:t>
            </w:r>
            <w:r>
              <w:rPr>
                <w:rFonts w:hint="eastAsia" w:ascii="仿宋" w:hAnsi="仿宋" w:eastAsia="仿宋"/>
                <w:color w:val="auto"/>
                <w:szCs w:val="21"/>
                <w:highlight w:val="none"/>
              </w:rPr>
              <w:t>等数据，抓取用于诈骗的</w:t>
            </w:r>
            <w:r>
              <w:rPr>
                <w:rFonts w:ascii="仿宋" w:hAnsi="仿宋" w:eastAsia="仿宋"/>
                <w:color w:val="auto"/>
                <w:szCs w:val="21"/>
                <w:highlight w:val="none"/>
              </w:rPr>
              <w:t>VOIP</w:t>
            </w:r>
            <w:r>
              <w:rPr>
                <w:rFonts w:hint="eastAsia" w:ascii="仿宋" w:hAnsi="仿宋" w:eastAsia="仿宋"/>
                <w:color w:val="auto"/>
                <w:szCs w:val="21"/>
                <w:highlight w:val="none"/>
              </w:rPr>
              <w:t>、</w:t>
            </w:r>
            <w:r>
              <w:rPr>
                <w:rFonts w:ascii="仿宋" w:hAnsi="仿宋" w:eastAsia="仿宋"/>
                <w:color w:val="auto"/>
                <w:szCs w:val="21"/>
                <w:highlight w:val="none"/>
              </w:rPr>
              <w:t>GOIP</w:t>
            </w:r>
            <w:r>
              <w:rPr>
                <w:rFonts w:hint="eastAsia" w:ascii="仿宋" w:hAnsi="仿宋" w:eastAsia="仿宋"/>
                <w:color w:val="auto"/>
                <w:szCs w:val="21"/>
                <w:highlight w:val="none"/>
              </w:rPr>
              <w:t>电话及涉网</w:t>
            </w:r>
            <w:r>
              <w:rPr>
                <w:rFonts w:ascii="仿宋" w:hAnsi="仿宋" w:eastAsia="仿宋"/>
                <w:color w:val="auto"/>
                <w:szCs w:val="21"/>
                <w:highlight w:val="none"/>
              </w:rPr>
              <w:t>犯罪关联</w:t>
            </w:r>
            <w:r>
              <w:rPr>
                <w:rFonts w:hint="eastAsia" w:ascii="仿宋" w:hAnsi="仿宋" w:eastAsia="仿宋"/>
                <w:color w:val="auto"/>
                <w:szCs w:val="21"/>
                <w:highlight w:val="none"/>
              </w:rPr>
              <w:t>银行卡</w:t>
            </w:r>
            <w:r>
              <w:rPr>
                <w:rFonts w:ascii="仿宋" w:hAnsi="仿宋" w:eastAsia="仿宋"/>
                <w:color w:val="auto"/>
                <w:szCs w:val="21"/>
                <w:highlight w:val="none"/>
              </w:rPr>
              <w:t>等</w:t>
            </w:r>
            <w:r>
              <w:rPr>
                <w:rFonts w:hint="eastAsia" w:ascii="仿宋" w:hAnsi="仿宋" w:eastAsia="仿宋"/>
                <w:color w:val="auto"/>
                <w:szCs w:val="21"/>
                <w:highlight w:val="none"/>
              </w:rPr>
              <w:t>其它电信网络技术数据信息，及时收集更新黑样本库，精准发现本地潜在受害人和</w:t>
            </w:r>
            <w:r>
              <w:rPr>
                <w:rFonts w:ascii="仿宋" w:hAnsi="仿宋" w:eastAsia="仿宋"/>
                <w:color w:val="auto"/>
                <w:szCs w:val="21"/>
                <w:highlight w:val="none"/>
              </w:rPr>
              <w:t>其他可疑人员</w:t>
            </w:r>
            <w:r>
              <w:rPr>
                <w:rFonts w:hint="eastAsia" w:ascii="仿宋" w:hAnsi="仿宋" w:eastAsia="仿宋"/>
                <w:color w:val="auto"/>
                <w:szCs w:val="21"/>
                <w:highlight w:val="none"/>
              </w:rPr>
              <w:t>。支持数据端口接入，将数据信息推送至采购单位开展侦防工作，以便于</w:t>
            </w:r>
            <w:r>
              <w:rPr>
                <w:rFonts w:hint="eastAsia" w:ascii="仿宋" w:hAnsi="仿宋" w:eastAsia="仿宋"/>
                <w:color w:val="auto"/>
                <w:szCs w:val="21"/>
                <w:highlight w:val="none"/>
                <w:lang w:eastAsia="zh-CN"/>
              </w:rPr>
              <w:t>甲方</w:t>
            </w:r>
            <w:r>
              <w:rPr>
                <w:rFonts w:hint="eastAsia" w:ascii="仿宋" w:hAnsi="仿宋" w:eastAsia="仿宋"/>
                <w:color w:val="auto"/>
                <w:szCs w:val="21"/>
                <w:highlight w:val="none"/>
              </w:rPr>
              <w:t>统计分析，提供数据端口维护服务。</w:t>
            </w:r>
          </w:p>
          <w:p w14:paraId="4FFF201A">
            <w:pPr>
              <w:jc w:val="left"/>
              <w:rPr>
                <w:rFonts w:ascii="仿宋" w:hAnsi="仿宋" w:eastAsia="仿宋" w:cs="宋体"/>
                <w:color w:val="auto"/>
                <w:szCs w:val="21"/>
                <w:highlight w:val="none"/>
              </w:rPr>
            </w:pPr>
            <w:r>
              <w:rPr>
                <w:rFonts w:hint="eastAsia" w:ascii="仿宋" w:hAnsi="仿宋" w:eastAsia="仿宋" w:cs="宋体"/>
                <w:color w:val="auto"/>
                <w:szCs w:val="21"/>
                <w:highlight w:val="none"/>
              </w:rPr>
              <w:t>数据质量方面符合采购需求。</w:t>
            </w:r>
          </w:p>
          <w:p w14:paraId="50A26DF9">
            <w:pPr>
              <w:jc w:val="left"/>
              <w:rPr>
                <w:rFonts w:ascii="仿宋" w:hAnsi="仿宋" w:eastAsia="仿宋" w:cs="宋体"/>
                <w:color w:val="auto"/>
                <w:szCs w:val="21"/>
                <w:highlight w:val="none"/>
              </w:rPr>
            </w:pPr>
            <w:r>
              <w:rPr>
                <w:rFonts w:hint="eastAsia" w:ascii="仿宋" w:hAnsi="仿宋" w:eastAsia="仿宋" w:cs="宋体"/>
                <w:color w:val="auto"/>
                <w:szCs w:val="21"/>
                <w:highlight w:val="none"/>
              </w:rPr>
              <w:t>服务期内完成监测数据推送</w:t>
            </w:r>
            <w:r>
              <w:rPr>
                <w:rFonts w:hint="eastAsia" w:ascii="仿宋" w:hAnsi="仿宋" w:eastAsia="仿宋" w:cs="宋体"/>
                <w:color w:val="auto"/>
                <w:szCs w:val="21"/>
                <w:highlight w:val="none"/>
              </w:rPr>
              <w:t>不少于</w:t>
            </w:r>
            <w:r>
              <w:rPr>
                <w:rFonts w:hint="eastAsia" w:ascii="仿宋" w:hAnsi="仿宋" w:eastAsia="仿宋" w:cs="宋体"/>
                <w:color w:val="auto"/>
                <w:szCs w:val="21"/>
                <w:highlight w:val="none"/>
                <w:lang w:val="en-US" w:eastAsia="zh-CN"/>
              </w:rPr>
              <w:t>38</w:t>
            </w:r>
            <w:r>
              <w:rPr>
                <w:rFonts w:hint="eastAsia" w:ascii="仿宋" w:hAnsi="仿宋" w:eastAsia="仿宋" w:cs="宋体"/>
                <w:color w:val="auto"/>
                <w:szCs w:val="21"/>
                <w:highlight w:val="none"/>
              </w:rPr>
              <w:t>0000条。</w:t>
            </w:r>
          </w:p>
        </w:tc>
      </w:tr>
      <w:tr w14:paraId="48448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861" w:type="dxa"/>
            <w:vMerge w:val="continue"/>
            <w:tcBorders>
              <w:left w:val="single" w:color="auto" w:sz="4" w:space="0"/>
              <w:right w:val="single" w:color="auto" w:sz="4" w:space="0"/>
            </w:tcBorders>
            <w:noWrap/>
            <w:vAlign w:val="center"/>
          </w:tcPr>
          <w:p w14:paraId="1A174DB4">
            <w:pPr>
              <w:widowControl/>
              <w:spacing w:before="120" w:beforeLines="50" w:line="360" w:lineRule="auto"/>
              <w:jc w:val="center"/>
              <w:outlineLvl w:val="3"/>
              <w:rPr>
                <w:rFonts w:ascii="仿宋" w:hAnsi="仿宋" w:eastAsia="仿宋" w:cs="仿宋"/>
                <w:bCs/>
                <w:color w:val="auto"/>
                <w:szCs w:val="21"/>
                <w:highlight w:val="none"/>
              </w:rPr>
            </w:pPr>
          </w:p>
        </w:tc>
        <w:tc>
          <w:tcPr>
            <w:tcW w:w="1515" w:type="dxa"/>
            <w:vMerge w:val="continue"/>
            <w:tcBorders>
              <w:left w:val="single" w:color="auto" w:sz="4" w:space="0"/>
              <w:right w:val="single" w:color="auto" w:sz="4" w:space="0"/>
            </w:tcBorders>
            <w:noWrap/>
            <w:vAlign w:val="center"/>
          </w:tcPr>
          <w:p w14:paraId="2099EB0A">
            <w:pPr>
              <w:widowControl/>
              <w:spacing w:before="120" w:beforeLines="50" w:line="360" w:lineRule="auto"/>
              <w:jc w:val="center"/>
              <w:outlineLvl w:val="3"/>
              <w:rPr>
                <w:rFonts w:ascii="仿宋" w:hAnsi="仿宋" w:eastAsia="仿宋" w:cs="仿宋"/>
                <w:color w:val="auto"/>
                <w:szCs w:val="21"/>
                <w:highlight w:val="none"/>
              </w:rPr>
            </w:pPr>
          </w:p>
        </w:tc>
        <w:tc>
          <w:tcPr>
            <w:tcW w:w="6519" w:type="dxa"/>
            <w:tcBorders>
              <w:top w:val="single" w:color="auto" w:sz="4" w:space="0"/>
              <w:left w:val="single" w:color="auto" w:sz="4" w:space="0"/>
              <w:bottom w:val="single" w:color="auto" w:sz="4" w:space="0"/>
              <w:right w:val="single" w:color="auto" w:sz="4" w:space="0"/>
            </w:tcBorders>
            <w:noWrap w:val="0"/>
            <w:vAlign w:val="center"/>
          </w:tcPr>
          <w:p w14:paraId="2532CF02">
            <w:pPr>
              <w:jc w:val="left"/>
              <w:rPr>
                <w:rFonts w:ascii="仿宋" w:hAnsi="仿宋" w:eastAsia="仿宋" w:cs="宋体"/>
                <w:color w:val="auto"/>
                <w:szCs w:val="21"/>
                <w:highlight w:val="none"/>
              </w:rPr>
            </w:pPr>
            <w:r>
              <w:rPr>
                <w:rFonts w:hint="eastAsia" w:ascii="仿宋" w:hAnsi="仿宋" w:eastAsia="仿宋" w:cs="宋体"/>
                <w:color w:val="auto"/>
                <w:szCs w:val="21"/>
                <w:highlight w:val="none"/>
              </w:rPr>
              <w:t>涉网新型案件行为分析服务要求验收：提供大数据辅助分析服务、涉网新型行为分析服务。</w:t>
            </w:r>
            <w:r>
              <w:rPr>
                <w:rFonts w:hint="eastAsia" w:ascii="仿宋" w:hAnsi="仿宋" w:eastAsia="仿宋" w:cs="仿宋"/>
                <w:iCs/>
                <w:color w:val="auto"/>
                <w:szCs w:val="21"/>
                <w:highlight w:val="none"/>
              </w:rPr>
              <w:t>服务期内</w:t>
            </w:r>
            <w:r>
              <w:rPr>
                <w:rFonts w:hint="eastAsia" w:ascii="仿宋" w:hAnsi="仿宋" w:eastAsia="仿宋" w:cs="仿宋"/>
                <w:color w:val="auto"/>
                <w:szCs w:val="21"/>
                <w:highlight w:val="none"/>
              </w:rPr>
              <w:t>提供涉诈设备大数据辅助分析和涉网新型行为分析服务</w:t>
            </w:r>
            <w:r>
              <w:rPr>
                <w:rFonts w:hint="eastAsia" w:ascii="仿宋" w:hAnsi="仿宋" w:eastAsia="仿宋" w:cs="仿宋"/>
                <w:color w:val="auto"/>
                <w:szCs w:val="21"/>
                <w:highlight w:val="none"/>
              </w:rPr>
              <w:t>不少于</w:t>
            </w:r>
            <w:r>
              <w:rPr>
                <w:rFonts w:hint="eastAsia" w:ascii="仿宋" w:hAnsi="仿宋" w:eastAsia="仿宋" w:cs="仿宋"/>
                <w:color w:val="auto"/>
                <w:szCs w:val="21"/>
                <w:highlight w:val="none"/>
                <w:lang w:val="en-US" w:eastAsia="zh-CN"/>
              </w:rPr>
              <w:t>1</w:t>
            </w:r>
            <w:r>
              <w:rPr>
                <w:rFonts w:hint="eastAsia" w:ascii="仿宋" w:hAnsi="仿宋" w:eastAsia="仿宋" w:cs="仿宋"/>
                <w:color w:val="auto"/>
                <w:szCs w:val="21"/>
                <w:highlight w:val="none"/>
              </w:rPr>
              <w:t>0次</w:t>
            </w:r>
            <w:r>
              <w:rPr>
                <w:rFonts w:hint="eastAsia" w:ascii="仿宋" w:hAnsi="仿宋" w:eastAsia="仿宋" w:cs="仿宋"/>
                <w:color w:val="auto"/>
                <w:szCs w:val="21"/>
                <w:highlight w:val="none"/>
              </w:rPr>
              <w:t>，</w:t>
            </w:r>
            <w:r>
              <w:rPr>
                <w:rFonts w:hint="eastAsia" w:ascii="仿宋" w:hAnsi="仿宋" w:eastAsia="仿宋"/>
                <w:color w:val="auto"/>
                <w:szCs w:val="21"/>
                <w:highlight w:val="none"/>
              </w:rPr>
              <w:t>输出</w:t>
            </w:r>
            <w:r>
              <w:rPr>
                <w:rFonts w:ascii="仿宋" w:hAnsi="仿宋" w:eastAsia="仿宋"/>
                <w:color w:val="auto"/>
                <w:szCs w:val="21"/>
                <w:highlight w:val="none"/>
              </w:rPr>
              <w:t>C类分析报告</w:t>
            </w:r>
            <w:r>
              <w:rPr>
                <w:rFonts w:ascii="仿宋" w:hAnsi="仿宋" w:eastAsia="仿宋"/>
                <w:color w:val="auto"/>
                <w:szCs w:val="21"/>
                <w:highlight w:val="none"/>
              </w:rPr>
              <w:t>不少于</w:t>
            </w:r>
            <w:r>
              <w:rPr>
                <w:rFonts w:hint="eastAsia" w:ascii="仿宋" w:hAnsi="仿宋" w:eastAsia="仿宋"/>
                <w:color w:val="auto"/>
                <w:szCs w:val="21"/>
                <w:highlight w:val="none"/>
                <w:lang w:val="en-US" w:eastAsia="zh-CN"/>
              </w:rPr>
              <w:t>18</w:t>
            </w:r>
            <w:r>
              <w:rPr>
                <w:rFonts w:ascii="仿宋" w:hAnsi="仿宋" w:eastAsia="仿宋"/>
                <w:color w:val="auto"/>
                <w:szCs w:val="21"/>
                <w:highlight w:val="none"/>
              </w:rPr>
              <w:t>份</w:t>
            </w:r>
            <w:r>
              <w:rPr>
                <w:rFonts w:hint="eastAsia" w:ascii="仿宋" w:hAnsi="仿宋" w:eastAsia="仿宋" w:cs="宋体"/>
                <w:color w:val="auto"/>
                <w:szCs w:val="21"/>
                <w:highlight w:val="none"/>
              </w:rPr>
              <w:t>。</w:t>
            </w:r>
          </w:p>
        </w:tc>
      </w:tr>
      <w:tr w14:paraId="63910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861" w:type="dxa"/>
            <w:vMerge w:val="continue"/>
            <w:tcBorders>
              <w:left w:val="single" w:color="auto" w:sz="4" w:space="0"/>
              <w:bottom w:val="single" w:color="auto" w:sz="4" w:space="0"/>
              <w:right w:val="single" w:color="auto" w:sz="4" w:space="0"/>
            </w:tcBorders>
            <w:noWrap/>
            <w:vAlign w:val="center"/>
          </w:tcPr>
          <w:p w14:paraId="46B5605D">
            <w:pPr>
              <w:widowControl/>
              <w:spacing w:before="120" w:beforeLines="50" w:line="360" w:lineRule="auto"/>
              <w:jc w:val="center"/>
              <w:outlineLvl w:val="3"/>
              <w:rPr>
                <w:rFonts w:ascii="仿宋" w:hAnsi="仿宋" w:eastAsia="仿宋" w:cs="仿宋"/>
                <w:bCs/>
                <w:color w:val="auto"/>
                <w:szCs w:val="21"/>
                <w:highlight w:val="none"/>
              </w:rPr>
            </w:pPr>
          </w:p>
        </w:tc>
        <w:tc>
          <w:tcPr>
            <w:tcW w:w="1515" w:type="dxa"/>
            <w:vMerge w:val="continue"/>
            <w:tcBorders>
              <w:left w:val="single" w:color="auto" w:sz="4" w:space="0"/>
              <w:bottom w:val="single" w:color="auto" w:sz="4" w:space="0"/>
              <w:right w:val="single" w:color="auto" w:sz="4" w:space="0"/>
            </w:tcBorders>
            <w:noWrap/>
            <w:vAlign w:val="center"/>
          </w:tcPr>
          <w:p w14:paraId="1CDD77B5">
            <w:pPr>
              <w:widowControl/>
              <w:spacing w:before="120" w:beforeLines="50" w:line="360" w:lineRule="auto"/>
              <w:jc w:val="center"/>
              <w:outlineLvl w:val="3"/>
              <w:rPr>
                <w:rFonts w:ascii="仿宋" w:hAnsi="仿宋" w:eastAsia="仿宋" w:cs="仿宋"/>
                <w:color w:val="auto"/>
                <w:szCs w:val="21"/>
                <w:highlight w:val="none"/>
              </w:rPr>
            </w:pPr>
          </w:p>
        </w:tc>
        <w:tc>
          <w:tcPr>
            <w:tcW w:w="6519" w:type="dxa"/>
            <w:tcBorders>
              <w:top w:val="single" w:color="auto" w:sz="4" w:space="0"/>
              <w:left w:val="single" w:color="auto" w:sz="4" w:space="0"/>
              <w:bottom w:val="single" w:color="auto" w:sz="4" w:space="0"/>
              <w:right w:val="single" w:color="auto" w:sz="4" w:space="0"/>
            </w:tcBorders>
            <w:noWrap w:val="0"/>
            <w:vAlign w:val="center"/>
          </w:tcPr>
          <w:p w14:paraId="4D286F86">
            <w:pPr>
              <w:jc w:val="left"/>
              <w:rPr>
                <w:rFonts w:ascii="仿宋" w:hAnsi="仿宋" w:eastAsia="仿宋" w:cs="仿宋"/>
                <w:iCs/>
                <w:color w:val="auto"/>
                <w:szCs w:val="21"/>
                <w:highlight w:val="none"/>
              </w:rPr>
            </w:pPr>
            <w:r>
              <w:rPr>
                <w:rFonts w:hint="eastAsia" w:ascii="仿宋" w:hAnsi="仿宋" w:eastAsia="仿宋" w:cs="宋体"/>
                <w:color w:val="auto"/>
                <w:szCs w:val="21"/>
                <w:highlight w:val="none"/>
              </w:rPr>
              <w:t>新型涉网案件智勘联侦分析系统服务要求验收：提供取证数据推送和分析支撑服务、数据信息查询服务。</w:t>
            </w:r>
            <w:r>
              <w:rPr>
                <w:rFonts w:hint="eastAsia" w:ascii="仿宋" w:hAnsi="仿宋" w:eastAsia="仿宋" w:cs="仿宋"/>
                <w:iCs/>
                <w:color w:val="auto"/>
                <w:szCs w:val="21"/>
                <w:highlight w:val="none"/>
              </w:rPr>
              <w:t>服务期内</w:t>
            </w:r>
            <w:r>
              <w:rPr>
                <w:rFonts w:hint="eastAsia" w:ascii="仿宋" w:hAnsi="仿宋" w:eastAsia="仿宋" w:cs="宋体"/>
                <w:color w:val="auto"/>
                <w:szCs w:val="21"/>
                <w:highlight w:val="none"/>
              </w:rPr>
              <w:t>提供取证数据深度智能分析、研判支撑等案件服务</w:t>
            </w:r>
            <w:r>
              <w:rPr>
                <w:rFonts w:hint="eastAsia" w:ascii="仿宋" w:hAnsi="仿宋" w:eastAsia="仿宋" w:cs="宋体"/>
                <w:color w:val="auto"/>
                <w:szCs w:val="21"/>
                <w:highlight w:val="none"/>
              </w:rPr>
              <w:t>不少于</w:t>
            </w:r>
            <w:r>
              <w:rPr>
                <w:rFonts w:hint="eastAsia" w:ascii="仿宋" w:hAnsi="仿宋" w:eastAsia="仿宋" w:cs="宋体"/>
                <w:color w:val="auto"/>
                <w:szCs w:val="21"/>
                <w:highlight w:val="none"/>
                <w:lang w:val="en-US" w:eastAsia="zh-CN"/>
              </w:rPr>
              <w:t>6</w:t>
            </w:r>
            <w:r>
              <w:rPr>
                <w:rFonts w:hint="eastAsia" w:ascii="仿宋" w:hAnsi="仿宋" w:eastAsia="仿宋" w:cs="宋体"/>
                <w:color w:val="auto"/>
                <w:szCs w:val="21"/>
                <w:highlight w:val="none"/>
              </w:rPr>
              <w:t>个</w:t>
            </w:r>
            <w:r>
              <w:rPr>
                <w:rFonts w:hint="eastAsia" w:ascii="仿宋" w:hAnsi="仿宋" w:eastAsia="仿宋" w:cs="宋体"/>
                <w:color w:val="auto"/>
                <w:szCs w:val="21"/>
                <w:highlight w:val="none"/>
              </w:rPr>
              <w:t>，输出C类分析报告</w:t>
            </w:r>
            <w:r>
              <w:rPr>
                <w:rFonts w:hint="eastAsia" w:ascii="仿宋" w:hAnsi="仿宋" w:eastAsia="仿宋" w:cs="宋体"/>
                <w:color w:val="auto"/>
                <w:szCs w:val="21"/>
                <w:highlight w:val="none"/>
              </w:rPr>
              <w:t>不少于</w:t>
            </w:r>
            <w:r>
              <w:rPr>
                <w:rFonts w:hint="eastAsia" w:ascii="仿宋" w:hAnsi="仿宋" w:eastAsia="仿宋" w:cs="宋体"/>
                <w:color w:val="auto"/>
                <w:szCs w:val="21"/>
                <w:highlight w:val="none"/>
                <w:lang w:val="en-US" w:eastAsia="zh-CN"/>
              </w:rPr>
              <w:t>9</w:t>
            </w:r>
            <w:r>
              <w:rPr>
                <w:rFonts w:hint="eastAsia" w:ascii="仿宋" w:hAnsi="仿宋" w:eastAsia="仿宋" w:cs="宋体"/>
                <w:color w:val="auto"/>
                <w:szCs w:val="21"/>
                <w:highlight w:val="none"/>
              </w:rPr>
              <w:t>份；</w:t>
            </w:r>
            <w:r>
              <w:rPr>
                <w:rFonts w:hint="eastAsia" w:ascii="仿宋" w:hAnsi="仿宋" w:eastAsia="仿宋" w:cs="宋体"/>
                <w:color w:val="auto"/>
                <w:szCs w:val="21"/>
                <w:highlight w:val="none"/>
              </w:rPr>
              <w:t>提供涉案数据推送、数据信息查询等案件服务</w:t>
            </w:r>
            <w:r>
              <w:rPr>
                <w:rFonts w:hint="eastAsia" w:ascii="仿宋" w:hAnsi="仿宋" w:eastAsia="仿宋" w:cs="宋体"/>
                <w:color w:val="auto"/>
                <w:szCs w:val="21"/>
                <w:highlight w:val="none"/>
              </w:rPr>
              <w:t>不少于</w:t>
            </w:r>
            <w:r>
              <w:rPr>
                <w:rFonts w:hint="eastAsia" w:ascii="仿宋" w:hAnsi="仿宋" w:eastAsia="仿宋" w:cs="宋体"/>
                <w:color w:val="auto"/>
                <w:szCs w:val="21"/>
                <w:highlight w:val="none"/>
                <w:lang w:val="en-US" w:eastAsia="zh-CN"/>
              </w:rPr>
              <w:t>5</w:t>
            </w:r>
            <w:r>
              <w:rPr>
                <w:rFonts w:hint="eastAsia" w:ascii="仿宋" w:hAnsi="仿宋" w:eastAsia="仿宋" w:cs="宋体"/>
                <w:color w:val="auto"/>
                <w:szCs w:val="21"/>
                <w:highlight w:val="none"/>
              </w:rPr>
              <w:t>个</w:t>
            </w:r>
            <w:r>
              <w:rPr>
                <w:rFonts w:hint="eastAsia" w:ascii="仿宋" w:hAnsi="仿宋" w:eastAsia="仿宋" w:cs="宋体"/>
                <w:color w:val="auto"/>
                <w:szCs w:val="21"/>
                <w:highlight w:val="none"/>
              </w:rPr>
              <w:t>，输出C类分析报告</w:t>
            </w:r>
            <w:r>
              <w:rPr>
                <w:rFonts w:hint="eastAsia" w:ascii="仿宋" w:hAnsi="仿宋" w:eastAsia="仿宋" w:cs="宋体"/>
                <w:color w:val="auto"/>
                <w:szCs w:val="21"/>
                <w:highlight w:val="none"/>
              </w:rPr>
              <w:t>不少于</w:t>
            </w:r>
            <w:r>
              <w:rPr>
                <w:rFonts w:hint="eastAsia" w:ascii="仿宋" w:hAnsi="仿宋" w:eastAsia="仿宋" w:cs="宋体"/>
                <w:color w:val="auto"/>
                <w:szCs w:val="21"/>
                <w:highlight w:val="none"/>
                <w:lang w:val="en-US" w:eastAsia="zh-CN"/>
              </w:rPr>
              <w:t>8</w:t>
            </w:r>
            <w:r>
              <w:rPr>
                <w:rFonts w:hint="eastAsia" w:ascii="仿宋" w:hAnsi="仿宋" w:eastAsia="仿宋" w:cs="宋体"/>
                <w:color w:val="auto"/>
                <w:szCs w:val="21"/>
                <w:highlight w:val="none"/>
              </w:rPr>
              <w:t>份</w:t>
            </w:r>
            <w:r>
              <w:rPr>
                <w:rFonts w:hint="eastAsia" w:ascii="仿宋" w:hAnsi="仿宋" w:eastAsia="仿宋" w:cs="宋体"/>
                <w:color w:val="auto"/>
                <w:szCs w:val="21"/>
                <w:highlight w:val="none"/>
              </w:rPr>
              <w:t>。</w:t>
            </w:r>
          </w:p>
        </w:tc>
      </w:tr>
      <w:tr w14:paraId="75747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861" w:type="dxa"/>
            <w:vMerge w:val="continue"/>
            <w:tcBorders>
              <w:top w:val="single" w:color="auto" w:sz="4" w:space="0"/>
              <w:left w:val="single" w:color="auto" w:sz="4" w:space="0"/>
              <w:right w:val="single" w:color="auto" w:sz="4" w:space="0"/>
            </w:tcBorders>
            <w:noWrap/>
            <w:vAlign w:val="center"/>
          </w:tcPr>
          <w:p w14:paraId="79A970D4">
            <w:pPr>
              <w:widowControl/>
              <w:spacing w:before="120" w:beforeLines="50" w:line="360" w:lineRule="auto"/>
              <w:jc w:val="center"/>
              <w:outlineLvl w:val="3"/>
              <w:rPr>
                <w:rFonts w:ascii="仿宋" w:hAnsi="仿宋" w:eastAsia="仿宋" w:cs="仿宋"/>
                <w:bCs/>
                <w:color w:val="auto"/>
                <w:szCs w:val="21"/>
                <w:highlight w:val="none"/>
              </w:rPr>
            </w:pPr>
          </w:p>
        </w:tc>
        <w:tc>
          <w:tcPr>
            <w:tcW w:w="1515" w:type="dxa"/>
            <w:vMerge w:val="continue"/>
            <w:tcBorders>
              <w:top w:val="single" w:color="auto" w:sz="4" w:space="0"/>
              <w:left w:val="single" w:color="auto" w:sz="4" w:space="0"/>
              <w:right w:val="single" w:color="auto" w:sz="4" w:space="0"/>
            </w:tcBorders>
            <w:noWrap/>
            <w:vAlign w:val="center"/>
          </w:tcPr>
          <w:p w14:paraId="6C25C9BF">
            <w:pPr>
              <w:widowControl/>
              <w:jc w:val="center"/>
              <w:rPr>
                <w:rFonts w:ascii="仿宋" w:hAnsi="仿宋" w:eastAsia="仿宋" w:cs="仿宋"/>
                <w:bCs/>
                <w:color w:val="auto"/>
                <w:szCs w:val="21"/>
                <w:highlight w:val="none"/>
              </w:rPr>
            </w:pPr>
          </w:p>
        </w:tc>
        <w:tc>
          <w:tcPr>
            <w:tcW w:w="6519" w:type="dxa"/>
            <w:tcBorders>
              <w:top w:val="single" w:color="auto" w:sz="4" w:space="0"/>
              <w:left w:val="single" w:color="auto" w:sz="4" w:space="0"/>
              <w:right w:val="single" w:color="auto" w:sz="4" w:space="0"/>
            </w:tcBorders>
            <w:noWrap w:val="0"/>
            <w:vAlign w:val="top"/>
          </w:tcPr>
          <w:p w14:paraId="1DD714E4">
            <w:pPr>
              <w:jc w:val="left"/>
              <w:rPr>
                <w:rFonts w:ascii="仿宋" w:hAnsi="仿宋" w:eastAsia="仿宋" w:cs="仿宋"/>
                <w:bCs/>
                <w:color w:val="auto"/>
                <w:szCs w:val="21"/>
                <w:highlight w:val="none"/>
              </w:rPr>
            </w:pPr>
            <w:r>
              <w:rPr>
                <w:rFonts w:hint="eastAsia" w:ascii="仿宋" w:hAnsi="仿宋" w:eastAsia="仿宋" w:cs="仿宋"/>
                <w:bCs/>
                <w:color w:val="auto"/>
                <w:szCs w:val="21"/>
                <w:highlight w:val="none"/>
                <w:lang w:eastAsia="zh-CN"/>
              </w:rPr>
              <w:t>乙方</w:t>
            </w:r>
            <w:r>
              <w:rPr>
                <w:rFonts w:hint="eastAsia" w:ascii="仿宋" w:hAnsi="仿宋" w:eastAsia="仿宋" w:cs="仿宋"/>
                <w:bCs/>
                <w:color w:val="auto"/>
                <w:szCs w:val="21"/>
                <w:highlight w:val="none"/>
              </w:rPr>
              <w:t>提供7*24小时的技术支持（包括电话咨询与现场服务）。</w:t>
            </w:r>
          </w:p>
        </w:tc>
      </w:tr>
      <w:tr w14:paraId="398F1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jc w:val="center"/>
        </w:trPr>
        <w:tc>
          <w:tcPr>
            <w:tcW w:w="861" w:type="dxa"/>
            <w:tcBorders>
              <w:top w:val="single" w:color="auto" w:sz="4" w:space="0"/>
              <w:left w:val="single" w:color="auto" w:sz="4" w:space="0"/>
              <w:bottom w:val="single" w:color="auto" w:sz="4" w:space="0"/>
              <w:right w:val="single" w:color="auto" w:sz="4" w:space="0"/>
            </w:tcBorders>
            <w:noWrap/>
            <w:vAlign w:val="center"/>
          </w:tcPr>
          <w:p w14:paraId="2C92B502">
            <w:pPr>
              <w:widowControl/>
              <w:spacing w:before="120" w:beforeLines="50" w:line="360" w:lineRule="auto"/>
              <w:jc w:val="center"/>
              <w:outlineLvl w:val="3"/>
              <w:rPr>
                <w:rFonts w:ascii="仿宋" w:hAnsi="仿宋" w:eastAsia="仿宋" w:cs="仿宋"/>
                <w:bCs/>
                <w:color w:val="auto"/>
                <w:szCs w:val="21"/>
                <w:highlight w:val="none"/>
              </w:rPr>
            </w:pPr>
            <w:r>
              <w:rPr>
                <w:rFonts w:ascii="仿宋" w:hAnsi="仿宋" w:eastAsia="仿宋" w:cs="仿宋"/>
                <w:bCs/>
                <w:color w:val="auto"/>
                <w:szCs w:val="21"/>
                <w:highlight w:val="none"/>
              </w:rPr>
              <w:t>4</w:t>
            </w:r>
          </w:p>
        </w:tc>
        <w:tc>
          <w:tcPr>
            <w:tcW w:w="1515" w:type="dxa"/>
            <w:tcBorders>
              <w:top w:val="single" w:color="auto" w:sz="4" w:space="0"/>
              <w:left w:val="single" w:color="auto" w:sz="4" w:space="0"/>
              <w:bottom w:val="single" w:color="auto" w:sz="4" w:space="0"/>
              <w:right w:val="single" w:color="auto" w:sz="4" w:space="0"/>
            </w:tcBorders>
            <w:noWrap/>
            <w:vAlign w:val="center"/>
          </w:tcPr>
          <w:p w14:paraId="216565FA">
            <w:pPr>
              <w:widowControl/>
              <w:jc w:val="center"/>
              <w:rPr>
                <w:rFonts w:ascii="仿宋" w:hAnsi="仿宋" w:eastAsia="仿宋" w:cs="仿宋"/>
                <w:bCs/>
                <w:color w:val="auto"/>
                <w:szCs w:val="21"/>
                <w:highlight w:val="none"/>
              </w:rPr>
            </w:pPr>
            <w:r>
              <w:rPr>
                <w:rFonts w:hint="eastAsia" w:ascii="仿宋" w:hAnsi="仿宋" w:eastAsia="仿宋" w:cs="仿宋"/>
                <w:bCs/>
                <w:color w:val="auto"/>
                <w:szCs w:val="21"/>
                <w:highlight w:val="none"/>
              </w:rPr>
              <w:t>人员配备</w:t>
            </w:r>
          </w:p>
        </w:tc>
        <w:tc>
          <w:tcPr>
            <w:tcW w:w="6519" w:type="dxa"/>
            <w:tcBorders>
              <w:top w:val="single" w:color="auto" w:sz="4" w:space="0"/>
              <w:left w:val="single" w:color="auto" w:sz="4" w:space="0"/>
              <w:bottom w:val="single" w:color="auto" w:sz="4" w:space="0"/>
              <w:right w:val="single" w:color="auto" w:sz="4" w:space="0"/>
            </w:tcBorders>
            <w:noWrap w:val="0"/>
            <w:vAlign w:val="center"/>
          </w:tcPr>
          <w:p w14:paraId="2234A0B4">
            <w:pPr>
              <w:jc w:val="left"/>
              <w:rPr>
                <w:rFonts w:ascii="仿宋" w:hAnsi="仿宋" w:eastAsia="仿宋" w:cs="仿宋"/>
                <w:bCs/>
                <w:color w:val="auto"/>
                <w:szCs w:val="21"/>
                <w:highlight w:val="none"/>
              </w:rPr>
            </w:pPr>
            <w:r>
              <w:rPr>
                <w:rFonts w:hint="eastAsia" w:ascii="仿宋" w:hAnsi="仿宋" w:eastAsia="仿宋"/>
                <w:color w:val="auto"/>
                <w:szCs w:val="21"/>
                <w:highlight w:val="none"/>
              </w:rPr>
              <w:t>在服务期间，按合同和投标文件投入相应的团队服务人员（项目负责人1人，案件侦查打击服务技术负责人1人、服务人员2人，大数据智能查控服务技术负责人1人、服务人员2人，资金智能查控服务人员1人，涉网诈骗预感探测数据服务技术负责人1人、服务人员2人，涉网新型案件行为分析服务技术负责人1人、服务人员1人，新型涉网案件智勘联侦分析系统服务技术负责人1人、服务人员1人。其中驻点人员3人（技术负责人1人、服务人员2人））。按合同约定要求进行验收。</w:t>
            </w:r>
          </w:p>
        </w:tc>
      </w:tr>
      <w:tr w14:paraId="7D883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861" w:type="dxa"/>
            <w:vMerge w:val="restart"/>
            <w:tcBorders>
              <w:top w:val="single" w:color="auto" w:sz="4" w:space="0"/>
              <w:left w:val="single" w:color="auto" w:sz="4" w:space="0"/>
              <w:right w:val="single" w:color="auto" w:sz="4" w:space="0"/>
            </w:tcBorders>
            <w:noWrap/>
            <w:vAlign w:val="center"/>
          </w:tcPr>
          <w:p w14:paraId="1C3ECA4D">
            <w:pPr>
              <w:widowControl/>
              <w:spacing w:before="120" w:beforeLines="50" w:line="360" w:lineRule="auto"/>
              <w:jc w:val="center"/>
              <w:outlineLvl w:val="3"/>
              <w:rPr>
                <w:rFonts w:ascii="仿宋" w:hAnsi="仿宋" w:eastAsia="仿宋" w:cs="仿宋"/>
                <w:bCs/>
                <w:color w:val="auto"/>
                <w:szCs w:val="21"/>
                <w:highlight w:val="none"/>
              </w:rPr>
            </w:pPr>
            <w:r>
              <w:rPr>
                <w:rFonts w:hint="eastAsia" w:ascii="仿宋" w:hAnsi="仿宋" w:eastAsia="仿宋" w:cs="仿宋"/>
                <w:bCs/>
                <w:color w:val="auto"/>
                <w:szCs w:val="21"/>
                <w:highlight w:val="none"/>
              </w:rPr>
              <w:t>5</w:t>
            </w:r>
          </w:p>
        </w:tc>
        <w:tc>
          <w:tcPr>
            <w:tcW w:w="1515" w:type="dxa"/>
            <w:vMerge w:val="restart"/>
            <w:tcBorders>
              <w:top w:val="single" w:color="auto" w:sz="4" w:space="0"/>
              <w:left w:val="single" w:color="auto" w:sz="4" w:space="0"/>
              <w:right w:val="single" w:color="auto" w:sz="4" w:space="0"/>
            </w:tcBorders>
            <w:noWrap w:val="0"/>
            <w:vAlign w:val="center"/>
          </w:tcPr>
          <w:p w14:paraId="37376F0E">
            <w:pPr>
              <w:widowControl/>
              <w:jc w:val="center"/>
              <w:rPr>
                <w:rFonts w:ascii="仿宋" w:hAnsi="仿宋" w:eastAsia="仿宋" w:cs="仿宋"/>
                <w:bCs/>
                <w:color w:val="auto"/>
                <w:szCs w:val="21"/>
                <w:highlight w:val="none"/>
              </w:rPr>
            </w:pPr>
            <w:r>
              <w:rPr>
                <w:rFonts w:hint="eastAsia" w:ascii="仿宋" w:hAnsi="仿宋" w:eastAsia="仿宋" w:cs="仿宋"/>
                <w:bCs/>
                <w:color w:val="auto"/>
                <w:szCs w:val="21"/>
                <w:highlight w:val="none"/>
              </w:rPr>
              <w:t>服务承诺实现</w:t>
            </w:r>
          </w:p>
        </w:tc>
        <w:tc>
          <w:tcPr>
            <w:tcW w:w="6519" w:type="dxa"/>
            <w:tcBorders>
              <w:top w:val="single" w:color="auto" w:sz="4" w:space="0"/>
              <w:left w:val="single" w:color="auto" w:sz="4" w:space="0"/>
              <w:bottom w:val="single" w:color="auto" w:sz="4" w:space="0"/>
              <w:right w:val="single" w:color="auto" w:sz="4" w:space="0"/>
            </w:tcBorders>
            <w:noWrap w:val="0"/>
            <w:vAlign w:val="center"/>
          </w:tcPr>
          <w:p w14:paraId="49CFA9D6">
            <w:pPr>
              <w:widowControl/>
              <w:rPr>
                <w:rFonts w:ascii="仿宋" w:hAnsi="仿宋" w:eastAsia="仿宋" w:cs="仿宋"/>
                <w:bCs/>
                <w:color w:val="auto"/>
                <w:szCs w:val="21"/>
                <w:highlight w:val="none"/>
              </w:rPr>
            </w:pPr>
            <w:r>
              <w:rPr>
                <w:rFonts w:hint="eastAsia" w:ascii="仿宋" w:hAnsi="仿宋" w:eastAsia="仿宋"/>
                <w:color w:val="auto"/>
                <w:kern w:val="0"/>
                <w:szCs w:val="21"/>
                <w:highlight w:val="none"/>
              </w:rPr>
              <w:t>每次对涉案系统进行扫描、安全测试之前先与</w:t>
            </w:r>
            <w:r>
              <w:rPr>
                <w:rFonts w:hint="eastAsia" w:ascii="仿宋" w:hAnsi="仿宋" w:eastAsia="仿宋"/>
                <w:color w:val="auto"/>
                <w:kern w:val="0"/>
                <w:szCs w:val="21"/>
                <w:highlight w:val="none"/>
                <w:lang w:eastAsia="zh-CN"/>
              </w:rPr>
              <w:t>甲方</w:t>
            </w:r>
            <w:r>
              <w:rPr>
                <w:rFonts w:hint="eastAsia" w:ascii="仿宋" w:hAnsi="仿宋" w:eastAsia="仿宋"/>
                <w:color w:val="auto"/>
                <w:kern w:val="0"/>
                <w:szCs w:val="21"/>
                <w:highlight w:val="none"/>
              </w:rPr>
              <w:t>书面确认，以确保系统的安全可控；进行服务实施时，在</w:t>
            </w:r>
            <w:r>
              <w:rPr>
                <w:rFonts w:hint="eastAsia" w:ascii="仿宋" w:hAnsi="仿宋" w:eastAsia="仿宋"/>
                <w:color w:val="auto"/>
                <w:kern w:val="0"/>
                <w:szCs w:val="21"/>
                <w:highlight w:val="none"/>
                <w:lang w:eastAsia="zh-CN"/>
              </w:rPr>
              <w:t>甲方</w:t>
            </w:r>
            <w:r>
              <w:rPr>
                <w:rFonts w:hint="eastAsia" w:ascii="仿宋" w:hAnsi="仿宋" w:eastAsia="仿宋"/>
                <w:color w:val="auto"/>
                <w:kern w:val="0"/>
                <w:szCs w:val="21"/>
                <w:highlight w:val="none"/>
              </w:rPr>
              <w:t>许可的情况下由服务团队人员进行。</w:t>
            </w:r>
          </w:p>
        </w:tc>
      </w:tr>
      <w:tr w14:paraId="5E8B6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861" w:type="dxa"/>
            <w:vMerge w:val="continue"/>
            <w:tcBorders>
              <w:top w:val="single" w:color="auto" w:sz="4" w:space="0"/>
              <w:left w:val="single" w:color="auto" w:sz="4" w:space="0"/>
              <w:right w:val="single" w:color="auto" w:sz="4" w:space="0"/>
            </w:tcBorders>
            <w:noWrap/>
            <w:vAlign w:val="center"/>
          </w:tcPr>
          <w:p w14:paraId="6B39A7A4">
            <w:pPr>
              <w:widowControl/>
              <w:spacing w:before="120" w:beforeLines="50" w:line="360" w:lineRule="auto"/>
              <w:jc w:val="center"/>
              <w:outlineLvl w:val="3"/>
              <w:rPr>
                <w:rFonts w:hint="eastAsia" w:ascii="仿宋" w:hAnsi="仿宋" w:eastAsia="仿宋" w:cs="仿宋"/>
                <w:bCs/>
                <w:color w:val="auto"/>
                <w:szCs w:val="21"/>
                <w:highlight w:val="none"/>
              </w:rPr>
            </w:pPr>
          </w:p>
        </w:tc>
        <w:tc>
          <w:tcPr>
            <w:tcW w:w="1515" w:type="dxa"/>
            <w:vMerge w:val="continue"/>
            <w:tcBorders>
              <w:top w:val="single" w:color="auto" w:sz="4" w:space="0"/>
              <w:left w:val="single" w:color="auto" w:sz="4" w:space="0"/>
              <w:right w:val="single" w:color="auto" w:sz="4" w:space="0"/>
            </w:tcBorders>
            <w:noWrap w:val="0"/>
            <w:vAlign w:val="center"/>
          </w:tcPr>
          <w:p w14:paraId="108C8C85">
            <w:pPr>
              <w:widowControl/>
              <w:jc w:val="center"/>
              <w:rPr>
                <w:rFonts w:hint="eastAsia" w:ascii="仿宋" w:hAnsi="仿宋" w:eastAsia="仿宋" w:cs="仿宋"/>
                <w:bCs/>
                <w:color w:val="auto"/>
                <w:szCs w:val="21"/>
                <w:highlight w:val="none"/>
              </w:rPr>
            </w:pPr>
          </w:p>
        </w:tc>
        <w:tc>
          <w:tcPr>
            <w:tcW w:w="6519" w:type="dxa"/>
            <w:tcBorders>
              <w:top w:val="single" w:color="auto" w:sz="4" w:space="0"/>
              <w:left w:val="single" w:color="auto" w:sz="4" w:space="0"/>
              <w:right w:val="single" w:color="auto" w:sz="4" w:space="0"/>
            </w:tcBorders>
            <w:noWrap w:val="0"/>
            <w:vAlign w:val="center"/>
          </w:tcPr>
          <w:p w14:paraId="20587925">
            <w:pPr>
              <w:widowControl/>
              <w:rPr>
                <w:rFonts w:hint="eastAsia" w:ascii="仿宋" w:hAnsi="仿宋" w:eastAsia="仿宋"/>
                <w:color w:val="auto"/>
                <w:kern w:val="0"/>
                <w:szCs w:val="21"/>
                <w:highlight w:val="none"/>
              </w:rPr>
            </w:pPr>
            <w:r>
              <w:rPr>
                <w:rFonts w:hint="eastAsia" w:ascii="仿宋" w:hAnsi="仿宋" w:eastAsia="仿宋"/>
                <w:color w:val="auto"/>
                <w:kern w:val="0"/>
                <w:szCs w:val="21"/>
                <w:highlight w:val="none"/>
              </w:rPr>
              <w:t>单个分析报告，在接到</w:t>
            </w:r>
            <w:r>
              <w:rPr>
                <w:rFonts w:hint="eastAsia" w:ascii="仿宋" w:hAnsi="仿宋" w:eastAsia="仿宋"/>
                <w:color w:val="auto"/>
                <w:kern w:val="0"/>
                <w:szCs w:val="21"/>
                <w:highlight w:val="none"/>
                <w:lang w:eastAsia="zh-CN"/>
              </w:rPr>
              <w:t>甲方</w:t>
            </w:r>
            <w:r>
              <w:rPr>
                <w:rFonts w:hint="eastAsia" w:ascii="仿宋" w:hAnsi="仿宋" w:eastAsia="仿宋"/>
                <w:color w:val="auto"/>
                <w:kern w:val="0"/>
                <w:szCs w:val="21"/>
                <w:highlight w:val="none"/>
              </w:rPr>
              <w:t>书面工作指令后5个工作日内出具，并交由</w:t>
            </w:r>
            <w:r>
              <w:rPr>
                <w:rFonts w:hint="eastAsia" w:ascii="仿宋" w:hAnsi="仿宋" w:eastAsia="仿宋"/>
                <w:color w:val="auto"/>
                <w:kern w:val="0"/>
                <w:szCs w:val="21"/>
                <w:highlight w:val="none"/>
                <w:lang w:eastAsia="zh-CN"/>
              </w:rPr>
              <w:t>甲方</w:t>
            </w:r>
            <w:r>
              <w:rPr>
                <w:rFonts w:hint="eastAsia" w:ascii="仿宋" w:hAnsi="仿宋" w:eastAsia="仿宋"/>
                <w:color w:val="auto"/>
                <w:kern w:val="0"/>
                <w:szCs w:val="21"/>
                <w:highlight w:val="none"/>
              </w:rPr>
              <w:t>审核。</w:t>
            </w:r>
          </w:p>
        </w:tc>
      </w:tr>
      <w:tr w14:paraId="7421B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861" w:type="dxa"/>
            <w:tcBorders>
              <w:top w:val="single" w:color="auto" w:sz="4" w:space="0"/>
              <w:left w:val="single" w:color="auto" w:sz="4" w:space="0"/>
              <w:bottom w:val="single" w:color="auto" w:sz="4" w:space="0"/>
              <w:right w:val="single" w:color="auto" w:sz="4" w:space="0"/>
            </w:tcBorders>
            <w:noWrap/>
            <w:vAlign w:val="center"/>
          </w:tcPr>
          <w:p w14:paraId="6EFB5446">
            <w:pPr>
              <w:widowControl/>
              <w:spacing w:before="120" w:beforeLines="50" w:line="360" w:lineRule="auto"/>
              <w:jc w:val="center"/>
              <w:outlineLvl w:val="3"/>
              <w:rPr>
                <w:rFonts w:ascii="仿宋" w:hAnsi="仿宋" w:eastAsia="仿宋" w:cs="仿宋"/>
                <w:bCs/>
                <w:color w:val="auto"/>
                <w:szCs w:val="21"/>
                <w:highlight w:val="none"/>
              </w:rPr>
            </w:pPr>
            <w:r>
              <w:rPr>
                <w:rFonts w:ascii="仿宋" w:hAnsi="仿宋" w:eastAsia="仿宋" w:cs="仿宋"/>
                <w:bCs/>
                <w:color w:val="auto"/>
                <w:szCs w:val="21"/>
                <w:highlight w:val="none"/>
              </w:rPr>
              <w:t>6</w:t>
            </w:r>
          </w:p>
        </w:tc>
        <w:tc>
          <w:tcPr>
            <w:tcW w:w="1515" w:type="dxa"/>
            <w:tcBorders>
              <w:top w:val="single" w:color="auto" w:sz="4" w:space="0"/>
              <w:left w:val="single" w:color="auto" w:sz="4" w:space="0"/>
              <w:bottom w:val="single" w:color="auto" w:sz="4" w:space="0"/>
              <w:right w:val="single" w:color="auto" w:sz="4" w:space="0"/>
            </w:tcBorders>
            <w:noWrap w:val="0"/>
            <w:vAlign w:val="center"/>
          </w:tcPr>
          <w:p w14:paraId="644442CB">
            <w:pPr>
              <w:widowControl/>
              <w:jc w:val="center"/>
              <w:rPr>
                <w:rFonts w:ascii="仿宋" w:hAnsi="仿宋" w:eastAsia="仿宋" w:cs="仿宋"/>
                <w:bCs/>
                <w:color w:val="auto"/>
                <w:szCs w:val="21"/>
                <w:highlight w:val="none"/>
              </w:rPr>
            </w:pPr>
            <w:r>
              <w:rPr>
                <w:rFonts w:hint="eastAsia" w:ascii="仿宋" w:hAnsi="仿宋" w:eastAsia="仿宋" w:cs="仿宋"/>
                <w:bCs/>
                <w:color w:val="auto"/>
                <w:szCs w:val="21"/>
                <w:highlight w:val="none"/>
              </w:rPr>
              <w:t>网络安全与责任管理</w:t>
            </w:r>
          </w:p>
        </w:tc>
        <w:tc>
          <w:tcPr>
            <w:tcW w:w="6519" w:type="dxa"/>
            <w:tcBorders>
              <w:top w:val="single" w:color="auto" w:sz="4" w:space="0"/>
              <w:left w:val="single" w:color="auto" w:sz="4" w:space="0"/>
              <w:bottom w:val="single" w:color="auto" w:sz="4" w:space="0"/>
              <w:right w:val="single" w:color="auto" w:sz="4" w:space="0"/>
            </w:tcBorders>
            <w:noWrap w:val="0"/>
            <w:vAlign w:val="center"/>
          </w:tcPr>
          <w:p w14:paraId="30A949F3">
            <w:pPr>
              <w:widowControl/>
              <w:rPr>
                <w:rFonts w:ascii="仿宋" w:hAnsi="仿宋" w:eastAsia="仿宋"/>
                <w:color w:val="auto"/>
                <w:kern w:val="0"/>
                <w:szCs w:val="21"/>
                <w:highlight w:val="none"/>
              </w:rPr>
            </w:pPr>
            <w:r>
              <w:rPr>
                <w:rFonts w:hint="eastAsia" w:ascii="仿宋" w:hAnsi="仿宋" w:eastAsia="仿宋"/>
                <w:color w:val="auto"/>
                <w:kern w:val="0"/>
                <w:szCs w:val="21"/>
                <w:highlight w:val="none"/>
              </w:rPr>
              <w:t>1、明确</w:t>
            </w:r>
            <w:r>
              <w:rPr>
                <w:rFonts w:hint="eastAsia" w:ascii="仿宋" w:hAnsi="仿宋" w:eastAsia="仿宋"/>
                <w:color w:val="auto"/>
                <w:kern w:val="0"/>
                <w:szCs w:val="21"/>
                <w:highlight w:val="none"/>
                <w:lang w:eastAsia="zh-CN"/>
              </w:rPr>
              <w:t>乙方</w:t>
            </w:r>
            <w:r>
              <w:rPr>
                <w:rFonts w:hint="eastAsia" w:ascii="仿宋" w:hAnsi="仿宋" w:eastAsia="仿宋"/>
                <w:color w:val="auto"/>
                <w:kern w:val="0"/>
                <w:szCs w:val="21"/>
                <w:highlight w:val="none"/>
              </w:rPr>
              <w:t>法定代表人为合作事项网络安全第一责任人，具体承担合作事项的部门主要负责人为直接责任人。</w:t>
            </w:r>
          </w:p>
          <w:p w14:paraId="00B1BC53">
            <w:pPr>
              <w:widowControl/>
              <w:rPr>
                <w:rFonts w:ascii="仿宋" w:hAnsi="仿宋" w:eastAsia="仿宋"/>
                <w:color w:val="auto"/>
                <w:kern w:val="0"/>
                <w:szCs w:val="21"/>
                <w:highlight w:val="none"/>
              </w:rPr>
            </w:pPr>
            <w:r>
              <w:rPr>
                <w:rFonts w:hint="eastAsia" w:ascii="仿宋" w:hAnsi="仿宋" w:eastAsia="仿宋"/>
                <w:color w:val="auto"/>
                <w:kern w:val="0"/>
                <w:szCs w:val="21"/>
                <w:highlight w:val="none"/>
              </w:rPr>
              <w:t>2、不得转包合同任务；除非主体、非关键性的</w:t>
            </w:r>
            <w:r>
              <w:rPr>
                <w:rFonts w:hint="eastAsia" w:ascii="仿宋" w:hAnsi="仿宋" w:eastAsia="仿宋"/>
                <w:color w:val="auto"/>
                <w:kern w:val="0"/>
                <w:szCs w:val="21"/>
                <w:highlight w:val="none"/>
              </w:rPr>
              <w:t>“大数据智能查控服务、资金智能查控服务、新型涉网案件智勘联侦分析服务”</w:t>
            </w:r>
            <w:r>
              <w:rPr>
                <w:rFonts w:hint="eastAsia" w:ascii="仿宋" w:hAnsi="仿宋" w:eastAsia="仿宋"/>
                <w:color w:val="auto"/>
                <w:kern w:val="0"/>
                <w:szCs w:val="21"/>
                <w:highlight w:val="none"/>
              </w:rPr>
              <w:t>工作外，不得分包合同任务。</w:t>
            </w:r>
          </w:p>
          <w:p w14:paraId="2DADBC6F">
            <w:pPr>
              <w:widowControl/>
              <w:rPr>
                <w:rFonts w:ascii="仿宋" w:hAnsi="仿宋" w:eastAsia="仿宋"/>
                <w:color w:val="auto"/>
                <w:kern w:val="0"/>
                <w:szCs w:val="21"/>
                <w:highlight w:val="none"/>
              </w:rPr>
            </w:pPr>
            <w:r>
              <w:rPr>
                <w:rFonts w:hint="eastAsia" w:ascii="仿宋" w:hAnsi="仿宋" w:eastAsia="仿宋"/>
                <w:color w:val="auto"/>
                <w:kern w:val="0"/>
                <w:szCs w:val="21"/>
                <w:highlight w:val="none"/>
              </w:rPr>
              <w:t>3、</w:t>
            </w:r>
            <w:r>
              <w:rPr>
                <w:rFonts w:hint="eastAsia" w:ascii="仿宋" w:hAnsi="仿宋" w:eastAsia="仿宋"/>
                <w:color w:val="auto"/>
                <w:kern w:val="0"/>
                <w:szCs w:val="21"/>
                <w:highlight w:val="none"/>
                <w:lang w:eastAsia="zh-CN"/>
              </w:rPr>
              <w:t>乙方</w:t>
            </w:r>
            <w:r>
              <w:rPr>
                <w:rFonts w:hint="eastAsia" w:ascii="仿宋" w:hAnsi="仿宋" w:eastAsia="仿宋"/>
                <w:color w:val="auto"/>
                <w:kern w:val="0"/>
                <w:szCs w:val="21"/>
                <w:highlight w:val="none"/>
              </w:rPr>
              <w:t>应制订与合作事项相关的网络安全保障方案和网络安全事件应急预案。</w:t>
            </w:r>
          </w:p>
          <w:p w14:paraId="12D1E14A">
            <w:pPr>
              <w:widowControl/>
              <w:rPr>
                <w:rFonts w:ascii="仿宋" w:hAnsi="仿宋" w:eastAsia="仿宋"/>
                <w:color w:val="auto"/>
                <w:kern w:val="0"/>
                <w:szCs w:val="21"/>
                <w:highlight w:val="none"/>
              </w:rPr>
            </w:pPr>
            <w:r>
              <w:rPr>
                <w:rFonts w:hint="eastAsia" w:ascii="仿宋" w:hAnsi="仿宋" w:eastAsia="仿宋"/>
                <w:color w:val="auto"/>
                <w:kern w:val="0"/>
                <w:szCs w:val="21"/>
                <w:highlight w:val="none"/>
              </w:rPr>
              <w:t>4、</w:t>
            </w:r>
            <w:r>
              <w:rPr>
                <w:rFonts w:hint="eastAsia" w:ascii="仿宋" w:hAnsi="仿宋" w:eastAsia="仿宋"/>
                <w:color w:val="auto"/>
                <w:kern w:val="0"/>
                <w:szCs w:val="21"/>
                <w:highlight w:val="none"/>
                <w:lang w:eastAsia="zh-CN"/>
              </w:rPr>
              <w:t>乙方</w:t>
            </w:r>
            <w:r>
              <w:rPr>
                <w:rFonts w:hint="eastAsia" w:ascii="仿宋" w:hAnsi="仿宋" w:eastAsia="仿宋"/>
                <w:color w:val="auto"/>
                <w:kern w:val="0"/>
                <w:szCs w:val="21"/>
                <w:highlight w:val="none"/>
              </w:rPr>
              <w:t>发现网络安全漏洞、缺陷或者其他严重网络安全风险，应及时向</w:t>
            </w:r>
            <w:r>
              <w:rPr>
                <w:rFonts w:hint="eastAsia" w:ascii="仿宋" w:hAnsi="仿宋" w:eastAsia="仿宋"/>
                <w:color w:val="auto"/>
                <w:kern w:val="0"/>
                <w:szCs w:val="21"/>
                <w:highlight w:val="none"/>
                <w:lang w:eastAsia="zh-CN"/>
              </w:rPr>
              <w:t>甲方</w:t>
            </w:r>
            <w:r>
              <w:rPr>
                <w:rFonts w:hint="eastAsia" w:ascii="仿宋" w:hAnsi="仿宋" w:eastAsia="仿宋"/>
                <w:color w:val="auto"/>
                <w:kern w:val="0"/>
                <w:szCs w:val="21"/>
                <w:highlight w:val="none"/>
              </w:rPr>
              <w:t>报告。</w:t>
            </w:r>
          </w:p>
          <w:p w14:paraId="313E453E">
            <w:pPr>
              <w:widowControl/>
              <w:rPr>
                <w:rFonts w:ascii="仿宋" w:hAnsi="仿宋" w:eastAsia="仿宋"/>
                <w:color w:val="auto"/>
                <w:kern w:val="0"/>
                <w:szCs w:val="21"/>
                <w:highlight w:val="none"/>
              </w:rPr>
            </w:pPr>
            <w:r>
              <w:rPr>
                <w:rFonts w:hint="eastAsia" w:ascii="仿宋" w:hAnsi="仿宋" w:eastAsia="仿宋"/>
                <w:color w:val="auto"/>
                <w:kern w:val="0"/>
                <w:szCs w:val="21"/>
                <w:highlight w:val="none"/>
              </w:rPr>
              <w:t>5、处理合作事项的信息平台应当优先采用符合安全可靠测评要求的硬件和软件产品。</w:t>
            </w:r>
          </w:p>
          <w:p w14:paraId="58D38F16">
            <w:pPr>
              <w:widowControl/>
              <w:rPr>
                <w:rFonts w:ascii="仿宋" w:hAnsi="仿宋" w:eastAsia="仿宋"/>
                <w:color w:val="auto"/>
                <w:kern w:val="0"/>
                <w:szCs w:val="21"/>
                <w:highlight w:val="none"/>
              </w:rPr>
            </w:pPr>
            <w:r>
              <w:rPr>
                <w:rFonts w:hint="eastAsia" w:ascii="仿宋" w:hAnsi="仿宋" w:eastAsia="仿宋"/>
                <w:color w:val="auto"/>
                <w:kern w:val="0"/>
                <w:szCs w:val="21"/>
                <w:highlight w:val="none"/>
              </w:rPr>
              <w:t>6、发生可能影响合作事项的网络安全重大事项，包括负责人及重要工作人员变更、业务转型、合并重组和投资并购等，</w:t>
            </w:r>
            <w:r>
              <w:rPr>
                <w:rFonts w:hint="eastAsia" w:ascii="仿宋" w:hAnsi="仿宋" w:eastAsia="仿宋"/>
                <w:color w:val="auto"/>
                <w:kern w:val="0"/>
                <w:szCs w:val="21"/>
                <w:highlight w:val="none"/>
                <w:lang w:eastAsia="zh-CN"/>
              </w:rPr>
              <w:t>乙方</w:t>
            </w:r>
            <w:r>
              <w:rPr>
                <w:rFonts w:hint="eastAsia" w:ascii="仿宋" w:hAnsi="仿宋" w:eastAsia="仿宋"/>
                <w:color w:val="auto"/>
                <w:kern w:val="0"/>
                <w:szCs w:val="21"/>
                <w:highlight w:val="none"/>
              </w:rPr>
              <w:t>应提前向</w:t>
            </w:r>
            <w:r>
              <w:rPr>
                <w:rFonts w:hint="eastAsia" w:ascii="仿宋" w:hAnsi="仿宋" w:eastAsia="仿宋"/>
                <w:color w:val="auto"/>
                <w:kern w:val="0"/>
                <w:szCs w:val="21"/>
                <w:highlight w:val="none"/>
                <w:lang w:eastAsia="zh-CN"/>
              </w:rPr>
              <w:t>甲方</w:t>
            </w:r>
            <w:r>
              <w:rPr>
                <w:rFonts w:hint="eastAsia" w:ascii="仿宋" w:hAnsi="仿宋" w:eastAsia="仿宋"/>
                <w:color w:val="auto"/>
                <w:kern w:val="0"/>
                <w:szCs w:val="21"/>
                <w:highlight w:val="none"/>
              </w:rPr>
              <w:t>报告。</w:t>
            </w:r>
          </w:p>
          <w:p w14:paraId="65F5EF65">
            <w:pPr>
              <w:widowControl/>
              <w:rPr>
                <w:rFonts w:ascii="仿宋" w:hAnsi="仿宋" w:eastAsia="仿宋"/>
                <w:color w:val="auto"/>
                <w:kern w:val="0"/>
                <w:szCs w:val="21"/>
                <w:highlight w:val="none"/>
              </w:rPr>
            </w:pPr>
            <w:r>
              <w:rPr>
                <w:rFonts w:hint="eastAsia" w:ascii="仿宋" w:hAnsi="仿宋" w:eastAsia="仿宋"/>
                <w:color w:val="auto"/>
                <w:kern w:val="0"/>
                <w:szCs w:val="21"/>
                <w:highlight w:val="none"/>
              </w:rPr>
              <w:t>7、采用社会公共网络平台实施合作事项时，严禁涉及国家秘密和警务工作秘密。</w:t>
            </w:r>
          </w:p>
          <w:p w14:paraId="03D71755">
            <w:pPr>
              <w:widowControl/>
              <w:rPr>
                <w:rFonts w:ascii="仿宋" w:hAnsi="仿宋" w:eastAsia="仿宋"/>
                <w:color w:val="auto"/>
                <w:kern w:val="0"/>
                <w:szCs w:val="21"/>
                <w:highlight w:val="none"/>
              </w:rPr>
            </w:pPr>
            <w:r>
              <w:rPr>
                <w:rFonts w:hint="eastAsia" w:ascii="仿宋" w:hAnsi="仿宋" w:eastAsia="仿宋"/>
                <w:color w:val="auto"/>
                <w:kern w:val="0"/>
                <w:szCs w:val="21"/>
                <w:highlight w:val="none"/>
              </w:rPr>
              <w:t>8、</w:t>
            </w:r>
            <w:r>
              <w:rPr>
                <w:rFonts w:hint="eastAsia" w:ascii="仿宋" w:hAnsi="仿宋" w:eastAsia="仿宋"/>
                <w:color w:val="auto"/>
                <w:kern w:val="0"/>
                <w:szCs w:val="21"/>
                <w:highlight w:val="none"/>
                <w:lang w:eastAsia="zh-CN"/>
              </w:rPr>
              <w:t>乙方</w:t>
            </w:r>
            <w:r>
              <w:rPr>
                <w:rFonts w:ascii="仿宋" w:hAnsi="仿宋" w:eastAsia="仿宋" w:cs="仿宋"/>
                <w:color w:val="auto"/>
                <w:szCs w:val="21"/>
                <w:highlight w:val="none"/>
              </w:rPr>
              <w:t>应</w:t>
            </w:r>
            <w:r>
              <w:rPr>
                <w:rFonts w:hint="eastAsia" w:ascii="仿宋" w:hAnsi="仿宋" w:eastAsia="仿宋" w:cs="仿宋"/>
                <w:color w:val="auto"/>
                <w:szCs w:val="21"/>
                <w:highlight w:val="none"/>
                <w:lang w:val="en-US" w:eastAsia="zh-CN"/>
              </w:rPr>
              <w:t>在每次验收</w:t>
            </w:r>
            <w:r>
              <w:rPr>
                <w:rFonts w:ascii="仿宋" w:hAnsi="仿宋" w:eastAsia="仿宋" w:cs="仿宋"/>
                <w:color w:val="auto"/>
                <w:szCs w:val="21"/>
                <w:highlight w:val="none"/>
              </w:rPr>
              <w:t>之前向采购人提交网络安全报告</w:t>
            </w:r>
            <w:r>
              <w:rPr>
                <w:rFonts w:hint="eastAsia" w:ascii="仿宋" w:hAnsi="仿宋" w:eastAsia="仿宋"/>
                <w:color w:val="auto"/>
                <w:kern w:val="0"/>
                <w:szCs w:val="21"/>
                <w:highlight w:val="none"/>
              </w:rPr>
              <w:t>。</w:t>
            </w:r>
          </w:p>
          <w:p w14:paraId="75D7E5B9">
            <w:pPr>
              <w:widowControl/>
              <w:rPr>
                <w:rFonts w:ascii="仿宋" w:hAnsi="仿宋" w:eastAsia="仿宋"/>
                <w:color w:val="auto"/>
                <w:kern w:val="0"/>
                <w:szCs w:val="21"/>
                <w:highlight w:val="none"/>
              </w:rPr>
            </w:pPr>
            <w:r>
              <w:rPr>
                <w:rFonts w:hint="eastAsia" w:ascii="仿宋" w:hAnsi="仿宋" w:eastAsia="仿宋"/>
                <w:color w:val="auto"/>
                <w:kern w:val="0"/>
                <w:szCs w:val="21"/>
                <w:highlight w:val="none"/>
              </w:rPr>
              <w:t>9、其他应当落实的网络安全责任和义务。</w:t>
            </w:r>
          </w:p>
        </w:tc>
      </w:tr>
      <w:tr w14:paraId="49497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861" w:type="dxa"/>
            <w:tcBorders>
              <w:top w:val="single" w:color="auto" w:sz="4" w:space="0"/>
              <w:left w:val="single" w:color="auto" w:sz="4" w:space="0"/>
              <w:bottom w:val="single" w:color="auto" w:sz="4" w:space="0"/>
              <w:right w:val="single" w:color="auto" w:sz="4" w:space="0"/>
            </w:tcBorders>
            <w:noWrap/>
            <w:vAlign w:val="center"/>
          </w:tcPr>
          <w:p w14:paraId="7FB468FD">
            <w:pPr>
              <w:widowControl/>
              <w:spacing w:before="120" w:beforeLines="50" w:line="360" w:lineRule="auto"/>
              <w:jc w:val="center"/>
              <w:outlineLvl w:val="3"/>
              <w:rPr>
                <w:rFonts w:ascii="仿宋" w:hAnsi="仿宋" w:eastAsia="仿宋" w:cs="仿宋"/>
                <w:bCs/>
                <w:color w:val="auto"/>
                <w:szCs w:val="21"/>
                <w:highlight w:val="none"/>
              </w:rPr>
            </w:pPr>
            <w:r>
              <w:rPr>
                <w:rFonts w:ascii="仿宋" w:hAnsi="仿宋" w:eastAsia="仿宋" w:cs="仿宋"/>
                <w:bCs/>
                <w:color w:val="auto"/>
                <w:szCs w:val="21"/>
                <w:highlight w:val="none"/>
              </w:rPr>
              <w:t>7</w:t>
            </w:r>
          </w:p>
        </w:tc>
        <w:tc>
          <w:tcPr>
            <w:tcW w:w="1515" w:type="dxa"/>
            <w:tcBorders>
              <w:top w:val="single" w:color="auto" w:sz="4" w:space="0"/>
              <w:left w:val="single" w:color="auto" w:sz="4" w:space="0"/>
              <w:bottom w:val="single" w:color="auto" w:sz="4" w:space="0"/>
              <w:right w:val="single" w:color="auto" w:sz="4" w:space="0"/>
            </w:tcBorders>
            <w:noWrap w:val="0"/>
            <w:vAlign w:val="center"/>
          </w:tcPr>
          <w:p w14:paraId="25B7ECD5">
            <w:pPr>
              <w:widowControl/>
              <w:jc w:val="center"/>
              <w:rPr>
                <w:rFonts w:ascii="仿宋" w:hAnsi="仿宋" w:eastAsia="仿宋" w:cs="仿宋"/>
                <w:bCs/>
                <w:color w:val="auto"/>
                <w:szCs w:val="21"/>
                <w:highlight w:val="none"/>
              </w:rPr>
            </w:pPr>
            <w:r>
              <w:rPr>
                <w:rFonts w:hint="eastAsia" w:ascii="仿宋" w:hAnsi="仿宋" w:eastAsia="仿宋" w:cs="仿宋"/>
                <w:bCs/>
                <w:color w:val="auto"/>
                <w:szCs w:val="21"/>
                <w:highlight w:val="none"/>
              </w:rPr>
              <w:t>保密管理</w:t>
            </w:r>
          </w:p>
        </w:tc>
        <w:tc>
          <w:tcPr>
            <w:tcW w:w="6519" w:type="dxa"/>
            <w:tcBorders>
              <w:top w:val="single" w:color="auto" w:sz="4" w:space="0"/>
              <w:left w:val="single" w:color="auto" w:sz="4" w:space="0"/>
              <w:bottom w:val="single" w:color="auto" w:sz="4" w:space="0"/>
              <w:right w:val="single" w:color="auto" w:sz="4" w:space="0"/>
            </w:tcBorders>
            <w:noWrap w:val="0"/>
            <w:vAlign w:val="center"/>
          </w:tcPr>
          <w:p w14:paraId="059FCE83">
            <w:pPr>
              <w:widowControl/>
              <w:rPr>
                <w:rFonts w:ascii="仿宋" w:hAnsi="仿宋" w:eastAsia="仿宋" w:cs="仿宋"/>
                <w:bCs/>
                <w:color w:val="auto"/>
                <w:szCs w:val="21"/>
                <w:highlight w:val="none"/>
              </w:rPr>
            </w:pPr>
            <w:r>
              <w:rPr>
                <w:rFonts w:hint="eastAsia" w:ascii="仿宋" w:hAnsi="仿宋" w:eastAsia="仿宋" w:cs="仿宋"/>
                <w:color w:val="auto"/>
                <w:kern w:val="0"/>
                <w:szCs w:val="21"/>
                <w:highlight w:val="none"/>
              </w:rPr>
              <w:t>满足</w:t>
            </w:r>
            <w:r>
              <w:rPr>
                <w:rFonts w:hint="eastAsia" w:ascii="仿宋" w:hAnsi="仿宋" w:eastAsia="仿宋" w:cs="仿宋"/>
                <w:color w:val="auto"/>
                <w:kern w:val="0"/>
                <w:szCs w:val="21"/>
                <w:highlight w:val="none"/>
                <w:lang w:eastAsia="zh-CN"/>
              </w:rPr>
              <w:t>甲方</w:t>
            </w:r>
            <w:r>
              <w:rPr>
                <w:rFonts w:hint="eastAsia" w:ascii="仿宋" w:hAnsi="仿宋" w:eastAsia="仿宋" w:cs="仿宋"/>
                <w:color w:val="auto"/>
                <w:kern w:val="0"/>
                <w:szCs w:val="21"/>
                <w:highlight w:val="none"/>
              </w:rPr>
              <w:t>的保密规定实施，签订单位保密协议、个人保密承诺书，明确具体安全管理内容、安全保密义务和责任，</w:t>
            </w:r>
            <w:r>
              <w:rPr>
                <w:rFonts w:hint="eastAsia" w:ascii="仿宋" w:hAnsi="仿宋" w:eastAsia="仿宋" w:cs="仿宋"/>
                <w:color w:val="auto"/>
                <w:szCs w:val="21"/>
                <w:highlight w:val="none"/>
              </w:rPr>
              <w:t>并做好日常保密教育台账</w:t>
            </w:r>
            <w:r>
              <w:rPr>
                <w:rFonts w:hint="eastAsia" w:ascii="仿宋" w:hAnsi="仿宋" w:eastAsia="仿宋" w:cs="仿宋"/>
                <w:color w:val="auto"/>
                <w:kern w:val="0"/>
                <w:szCs w:val="21"/>
                <w:highlight w:val="none"/>
              </w:rPr>
              <w:t>。</w:t>
            </w:r>
            <w:r>
              <w:rPr>
                <w:rFonts w:hint="eastAsia" w:ascii="仿宋" w:hAnsi="仿宋" w:eastAsia="仿宋" w:cs="仿宋"/>
                <w:color w:val="auto"/>
                <w:kern w:val="0"/>
                <w:szCs w:val="21"/>
                <w:highlight w:val="none"/>
                <w:lang w:eastAsia="zh-CN"/>
              </w:rPr>
              <w:t>乙方</w:t>
            </w:r>
            <w:r>
              <w:rPr>
                <w:rFonts w:hint="eastAsia" w:ascii="仿宋" w:hAnsi="仿宋" w:eastAsia="仿宋" w:cs="仿宋"/>
                <w:color w:val="auto"/>
                <w:kern w:val="0"/>
                <w:szCs w:val="21"/>
                <w:highlight w:val="none"/>
              </w:rPr>
              <w:t>及工作人员无违反安全管理要求的情况，未出现各类涉及公安业务的资料等外流泄密的情况。</w:t>
            </w:r>
          </w:p>
        </w:tc>
      </w:tr>
      <w:tr w14:paraId="5CE50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861" w:type="dxa"/>
            <w:tcBorders>
              <w:top w:val="single" w:color="auto" w:sz="4" w:space="0"/>
              <w:left w:val="single" w:color="auto" w:sz="4" w:space="0"/>
              <w:bottom w:val="single" w:color="auto" w:sz="4" w:space="0"/>
              <w:right w:val="single" w:color="auto" w:sz="4" w:space="0"/>
            </w:tcBorders>
            <w:noWrap/>
            <w:vAlign w:val="center"/>
          </w:tcPr>
          <w:p w14:paraId="21F7DFEB">
            <w:pPr>
              <w:widowControl/>
              <w:spacing w:before="120" w:beforeLines="50" w:line="360" w:lineRule="auto"/>
              <w:jc w:val="center"/>
              <w:outlineLvl w:val="3"/>
              <w:rPr>
                <w:rFonts w:ascii="仿宋" w:hAnsi="仿宋" w:eastAsia="仿宋" w:cs="仿宋"/>
                <w:bCs/>
                <w:color w:val="auto"/>
                <w:szCs w:val="21"/>
                <w:highlight w:val="none"/>
              </w:rPr>
            </w:pPr>
            <w:r>
              <w:rPr>
                <w:rFonts w:ascii="仿宋" w:hAnsi="仿宋" w:eastAsia="仿宋" w:cs="仿宋"/>
                <w:bCs/>
                <w:color w:val="auto"/>
                <w:szCs w:val="21"/>
                <w:highlight w:val="none"/>
              </w:rPr>
              <w:t>8</w:t>
            </w:r>
          </w:p>
        </w:tc>
        <w:tc>
          <w:tcPr>
            <w:tcW w:w="1515" w:type="dxa"/>
            <w:tcBorders>
              <w:top w:val="single" w:color="auto" w:sz="4" w:space="0"/>
              <w:left w:val="single" w:color="auto" w:sz="4" w:space="0"/>
              <w:bottom w:val="single" w:color="auto" w:sz="4" w:space="0"/>
              <w:right w:val="single" w:color="auto" w:sz="4" w:space="0"/>
            </w:tcBorders>
            <w:noWrap w:val="0"/>
            <w:vAlign w:val="center"/>
          </w:tcPr>
          <w:p w14:paraId="490CBAF8">
            <w:pPr>
              <w:widowControl/>
              <w:jc w:val="center"/>
              <w:rPr>
                <w:rFonts w:ascii="仿宋" w:hAnsi="仿宋" w:eastAsia="仿宋" w:cs="仿宋"/>
                <w:bCs/>
                <w:color w:val="auto"/>
                <w:szCs w:val="21"/>
                <w:highlight w:val="none"/>
              </w:rPr>
            </w:pPr>
            <w:r>
              <w:rPr>
                <w:rFonts w:hint="eastAsia" w:ascii="仿宋" w:hAnsi="仿宋" w:eastAsia="仿宋" w:cs="仿宋"/>
                <w:bCs/>
                <w:color w:val="auto"/>
                <w:szCs w:val="21"/>
                <w:highlight w:val="none"/>
              </w:rPr>
              <w:t>合同分包比例</w:t>
            </w:r>
          </w:p>
        </w:tc>
        <w:tc>
          <w:tcPr>
            <w:tcW w:w="6519" w:type="dxa"/>
            <w:tcBorders>
              <w:top w:val="single" w:color="auto" w:sz="4" w:space="0"/>
              <w:left w:val="single" w:color="auto" w:sz="4" w:space="0"/>
              <w:bottom w:val="single" w:color="auto" w:sz="4" w:space="0"/>
              <w:right w:val="single" w:color="auto" w:sz="4" w:space="0"/>
            </w:tcBorders>
            <w:noWrap w:val="0"/>
            <w:vAlign w:val="top"/>
          </w:tcPr>
          <w:p w14:paraId="43AD5750">
            <w:pPr>
              <w:widowControl/>
              <w:rPr>
                <w:rFonts w:ascii="仿宋" w:hAnsi="仿宋" w:eastAsia="仿宋" w:cs="仿宋"/>
                <w:bCs/>
                <w:color w:val="auto"/>
                <w:szCs w:val="21"/>
                <w:highlight w:val="none"/>
              </w:rPr>
            </w:pPr>
            <w:r>
              <w:rPr>
                <w:rFonts w:hint="eastAsia" w:ascii="仿宋" w:hAnsi="仿宋" w:eastAsia="仿宋" w:cs="仿宋"/>
                <w:bCs/>
                <w:color w:val="auto"/>
                <w:szCs w:val="21"/>
                <w:highlight w:val="none"/>
              </w:rPr>
              <w:t>本项目履约过程中，要求合同分包，确保中小企业合同金额应当达到</w:t>
            </w:r>
            <w:r>
              <w:rPr>
                <w:rFonts w:ascii="仿宋" w:hAnsi="仿宋" w:eastAsia="仿宋" w:cs="仿宋"/>
                <w:bCs/>
                <w:color w:val="auto"/>
                <w:szCs w:val="21"/>
                <w:highlight w:val="none"/>
              </w:rPr>
              <w:t xml:space="preserve"> 40 % </w:t>
            </w:r>
            <w:r>
              <w:rPr>
                <w:rFonts w:hint="eastAsia" w:ascii="仿宋" w:hAnsi="仿宋" w:eastAsia="仿宋" w:cs="仿宋"/>
                <w:bCs/>
                <w:color w:val="auto"/>
                <w:szCs w:val="21"/>
                <w:highlight w:val="none"/>
              </w:rPr>
              <w:t>，小微企业合同金额应当达到</w:t>
            </w:r>
            <w:r>
              <w:rPr>
                <w:rFonts w:ascii="仿宋" w:hAnsi="仿宋" w:eastAsia="仿宋" w:cs="仿宋"/>
                <w:bCs/>
                <w:color w:val="auto"/>
                <w:szCs w:val="21"/>
                <w:highlight w:val="none"/>
              </w:rPr>
              <w:t xml:space="preserve"> 28 %</w:t>
            </w:r>
          </w:p>
        </w:tc>
      </w:tr>
      <w:tr w14:paraId="186C8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861" w:type="dxa"/>
            <w:tcBorders>
              <w:top w:val="single" w:color="auto" w:sz="4" w:space="0"/>
              <w:left w:val="single" w:color="auto" w:sz="4" w:space="0"/>
              <w:bottom w:val="single" w:color="auto" w:sz="4" w:space="0"/>
              <w:right w:val="single" w:color="auto" w:sz="4" w:space="0"/>
            </w:tcBorders>
            <w:noWrap/>
            <w:vAlign w:val="center"/>
          </w:tcPr>
          <w:p w14:paraId="24ADF2E5">
            <w:pPr>
              <w:widowControl/>
              <w:spacing w:before="120" w:beforeLines="50" w:line="360" w:lineRule="auto"/>
              <w:jc w:val="center"/>
              <w:outlineLvl w:val="3"/>
              <w:rPr>
                <w:rFonts w:ascii="仿宋" w:hAnsi="仿宋" w:eastAsia="仿宋" w:cs="仿宋"/>
                <w:bCs/>
                <w:color w:val="auto"/>
                <w:szCs w:val="21"/>
                <w:highlight w:val="none"/>
              </w:rPr>
            </w:pPr>
            <w:r>
              <w:rPr>
                <w:rFonts w:ascii="仿宋" w:hAnsi="仿宋" w:eastAsia="仿宋" w:cs="仿宋"/>
                <w:bCs/>
                <w:color w:val="auto"/>
                <w:szCs w:val="21"/>
                <w:highlight w:val="none"/>
              </w:rPr>
              <w:t>9</w:t>
            </w:r>
          </w:p>
        </w:tc>
        <w:tc>
          <w:tcPr>
            <w:tcW w:w="1515" w:type="dxa"/>
            <w:tcBorders>
              <w:top w:val="single" w:color="auto" w:sz="4" w:space="0"/>
              <w:left w:val="single" w:color="auto" w:sz="4" w:space="0"/>
              <w:bottom w:val="single" w:color="auto" w:sz="4" w:space="0"/>
              <w:right w:val="single" w:color="auto" w:sz="4" w:space="0"/>
            </w:tcBorders>
            <w:noWrap w:val="0"/>
            <w:vAlign w:val="center"/>
          </w:tcPr>
          <w:p w14:paraId="23C23958">
            <w:pPr>
              <w:widowControl/>
              <w:spacing w:before="120" w:beforeLines="50" w:line="360" w:lineRule="auto"/>
              <w:jc w:val="center"/>
              <w:outlineLvl w:val="3"/>
              <w:rPr>
                <w:rFonts w:ascii="仿宋" w:hAnsi="仿宋" w:eastAsia="仿宋" w:cs="仿宋"/>
                <w:bCs/>
                <w:color w:val="auto"/>
                <w:szCs w:val="21"/>
                <w:highlight w:val="none"/>
              </w:rPr>
            </w:pPr>
            <w:r>
              <w:rPr>
                <w:rFonts w:hint="eastAsia" w:ascii="仿宋" w:hAnsi="仿宋" w:eastAsia="仿宋" w:cs="仿宋"/>
                <w:bCs/>
                <w:color w:val="auto"/>
                <w:szCs w:val="21"/>
                <w:highlight w:val="none"/>
              </w:rPr>
              <w:t>其他工作</w:t>
            </w:r>
          </w:p>
        </w:tc>
        <w:tc>
          <w:tcPr>
            <w:tcW w:w="6519" w:type="dxa"/>
            <w:tcBorders>
              <w:top w:val="single" w:color="auto" w:sz="4" w:space="0"/>
              <w:left w:val="single" w:color="auto" w:sz="4" w:space="0"/>
              <w:bottom w:val="single" w:color="auto" w:sz="4" w:space="0"/>
              <w:right w:val="single" w:color="auto" w:sz="4" w:space="0"/>
            </w:tcBorders>
            <w:noWrap w:val="0"/>
            <w:vAlign w:val="center"/>
          </w:tcPr>
          <w:p w14:paraId="3E5BE4D3">
            <w:pPr>
              <w:widowControl/>
              <w:spacing w:before="120" w:beforeLines="50" w:line="360" w:lineRule="auto"/>
              <w:jc w:val="left"/>
              <w:outlineLvl w:val="3"/>
              <w:rPr>
                <w:rFonts w:ascii="仿宋" w:hAnsi="仿宋" w:eastAsia="仿宋" w:cs="仿宋"/>
                <w:bCs/>
                <w:color w:val="auto"/>
                <w:szCs w:val="21"/>
                <w:highlight w:val="none"/>
              </w:rPr>
            </w:pPr>
            <w:r>
              <w:rPr>
                <w:rFonts w:hint="eastAsia" w:ascii="仿宋" w:hAnsi="仿宋" w:eastAsia="仿宋" w:cs="仿宋"/>
                <w:bCs/>
                <w:color w:val="auto"/>
                <w:szCs w:val="21"/>
                <w:highlight w:val="none"/>
              </w:rPr>
              <w:t>履行采购文件、投标文件、合同条款中涉及的其他承诺的情况</w:t>
            </w:r>
          </w:p>
        </w:tc>
      </w:tr>
    </w:tbl>
    <w:p w14:paraId="428C001E">
      <w:pPr>
        <w:tabs>
          <w:tab w:val="left" w:pos="904"/>
        </w:tabs>
        <w:snapToGrid w:val="0"/>
        <w:spacing w:after="0"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5</w:t>
      </w:r>
      <w:r>
        <w:rPr>
          <w:rFonts w:hint="eastAsia" w:ascii="仿宋" w:hAnsi="仿宋" w:eastAsia="仿宋" w:cs="仿宋"/>
          <w:color w:val="auto"/>
          <w:sz w:val="21"/>
          <w:szCs w:val="21"/>
          <w:highlight w:val="none"/>
        </w:rPr>
        <w:t>.2</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验收资料要求包括（不限于）以下内容：</w:t>
      </w:r>
    </w:p>
    <w:p w14:paraId="0ED757FD">
      <w:pPr>
        <w:numPr>
          <w:ilvl w:val="0"/>
          <w:numId w:val="6"/>
        </w:numPr>
        <w:tabs>
          <w:tab w:val="left" w:pos="904"/>
        </w:tabs>
        <w:adjustRightInd/>
        <w:snapToGrid w:val="0"/>
        <w:spacing w:line="360" w:lineRule="auto"/>
        <w:jc w:val="left"/>
        <w:rPr>
          <w:rFonts w:ascii="仿宋" w:hAnsi="仿宋" w:eastAsia="仿宋" w:cs="仿宋"/>
          <w:color w:val="auto"/>
          <w:szCs w:val="21"/>
          <w:highlight w:val="none"/>
        </w:rPr>
      </w:pPr>
      <w:r>
        <w:rPr>
          <w:rFonts w:hint="eastAsia" w:ascii="仿宋" w:hAnsi="仿宋" w:eastAsia="仿宋" w:cs="仿宋"/>
          <w:color w:val="auto"/>
          <w:szCs w:val="21"/>
          <w:highlight w:val="none"/>
        </w:rPr>
        <w:t>采购文件</w:t>
      </w:r>
    </w:p>
    <w:p w14:paraId="3CCB4481">
      <w:pPr>
        <w:numPr>
          <w:ilvl w:val="0"/>
          <w:numId w:val="6"/>
        </w:numPr>
        <w:tabs>
          <w:tab w:val="left" w:pos="904"/>
        </w:tabs>
        <w:adjustRightInd/>
        <w:snapToGrid w:val="0"/>
        <w:spacing w:line="360" w:lineRule="auto"/>
        <w:ind w:left="1146"/>
        <w:jc w:val="left"/>
        <w:rPr>
          <w:rFonts w:ascii="仿宋" w:hAnsi="仿宋" w:eastAsia="仿宋" w:cs="仿宋"/>
          <w:color w:val="auto"/>
          <w:szCs w:val="21"/>
          <w:highlight w:val="none"/>
        </w:rPr>
      </w:pPr>
      <w:r>
        <w:rPr>
          <w:rFonts w:hint="eastAsia" w:ascii="仿宋" w:hAnsi="仿宋" w:eastAsia="仿宋" w:cs="仿宋"/>
          <w:color w:val="auto"/>
          <w:szCs w:val="21"/>
          <w:highlight w:val="none"/>
        </w:rPr>
        <w:t>投标文件</w:t>
      </w:r>
    </w:p>
    <w:p w14:paraId="71BECFF6">
      <w:pPr>
        <w:numPr>
          <w:ilvl w:val="0"/>
          <w:numId w:val="6"/>
        </w:numPr>
        <w:tabs>
          <w:tab w:val="left" w:pos="904"/>
        </w:tabs>
        <w:adjustRightInd/>
        <w:snapToGrid w:val="0"/>
        <w:spacing w:line="360" w:lineRule="auto"/>
        <w:ind w:left="1146"/>
        <w:jc w:val="left"/>
        <w:rPr>
          <w:rFonts w:ascii="仿宋" w:hAnsi="仿宋" w:eastAsia="仿宋" w:cs="仿宋"/>
          <w:color w:val="auto"/>
          <w:szCs w:val="21"/>
          <w:highlight w:val="none"/>
        </w:rPr>
      </w:pPr>
      <w:r>
        <w:rPr>
          <w:rFonts w:hint="eastAsia" w:ascii="仿宋" w:hAnsi="仿宋" w:eastAsia="仿宋" w:cs="仿宋"/>
          <w:color w:val="auto"/>
          <w:szCs w:val="21"/>
          <w:highlight w:val="none"/>
        </w:rPr>
        <w:t>采购合同</w:t>
      </w:r>
    </w:p>
    <w:p w14:paraId="54AF7C6E">
      <w:pPr>
        <w:numPr>
          <w:ilvl w:val="0"/>
          <w:numId w:val="6"/>
        </w:numPr>
        <w:tabs>
          <w:tab w:val="left" w:pos="904"/>
        </w:tabs>
        <w:adjustRightInd/>
        <w:snapToGrid w:val="0"/>
        <w:spacing w:line="360" w:lineRule="auto"/>
        <w:ind w:left="1146"/>
        <w:jc w:val="left"/>
        <w:rPr>
          <w:rFonts w:ascii="仿宋" w:hAnsi="仿宋" w:eastAsia="仿宋" w:cs="仿宋"/>
          <w:color w:val="auto"/>
          <w:szCs w:val="21"/>
          <w:highlight w:val="none"/>
        </w:rPr>
      </w:pPr>
      <w:r>
        <w:rPr>
          <w:rFonts w:hint="eastAsia" w:ascii="仿宋" w:hAnsi="仿宋" w:eastAsia="仿宋" w:cs="仿宋"/>
          <w:color w:val="auto"/>
          <w:szCs w:val="21"/>
          <w:highlight w:val="none"/>
        </w:rPr>
        <w:t>考核表：</w:t>
      </w:r>
      <w:r>
        <w:rPr>
          <w:rFonts w:hint="eastAsia" w:ascii="仿宋" w:hAnsi="仿宋" w:eastAsia="仿宋" w:cs="等线"/>
          <w:color w:val="auto"/>
          <w:szCs w:val="21"/>
          <w:highlight w:val="none"/>
        </w:rPr>
        <w:t>每月考核表</w:t>
      </w: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eastAsia="zh-CN"/>
        </w:rPr>
        <w:t>甲方</w:t>
      </w:r>
      <w:r>
        <w:rPr>
          <w:rFonts w:hint="eastAsia" w:ascii="仿宋" w:hAnsi="仿宋" w:eastAsia="仿宋" w:cs="仿宋"/>
          <w:color w:val="auto"/>
          <w:szCs w:val="21"/>
          <w:highlight w:val="none"/>
        </w:rPr>
        <w:t>经办人、审核人、</w:t>
      </w:r>
      <w:r>
        <w:rPr>
          <w:rFonts w:hint="eastAsia" w:ascii="仿宋" w:hAnsi="仿宋" w:eastAsia="仿宋" w:cs="仿宋"/>
          <w:color w:val="auto"/>
          <w:szCs w:val="21"/>
          <w:highlight w:val="none"/>
          <w:lang w:eastAsia="zh-CN"/>
        </w:rPr>
        <w:t>乙方</w:t>
      </w:r>
      <w:r>
        <w:rPr>
          <w:rFonts w:hint="eastAsia" w:ascii="仿宋" w:hAnsi="仿宋" w:eastAsia="仿宋" w:cs="仿宋"/>
          <w:color w:val="auto"/>
          <w:szCs w:val="21"/>
          <w:highlight w:val="none"/>
        </w:rPr>
        <w:t>签字盖章）；</w:t>
      </w:r>
    </w:p>
    <w:p w14:paraId="762A7F4F">
      <w:pPr>
        <w:numPr>
          <w:ilvl w:val="0"/>
          <w:numId w:val="6"/>
        </w:numPr>
        <w:tabs>
          <w:tab w:val="left" w:pos="904"/>
        </w:tabs>
        <w:adjustRightInd/>
        <w:snapToGrid w:val="0"/>
        <w:spacing w:line="360" w:lineRule="auto"/>
        <w:ind w:left="1146"/>
        <w:jc w:val="left"/>
        <w:rPr>
          <w:rFonts w:ascii="仿宋" w:hAnsi="仿宋" w:eastAsia="仿宋" w:cs="仿宋"/>
          <w:color w:val="auto"/>
          <w:szCs w:val="21"/>
          <w:highlight w:val="none"/>
        </w:rPr>
      </w:pPr>
      <w:r>
        <w:rPr>
          <w:rFonts w:hint="eastAsia" w:ascii="仿宋" w:hAnsi="仿宋" w:eastAsia="仿宋" w:cs="仿宋"/>
          <w:color w:val="auto"/>
          <w:szCs w:val="21"/>
          <w:highlight w:val="none"/>
        </w:rPr>
        <w:t>人员清单：项目实施人员明细清单，</w:t>
      </w:r>
      <w:r>
        <w:rPr>
          <w:rFonts w:hint="eastAsia" w:ascii="仿宋" w:hAnsi="仿宋" w:eastAsia="仿宋" w:cs="仿宋"/>
          <w:color w:val="auto"/>
          <w:szCs w:val="21"/>
          <w:highlight w:val="none"/>
        </w:rPr>
        <w:t>驻点人员每日考勤</w:t>
      </w:r>
      <w:r>
        <w:rPr>
          <w:rFonts w:hint="eastAsia" w:ascii="仿宋" w:hAnsi="仿宋" w:eastAsia="仿宋" w:cs="仿宋"/>
          <w:color w:val="auto"/>
          <w:szCs w:val="21"/>
          <w:highlight w:val="none"/>
          <w:lang w:eastAsia="zh-Hans"/>
        </w:rPr>
        <w:t>签到</w:t>
      </w:r>
      <w:r>
        <w:rPr>
          <w:rFonts w:hint="eastAsia" w:ascii="仿宋" w:hAnsi="仿宋" w:eastAsia="仿宋" w:cs="仿宋"/>
          <w:color w:val="auto"/>
          <w:szCs w:val="21"/>
          <w:highlight w:val="none"/>
        </w:rPr>
        <w:t>记录（需</w:t>
      </w:r>
      <w:r>
        <w:rPr>
          <w:rFonts w:hint="eastAsia" w:ascii="仿宋" w:hAnsi="仿宋" w:eastAsia="仿宋" w:cs="仿宋"/>
          <w:color w:val="auto"/>
          <w:szCs w:val="21"/>
          <w:highlight w:val="none"/>
          <w:lang w:eastAsia="zh-CN"/>
        </w:rPr>
        <w:t>甲方</w:t>
      </w:r>
      <w:r>
        <w:rPr>
          <w:rFonts w:hint="eastAsia" w:ascii="仿宋" w:hAnsi="仿宋" w:eastAsia="仿宋" w:cs="仿宋"/>
          <w:color w:val="auto"/>
          <w:szCs w:val="21"/>
          <w:highlight w:val="none"/>
        </w:rPr>
        <w:t>经办人、审核人、中标人签字并盖章）</w:t>
      </w:r>
      <w:r>
        <w:rPr>
          <w:rFonts w:hint="eastAsia" w:ascii="仿宋" w:hAnsi="仿宋" w:eastAsia="仿宋" w:cs="仿宋"/>
          <w:color w:val="auto"/>
          <w:szCs w:val="21"/>
          <w:highlight w:val="none"/>
        </w:rPr>
        <w:t>、人员社保缴纳证明，人员相关资质证书；</w:t>
      </w:r>
    </w:p>
    <w:p w14:paraId="0D0C972E">
      <w:pPr>
        <w:numPr>
          <w:ilvl w:val="0"/>
          <w:numId w:val="6"/>
        </w:numPr>
        <w:tabs>
          <w:tab w:val="left" w:pos="904"/>
        </w:tabs>
        <w:adjustRightInd/>
        <w:snapToGrid w:val="0"/>
        <w:spacing w:line="360" w:lineRule="auto"/>
        <w:ind w:left="1146"/>
        <w:jc w:val="left"/>
        <w:rPr>
          <w:rFonts w:ascii="仿宋" w:hAnsi="仿宋" w:eastAsia="仿宋" w:cs="仿宋"/>
          <w:color w:val="auto"/>
          <w:szCs w:val="21"/>
          <w:highlight w:val="none"/>
        </w:rPr>
      </w:pPr>
      <w:r>
        <w:rPr>
          <w:rFonts w:hint="eastAsia" w:ascii="仿宋" w:hAnsi="仿宋" w:eastAsia="仿宋" w:cs="仿宋"/>
          <w:color w:val="auto"/>
          <w:szCs w:val="21"/>
          <w:highlight w:val="none"/>
        </w:rPr>
        <w:t>人员变更审批表；（如有）</w:t>
      </w:r>
    </w:p>
    <w:p w14:paraId="2B979457">
      <w:pPr>
        <w:numPr>
          <w:ilvl w:val="0"/>
          <w:numId w:val="6"/>
        </w:numPr>
        <w:tabs>
          <w:tab w:val="left" w:pos="904"/>
        </w:tabs>
        <w:adjustRightInd/>
        <w:snapToGrid w:val="0"/>
        <w:spacing w:line="360" w:lineRule="auto"/>
        <w:ind w:left="1146"/>
        <w:jc w:val="left"/>
        <w:rPr>
          <w:rFonts w:ascii="仿宋" w:hAnsi="仿宋" w:eastAsia="仿宋" w:cs="仿宋"/>
          <w:color w:val="auto"/>
          <w:szCs w:val="21"/>
          <w:highlight w:val="none"/>
        </w:rPr>
      </w:pPr>
      <w:r>
        <w:rPr>
          <w:rFonts w:hint="eastAsia" w:ascii="仿宋" w:hAnsi="仿宋" w:eastAsia="仿宋" w:cs="仿宋"/>
          <w:color w:val="auto"/>
          <w:szCs w:val="21"/>
          <w:highlight w:val="none"/>
        </w:rPr>
        <w:t>分析报告汇总表：需</w:t>
      </w:r>
      <w:r>
        <w:rPr>
          <w:rFonts w:hint="eastAsia" w:ascii="仿宋" w:hAnsi="仿宋" w:eastAsia="仿宋" w:cs="仿宋"/>
          <w:color w:val="auto"/>
          <w:szCs w:val="21"/>
          <w:highlight w:val="none"/>
          <w:lang w:eastAsia="zh-CN"/>
        </w:rPr>
        <w:t>甲方</w:t>
      </w:r>
      <w:r>
        <w:rPr>
          <w:rFonts w:hint="eastAsia" w:ascii="仿宋" w:hAnsi="仿宋" w:eastAsia="仿宋" w:cs="仿宋"/>
          <w:color w:val="auto"/>
          <w:szCs w:val="21"/>
          <w:highlight w:val="none"/>
        </w:rPr>
        <w:t>经办人、审核人、</w:t>
      </w:r>
      <w:r>
        <w:rPr>
          <w:rFonts w:hint="eastAsia" w:ascii="仿宋" w:hAnsi="仿宋" w:eastAsia="仿宋" w:cs="仿宋"/>
          <w:color w:val="auto"/>
          <w:szCs w:val="21"/>
          <w:highlight w:val="none"/>
          <w:lang w:eastAsia="zh-CN"/>
        </w:rPr>
        <w:t>乙方</w:t>
      </w:r>
      <w:r>
        <w:rPr>
          <w:rFonts w:hint="eastAsia" w:ascii="仿宋" w:hAnsi="仿宋" w:eastAsia="仿宋" w:cs="仿宋"/>
          <w:color w:val="auto"/>
          <w:szCs w:val="21"/>
          <w:highlight w:val="none"/>
        </w:rPr>
        <w:t>签字并盖章；</w:t>
      </w:r>
    </w:p>
    <w:p w14:paraId="4E85EF79">
      <w:pPr>
        <w:numPr>
          <w:ilvl w:val="0"/>
          <w:numId w:val="6"/>
        </w:numPr>
        <w:tabs>
          <w:tab w:val="left" w:pos="904"/>
        </w:tabs>
        <w:adjustRightInd/>
        <w:snapToGrid w:val="0"/>
        <w:spacing w:line="360" w:lineRule="auto"/>
        <w:ind w:left="1146"/>
        <w:jc w:val="left"/>
        <w:rPr>
          <w:rFonts w:ascii="仿宋" w:hAnsi="仿宋" w:eastAsia="仿宋" w:cs="仿宋"/>
          <w:color w:val="auto"/>
          <w:szCs w:val="21"/>
          <w:highlight w:val="none"/>
        </w:rPr>
      </w:pPr>
      <w:r>
        <w:rPr>
          <w:rFonts w:hint="eastAsia" w:ascii="仿宋" w:hAnsi="仿宋" w:eastAsia="仿宋" w:cs="仿宋"/>
          <w:color w:val="auto"/>
          <w:szCs w:val="21"/>
          <w:highlight w:val="none"/>
        </w:rPr>
        <w:t>单个案件分析报告，每月监测数据确认表（</w:t>
      </w:r>
      <w:r>
        <w:rPr>
          <w:rFonts w:hint="eastAsia" w:ascii="仿宋" w:hAnsi="仿宋" w:eastAsia="仿宋" w:cs="仿宋"/>
          <w:color w:val="auto"/>
          <w:szCs w:val="21"/>
          <w:highlight w:val="none"/>
          <w:lang w:eastAsia="zh-CN"/>
        </w:rPr>
        <w:t>甲方</w:t>
      </w:r>
      <w:r>
        <w:rPr>
          <w:rFonts w:hint="eastAsia" w:ascii="仿宋" w:hAnsi="仿宋" w:eastAsia="仿宋" w:cs="仿宋"/>
          <w:color w:val="auto"/>
          <w:szCs w:val="21"/>
          <w:highlight w:val="none"/>
        </w:rPr>
        <w:t>经办人、审核人、</w:t>
      </w:r>
      <w:r>
        <w:rPr>
          <w:rFonts w:hint="eastAsia" w:ascii="仿宋" w:hAnsi="仿宋" w:eastAsia="仿宋" w:cs="仿宋"/>
          <w:color w:val="auto"/>
          <w:szCs w:val="21"/>
          <w:highlight w:val="none"/>
          <w:lang w:eastAsia="zh-CN"/>
        </w:rPr>
        <w:t>乙方</w:t>
      </w:r>
      <w:r>
        <w:rPr>
          <w:rFonts w:hint="eastAsia" w:ascii="仿宋" w:hAnsi="仿宋" w:eastAsia="仿宋" w:cs="仿宋"/>
          <w:color w:val="auto"/>
          <w:szCs w:val="21"/>
          <w:highlight w:val="none"/>
        </w:rPr>
        <w:t>签字盖章）</w:t>
      </w:r>
    </w:p>
    <w:p w14:paraId="6D41FB63">
      <w:pPr>
        <w:numPr>
          <w:ilvl w:val="0"/>
          <w:numId w:val="6"/>
        </w:numPr>
        <w:tabs>
          <w:tab w:val="left" w:pos="904"/>
        </w:tabs>
        <w:adjustRightInd/>
        <w:snapToGrid w:val="0"/>
        <w:spacing w:line="360" w:lineRule="auto"/>
        <w:ind w:left="1146"/>
        <w:jc w:val="left"/>
        <w:rPr>
          <w:rFonts w:ascii="仿宋" w:hAnsi="仿宋" w:eastAsia="仿宋" w:cs="仿宋"/>
          <w:color w:val="auto"/>
          <w:szCs w:val="21"/>
          <w:highlight w:val="none"/>
        </w:rPr>
      </w:pPr>
      <w:r>
        <w:rPr>
          <w:rFonts w:hint="eastAsia" w:ascii="仿宋" w:hAnsi="仿宋" w:eastAsia="仿宋" w:cs="仿宋"/>
          <w:color w:val="auto"/>
          <w:szCs w:val="21"/>
          <w:highlight w:val="none"/>
        </w:rPr>
        <w:t>网络安全保障方案、网络安全事件应急预案、网络安全风险书面报告（如有）、网络安全重大事项书面报告（如有）、网络安全报告</w:t>
      </w:r>
    </w:p>
    <w:p w14:paraId="725BF20D">
      <w:pPr>
        <w:numPr>
          <w:ilvl w:val="0"/>
          <w:numId w:val="6"/>
        </w:numPr>
        <w:tabs>
          <w:tab w:val="left" w:pos="904"/>
        </w:tabs>
        <w:adjustRightInd/>
        <w:snapToGrid w:val="0"/>
        <w:spacing w:line="360" w:lineRule="auto"/>
        <w:ind w:left="1146"/>
        <w:jc w:val="left"/>
        <w:rPr>
          <w:rFonts w:ascii="仿宋" w:hAnsi="仿宋" w:eastAsia="仿宋" w:cs="仿宋"/>
          <w:color w:val="auto"/>
          <w:szCs w:val="21"/>
          <w:highlight w:val="none"/>
        </w:rPr>
      </w:pPr>
      <w:r>
        <w:rPr>
          <w:rFonts w:hint="eastAsia" w:ascii="仿宋" w:hAnsi="仿宋" w:eastAsia="仿宋" w:cs="仿宋"/>
          <w:color w:val="auto"/>
          <w:szCs w:val="21"/>
          <w:highlight w:val="none"/>
        </w:rPr>
        <w:t>单位保密协议、个人保密承诺书、日常保密教育台账；</w:t>
      </w:r>
    </w:p>
    <w:p w14:paraId="7C699E5C">
      <w:pPr>
        <w:numPr>
          <w:ilvl w:val="0"/>
          <w:numId w:val="6"/>
        </w:numPr>
        <w:tabs>
          <w:tab w:val="left" w:pos="904"/>
        </w:tabs>
        <w:adjustRightInd/>
        <w:snapToGrid w:val="0"/>
        <w:spacing w:line="360" w:lineRule="auto"/>
        <w:ind w:left="1146"/>
        <w:jc w:val="left"/>
        <w:rPr>
          <w:rFonts w:ascii="仿宋" w:hAnsi="仿宋" w:eastAsia="仿宋" w:cs="仿宋"/>
          <w:color w:val="auto"/>
          <w:szCs w:val="21"/>
          <w:highlight w:val="none"/>
        </w:rPr>
      </w:pPr>
      <w:r>
        <w:rPr>
          <w:rFonts w:hint="eastAsia" w:ascii="仿宋" w:hAnsi="仿宋" w:eastAsia="仿宋" w:cs="仿宋"/>
          <w:color w:val="auto"/>
          <w:szCs w:val="21"/>
          <w:highlight w:val="none"/>
        </w:rPr>
        <w:t>服务总结报告；</w:t>
      </w:r>
    </w:p>
    <w:p w14:paraId="5E5688EC">
      <w:pPr>
        <w:numPr>
          <w:ilvl w:val="0"/>
          <w:numId w:val="6"/>
        </w:numPr>
        <w:tabs>
          <w:tab w:val="left" w:pos="904"/>
        </w:tabs>
        <w:adjustRightInd/>
        <w:snapToGrid w:val="0"/>
        <w:spacing w:line="360" w:lineRule="auto"/>
        <w:ind w:left="1146"/>
        <w:jc w:val="left"/>
        <w:rPr>
          <w:rFonts w:ascii="仿宋" w:hAnsi="仿宋" w:eastAsia="仿宋" w:cs="仿宋"/>
          <w:color w:val="auto"/>
          <w:szCs w:val="21"/>
          <w:highlight w:val="none"/>
        </w:rPr>
      </w:pPr>
      <w:r>
        <w:rPr>
          <w:rFonts w:hint="eastAsia" w:ascii="仿宋" w:hAnsi="仿宋" w:eastAsia="仿宋" w:cs="仿宋"/>
          <w:color w:val="auto"/>
          <w:szCs w:val="21"/>
          <w:highlight w:val="none"/>
        </w:rPr>
        <w:t>分包意向协议、中小企业佐证材料；</w:t>
      </w:r>
    </w:p>
    <w:p w14:paraId="6CA6BE83">
      <w:pPr>
        <w:numPr>
          <w:ilvl w:val="0"/>
          <w:numId w:val="6"/>
        </w:numPr>
        <w:tabs>
          <w:tab w:val="left" w:pos="904"/>
        </w:tabs>
        <w:adjustRightInd/>
        <w:snapToGrid w:val="0"/>
        <w:spacing w:line="360" w:lineRule="auto"/>
        <w:ind w:left="1146"/>
        <w:jc w:val="left"/>
        <w:rPr>
          <w:rFonts w:ascii="仿宋" w:hAnsi="仿宋" w:eastAsia="仿宋" w:cs="仿宋"/>
          <w:color w:val="auto"/>
          <w:szCs w:val="21"/>
          <w:highlight w:val="none"/>
        </w:rPr>
      </w:pPr>
      <w:r>
        <w:rPr>
          <w:rFonts w:hint="eastAsia" w:ascii="仿宋" w:hAnsi="仿宋" w:eastAsia="仿宋" w:cs="仿宋"/>
          <w:color w:val="auto"/>
          <w:szCs w:val="21"/>
          <w:highlight w:val="none"/>
        </w:rPr>
        <w:t>其他需提供的相关材料。</w:t>
      </w:r>
    </w:p>
    <w:p w14:paraId="7C60442C">
      <w:pPr>
        <w:pStyle w:val="30"/>
        <w:rPr>
          <w:rFonts w:hint="eastAsia"/>
          <w:color w:val="auto"/>
          <w:highlight w:val="none"/>
        </w:rPr>
      </w:pPr>
    </w:p>
    <w:bookmarkEnd w:id="527"/>
    <w:p w14:paraId="5146FE0C">
      <w:pPr>
        <w:keepNext w:val="0"/>
        <w:keepLines w:val="0"/>
        <w:pageBreakBefore w:val="0"/>
        <w:kinsoku/>
        <w:wordWrap/>
        <w:overflowPunct/>
        <w:topLinePunct w:val="0"/>
        <w:bidi w:val="0"/>
        <w:snapToGrid/>
        <w:spacing w:line="360" w:lineRule="auto"/>
        <w:ind w:left="-420" w:leftChars="-200" w:right="-420" w:rightChars="-200" w:firstLine="420" w:firstLineChars="200"/>
        <w:jc w:val="left"/>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2.19本合同正本壹式陆份，具有同等法律效力，甲乙双方各执叁份。</w:t>
      </w:r>
    </w:p>
    <w:p w14:paraId="5C858DAD">
      <w:pPr>
        <w:pStyle w:val="30"/>
        <w:keepNext w:val="0"/>
        <w:keepLines w:val="0"/>
        <w:pageBreakBefore w:val="0"/>
        <w:kinsoku/>
        <w:wordWrap/>
        <w:overflowPunct/>
        <w:topLinePunct w:val="0"/>
        <w:bidi w:val="0"/>
        <w:snapToGrid/>
        <w:spacing w:line="360" w:lineRule="auto"/>
        <w:outlineLvl w:val="9"/>
        <w:rPr>
          <w:rFonts w:hint="eastAsia" w:ascii="仿宋" w:hAnsi="仿宋" w:eastAsia="仿宋" w:cs="仿宋"/>
          <w:color w:val="auto"/>
          <w:sz w:val="21"/>
          <w:szCs w:val="21"/>
          <w:highlight w:val="none"/>
        </w:rPr>
      </w:pPr>
    </w:p>
    <w:p w14:paraId="5F660C08">
      <w:pPr>
        <w:keepNext w:val="0"/>
        <w:keepLines w:val="0"/>
        <w:pageBreakBefore w:val="0"/>
        <w:widowControl w:val="0"/>
        <w:numPr>
          <w:ilvl w:val="0"/>
          <w:numId w:val="0"/>
        </w:numPr>
        <w:kinsoku/>
        <w:wordWrap/>
        <w:overflowPunct/>
        <w:topLinePunct w:val="0"/>
        <w:autoSpaceDE/>
        <w:autoSpaceDN/>
        <w:bidi w:val="0"/>
        <w:adjustRightInd w:val="0"/>
        <w:snapToGrid/>
        <w:spacing w:line="360" w:lineRule="auto"/>
        <w:ind w:right="-420" w:rightChars="-200"/>
        <w:jc w:val="left"/>
        <w:textAlignment w:val="auto"/>
        <w:outlineLvl w:val="2"/>
        <w:rPr>
          <w:rFonts w:hint="eastAsia" w:ascii="仿宋" w:hAnsi="仿宋" w:eastAsia="仿宋" w:cs="仿宋"/>
          <w:b/>
          <w:bCs/>
          <w:color w:val="auto"/>
          <w:sz w:val="24"/>
          <w:szCs w:val="24"/>
          <w:highlight w:val="none"/>
        </w:rPr>
      </w:pPr>
      <w:r>
        <w:rPr>
          <w:rFonts w:hint="eastAsia" w:ascii="仿宋" w:hAnsi="仿宋" w:eastAsia="仿宋" w:cs="仿宋"/>
          <w:b/>
          <w:bCs/>
          <w:color w:val="auto"/>
          <w:kern w:val="2"/>
          <w:sz w:val="24"/>
          <w:szCs w:val="24"/>
          <w:highlight w:val="none"/>
          <w:lang w:val="en-US" w:eastAsia="zh-CN" w:bidi="ar-SA"/>
        </w:rPr>
        <w:t>3、</w:t>
      </w:r>
      <w:r>
        <w:rPr>
          <w:rFonts w:hint="eastAsia" w:ascii="仿宋" w:hAnsi="仿宋" w:eastAsia="仿宋" w:cs="仿宋"/>
          <w:b/>
          <w:bCs/>
          <w:color w:val="auto"/>
          <w:sz w:val="24"/>
          <w:szCs w:val="24"/>
          <w:highlight w:val="none"/>
        </w:rPr>
        <w:t>服务具体要求：</w:t>
      </w:r>
    </w:p>
    <w:p w14:paraId="28834156">
      <w:pPr>
        <w:pStyle w:val="5"/>
        <w:numPr>
          <w:ilvl w:val="0"/>
          <w:numId w:val="7"/>
        </w:numPr>
        <w:spacing w:line="360" w:lineRule="auto"/>
        <w:ind w:left="1140" w:hanging="720"/>
        <w:rPr>
          <w:rFonts w:ascii="仿宋" w:hAnsi="仿宋" w:eastAsia="仿宋" w:cs="仿宋"/>
          <w:color w:val="auto"/>
          <w:sz w:val="21"/>
          <w:szCs w:val="21"/>
          <w:highlight w:val="none"/>
        </w:rPr>
      </w:pPr>
      <w:r>
        <w:rPr>
          <w:rFonts w:hint="eastAsia" w:ascii="仿宋" w:hAnsi="仿宋" w:eastAsia="仿宋" w:cs="仿宋"/>
          <w:color w:val="auto"/>
          <w:sz w:val="21"/>
          <w:szCs w:val="21"/>
          <w:highlight w:val="none"/>
        </w:rPr>
        <w:t>案件侦查打击服务</w:t>
      </w:r>
    </w:p>
    <w:p w14:paraId="508E5FFE">
      <w:pPr>
        <w:spacing w:line="360" w:lineRule="auto"/>
        <w:ind w:firstLine="420" w:firstLineChars="200"/>
        <w:rPr>
          <w:rFonts w:ascii="仿宋" w:hAnsi="仿宋" w:eastAsia="仿宋"/>
          <w:color w:val="auto"/>
          <w:szCs w:val="21"/>
          <w:highlight w:val="none"/>
        </w:rPr>
      </w:pPr>
      <w:r>
        <w:rPr>
          <w:rFonts w:hint="eastAsia" w:ascii="仿宋" w:hAnsi="仿宋" w:eastAsia="仿宋"/>
          <w:color w:val="auto"/>
          <w:szCs w:val="21"/>
          <w:highlight w:val="none"/>
        </w:rPr>
        <w:t>1、服务要求</w:t>
      </w:r>
    </w:p>
    <w:p w14:paraId="7C3267F4">
      <w:pPr>
        <w:spacing w:line="360" w:lineRule="auto"/>
        <w:ind w:firstLine="420" w:firstLineChars="200"/>
        <w:rPr>
          <w:rFonts w:ascii="仿宋" w:hAnsi="仿宋" w:eastAsia="仿宋"/>
          <w:color w:val="auto"/>
          <w:szCs w:val="21"/>
          <w:highlight w:val="none"/>
        </w:rPr>
      </w:pPr>
      <w:r>
        <w:rPr>
          <w:rFonts w:hint="eastAsia" w:ascii="仿宋" w:hAnsi="仿宋" w:eastAsia="仿宋"/>
          <w:color w:val="auto"/>
          <w:szCs w:val="21"/>
          <w:highlight w:val="none"/>
        </w:rPr>
        <w:t>提供对涉网新型案件线索的自动化分析及互联网线索扩线，通过案件关联的网络信息等线索，基于大数据分析及互联网情报能力进行案件线索分析，生成分析报告，能够在案件线索初期研判阶段有效协助</w:t>
      </w:r>
      <w:r>
        <w:rPr>
          <w:rFonts w:hint="eastAsia" w:ascii="仿宋" w:hAnsi="仿宋" w:eastAsia="仿宋"/>
          <w:color w:val="auto"/>
          <w:szCs w:val="21"/>
          <w:highlight w:val="none"/>
          <w:lang w:eastAsia="zh-CN"/>
        </w:rPr>
        <w:t>甲方</w:t>
      </w:r>
      <w:r>
        <w:rPr>
          <w:rFonts w:hint="eastAsia" w:ascii="仿宋" w:hAnsi="仿宋" w:eastAsia="仿宋"/>
          <w:color w:val="auto"/>
          <w:szCs w:val="21"/>
          <w:highlight w:val="none"/>
        </w:rPr>
        <w:t>确定侦查方向、判断线索状况、提供调证信息、引导调证渠道等。同时，进行涉诈案件数据还原、数据分析、拓展服务及案件协助支撑服务，对涉诈网站数据等关键数据进行获取，完成数据结构化分析、远勘视频或电子证据取证等，获取相关案件侦查线索。</w:t>
      </w:r>
    </w:p>
    <w:p w14:paraId="4DCCA4E7">
      <w:pPr>
        <w:spacing w:line="360" w:lineRule="auto"/>
        <w:ind w:firstLine="420" w:firstLineChars="200"/>
        <w:rPr>
          <w:rFonts w:ascii="仿宋" w:hAnsi="仿宋" w:eastAsia="仿宋"/>
          <w:color w:val="auto"/>
          <w:szCs w:val="21"/>
          <w:highlight w:val="none"/>
        </w:rPr>
      </w:pPr>
      <w:r>
        <w:rPr>
          <w:rFonts w:hint="eastAsia" w:ascii="仿宋" w:hAnsi="仿宋" w:eastAsia="仿宋"/>
          <w:color w:val="auto"/>
          <w:szCs w:val="21"/>
          <w:highlight w:val="none"/>
        </w:rPr>
        <w:t>2、服务内容</w:t>
      </w:r>
    </w:p>
    <w:p w14:paraId="47B2E9F1">
      <w:pPr>
        <w:spacing w:line="360" w:lineRule="auto"/>
        <w:ind w:firstLine="420" w:firstLineChars="200"/>
        <w:rPr>
          <w:rFonts w:ascii="仿宋" w:hAnsi="仿宋" w:eastAsia="仿宋"/>
          <w:color w:val="auto"/>
          <w:szCs w:val="21"/>
          <w:highlight w:val="none"/>
        </w:rPr>
      </w:pPr>
      <w:r>
        <w:rPr>
          <w:rFonts w:hint="eastAsia" w:ascii="仿宋" w:hAnsi="仿宋" w:eastAsia="仿宋"/>
          <w:color w:val="auto"/>
          <w:szCs w:val="21"/>
          <w:highlight w:val="none"/>
        </w:rPr>
        <w:t>2.1、任务管理</w:t>
      </w:r>
    </w:p>
    <w:p w14:paraId="7976B57C">
      <w:pPr>
        <w:spacing w:line="360" w:lineRule="auto"/>
        <w:ind w:firstLine="420" w:firstLineChars="200"/>
        <w:rPr>
          <w:rFonts w:ascii="仿宋" w:hAnsi="仿宋" w:eastAsia="仿宋"/>
          <w:color w:val="auto"/>
          <w:szCs w:val="21"/>
          <w:highlight w:val="none"/>
        </w:rPr>
      </w:pPr>
      <w:r>
        <w:rPr>
          <w:rFonts w:hint="eastAsia" w:ascii="仿宋" w:hAnsi="仿宋" w:eastAsia="仿宋"/>
          <w:color w:val="auto"/>
          <w:szCs w:val="21"/>
          <w:highlight w:val="none"/>
        </w:rPr>
        <w:t>在涉网案件立案侦查初期阶段，</w:t>
      </w:r>
      <w:r>
        <w:rPr>
          <w:rFonts w:hint="eastAsia" w:ascii="仿宋" w:hAnsi="仿宋" w:eastAsia="仿宋"/>
          <w:color w:val="auto"/>
          <w:szCs w:val="21"/>
          <w:highlight w:val="none"/>
          <w:lang w:eastAsia="zh-CN"/>
        </w:rPr>
        <w:t>甲方</w:t>
      </w:r>
      <w:r>
        <w:rPr>
          <w:rFonts w:hint="eastAsia" w:ascii="仿宋" w:hAnsi="仿宋" w:eastAsia="仿宋"/>
          <w:color w:val="auto"/>
          <w:szCs w:val="21"/>
          <w:highlight w:val="none"/>
        </w:rPr>
        <w:t>通过任务管理创建案件任务，填写基本信息，基于案件侦查需要，提交协查请求。</w:t>
      </w:r>
      <w:r>
        <w:rPr>
          <w:rFonts w:hint="eastAsia" w:ascii="仿宋" w:hAnsi="仿宋" w:eastAsia="仿宋"/>
          <w:color w:val="auto"/>
          <w:szCs w:val="21"/>
          <w:highlight w:val="none"/>
          <w:lang w:eastAsia="zh-CN"/>
        </w:rPr>
        <w:t>甲方</w:t>
      </w:r>
      <w:r>
        <w:rPr>
          <w:rFonts w:hint="eastAsia" w:ascii="仿宋" w:hAnsi="仿宋" w:eastAsia="仿宋"/>
          <w:color w:val="auto"/>
          <w:szCs w:val="21"/>
          <w:highlight w:val="none"/>
        </w:rPr>
        <w:t>能够通过查看案件协查任务总体进度及进展情况，了解涉网案件整体侦办情况，有效实现案件信息的共享及任务协同。</w:t>
      </w:r>
    </w:p>
    <w:p w14:paraId="3C1C4A44">
      <w:pPr>
        <w:spacing w:line="360" w:lineRule="auto"/>
        <w:ind w:firstLine="420" w:firstLineChars="200"/>
        <w:rPr>
          <w:rFonts w:ascii="仿宋" w:hAnsi="仿宋" w:eastAsia="仿宋"/>
          <w:color w:val="auto"/>
          <w:szCs w:val="21"/>
          <w:highlight w:val="none"/>
        </w:rPr>
      </w:pPr>
      <w:r>
        <w:rPr>
          <w:rFonts w:hint="eastAsia" w:ascii="仿宋" w:hAnsi="仿宋" w:eastAsia="仿宋"/>
          <w:color w:val="auto"/>
          <w:szCs w:val="21"/>
          <w:highlight w:val="none"/>
        </w:rPr>
        <w:t>2.2、案件侦查</w:t>
      </w:r>
    </w:p>
    <w:p w14:paraId="36E3D0D6">
      <w:pPr>
        <w:spacing w:line="360" w:lineRule="auto"/>
        <w:ind w:firstLine="420" w:firstLineChars="200"/>
        <w:rPr>
          <w:rFonts w:ascii="仿宋" w:hAnsi="仿宋" w:eastAsia="仿宋"/>
          <w:color w:val="auto"/>
          <w:szCs w:val="21"/>
          <w:highlight w:val="none"/>
        </w:rPr>
      </w:pPr>
      <w:r>
        <w:rPr>
          <w:rFonts w:hint="eastAsia" w:ascii="仿宋" w:hAnsi="仿宋" w:eastAsia="仿宋"/>
          <w:color w:val="auto"/>
          <w:szCs w:val="21"/>
          <w:highlight w:val="none"/>
        </w:rPr>
        <w:t>在涉网案件侦查初期，通过案件侦查可实现对案件线索的自动化分析及互联网线索扩线。</w:t>
      </w:r>
      <w:r>
        <w:rPr>
          <w:rFonts w:hint="eastAsia" w:ascii="仿宋" w:hAnsi="仿宋" w:eastAsia="仿宋"/>
          <w:color w:val="auto"/>
          <w:szCs w:val="21"/>
          <w:highlight w:val="none"/>
          <w:lang w:eastAsia="zh-CN"/>
        </w:rPr>
        <w:t>甲方</w:t>
      </w:r>
      <w:r>
        <w:rPr>
          <w:rFonts w:hint="eastAsia" w:ascii="仿宋" w:hAnsi="仿宋" w:eastAsia="仿宋"/>
          <w:color w:val="auto"/>
          <w:szCs w:val="21"/>
          <w:highlight w:val="none"/>
        </w:rPr>
        <w:t>通过案件侦查上传案件关联的网络信息等线索，基于大数据分析及互联网情报能力进行案件线索分析，生成分析报告，能够在案件线索初期研判阶段有效协助</w:t>
      </w:r>
      <w:r>
        <w:rPr>
          <w:rFonts w:hint="eastAsia" w:ascii="仿宋" w:hAnsi="仿宋" w:eastAsia="仿宋"/>
          <w:color w:val="auto"/>
          <w:szCs w:val="21"/>
          <w:highlight w:val="none"/>
          <w:lang w:eastAsia="zh-CN"/>
        </w:rPr>
        <w:t>甲方</w:t>
      </w:r>
      <w:r>
        <w:rPr>
          <w:rFonts w:hint="eastAsia" w:ascii="仿宋" w:hAnsi="仿宋" w:eastAsia="仿宋"/>
          <w:color w:val="auto"/>
          <w:szCs w:val="21"/>
          <w:highlight w:val="none"/>
        </w:rPr>
        <w:t>确定侦查方向、判断线索状况、指示调证位置等。</w:t>
      </w:r>
    </w:p>
    <w:p w14:paraId="644AF7FA">
      <w:pPr>
        <w:spacing w:line="360" w:lineRule="auto"/>
        <w:ind w:firstLine="420" w:firstLineChars="200"/>
        <w:rPr>
          <w:rFonts w:ascii="仿宋" w:hAnsi="仿宋" w:eastAsia="仿宋"/>
          <w:color w:val="auto"/>
          <w:szCs w:val="21"/>
          <w:highlight w:val="none"/>
        </w:rPr>
      </w:pPr>
      <w:r>
        <w:rPr>
          <w:rFonts w:hint="eastAsia" w:ascii="仿宋" w:hAnsi="仿宋" w:eastAsia="仿宋"/>
          <w:color w:val="auto"/>
          <w:szCs w:val="21"/>
          <w:highlight w:val="none"/>
        </w:rPr>
        <w:t>2.3、案件支撑</w:t>
      </w:r>
    </w:p>
    <w:p w14:paraId="2B18B9E8">
      <w:pPr>
        <w:spacing w:line="360" w:lineRule="auto"/>
        <w:ind w:firstLine="420" w:firstLineChars="200"/>
        <w:rPr>
          <w:rFonts w:ascii="仿宋" w:hAnsi="仿宋" w:eastAsia="仿宋"/>
          <w:color w:val="auto"/>
          <w:szCs w:val="21"/>
          <w:highlight w:val="none"/>
        </w:rPr>
      </w:pPr>
      <w:r>
        <w:rPr>
          <w:rFonts w:hint="eastAsia" w:ascii="仿宋" w:hAnsi="仿宋" w:eastAsia="仿宋"/>
          <w:color w:val="auto"/>
          <w:szCs w:val="21"/>
          <w:highlight w:val="none"/>
        </w:rPr>
        <w:t>在案件侦办的关键过程，需要对涉网犯罪的网站信息等关键数据进行结构化分析或电子证据取证等。</w:t>
      </w:r>
      <w:r>
        <w:rPr>
          <w:rFonts w:hint="eastAsia" w:ascii="仿宋" w:hAnsi="仿宋" w:eastAsia="仿宋"/>
          <w:color w:val="auto"/>
          <w:szCs w:val="21"/>
          <w:highlight w:val="none"/>
          <w:lang w:eastAsia="zh-CN"/>
        </w:rPr>
        <w:t>甲方</w:t>
      </w:r>
      <w:r>
        <w:rPr>
          <w:rFonts w:hint="eastAsia" w:ascii="仿宋" w:hAnsi="仿宋" w:eastAsia="仿宋"/>
          <w:color w:val="auto"/>
          <w:szCs w:val="21"/>
          <w:highlight w:val="none"/>
        </w:rPr>
        <w:t>在案件侦查初期对犯罪环节的业务获取结果研判后，可通过案件支撑服务，发起案件协查向第三方案件支撑单位需求技术支撑。案件支撑团队接受到协查后，组织技术力量协助</w:t>
      </w:r>
      <w:r>
        <w:rPr>
          <w:rFonts w:hint="eastAsia" w:ascii="仿宋" w:hAnsi="仿宋" w:eastAsia="仿宋"/>
          <w:color w:val="auto"/>
          <w:szCs w:val="21"/>
          <w:highlight w:val="none"/>
          <w:lang w:eastAsia="zh-CN"/>
        </w:rPr>
        <w:t>甲方</w:t>
      </w:r>
      <w:r>
        <w:rPr>
          <w:rFonts w:hint="eastAsia" w:ascii="仿宋" w:hAnsi="仿宋" w:eastAsia="仿宋"/>
          <w:color w:val="auto"/>
          <w:szCs w:val="21"/>
          <w:highlight w:val="none"/>
        </w:rPr>
        <w:t>开展案件协查，并上传案件支撑报告，基于案件支撑实现警企技术共享，提高案件办结效率。</w:t>
      </w:r>
    </w:p>
    <w:p w14:paraId="1152157A">
      <w:pPr>
        <w:spacing w:line="360" w:lineRule="auto"/>
        <w:ind w:firstLine="420" w:firstLineChars="200"/>
        <w:rPr>
          <w:rFonts w:ascii="仿宋" w:hAnsi="仿宋" w:eastAsia="仿宋"/>
          <w:color w:val="auto"/>
          <w:szCs w:val="21"/>
          <w:highlight w:val="none"/>
        </w:rPr>
      </w:pPr>
      <w:r>
        <w:rPr>
          <w:rFonts w:hint="eastAsia" w:ascii="仿宋" w:hAnsi="仿宋" w:eastAsia="仿宋"/>
          <w:color w:val="auto"/>
          <w:szCs w:val="21"/>
          <w:highlight w:val="none"/>
        </w:rPr>
        <w:t>2.4、研判分析</w:t>
      </w:r>
    </w:p>
    <w:p w14:paraId="1041423C">
      <w:pPr>
        <w:spacing w:line="360" w:lineRule="auto"/>
        <w:ind w:firstLine="420" w:firstLineChars="200"/>
        <w:rPr>
          <w:rFonts w:ascii="仿宋" w:hAnsi="仿宋" w:eastAsia="仿宋"/>
          <w:color w:val="auto"/>
          <w:szCs w:val="21"/>
          <w:highlight w:val="none"/>
        </w:rPr>
      </w:pPr>
      <w:r>
        <w:rPr>
          <w:rFonts w:hint="eastAsia" w:ascii="仿宋" w:hAnsi="仿宋" w:eastAsia="仿宋"/>
          <w:color w:val="auto"/>
          <w:szCs w:val="21"/>
          <w:highlight w:val="none"/>
        </w:rPr>
        <w:t>通过案件涉网犯罪信息的分析，利用侦查应用及同源拓展等服务，在电信网络犯罪侦查过程中实现对关键线索分析能力的模型化，结合涉网案件侦查过程中获取的研判侦查线索，输出分析报告及相关支撑工作。</w:t>
      </w:r>
    </w:p>
    <w:p w14:paraId="29016480">
      <w:pPr>
        <w:spacing w:line="360" w:lineRule="auto"/>
        <w:ind w:firstLine="420" w:firstLineChars="200"/>
        <w:rPr>
          <w:rFonts w:ascii="仿宋" w:hAnsi="仿宋" w:eastAsia="仿宋"/>
          <w:color w:val="auto"/>
          <w:szCs w:val="21"/>
          <w:highlight w:val="none"/>
        </w:rPr>
      </w:pPr>
      <w:r>
        <w:rPr>
          <w:rFonts w:hint="eastAsia" w:ascii="仿宋" w:hAnsi="仿宋" w:eastAsia="仿宋"/>
          <w:color w:val="auto"/>
          <w:szCs w:val="21"/>
          <w:highlight w:val="none"/>
        </w:rPr>
        <w:t>2.5、数据还原</w:t>
      </w:r>
    </w:p>
    <w:p w14:paraId="09940D08">
      <w:pPr>
        <w:spacing w:line="360" w:lineRule="auto"/>
        <w:ind w:firstLine="420" w:firstLineChars="200"/>
        <w:rPr>
          <w:rFonts w:ascii="仿宋" w:hAnsi="仿宋" w:eastAsia="仿宋"/>
          <w:color w:val="auto"/>
          <w:szCs w:val="21"/>
          <w:highlight w:val="none"/>
        </w:rPr>
      </w:pPr>
      <w:r>
        <w:rPr>
          <w:rFonts w:hint="eastAsia" w:ascii="仿宋" w:hAnsi="仿宋" w:eastAsia="仿宋"/>
          <w:color w:val="auto"/>
          <w:szCs w:val="21"/>
          <w:highlight w:val="none"/>
        </w:rPr>
        <w:t>协助</w:t>
      </w:r>
      <w:r>
        <w:rPr>
          <w:rFonts w:hint="eastAsia" w:ascii="仿宋" w:hAnsi="仿宋" w:eastAsia="仿宋"/>
          <w:color w:val="auto"/>
          <w:szCs w:val="21"/>
          <w:highlight w:val="none"/>
          <w:lang w:eastAsia="zh-CN"/>
        </w:rPr>
        <w:t>甲方</w:t>
      </w:r>
      <w:r>
        <w:rPr>
          <w:rFonts w:hint="eastAsia" w:ascii="仿宋" w:hAnsi="仿宋" w:eastAsia="仿宋"/>
          <w:color w:val="auto"/>
          <w:szCs w:val="21"/>
          <w:highlight w:val="none"/>
        </w:rPr>
        <w:t>在严格要求及规章制度下，针对获取到的电子数据检材进行涉网犯罪相关数据还原，并同时处理非可读、难理解的数据，转换为可分析数据。</w:t>
      </w:r>
    </w:p>
    <w:p w14:paraId="263E7655">
      <w:pPr>
        <w:spacing w:line="360" w:lineRule="auto"/>
        <w:ind w:firstLine="420" w:firstLineChars="200"/>
        <w:rPr>
          <w:rFonts w:ascii="仿宋" w:hAnsi="仿宋" w:eastAsia="仿宋"/>
          <w:color w:val="auto"/>
          <w:szCs w:val="21"/>
          <w:highlight w:val="none"/>
        </w:rPr>
      </w:pPr>
      <w:r>
        <w:rPr>
          <w:rFonts w:hint="eastAsia" w:ascii="仿宋" w:hAnsi="仿宋" w:eastAsia="仿宋"/>
          <w:color w:val="auto"/>
          <w:szCs w:val="21"/>
          <w:highlight w:val="none"/>
        </w:rPr>
        <w:t>2.6、数据分析</w:t>
      </w:r>
    </w:p>
    <w:p w14:paraId="39BC756B">
      <w:pPr>
        <w:spacing w:line="360" w:lineRule="auto"/>
        <w:ind w:firstLine="420" w:firstLineChars="200"/>
        <w:rPr>
          <w:rFonts w:ascii="仿宋" w:hAnsi="仿宋" w:eastAsia="仿宋"/>
          <w:color w:val="auto"/>
          <w:szCs w:val="21"/>
          <w:highlight w:val="none"/>
        </w:rPr>
      </w:pPr>
      <w:r>
        <w:rPr>
          <w:rFonts w:hint="eastAsia" w:ascii="仿宋" w:hAnsi="仿宋" w:eastAsia="仿宋"/>
          <w:color w:val="auto"/>
          <w:szCs w:val="21"/>
          <w:highlight w:val="none"/>
        </w:rPr>
        <w:t>协助</w:t>
      </w:r>
      <w:r>
        <w:rPr>
          <w:rFonts w:hint="eastAsia" w:ascii="仿宋" w:hAnsi="仿宋" w:eastAsia="仿宋"/>
          <w:color w:val="auto"/>
          <w:szCs w:val="21"/>
          <w:highlight w:val="none"/>
          <w:lang w:eastAsia="zh-CN"/>
        </w:rPr>
        <w:t>甲方</w:t>
      </w:r>
      <w:r>
        <w:rPr>
          <w:rFonts w:hint="eastAsia" w:ascii="仿宋" w:hAnsi="仿宋" w:eastAsia="仿宋"/>
          <w:color w:val="auto"/>
          <w:szCs w:val="21"/>
          <w:highlight w:val="none"/>
        </w:rPr>
        <w:t>在严格要求及规章制度下，针对可读、结构化数据进行分析，包括涉网犯罪关联网络信息等所有相关电子数据进行分析，并协助刻画电子证据架构，佐证案件侦查。</w:t>
      </w:r>
    </w:p>
    <w:p w14:paraId="5CEA6C4D">
      <w:pPr>
        <w:spacing w:line="360" w:lineRule="auto"/>
        <w:ind w:firstLine="420" w:firstLineChars="200"/>
        <w:rPr>
          <w:rFonts w:ascii="仿宋" w:hAnsi="仿宋" w:eastAsia="仿宋"/>
          <w:color w:val="auto"/>
          <w:szCs w:val="21"/>
          <w:highlight w:val="none"/>
        </w:rPr>
      </w:pPr>
      <w:r>
        <w:rPr>
          <w:rFonts w:hint="eastAsia" w:ascii="仿宋" w:hAnsi="仿宋" w:eastAsia="仿宋"/>
          <w:color w:val="auto"/>
          <w:szCs w:val="21"/>
          <w:highlight w:val="none"/>
        </w:rPr>
        <w:t>2.7、侦查协助</w:t>
      </w:r>
    </w:p>
    <w:p w14:paraId="3F5A3FDB">
      <w:pPr>
        <w:spacing w:line="360" w:lineRule="auto"/>
        <w:ind w:firstLine="420" w:firstLineChars="200"/>
        <w:rPr>
          <w:rFonts w:ascii="仿宋" w:hAnsi="仿宋" w:eastAsia="仿宋"/>
          <w:color w:val="auto"/>
          <w:szCs w:val="21"/>
          <w:highlight w:val="none"/>
        </w:rPr>
      </w:pPr>
      <w:r>
        <w:rPr>
          <w:rFonts w:hint="eastAsia" w:ascii="仿宋" w:hAnsi="仿宋" w:eastAsia="仿宋"/>
          <w:color w:val="auto"/>
          <w:szCs w:val="21"/>
          <w:highlight w:val="none"/>
        </w:rPr>
        <w:t>协助</w:t>
      </w:r>
      <w:r>
        <w:rPr>
          <w:rFonts w:hint="eastAsia" w:ascii="仿宋" w:hAnsi="仿宋" w:eastAsia="仿宋"/>
          <w:color w:val="auto"/>
          <w:szCs w:val="21"/>
          <w:highlight w:val="none"/>
          <w:lang w:eastAsia="zh-CN"/>
        </w:rPr>
        <w:t>甲方</w:t>
      </w:r>
      <w:r>
        <w:rPr>
          <w:rFonts w:hint="eastAsia" w:ascii="仿宋" w:hAnsi="仿宋" w:eastAsia="仿宋"/>
          <w:color w:val="auto"/>
          <w:szCs w:val="21"/>
          <w:highlight w:val="none"/>
        </w:rPr>
        <w:t>在严格要求及规章制度下，以案情为出发点，利用专门技术将数据分析结果进行落地核查，协助进行互联网数据搜查、业务侦查协助、涉案目标刻画分析等分析、展示工作。</w:t>
      </w:r>
    </w:p>
    <w:p w14:paraId="6B25D843">
      <w:pPr>
        <w:spacing w:line="360" w:lineRule="auto"/>
        <w:ind w:firstLine="420" w:firstLineChars="200"/>
        <w:rPr>
          <w:rFonts w:ascii="仿宋" w:hAnsi="仿宋" w:eastAsia="仿宋"/>
          <w:color w:val="auto"/>
          <w:szCs w:val="21"/>
          <w:highlight w:val="none"/>
        </w:rPr>
      </w:pPr>
      <w:r>
        <w:rPr>
          <w:rFonts w:hint="eastAsia" w:ascii="仿宋" w:hAnsi="仿宋" w:eastAsia="仿宋"/>
          <w:color w:val="auto"/>
          <w:szCs w:val="21"/>
          <w:highlight w:val="none"/>
        </w:rPr>
        <w:t>3、服务交付物</w:t>
      </w:r>
    </w:p>
    <w:p w14:paraId="2AA5B8B2">
      <w:pPr>
        <w:numPr>
          <w:ilvl w:val="-1"/>
          <w:numId w:val="0"/>
        </w:numPr>
        <w:spacing w:line="360" w:lineRule="auto"/>
        <w:ind w:left="426" w:firstLine="0"/>
        <w:jc w:val="left"/>
        <w:rPr>
          <w:rFonts w:ascii="仿宋" w:hAnsi="仿宋" w:eastAsia="仿宋"/>
          <w:color w:val="auto"/>
          <w:szCs w:val="21"/>
          <w:highlight w:val="none"/>
        </w:rPr>
      </w:pPr>
      <w:r>
        <w:rPr>
          <w:rFonts w:hint="eastAsia" w:ascii="仿宋" w:hAnsi="仿宋" w:eastAsia="仿宋"/>
          <w:color w:val="auto"/>
          <w:szCs w:val="21"/>
          <w:highlight w:val="none"/>
          <w:lang w:val="en-US" w:eastAsia="zh-CN"/>
        </w:rPr>
        <w:t>1）</w:t>
      </w:r>
      <w:r>
        <w:rPr>
          <w:rFonts w:hint="eastAsia" w:ascii="仿宋" w:hAnsi="仿宋" w:eastAsia="仿宋"/>
          <w:color w:val="auto"/>
          <w:szCs w:val="21"/>
          <w:highlight w:val="none"/>
        </w:rPr>
        <w:t>提供</w:t>
      </w:r>
      <w:r>
        <w:rPr>
          <w:rFonts w:hint="eastAsia" w:ascii="仿宋" w:hAnsi="仿宋" w:eastAsia="仿宋" w:cs="仿宋"/>
          <w:color w:val="auto"/>
          <w:kern w:val="0"/>
          <w:szCs w:val="21"/>
          <w:highlight w:val="none"/>
          <w:lang w:bidi="ar"/>
        </w:rPr>
        <w:t>重特大案件线索不少于</w:t>
      </w:r>
      <w:r>
        <w:rPr>
          <w:rFonts w:hint="eastAsia" w:ascii="仿宋" w:hAnsi="仿宋" w:eastAsia="仿宋" w:cs="仿宋"/>
          <w:color w:val="auto"/>
          <w:kern w:val="0"/>
          <w:szCs w:val="21"/>
          <w:highlight w:val="none"/>
          <w:lang w:val="en-US" w:eastAsia="zh-CN" w:bidi="ar"/>
        </w:rPr>
        <w:t>5</w:t>
      </w:r>
      <w:r>
        <w:rPr>
          <w:rFonts w:hint="eastAsia" w:ascii="仿宋" w:hAnsi="仿宋" w:eastAsia="仿宋" w:cs="仿宋"/>
          <w:color w:val="auto"/>
          <w:kern w:val="0"/>
          <w:szCs w:val="21"/>
          <w:highlight w:val="none"/>
          <w:lang w:bidi="ar"/>
        </w:rPr>
        <w:t>起，</w:t>
      </w:r>
      <w:r>
        <w:rPr>
          <w:rFonts w:ascii="仿宋" w:hAnsi="仿宋" w:eastAsia="仿宋"/>
          <w:color w:val="auto"/>
          <w:szCs w:val="21"/>
          <w:highlight w:val="none"/>
        </w:rPr>
        <w:t xml:space="preserve"> A类分析报告不少于</w:t>
      </w:r>
      <w:r>
        <w:rPr>
          <w:rFonts w:hint="eastAsia" w:ascii="仿宋" w:hAnsi="仿宋" w:eastAsia="仿宋"/>
          <w:color w:val="auto"/>
          <w:szCs w:val="21"/>
          <w:highlight w:val="none"/>
          <w:lang w:val="en-US" w:eastAsia="zh-CN"/>
        </w:rPr>
        <w:t>8</w:t>
      </w:r>
      <w:r>
        <w:rPr>
          <w:rFonts w:hint="eastAsia" w:ascii="仿宋" w:hAnsi="仿宋" w:eastAsia="仿宋"/>
          <w:color w:val="auto"/>
          <w:szCs w:val="21"/>
          <w:highlight w:val="none"/>
        </w:rPr>
        <w:t>份；</w:t>
      </w:r>
    </w:p>
    <w:p w14:paraId="1E13AC1A">
      <w:pPr>
        <w:numPr>
          <w:ilvl w:val="-1"/>
          <w:numId w:val="0"/>
        </w:numPr>
        <w:spacing w:line="360" w:lineRule="auto"/>
        <w:ind w:left="426" w:firstLine="0"/>
        <w:rPr>
          <w:rFonts w:ascii="仿宋" w:hAnsi="仿宋" w:eastAsia="仿宋"/>
          <w:color w:val="auto"/>
          <w:szCs w:val="21"/>
          <w:highlight w:val="none"/>
        </w:rPr>
      </w:pPr>
      <w:r>
        <w:rPr>
          <w:rFonts w:hint="eastAsia" w:ascii="仿宋" w:hAnsi="仿宋" w:eastAsia="仿宋" w:cs="仿宋"/>
          <w:color w:val="auto"/>
          <w:kern w:val="0"/>
          <w:szCs w:val="21"/>
          <w:highlight w:val="none"/>
          <w:lang w:val="en-US" w:eastAsia="zh-CN" w:bidi="ar"/>
        </w:rPr>
        <w:t>2）</w:t>
      </w:r>
      <w:r>
        <w:rPr>
          <w:rFonts w:hint="eastAsia" w:ascii="仿宋" w:hAnsi="仿宋" w:eastAsia="仿宋" w:cs="仿宋"/>
          <w:color w:val="auto"/>
          <w:kern w:val="0"/>
          <w:szCs w:val="21"/>
          <w:highlight w:val="none"/>
          <w:lang w:bidi="ar"/>
        </w:rPr>
        <w:t>提供案件侦查打击服务不少于20起，</w:t>
      </w:r>
      <w:r>
        <w:rPr>
          <w:rFonts w:hint="eastAsia" w:ascii="仿宋" w:hAnsi="仿宋" w:eastAsia="仿宋"/>
          <w:color w:val="auto"/>
          <w:szCs w:val="21"/>
          <w:highlight w:val="none"/>
        </w:rPr>
        <w:t>输出</w:t>
      </w:r>
      <w:r>
        <w:rPr>
          <w:rFonts w:ascii="仿宋" w:hAnsi="仿宋" w:eastAsia="仿宋"/>
          <w:color w:val="auto"/>
          <w:szCs w:val="21"/>
          <w:highlight w:val="none"/>
        </w:rPr>
        <w:t>B类分析报告不少于</w:t>
      </w:r>
      <w:r>
        <w:rPr>
          <w:rFonts w:hint="eastAsia" w:ascii="仿宋" w:hAnsi="仿宋" w:eastAsia="仿宋"/>
          <w:color w:val="auto"/>
          <w:szCs w:val="21"/>
          <w:highlight w:val="none"/>
          <w:lang w:val="en-US" w:eastAsia="zh-CN"/>
        </w:rPr>
        <w:t>1</w:t>
      </w:r>
      <w:r>
        <w:rPr>
          <w:rFonts w:hint="eastAsia" w:ascii="仿宋" w:hAnsi="仿宋" w:eastAsia="仿宋"/>
          <w:color w:val="auto"/>
          <w:szCs w:val="21"/>
          <w:highlight w:val="none"/>
        </w:rPr>
        <w:t>8份、输出</w:t>
      </w:r>
      <w:r>
        <w:rPr>
          <w:rFonts w:ascii="仿宋" w:hAnsi="仿宋" w:eastAsia="仿宋"/>
          <w:color w:val="auto"/>
          <w:szCs w:val="21"/>
          <w:highlight w:val="none"/>
        </w:rPr>
        <w:t>C类分析报告不少于</w:t>
      </w:r>
      <w:r>
        <w:rPr>
          <w:rFonts w:hint="eastAsia" w:ascii="仿宋" w:hAnsi="仿宋" w:eastAsia="仿宋"/>
          <w:color w:val="auto"/>
          <w:szCs w:val="21"/>
          <w:highlight w:val="none"/>
          <w:lang w:val="en-US" w:eastAsia="zh-CN"/>
        </w:rPr>
        <w:t>30</w:t>
      </w:r>
      <w:r>
        <w:rPr>
          <w:rFonts w:hint="eastAsia" w:ascii="仿宋" w:hAnsi="仿宋" w:eastAsia="仿宋"/>
          <w:color w:val="auto"/>
          <w:szCs w:val="21"/>
          <w:highlight w:val="none"/>
        </w:rPr>
        <w:t>份。</w:t>
      </w:r>
      <w:r>
        <w:rPr>
          <w:rFonts w:ascii="仿宋" w:hAnsi="仿宋" w:eastAsia="仿宋"/>
          <w:color w:val="auto"/>
          <w:szCs w:val="21"/>
          <w:highlight w:val="none"/>
        </w:rPr>
        <w:t xml:space="preserve"> </w:t>
      </w:r>
    </w:p>
    <w:p w14:paraId="625AAE1E">
      <w:pPr>
        <w:pStyle w:val="5"/>
        <w:numPr>
          <w:ilvl w:val="0"/>
          <w:numId w:val="7"/>
        </w:numPr>
        <w:spacing w:line="360" w:lineRule="auto"/>
        <w:ind w:left="1140" w:hanging="720"/>
        <w:rPr>
          <w:rFonts w:ascii="仿宋" w:hAnsi="仿宋" w:eastAsia="仿宋" w:cs="仿宋"/>
          <w:color w:val="auto"/>
          <w:sz w:val="21"/>
          <w:szCs w:val="21"/>
          <w:highlight w:val="none"/>
        </w:rPr>
      </w:pPr>
      <w:r>
        <w:rPr>
          <w:rFonts w:hint="eastAsia" w:ascii="仿宋" w:hAnsi="仿宋" w:eastAsia="仿宋" w:cs="仿宋"/>
          <w:color w:val="auto"/>
          <w:sz w:val="21"/>
          <w:szCs w:val="21"/>
          <w:highlight w:val="none"/>
        </w:rPr>
        <w:t>大数据智能查控服务</w:t>
      </w:r>
    </w:p>
    <w:p w14:paraId="3080AEE3">
      <w:pPr>
        <w:spacing w:line="360" w:lineRule="auto"/>
        <w:ind w:firstLine="420" w:firstLineChars="200"/>
        <w:rPr>
          <w:rFonts w:ascii="仿宋" w:hAnsi="仿宋" w:eastAsia="仿宋"/>
          <w:color w:val="auto"/>
          <w:szCs w:val="21"/>
          <w:highlight w:val="none"/>
        </w:rPr>
      </w:pPr>
      <w:r>
        <w:rPr>
          <w:rFonts w:hint="eastAsia" w:ascii="仿宋" w:hAnsi="仿宋" w:eastAsia="仿宋"/>
          <w:color w:val="auto"/>
          <w:szCs w:val="21"/>
          <w:highlight w:val="none"/>
        </w:rPr>
        <w:t>1、服务要求：</w:t>
      </w:r>
    </w:p>
    <w:p w14:paraId="47AC5F5E">
      <w:pPr>
        <w:spacing w:line="360" w:lineRule="auto"/>
        <w:ind w:firstLine="420" w:firstLineChars="200"/>
        <w:rPr>
          <w:rFonts w:ascii="仿宋" w:hAnsi="仿宋" w:eastAsia="仿宋"/>
          <w:color w:val="auto"/>
          <w:szCs w:val="21"/>
          <w:highlight w:val="none"/>
        </w:rPr>
      </w:pPr>
      <w:r>
        <w:rPr>
          <w:rFonts w:hint="eastAsia" w:ascii="仿宋" w:hAnsi="仿宋" w:eastAsia="仿宋"/>
          <w:color w:val="auto"/>
          <w:szCs w:val="21"/>
          <w:highlight w:val="none"/>
        </w:rPr>
        <w:t>提供从线索扩线到团伙发现再到身份关联分析的情报分析服务,覆盖整合多渠道、多类别的非结构化的互联网数据资源，并具有唯一性，通过已建立的关联模型和AI算法，对网络元素进行线索拓展，实现涉网新型犯罪嫌疑对象身份落地及窝点发现。</w:t>
      </w:r>
    </w:p>
    <w:p w14:paraId="2CB5C5CA">
      <w:pPr>
        <w:spacing w:line="360" w:lineRule="auto"/>
        <w:ind w:firstLine="420" w:firstLineChars="200"/>
        <w:rPr>
          <w:rFonts w:ascii="仿宋" w:hAnsi="仿宋" w:eastAsia="仿宋"/>
          <w:color w:val="auto"/>
          <w:szCs w:val="21"/>
          <w:highlight w:val="none"/>
        </w:rPr>
      </w:pPr>
      <w:r>
        <w:rPr>
          <w:rFonts w:hint="eastAsia" w:ascii="仿宋" w:hAnsi="仿宋" w:eastAsia="仿宋"/>
          <w:color w:val="auto"/>
          <w:szCs w:val="21"/>
          <w:highlight w:val="none"/>
        </w:rPr>
        <w:t>2、服务内容：</w:t>
      </w:r>
    </w:p>
    <w:p w14:paraId="1AFE70FF">
      <w:pPr>
        <w:spacing w:line="360" w:lineRule="auto"/>
        <w:ind w:firstLine="420" w:firstLineChars="200"/>
        <w:rPr>
          <w:rFonts w:ascii="仿宋" w:hAnsi="仿宋" w:eastAsia="仿宋"/>
          <w:color w:val="auto"/>
          <w:szCs w:val="21"/>
          <w:highlight w:val="none"/>
        </w:rPr>
      </w:pPr>
      <w:r>
        <w:rPr>
          <w:rFonts w:hint="eastAsia" w:ascii="仿宋" w:hAnsi="仿宋" w:eastAsia="仿宋"/>
          <w:color w:val="auto"/>
          <w:szCs w:val="21"/>
          <w:highlight w:val="none"/>
        </w:rPr>
        <w:t>2.1大数据多维</w:t>
      </w:r>
      <w:r>
        <w:rPr>
          <w:rFonts w:ascii="仿宋" w:hAnsi="仿宋" w:eastAsia="仿宋"/>
          <w:color w:val="auto"/>
          <w:szCs w:val="21"/>
          <w:highlight w:val="none"/>
        </w:rPr>
        <w:t>研判</w:t>
      </w:r>
    </w:p>
    <w:p w14:paraId="6F89C7C8">
      <w:pPr>
        <w:spacing w:line="360" w:lineRule="auto"/>
        <w:ind w:firstLine="420" w:firstLineChars="200"/>
        <w:rPr>
          <w:rFonts w:ascii="仿宋" w:hAnsi="仿宋" w:eastAsia="仿宋"/>
          <w:color w:val="auto"/>
          <w:szCs w:val="21"/>
          <w:highlight w:val="none"/>
        </w:rPr>
      </w:pPr>
      <w:r>
        <w:rPr>
          <w:rFonts w:hint="eastAsia" w:ascii="仿宋" w:hAnsi="仿宋" w:eastAsia="仿宋"/>
          <w:color w:val="auto"/>
          <w:szCs w:val="21"/>
          <w:highlight w:val="none"/>
        </w:rPr>
        <w:t>以涉网犯罪涉及域名、IP、APK文件为线索进行溯源分析，发现涉案</w:t>
      </w:r>
      <w:r>
        <w:rPr>
          <w:rFonts w:ascii="仿宋" w:hAnsi="仿宋" w:eastAsia="仿宋"/>
          <w:color w:val="auto"/>
          <w:szCs w:val="21"/>
          <w:highlight w:val="none"/>
        </w:rPr>
        <w:t>属性</w:t>
      </w:r>
      <w:r>
        <w:rPr>
          <w:rFonts w:hint="eastAsia" w:ascii="仿宋" w:hAnsi="仿宋" w:eastAsia="仿宋"/>
          <w:color w:val="auto"/>
          <w:szCs w:val="21"/>
          <w:highlight w:val="none"/>
        </w:rPr>
        <w:t>信息</w:t>
      </w:r>
      <w:r>
        <w:rPr>
          <w:rFonts w:ascii="仿宋" w:hAnsi="仿宋" w:eastAsia="仿宋"/>
          <w:color w:val="auto"/>
          <w:szCs w:val="21"/>
          <w:highlight w:val="none"/>
        </w:rPr>
        <w:t>，</w:t>
      </w:r>
      <w:r>
        <w:rPr>
          <w:rFonts w:hint="eastAsia" w:ascii="仿宋" w:hAnsi="仿宋" w:eastAsia="仿宋"/>
          <w:color w:val="auto"/>
          <w:szCs w:val="21"/>
          <w:highlight w:val="none"/>
        </w:rPr>
        <w:t>并进行案件</w:t>
      </w:r>
      <w:r>
        <w:rPr>
          <w:rFonts w:ascii="仿宋" w:hAnsi="仿宋" w:eastAsia="仿宋"/>
          <w:color w:val="auto"/>
          <w:szCs w:val="21"/>
          <w:highlight w:val="none"/>
        </w:rPr>
        <w:t>溯源</w:t>
      </w:r>
      <w:r>
        <w:rPr>
          <w:rFonts w:hint="eastAsia" w:ascii="仿宋" w:hAnsi="仿宋" w:eastAsia="仿宋"/>
          <w:color w:val="auto"/>
          <w:szCs w:val="21"/>
          <w:highlight w:val="none"/>
        </w:rPr>
        <w:t>扩线</w:t>
      </w:r>
      <w:r>
        <w:rPr>
          <w:rFonts w:ascii="仿宋" w:hAnsi="仿宋" w:eastAsia="仿宋"/>
          <w:color w:val="auto"/>
          <w:szCs w:val="21"/>
          <w:highlight w:val="none"/>
        </w:rPr>
        <w:t>引导，</w:t>
      </w:r>
      <w:r>
        <w:rPr>
          <w:rFonts w:hint="eastAsia" w:ascii="仿宋" w:hAnsi="仿宋" w:eastAsia="仿宋"/>
          <w:color w:val="auto"/>
          <w:szCs w:val="21"/>
          <w:highlight w:val="none"/>
        </w:rPr>
        <w:t>查询解析域名、关联恶意网址、分析同源APK、关联可疑终端等信息，便于案件进一步研判分析。</w:t>
      </w:r>
    </w:p>
    <w:p w14:paraId="7A44A944">
      <w:pPr>
        <w:spacing w:line="360" w:lineRule="auto"/>
        <w:ind w:firstLine="420" w:firstLineChars="200"/>
        <w:rPr>
          <w:rFonts w:ascii="仿宋" w:hAnsi="仿宋" w:eastAsia="仿宋"/>
          <w:color w:val="auto"/>
          <w:szCs w:val="21"/>
          <w:highlight w:val="none"/>
        </w:rPr>
      </w:pPr>
      <w:r>
        <w:rPr>
          <w:rFonts w:hint="eastAsia" w:ascii="仿宋" w:hAnsi="仿宋" w:eastAsia="仿宋"/>
          <w:color w:val="auto"/>
          <w:szCs w:val="21"/>
          <w:highlight w:val="none"/>
        </w:rPr>
        <w:t>2.2终端溯源嫌疑追踪</w:t>
      </w:r>
    </w:p>
    <w:p w14:paraId="711C3D70">
      <w:pPr>
        <w:spacing w:line="360" w:lineRule="auto"/>
        <w:ind w:firstLine="420" w:firstLineChars="200"/>
        <w:rPr>
          <w:rFonts w:ascii="仿宋" w:hAnsi="仿宋" w:eastAsia="仿宋"/>
          <w:color w:val="auto"/>
          <w:szCs w:val="21"/>
          <w:highlight w:val="none"/>
        </w:rPr>
      </w:pPr>
      <w:r>
        <w:rPr>
          <w:rFonts w:hint="eastAsia" w:ascii="仿宋" w:hAnsi="仿宋" w:eastAsia="仿宋"/>
          <w:color w:val="auto"/>
          <w:szCs w:val="21"/>
          <w:highlight w:val="none"/>
        </w:rPr>
        <w:t>针对涉网犯罪线索溯源目标设备或进行嫌疑人刻画，清晰描述目标设备和嫌疑人信息。支持嫌疑设备配置信息、软件特征、网络行为的溯源扩线，支持可疑设备、</w:t>
      </w:r>
      <w:r>
        <w:rPr>
          <w:rFonts w:ascii="仿宋" w:hAnsi="仿宋" w:eastAsia="仿宋"/>
          <w:color w:val="auto"/>
          <w:szCs w:val="21"/>
          <w:highlight w:val="none"/>
        </w:rPr>
        <w:t>人员的</w:t>
      </w:r>
      <w:r>
        <w:rPr>
          <w:rFonts w:hint="eastAsia" w:ascii="仿宋" w:hAnsi="仿宋" w:eastAsia="仿宋"/>
          <w:color w:val="auto"/>
          <w:szCs w:val="21"/>
          <w:highlight w:val="none"/>
        </w:rPr>
        <w:t>多维度画像刻画，支持关联虚拟身份解析。基于嫌疑目标身份关联发现可疑设备，进行证据搜集、上下游链条分析、位置轨迹分析，软件特征、网络访问行为的溯源扩线。</w:t>
      </w:r>
    </w:p>
    <w:p w14:paraId="0BD3B584">
      <w:pPr>
        <w:spacing w:line="360" w:lineRule="auto"/>
        <w:ind w:firstLine="420" w:firstLineChars="200"/>
        <w:rPr>
          <w:rFonts w:ascii="仿宋" w:hAnsi="仿宋" w:eastAsia="仿宋"/>
          <w:color w:val="auto"/>
          <w:szCs w:val="21"/>
          <w:highlight w:val="none"/>
        </w:rPr>
      </w:pPr>
      <w:r>
        <w:rPr>
          <w:rFonts w:hint="eastAsia" w:ascii="仿宋" w:hAnsi="仿宋" w:eastAsia="仿宋"/>
          <w:color w:val="auto"/>
          <w:szCs w:val="21"/>
          <w:highlight w:val="none"/>
        </w:rPr>
        <w:t>2.3、案件管理数据分析</w:t>
      </w:r>
    </w:p>
    <w:p w14:paraId="29FB6DAB">
      <w:pPr>
        <w:spacing w:line="360" w:lineRule="auto"/>
        <w:ind w:firstLine="420" w:firstLineChars="200"/>
        <w:rPr>
          <w:rFonts w:ascii="仿宋" w:hAnsi="仿宋" w:eastAsia="仿宋"/>
          <w:color w:val="auto"/>
          <w:szCs w:val="21"/>
          <w:highlight w:val="none"/>
        </w:rPr>
      </w:pPr>
      <w:r>
        <w:rPr>
          <w:rFonts w:hint="eastAsia" w:ascii="仿宋" w:hAnsi="仿宋" w:eastAsia="仿宋"/>
          <w:color w:val="auto"/>
          <w:szCs w:val="21"/>
          <w:highlight w:val="none"/>
        </w:rPr>
        <w:t>支持历史案件查看、案件查询状态查看、结案案件报告查看及下载，基于IP、域名、文件节点的知识图谱关联分析，提供节点自动扩线、关联关系描述、节点信息查看能力，可有效进行扩线溯源，支持案件专家协助，提供案件协助引导页面，提交成功后由案件分析专家提供案件一对一溯源分析服务。</w:t>
      </w:r>
    </w:p>
    <w:p w14:paraId="07A3F5E5">
      <w:pPr>
        <w:spacing w:line="360" w:lineRule="auto"/>
        <w:ind w:firstLine="420" w:firstLineChars="200"/>
        <w:rPr>
          <w:rFonts w:ascii="仿宋" w:hAnsi="仿宋" w:eastAsia="仿宋"/>
          <w:color w:val="auto"/>
          <w:szCs w:val="21"/>
          <w:highlight w:val="none"/>
        </w:rPr>
      </w:pPr>
      <w:r>
        <w:rPr>
          <w:rFonts w:hint="eastAsia" w:ascii="仿宋" w:hAnsi="仿宋" w:eastAsia="仿宋"/>
          <w:color w:val="auto"/>
          <w:szCs w:val="21"/>
          <w:highlight w:val="none"/>
        </w:rPr>
        <w:t>2.4、态势分析</w:t>
      </w:r>
      <w:r>
        <w:rPr>
          <w:rFonts w:ascii="仿宋" w:hAnsi="仿宋" w:eastAsia="仿宋"/>
          <w:color w:val="auto"/>
          <w:szCs w:val="21"/>
          <w:highlight w:val="none"/>
        </w:rPr>
        <w:t>报告输出</w:t>
      </w:r>
    </w:p>
    <w:p w14:paraId="75DFBADF">
      <w:pPr>
        <w:spacing w:line="360" w:lineRule="auto"/>
        <w:ind w:firstLine="420" w:firstLineChars="200"/>
        <w:rPr>
          <w:rFonts w:ascii="仿宋" w:hAnsi="仿宋" w:eastAsia="仿宋"/>
          <w:color w:val="auto"/>
          <w:szCs w:val="21"/>
          <w:highlight w:val="none"/>
        </w:rPr>
      </w:pPr>
      <w:r>
        <w:rPr>
          <w:rFonts w:hint="eastAsia" w:ascii="仿宋" w:hAnsi="仿宋" w:eastAsia="仿宋"/>
          <w:color w:val="auto"/>
          <w:szCs w:val="21"/>
          <w:highlight w:val="none"/>
        </w:rPr>
        <w:t>提供区域黑灰网址分布数据、恶意站点趋势分析汇总、恶意网址分类实时占比、恶意站点关键词热点及高频钓鱼网址仿冒对象汇总数据，提供恶意站点检测量、访问量趋势分析等。对案件溯源分析提供线索、关键数据标记功能，可自动描绘案件溯源路线，生成案件汇总报告，智能报告支持上下游关系关联、多案件处理，支持在线编辑、报告脑图下载等</w:t>
      </w:r>
      <w:r>
        <w:rPr>
          <w:rFonts w:ascii="仿宋" w:hAnsi="仿宋" w:eastAsia="仿宋"/>
          <w:color w:val="auto"/>
          <w:szCs w:val="21"/>
          <w:highlight w:val="none"/>
        </w:rPr>
        <w:t>。</w:t>
      </w:r>
    </w:p>
    <w:p w14:paraId="22E27566">
      <w:pPr>
        <w:spacing w:line="360" w:lineRule="auto"/>
        <w:ind w:firstLine="420" w:firstLineChars="200"/>
        <w:rPr>
          <w:rFonts w:ascii="仿宋" w:hAnsi="仿宋" w:eastAsia="仿宋"/>
          <w:color w:val="auto"/>
          <w:szCs w:val="21"/>
          <w:highlight w:val="none"/>
        </w:rPr>
      </w:pPr>
      <w:r>
        <w:rPr>
          <w:rFonts w:hint="eastAsia" w:ascii="仿宋" w:hAnsi="仿宋" w:eastAsia="仿宋"/>
          <w:color w:val="auto"/>
          <w:szCs w:val="21"/>
          <w:highlight w:val="none"/>
        </w:rPr>
        <w:t>3、服务交付物</w:t>
      </w:r>
    </w:p>
    <w:p w14:paraId="7AC0E5DB">
      <w:pPr>
        <w:numPr>
          <w:ilvl w:val="-1"/>
          <w:numId w:val="0"/>
        </w:numPr>
        <w:spacing w:line="360" w:lineRule="auto"/>
        <w:ind w:left="426" w:firstLine="0"/>
        <w:rPr>
          <w:rFonts w:ascii="仿宋" w:hAnsi="仿宋" w:eastAsia="仿宋"/>
          <w:color w:val="auto"/>
          <w:szCs w:val="21"/>
          <w:highlight w:val="none"/>
        </w:rPr>
      </w:pPr>
      <w:r>
        <w:rPr>
          <w:rFonts w:hint="eastAsia" w:ascii="仿宋" w:hAnsi="仿宋" w:eastAsia="仿宋" w:cs="仿宋"/>
          <w:color w:val="auto"/>
          <w:kern w:val="0"/>
          <w:szCs w:val="21"/>
          <w:highlight w:val="none"/>
          <w:lang w:val="en-US" w:eastAsia="zh-CN" w:bidi="ar"/>
        </w:rPr>
        <w:t>1）</w:t>
      </w:r>
      <w:r>
        <w:rPr>
          <w:rFonts w:hint="eastAsia" w:ascii="仿宋" w:hAnsi="仿宋" w:eastAsia="仿宋" w:cs="仿宋"/>
          <w:color w:val="auto"/>
          <w:kern w:val="0"/>
          <w:szCs w:val="21"/>
          <w:highlight w:val="none"/>
          <w:lang w:bidi="ar"/>
        </w:rPr>
        <w:t>提供重特大案件服务不少于10次，</w:t>
      </w:r>
      <w:r>
        <w:rPr>
          <w:rFonts w:hint="eastAsia" w:ascii="仿宋" w:hAnsi="仿宋" w:eastAsia="仿宋"/>
          <w:color w:val="auto"/>
          <w:szCs w:val="21"/>
          <w:highlight w:val="none"/>
        </w:rPr>
        <w:t>输出</w:t>
      </w:r>
      <w:r>
        <w:rPr>
          <w:rFonts w:ascii="仿宋" w:hAnsi="仿宋" w:eastAsia="仿宋"/>
          <w:color w:val="auto"/>
          <w:szCs w:val="21"/>
          <w:highlight w:val="none"/>
        </w:rPr>
        <w:t>B类分析报告</w:t>
      </w:r>
      <w:r>
        <w:rPr>
          <w:rFonts w:hint="eastAsia" w:ascii="仿宋" w:hAnsi="仿宋" w:eastAsia="仿宋"/>
          <w:color w:val="auto"/>
          <w:szCs w:val="21"/>
          <w:highlight w:val="none"/>
        </w:rPr>
        <w:t>不少于</w:t>
      </w:r>
      <w:r>
        <w:rPr>
          <w:rFonts w:ascii="仿宋" w:hAnsi="仿宋" w:eastAsia="仿宋"/>
          <w:color w:val="auto"/>
          <w:szCs w:val="21"/>
          <w:highlight w:val="none"/>
        </w:rPr>
        <w:t>2</w:t>
      </w:r>
      <w:r>
        <w:rPr>
          <w:rFonts w:hint="eastAsia" w:ascii="仿宋" w:hAnsi="仿宋" w:eastAsia="仿宋"/>
          <w:color w:val="auto"/>
          <w:szCs w:val="21"/>
          <w:highlight w:val="none"/>
          <w:lang w:val="en-US" w:eastAsia="zh-CN"/>
        </w:rPr>
        <w:t>0</w:t>
      </w:r>
      <w:r>
        <w:rPr>
          <w:rFonts w:hint="eastAsia" w:ascii="仿宋" w:hAnsi="仿宋" w:eastAsia="仿宋"/>
          <w:color w:val="auto"/>
          <w:szCs w:val="21"/>
          <w:highlight w:val="none"/>
        </w:rPr>
        <w:t>份；</w:t>
      </w:r>
    </w:p>
    <w:p w14:paraId="1595EC0C">
      <w:pPr>
        <w:numPr>
          <w:ilvl w:val="-1"/>
          <w:numId w:val="0"/>
        </w:numPr>
        <w:spacing w:line="360" w:lineRule="auto"/>
        <w:ind w:left="426" w:firstLine="0"/>
        <w:rPr>
          <w:rFonts w:ascii="仿宋" w:hAnsi="仿宋" w:eastAsia="仿宋"/>
          <w:color w:val="auto"/>
          <w:highlight w:val="none"/>
        </w:rPr>
      </w:pPr>
      <w:r>
        <w:rPr>
          <w:rFonts w:hint="eastAsia" w:ascii="仿宋" w:hAnsi="仿宋" w:eastAsia="仿宋"/>
          <w:color w:val="auto"/>
          <w:szCs w:val="21"/>
          <w:highlight w:val="none"/>
          <w:lang w:val="en-US" w:eastAsia="zh-CN"/>
        </w:rPr>
        <w:t>2）</w:t>
      </w:r>
      <w:r>
        <w:rPr>
          <w:rFonts w:hint="eastAsia" w:ascii="仿宋" w:hAnsi="仿宋" w:eastAsia="仿宋"/>
          <w:color w:val="auto"/>
          <w:szCs w:val="21"/>
          <w:highlight w:val="none"/>
        </w:rPr>
        <w:t>提供涉诈网站数据及线索分析服务不少于20次，输出</w:t>
      </w:r>
      <w:r>
        <w:rPr>
          <w:rFonts w:ascii="仿宋" w:hAnsi="仿宋" w:eastAsia="仿宋"/>
          <w:color w:val="auto"/>
          <w:szCs w:val="21"/>
          <w:highlight w:val="none"/>
        </w:rPr>
        <w:t>C类分析报告</w:t>
      </w:r>
      <w:r>
        <w:rPr>
          <w:rFonts w:hint="eastAsia" w:ascii="仿宋" w:hAnsi="仿宋" w:eastAsia="仿宋"/>
          <w:color w:val="auto"/>
          <w:szCs w:val="21"/>
          <w:highlight w:val="none"/>
        </w:rPr>
        <w:t>不少于</w:t>
      </w:r>
      <w:r>
        <w:rPr>
          <w:rFonts w:hint="eastAsia" w:ascii="仿宋" w:hAnsi="仿宋" w:eastAsia="仿宋"/>
          <w:color w:val="auto"/>
          <w:szCs w:val="21"/>
          <w:highlight w:val="none"/>
          <w:lang w:val="en-US" w:eastAsia="zh-CN"/>
        </w:rPr>
        <w:t>40</w:t>
      </w:r>
      <w:r>
        <w:rPr>
          <w:rFonts w:hint="eastAsia" w:ascii="仿宋" w:hAnsi="仿宋" w:eastAsia="仿宋"/>
          <w:color w:val="auto"/>
          <w:szCs w:val="21"/>
          <w:highlight w:val="none"/>
        </w:rPr>
        <w:t>份。</w:t>
      </w:r>
    </w:p>
    <w:p w14:paraId="1C061F29">
      <w:pPr>
        <w:pStyle w:val="5"/>
        <w:numPr>
          <w:ilvl w:val="0"/>
          <w:numId w:val="7"/>
        </w:numPr>
        <w:spacing w:line="360" w:lineRule="auto"/>
        <w:ind w:left="1140" w:hanging="720"/>
        <w:rPr>
          <w:rFonts w:ascii="仿宋" w:hAnsi="仿宋" w:eastAsia="仿宋" w:cs="仿宋"/>
          <w:color w:val="auto"/>
          <w:sz w:val="21"/>
          <w:szCs w:val="21"/>
          <w:highlight w:val="none"/>
        </w:rPr>
      </w:pPr>
      <w:r>
        <w:rPr>
          <w:rFonts w:hint="eastAsia" w:ascii="仿宋" w:hAnsi="仿宋" w:eastAsia="仿宋" w:cs="仿宋"/>
          <w:color w:val="auto"/>
          <w:sz w:val="21"/>
          <w:szCs w:val="21"/>
          <w:highlight w:val="none"/>
        </w:rPr>
        <w:t>资金智能查控服务</w:t>
      </w:r>
    </w:p>
    <w:p w14:paraId="6195200B">
      <w:pPr>
        <w:spacing w:line="360" w:lineRule="auto"/>
        <w:ind w:firstLine="420" w:firstLineChars="200"/>
        <w:rPr>
          <w:rFonts w:ascii="仿宋" w:hAnsi="仿宋" w:eastAsia="仿宋"/>
          <w:color w:val="auto"/>
          <w:szCs w:val="21"/>
          <w:highlight w:val="none"/>
        </w:rPr>
      </w:pPr>
      <w:r>
        <w:rPr>
          <w:rFonts w:hint="eastAsia" w:ascii="仿宋" w:hAnsi="仿宋" w:eastAsia="仿宋"/>
          <w:color w:val="auto"/>
          <w:szCs w:val="21"/>
          <w:highlight w:val="none"/>
        </w:rPr>
        <w:t>1、服务要求</w:t>
      </w:r>
    </w:p>
    <w:p w14:paraId="6CC25E79">
      <w:pPr>
        <w:spacing w:line="360" w:lineRule="auto"/>
        <w:ind w:firstLine="420" w:firstLineChars="200"/>
        <w:rPr>
          <w:rFonts w:hint="eastAsia" w:ascii="仿宋" w:hAnsi="仿宋" w:eastAsia="仿宋"/>
          <w:color w:val="auto"/>
          <w:szCs w:val="21"/>
          <w:highlight w:val="none"/>
        </w:rPr>
      </w:pPr>
      <w:r>
        <w:rPr>
          <w:rFonts w:hint="eastAsia" w:ascii="仿宋" w:hAnsi="仿宋" w:eastAsia="仿宋"/>
          <w:color w:val="auto"/>
          <w:szCs w:val="21"/>
          <w:highlight w:val="none"/>
        </w:rPr>
        <w:t>提供涉网</w:t>
      </w:r>
      <w:r>
        <w:rPr>
          <w:rFonts w:ascii="仿宋" w:hAnsi="仿宋" w:eastAsia="仿宋"/>
          <w:color w:val="auto"/>
          <w:szCs w:val="21"/>
          <w:highlight w:val="none"/>
        </w:rPr>
        <w:t>犯罪资金</w:t>
      </w:r>
      <w:r>
        <w:rPr>
          <w:rFonts w:hint="eastAsia" w:ascii="仿宋" w:hAnsi="仿宋" w:eastAsia="仿宋"/>
          <w:color w:val="auto"/>
          <w:szCs w:val="21"/>
          <w:highlight w:val="none"/>
        </w:rPr>
        <w:t>账户自主快速</w:t>
      </w:r>
      <w:r>
        <w:rPr>
          <w:rFonts w:ascii="仿宋" w:hAnsi="仿宋" w:eastAsia="仿宋"/>
          <w:color w:val="auto"/>
          <w:szCs w:val="21"/>
          <w:highlight w:val="none"/>
        </w:rPr>
        <w:t>查询，</w:t>
      </w:r>
      <w:r>
        <w:rPr>
          <w:rFonts w:hint="eastAsia" w:ascii="仿宋" w:hAnsi="仿宋" w:eastAsia="仿宋"/>
          <w:color w:val="auto"/>
          <w:szCs w:val="21"/>
          <w:highlight w:val="none"/>
        </w:rPr>
        <w:t>实现资金侧预警自动下载，对预警对象全国主流资金账户自动查询，自动形成全量首轮保护性止付法律文书，实现自动提交部平台，并保护性止付自动延续至30天，能形成止付资金流分析图表，接警后可实现一键止付。</w:t>
      </w:r>
    </w:p>
    <w:p w14:paraId="1FD07141">
      <w:pPr>
        <w:spacing w:line="360" w:lineRule="auto"/>
        <w:ind w:firstLine="420" w:firstLineChars="200"/>
        <w:rPr>
          <w:rFonts w:hint="eastAsia" w:ascii="仿宋" w:hAnsi="仿宋" w:eastAsia="仿宋"/>
          <w:color w:val="auto"/>
          <w:szCs w:val="21"/>
          <w:highlight w:val="none"/>
          <w:lang w:eastAsia="zh-CN"/>
        </w:rPr>
      </w:pPr>
      <w:r>
        <w:rPr>
          <w:rFonts w:hint="eastAsia" w:ascii="仿宋" w:hAnsi="仿宋" w:eastAsia="仿宋"/>
          <w:color w:val="auto"/>
          <w:szCs w:val="21"/>
          <w:highlight w:val="none"/>
          <w:lang w:eastAsia="zh-CN"/>
        </w:rPr>
        <w:t>提供虚拟货币资金智能多币多链关联分析。</w:t>
      </w:r>
    </w:p>
    <w:p w14:paraId="1A094073">
      <w:pPr>
        <w:spacing w:line="360" w:lineRule="auto"/>
        <w:ind w:firstLine="420" w:firstLineChars="200"/>
        <w:rPr>
          <w:rFonts w:ascii="仿宋" w:hAnsi="仿宋" w:eastAsia="仿宋"/>
          <w:color w:val="auto"/>
          <w:szCs w:val="21"/>
          <w:highlight w:val="none"/>
        </w:rPr>
      </w:pPr>
      <w:r>
        <w:rPr>
          <w:rFonts w:hint="eastAsia" w:ascii="仿宋" w:hAnsi="仿宋" w:eastAsia="仿宋"/>
          <w:color w:val="auto"/>
          <w:szCs w:val="21"/>
          <w:highlight w:val="none"/>
        </w:rPr>
        <w:t>2、服务内容</w:t>
      </w:r>
    </w:p>
    <w:p w14:paraId="3A37BCCB">
      <w:pPr>
        <w:spacing w:line="360" w:lineRule="auto"/>
        <w:ind w:firstLine="420" w:firstLineChars="200"/>
        <w:rPr>
          <w:rFonts w:ascii="仿宋" w:hAnsi="仿宋" w:eastAsia="仿宋"/>
          <w:color w:val="auto"/>
          <w:szCs w:val="21"/>
          <w:highlight w:val="none"/>
        </w:rPr>
      </w:pPr>
      <w:r>
        <w:rPr>
          <w:rFonts w:hint="eastAsia" w:ascii="仿宋" w:hAnsi="仿宋" w:eastAsia="仿宋"/>
          <w:color w:val="auto"/>
          <w:szCs w:val="21"/>
          <w:highlight w:val="none"/>
        </w:rPr>
        <w:t>2.1资金</w:t>
      </w:r>
      <w:r>
        <w:rPr>
          <w:rFonts w:ascii="仿宋" w:hAnsi="仿宋" w:eastAsia="仿宋"/>
          <w:color w:val="auto"/>
          <w:szCs w:val="21"/>
          <w:highlight w:val="none"/>
        </w:rPr>
        <w:t>查控服务</w:t>
      </w:r>
    </w:p>
    <w:p w14:paraId="7652DB1D">
      <w:pPr>
        <w:spacing w:line="360" w:lineRule="auto"/>
        <w:ind w:firstLine="420" w:firstLineChars="200"/>
        <w:rPr>
          <w:rFonts w:hint="eastAsia" w:ascii="仿宋" w:hAnsi="仿宋" w:eastAsia="仿宋"/>
          <w:color w:val="auto"/>
          <w:szCs w:val="21"/>
          <w:highlight w:val="none"/>
        </w:rPr>
      </w:pPr>
      <w:r>
        <w:rPr>
          <w:rFonts w:hint="eastAsia" w:ascii="仿宋" w:hAnsi="仿宋" w:eastAsia="仿宋"/>
          <w:color w:val="auto"/>
          <w:szCs w:val="21"/>
          <w:highlight w:val="none"/>
        </w:rPr>
        <w:t>能提供涉网犯罪资金账户自主快速查询，</w:t>
      </w:r>
      <w:r>
        <w:rPr>
          <w:rFonts w:ascii="仿宋" w:hAnsi="仿宋" w:eastAsia="仿宋"/>
          <w:color w:val="auto"/>
          <w:szCs w:val="21"/>
          <w:highlight w:val="none"/>
        </w:rPr>
        <w:t>生成查询</w:t>
      </w:r>
      <w:r>
        <w:rPr>
          <w:rFonts w:hint="eastAsia" w:ascii="仿宋" w:hAnsi="仿宋" w:eastAsia="仿宋"/>
          <w:color w:val="auto"/>
          <w:szCs w:val="21"/>
          <w:highlight w:val="none"/>
        </w:rPr>
        <w:t>逻辑图、查询逻辑表、资金智能查控、资金流分析、资金流向分析模型等</w:t>
      </w:r>
      <w:r>
        <w:rPr>
          <w:rFonts w:hint="eastAsia" w:ascii="仿宋" w:hAnsi="仿宋" w:eastAsia="仿宋"/>
          <w:color w:val="auto"/>
          <w:szCs w:val="21"/>
          <w:highlight w:val="none"/>
          <w:lang w:val="en-US" w:eastAsia="zh-CN"/>
        </w:rPr>
        <w:t>,</w:t>
      </w:r>
      <w:r>
        <w:rPr>
          <w:rFonts w:hint="eastAsia" w:ascii="仿宋" w:hAnsi="仿宋" w:eastAsia="仿宋"/>
          <w:color w:val="auto"/>
          <w:szCs w:val="21"/>
          <w:highlight w:val="none"/>
          <w:lang w:val="en-US" w:eastAsia="zh-CN"/>
        </w:rPr>
        <w:t>含法定货币、虚拟货币等</w:t>
      </w:r>
      <w:r>
        <w:rPr>
          <w:rFonts w:hint="eastAsia" w:ascii="仿宋" w:hAnsi="仿宋" w:eastAsia="仿宋"/>
          <w:color w:val="auto"/>
          <w:szCs w:val="21"/>
          <w:highlight w:val="none"/>
        </w:rPr>
        <w:t>。</w:t>
      </w:r>
    </w:p>
    <w:p w14:paraId="6C34D3FE">
      <w:pPr>
        <w:spacing w:line="360" w:lineRule="auto"/>
        <w:ind w:firstLine="420" w:firstLineChars="200"/>
        <w:rPr>
          <w:rFonts w:ascii="仿宋" w:hAnsi="仿宋" w:eastAsia="仿宋"/>
          <w:color w:val="auto"/>
          <w:szCs w:val="21"/>
          <w:highlight w:val="none"/>
        </w:rPr>
      </w:pPr>
      <w:r>
        <w:rPr>
          <w:rFonts w:hint="eastAsia" w:ascii="仿宋" w:hAnsi="仿宋" w:eastAsia="仿宋"/>
          <w:color w:val="auto"/>
          <w:szCs w:val="21"/>
          <w:highlight w:val="none"/>
        </w:rPr>
        <w:t>通过涉网电诈案件模型对案件相关指标进行链上全貌完整刻画，精准锁定可调证目标，并注明对应调证指引信息一键生成调证函。</w:t>
      </w:r>
    </w:p>
    <w:p w14:paraId="2B080545">
      <w:pPr>
        <w:spacing w:line="360" w:lineRule="auto"/>
        <w:ind w:firstLine="420" w:firstLineChars="200"/>
        <w:rPr>
          <w:rFonts w:ascii="仿宋" w:hAnsi="仿宋" w:eastAsia="仿宋"/>
          <w:color w:val="auto"/>
          <w:szCs w:val="21"/>
          <w:highlight w:val="none"/>
        </w:rPr>
      </w:pPr>
      <w:r>
        <w:rPr>
          <w:rFonts w:ascii="仿宋" w:hAnsi="仿宋" w:eastAsia="仿宋"/>
          <w:color w:val="auto"/>
          <w:szCs w:val="21"/>
          <w:highlight w:val="none"/>
        </w:rPr>
        <w:t>2.2</w:t>
      </w:r>
      <w:r>
        <w:rPr>
          <w:rFonts w:hint="eastAsia" w:ascii="仿宋" w:hAnsi="仿宋" w:eastAsia="仿宋"/>
          <w:color w:val="auto"/>
          <w:szCs w:val="21"/>
          <w:highlight w:val="none"/>
        </w:rPr>
        <w:t>智能止付</w:t>
      </w:r>
      <w:r>
        <w:rPr>
          <w:rFonts w:ascii="仿宋" w:hAnsi="仿宋" w:eastAsia="仿宋"/>
          <w:color w:val="auto"/>
          <w:szCs w:val="21"/>
          <w:highlight w:val="none"/>
        </w:rPr>
        <w:t>服务</w:t>
      </w:r>
    </w:p>
    <w:p w14:paraId="1BAE0E7E">
      <w:pPr>
        <w:spacing w:line="360" w:lineRule="auto"/>
        <w:ind w:firstLine="420" w:firstLineChars="200"/>
        <w:rPr>
          <w:rFonts w:ascii="仿宋" w:hAnsi="仿宋" w:eastAsia="仿宋"/>
          <w:color w:val="auto"/>
          <w:szCs w:val="21"/>
          <w:highlight w:val="none"/>
        </w:rPr>
      </w:pPr>
      <w:r>
        <w:rPr>
          <w:rFonts w:hint="eastAsia" w:ascii="仿宋" w:hAnsi="仿宋" w:eastAsia="仿宋"/>
          <w:color w:val="auto"/>
          <w:szCs w:val="21"/>
          <w:highlight w:val="none"/>
        </w:rPr>
        <w:t>能提供预警对象智能止付、警情统计、智能止付、接警接口管理、案件与警情单关联、止付资金流表、止付资金流图、止付冻结报告等。</w:t>
      </w:r>
    </w:p>
    <w:p w14:paraId="28322B9D">
      <w:pPr>
        <w:spacing w:line="360" w:lineRule="auto"/>
        <w:ind w:firstLine="420" w:firstLineChars="200"/>
        <w:rPr>
          <w:rFonts w:ascii="仿宋" w:hAnsi="仿宋" w:eastAsia="仿宋"/>
          <w:color w:val="auto"/>
          <w:szCs w:val="21"/>
          <w:highlight w:val="none"/>
        </w:rPr>
      </w:pPr>
      <w:r>
        <w:rPr>
          <w:rFonts w:ascii="仿宋" w:hAnsi="仿宋" w:eastAsia="仿宋"/>
          <w:color w:val="auto"/>
          <w:szCs w:val="21"/>
          <w:highlight w:val="none"/>
        </w:rPr>
        <w:t>2.3</w:t>
      </w:r>
      <w:r>
        <w:rPr>
          <w:rFonts w:hint="eastAsia" w:ascii="仿宋" w:hAnsi="仿宋" w:eastAsia="仿宋"/>
          <w:color w:val="auto"/>
          <w:szCs w:val="21"/>
          <w:highlight w:val="none"/>
        </w:rPr>
        <w:t>保护性</w:t>
      </w:r>
      <w:r>
        <w:rPr>
          <w:rFonts w:ascii="仿宋" w:hAnsi="仿宋" w:eastAsia="仿宋"/>
          <w:color w:val="auto"/>
          <w:szCs w:val="21"/>
          <w:highlight w:val="none"/>
        </w:rPr>
        <w:t>止付服务</w:t>
      </w:r>
    </w:p>
    <w:p w14:paraId="0AD494A6">
      <w:pPr>
        <w:spacing w:line="360" w:lineRule="auto"/>
        <w:ind w:firstLine="420" w:firstLineChars="200"/>
        <w:rPr>
          <w:rFonts w:hint="eastAsia" w:ascii="仿宋" w:hAnsi="仿宋" w:eastAsia="仿宋"/>
          <w:color w:val="auto"/>
          <w:szCs w:val="21"/>
          <w:highlight w:val="none"/>
          <w:lang w:eastAsia="zh-CN"/>
        </w:rPr>
      </w:pPr>
      <w:r>
        <w:rPr>
          <w:rFonts w:hint="eastAsia" w:ascii="仿宋" w:hAnsi="仿宋" w:eastAsia="仿宋"/>
          <w:color w:val="auto"/>
          <w:szCs w:val="21"/>
          <w:highlight w:val="none"/>
        </w:rPr>
        <w:t>能实现对预警对象保护性止付、资金预警全量首轮保护性止付自动提交、资金预警全量首轮保护性止付自动审核等。</w:t>
      </w:r>
    </w:p>
    <w:p w14:paraId="7CE6E004">
      <w:pPr>
        <w:spacing w:line="360" w:lineRule="auto"/>
        <w:ind w:firstLine="420" w:firstLineChars="200"/>
        <w:rPr>
          <w:rFonts w:ascii="仿宋" w:hAnsi="仿宋" w:eastAsia="仿宋"/>
          <w:color w:val="auto"/>
          <w:szCs w:val="21"/>
          <w:highlight w:val="none"/>
        </w:rPr>
      </w:pPr>
      <w:r>
        <w:rPr>
          <w:rFonts w:hint="eastAsia" w:ascii="仿宋" w:hAnsi="仿宋" w:eastAsia="仿宋"/>
          <w:color w:val="auto"/>
          <w:szCs w:val="21"/>
          <w:highlight w:val="none"/>
        </w:rPr>
        <w:t>3、服务交付物</w:t>
      </w:r>
    </w:p>
    <w:p w14:paraId="0CFE1195">
      <w:pPr>
        <w:spacing w:line="360" w:lineRule="auto"/>
        <w:ind w:firstLine="420" w:firstLineChars="200"/>
        <w:rPr>
          <w:rFonts w:ascii="仿宋" w:hAnsi="仿宋" w:eastAsia="仿宋"/>
          <w:color w:val="auto"/>
          <w:szCs w:val="21"/>
          <w:highlight w:val="none"/>
        </w:rPr>
      </w:pPr>
      <w:r>
        <w:rPr>
          <w:rFonts w:hint="eastAsia" w:ascii="仿宋" w:hAnsi="仿宋" w:eastAsia="仿宋"/>
          <w:color w:val="auto"/>
          <w:szCs w:val="21"/>
          <w:highlight w:val="none"/>
        </w:rPr>
        <w:t>1）资金查控服务输出</w:t>
      </w:r>
      <w:r>
        <w:rPr>
          <w:rFonts w:ascii="仿宋" w:hAnsi="仿宋" w:eastAsia="仿宋"/>
          <w:color w:val="auto"/>
          <w:szCs w:val="21"/>
          <w:highlight w:val="none"/>
        </w:rPr>
        <w:t>C类分析报告</w:t>
      </w:r>
      <w:r>
        <w:rPr>
          <w:rFonts w:hint="eastAsia" w:ascii="仿宋" w:hAnsi="仿宋" w:eastAsia="仿宋"/>
          <w:color w:val="auto"/>
          <w:szCs w:val="21"/>
          <w:highlight w:val="none"/>
        </w:rPr>
        <w:t>不少于</w:t>
      </w:r>
      <w:r>
        <w:rPr>
          <w:rFonts w:hint="eastAsia" w:ascii="仿宋" w:hAnsi="仿宋" w:eastAsia="仿宋"/>
          <w:color w:val="auto"/>
          <w:szCs w:val="21"/>
          <w:highlight w:val="none"/>
          <w:lang w:val="en-US" w:eastAsia="zh-CN"/>
        </w:rPr>
        <w:t>2</w:t>
      </w:r>
      <w:r>
        <w:rPr>
          <w:rFonts w:hint="eastAsia" w:ascii="仿宋" w:hAnsi="仿宋" w:eastAsia="仿宋"/>
          <w:color w:val="auto"/>
          <w:szCs w:val="21"/>
          <w:highlight w:val="none"/>
        </w:rPr>
        <w:t>份；</w:t>
      </w:r>
    </w:p>
    <w:p w14:paraId="6CC7A833">
      <w:pPr>
        <w:spacing w:line="360" w:lineRule="auto"/>
        <w:ind w:firstLine="420" w:firstLineChars="200"/>
        <w:rPr>
          <w:rFonts w:ascii="仿宋" w:hAnsi="仿宋" w:eastAsia="仿宋"/>
          <w:color w:val="auto"/>
          <w:szCs w:val="21"/>
          <w:highlight w:val="none"/>
        </w:rPr>
      </w:pPr>
      <w:r>
        <w:rPr>
          <w:rFonts w:hint="eastAsia" w:ascii="仿宋" w:hAnsi="仿宋" w:eastAsia="仿宋"/>
          <w:color w:val="auto"/>
          <w:szCs w:val="21"/>
          <w:highlight w:val="none"/>
        </w:rPr>
        <w:t>2）智能止付服务输出</w:t>
      </w:r>
      <w:r>
        <w:rPr>
          <w:rFonts w:ascii="仿宋" w:hAnsi="仿宋" w:eastAsia="仿宋"/>
          <w:color w:val="auto"/>
          <w:szCs w:val="21"/>
          <w:highlight w:val="none"/>
        </w:rPr>
        <w:t>C类分析报告</w:t>
      </w:r>
      <w:r>
        <w:rPr>
          <w:rFonts w:hint="eastAsia" w:ascii="仿宋" w:hAnsi="仿宋" w:eastAsia="仿宋"/>
          <w:color w:val="auto"/>
          <w:szCs w:val="21"/>
          <w:highlight w:val="none"/>
        </w:rPr>
        <w:t>不少于</w:t>
      </w:r>
      <w:r>
        <w:rPr>
          <w:rFonts w:hint="eastAsia" w:ascii="仿宋" w:hAnsi="仿宋" w:eastAsia="仿宋"/>
          <w:color w:val="auto"/>
          <w:szCs w:val="21"/>
          <w:highlight w:val="none"/>
          <w:lang w:val="en-US" w:eastAsia="zh-CN"/>
        </w:rPr>
        <w:t>2</w:t>
      </w:r>
      <w:r>
        <w:rPr>
          <w:rFonts w:hint="eastAsia" w:ascii="仿宋" w:hAnsi="仿宋" w:eastAsia="仿宋"/>
          <w:color w:val="auto"/>
          <w:szCs w:val="21"/>
          <w:highlight w:val="none"/>
        </w:rPr>
        <w:t>份；</w:t>
      </w:r>
    </w:p>
    <w:p w14:paraId="040EC7BC">
      <w:pPr>
        <w:spacing w:line="360" w:lineRule="auto"/>
        <w:ind w:firstLine="420" w:firstLineChars="200"/>
        <w:rPr>
          <w:rFonts w:hint="eastAsia" w:ascii="仿宋" w:hAnsi="仿宋" w:eastAsia="仿宋"/>
          <w:color w:val="auto"/>
          <w:szCs w:val="21"/>
          <w:highlight w:val="none"/>
        </w:rPr>
      </w:pPr>
      <w:r>
        <w:rPr>
          <w:rFonts w:ascii="仿宋" w:hAnsi="仿宋" w:eastAsia="仿宋"/>
          <w:color w:val="auto"/>
          <w:szCs w:val="21"/>
          <w:highlight w:val="none"/>
        </w:rPr>
        <w:t>3</w:t>
      </w:r>
      <w:r>
        <w:rPr>
          <w:rFonts w:hint="eastAsia" w:ascii="仿宋" w:hAnsi="仿宋" w:eastAsia="仿宋"/>
          <w:color w:val="auto"/>
          <w:szCs w:val="21"/>
          <w:highlight w:val="none"/>
        </w:rPr>
        <w:t>）保护性止付服务输出</w:t>
      </w:r>
      <w:r>
        <w:rPr>
          <w:rFonts w:ascii="仿宋" w:hAnsi="仿宋" w:eastAsia="仿宋"/>
          <w:color w:val="auto"/>
          <w:szCs w:val="21"/>
          <w:highlight w:val="none"/>
        </w:rPr>
        <w:t>C类分析报告</w:t>
      </w:r>
      <w:r>
        <w:rPr>
          <w:rFonts w:hint="eastAsia" w:ascii="仿宋" w:hAnsi="仿宋" w:eastAsia="仿宋"/>
          <w:color w:val="auto"/>
          <w:szCs w:val="21"/>
          <w:highlight w:val="none"/>
        </w:rPr>
        <w:t>不少于</w:t>
      </w:r>
      <w:r>
        <w:rPr>
          <w:rFonts w:hint="eastAsia" w:ascii="仿宋" w:hAnsi="仿宋" w:eastAsia="仿宋"/>
          <w:color w:val="auto"/>
          <w:szCs w:val="21"/>
          <w:highlight w:val="none"/>
          <w:lang w:val="en-US" w:eastAsia="zh-CN"/>
        </w:rPr>
        <w:t>5</w:t>
      </w:r>
      <w:r>
        <w:rPr>
          <w:rFonts w:hint="eastAsia" w:ascii="仿宋" w:hAnsi="仿宋" w:eastAsia="仿宋"/>
          <w:color w:val="auto"/>
          <w:szCs w:val="21"/>
          <w:highlight w:val="none"/>
        </w:rPr>
        <w:t>份。</w:t>
      </w:r>
    </w:p>
    <w:p w14:paraId="2A9BAD4F">
      <w:pPr>
        <w:pStyle w:val="5"/>
        <w:numPr>
          <w:ilvl w:val="0"/>
          <w:numId w:val="7"/>
        </w:numPr>
        <w:spacing w:line="360" w:lineRule="auto"/>
        <w:ind w:left="1140" w:hanging="720"/>
        <w:rPr>
          <w:rFonts w:ascii="仿宋" w:hAnsi="仿宋" w:eastAsia="仿宋" w:cs="仿宋"/>
          <w:color w:val="auto"/>
          <w:sz w:val="21"/>
          <w:szCs w:val="21"/>
          <w:highlight w:val="none"/>
        </w:rPr>
      </w:pPr>
      <w:r>
        <w:rPr>
          <w:rFonts w:hint="eastAsia" w:ascii="仿宋" w:hAnsi="仿宋" w:eastAsia="仿宋" w:cs="仿宋"/>
          <w:color w:val="auto"/>
          <w:sz w:val="21"/>
          <w:szCs w:val="21"/>
          <w:highlight w:val="none"/>
        </w:rPr>
        <w:t>涉网诈骗预感探测数据服务</w:t>
      </w:r>
    </w:p>
    <w:p w14:paraId="1675DC5A">
      <w:pPr>
        <w:spacing w:line="360" w:lineRule="auto"/>
        <w:ind w:firstLine="420" w:firstLineChars="200"/>
        <w:rPr>
          <w:rFonts w:ascii="仿宋" w:hAnsi="仿宋" w:eastAsia="仿宋"/>
          <w:color w:val="auto"/>
          <w:szCs w:val="21"/>
          <w:highlight w:val="none"/>
        </w:rPr>
      </w:pPr>
      <w:r>
        <w:rPr>
          <w:rFonts w:hint="eastAsia" w:ascii="仿宋" w:hAnsi="仿宋" w:eastAsia="仿宋"/>
          <w:color w:val="auto"/>
          <w:szCs w:val="21"/>
          <w:highlight w:val="none"/>
        </w:rPr>
        <w:t>1、服务内容</w:t>
      </w:r>
    </w:p>
    <w:p w14:paraId="6846891A">
      <w:pPr>
        <w:spacing w:line="360" w:lineRule="auto"/>
        <w:ind w:firstLine="420" w:firstLineChars="200"/>
        <w:rPr>
          <w:rFonts w:ascii="仿宋" w:hAnsi="仿宋" w:eastAsia="仿宋"/>
          <w:color w:val="auto"/>
          <w:szCs w:val="21"/>
          <w:highlight w:val="none"/>
        </w:rPr>
      </w:pPr>
      <w:r>
        <w:rPr>
          <w:rFonts w:hint="eastAsia" w:ascii="仿宋" w:hAnsi="仿宋" w:eastAsia="仿宋"/>
          <w:color w:val="auto"/>
          <w:szCs w:val="21"/>
          <w:highlight w:val="none"/>
        </w:rPr>
        <w:t>通过大数据感知电信网络诈骗违法犯罪的新特点、新动向，探测具有涉诈特征的网站、</w:t>
      </w:r>
      <w:r>
        <w:rPr>
          <w:rFonts w:ascii="仿宋" w:hAnsi="仿宋" w:eastAsia="仿宋"/>
          <w:color w:val="auto"/>
          <w:szCs w:val="21"/>
          <w:highlight w:val="none"/>
        </w:rPr>
        <w:t>APP</w:t>
      </w:r>
      <w:r>
        <w:rPr>
          <w:rFonts w:hint="eastAsia" w:ascii="仿宋" w:hAnsi="仿宋" w:eastAsia="仿宋"/>
          <w:color w:val="auto"/>
          <w:szCs w:val="21"/>
          <w:highlight w:val="none"/>
        </w:rPr>
        <w:t>、电话、</w:t>
      </w:r>
      <w:r>
        <w:rPr>
          <w:rFonts w:ascii="仿宋" w:hAnsi="仿宋" w:eastAsia="仿宋"/>
          <w:color w:val="auto"/>
          <w:szCs w:val="21"/>
          <w:highlight w:val="none"/>
        </w:rPr>
        <w:t>银行</w:t>
      </w:r>
      <w:r>
        <w:rPr>
          <w:rFonts w:hint="eastAsia" w:ascii="仿宋" w:hAnsi="仿宋" w:eastAsia="仿宋"/>
          <w:color w:val="auto"/>
          <w:szCs w:val="21"/>
          <w:highlight w:val="none"/>
        </w:rPr>
        <w:t>等数据，抓取用于诈骗的</w:t>
      </w:r>
      <w:r>
        <w:rPr>
          <w:rFonts w:ascii="仿宋" w:hAnsi="仿宋" w:eastAsia="仿宋"/>
          <w:color w:val="auto"/>
          <w:szCs w:val="21"/>
          <w:highlight w:val="none"/>
        </w:rPr>
        <w:t>VOIP</w:t>
      </w:r>
      <w:r>
        <w:rPr>
          <w:rFonts w:hint="eastAsia" w:ascii="仿宋" w:hAnsi="仿宋" w:eastAsia="仿宋"/>
          <w:color w:val="auto"/>
          <w:szCs w:val="21"/>
          <w:highlight w:val="none"/>
        </w:rPr>
        <w:t>、</w:t>
      </w:r>
      <w:r>
        <w:rPr>
          <w:rFonts w:ascii="仿宋" w:hAnsi="仿宋" w:eastAsia="仿宋"/>
          <w:color w:val="auto"/>
          <w:szCs w:val="21"/>
          <w:highlight w:val="none"/>
        </w:rPr>
        <w:t>GOIP</w:t>
      </w:r>
      <w:r>
        <w:rPr>
          <w:rFonts w:hint="eastAsia" w:ascii="仿宋" w:hAnsi="仿宋" w:eastAsia="仿宋"/>
          <w:color w:val="auto"/>
          <w:szCs w:val="21"/>
          <w:highlight w:val="none"/>
        </w:rPr>
        <w:t>电话及涉网</w:t>
      </w:r>
      <w:r>
        <w:rPr>
          <w:rFonts w:ascii="仿宋" w:hAnsi="仿宋" w:eastAsia="仿宋"/>
          <w:color w:val="auto"/>
          <w:szCs w:val="21"/>
          <w:highlight w:val="none"/>
        </w:rPr>
        <w:t>犯罪关联</w:t>
      </w:r>
      <w:r>
        <w:rPr>
          <w:rFonts w:hint="eastAsia" w:ascii="仿宋" w:hAnsi="仿宋" w:eastAsia="仿宋"/>
          <w:color w:val="auto"/>
          <w:szCs w:val="21"/>
          <w:highlight w:val="none"/>
        </w:rPr>
        <w:t>银行卡</w:t>
      </w:r>
      <w:r>
        <w:rPr>
          <w:rFonts w:ascii="仿宋" w:hAnsi="仿宋" w:eastAsia="仿宋"/>
          <w:color w:val="auto"/>
          <w:szCs w:val="21"/>
          <w:highlight w:val="none"/>
        </w:rPr>
        <w:t>等</w:t>
      </w:r>
      <w:r>
        <w:rPr>
          <w:rFonts w:hint="eastAsia" w:ascii="仿宋" w:hAnsi="仿宋" w:eastAsia="仿宋"/>
          <w:color w:val="auto"/>
          <w:szCs w:val="21"/>
          <w:highlight w:val="none"/>
        </w:rPr>
        <w:t>其它电信网络技术数据信息，及时收集更新黑样本库，精准发现本地潜在受害人和</w:t>
      </w:r>
      <w:r>
        <w:rPr>
          <w:rFonts w:ascii="仿宋" w:hAnsi="仿宋" w:eastAsia="仿宋"/>
          <w:color w:val="auto"/>
          <w:szCs w:val="21"/>
          <w:highlight w:val="none"/>
        </w:rPr>
        <w:t>其他可疑人员</w:t>
      </w:r>
      <w:r>
        <w:rPr>
          <w:rFonts w:hint="eastAsia" w:ascii="仿宋" w:hAnsi="仿宋" w:eastAsia="仿宋"/>
          <w:color w:val="auto"/>
          <w:szCs w:val="21"/>
          <w:highlight w:val="none"/>
        </w:rPr>
        <w:t>。支持数据端口接入，将数据信息推送至采购单位开展侦防工作，以便于</w:t>
      </w:r>
      <w:r>
        <w:rPr>
          <w:rFonts w:hint="eastAsia" w:ascii="仿宋" w:hAnsi="仿宋" w:eastAsia="仿宋"/>
          <w:color w:val="auto"/>
          <w:szCs w:val="21"/>
          <w:highlight w:val="none"/>
          <w:lang w:eastAsia="zh-CN"/>
        </w:rPr>
        <w:t>甲方</w:t>
      </w:r>
      <w:r>
        <w:rPr>
          <w:rFonts w:hint="eastAsia" w:ascii="仿宋" w:hAnsi="仿宋" w:eastAsia="仿宋"/>
          <w:color w:val="auto"/>
          <w:szCs w:val="21"/>
          <w:highlight w:val="none"/>
        </w:rPr>
        <w:t>统计分析，提供数据端口维护服务。在数据完整度上，要求提供预感数据的涉诈类型、等级信息，为下步工作提供有效支撑。在数据时效性上，要求提升感知敏锐度，数据推送在被害人（潜在被害人）被骗转账之前。在数据精准度上，要求数据有效率在</w:t>
      </w:r>
      <w:r>
        <w:rPr>
          <w:rFonts w:ascii="仿宋" w:hAnsi="仿宋" w:eastAsia="仿宋"/>
          <w:color w:val="auto"/>
          <w:szCs w:val="21"/>
          <w:highlight w:val="none"/>
        </w:rPr>
        <w:t>60%</w:t>
      </w:r>
      <w:r>
        <w:rPr>
          <w:rFonts w:hint="eastAsia" w:ascii="仿宋" w:hAnsi="仿宋" w:eastAsia="仿宋"/>
          <w:color w:val="auto"/>
          <w:szCs w:val="21"/>
          <w:highlight w:val="none"/>
        </w:rPr>
        <w:t>以上，即经与潜在受害人确认，因未触及涉诈行为或数据推送在已被骗转账之后的数据不超过</w:t>
      </w:r>
      <w:r>
        <w:rPr>
          <w:rFonts w:ascii="仿宋" w:hAnsi="仿宋" w:eastAsia="仿宋"/>
          <w:color w:val="auto"/>
          <w:szCs w:val="21"/>
          <w:highlight w:val="none"/>
        </w:rPr>
        <w:t>40%</w:t>
      </w:r>
      <w:r>
        <w:rPr>
          <w:rFonts w:hint="eastAsia" w:ascii="仿宋" w:hAnsi="仿宋" w:eastAsia="仿宋"/>
          <w:color w:val="auto"/>
          <w:szCs w:val="21"/>
          <w:highlight w:val="none"/>
        </w:rPr>
        <w:t>。</w:t>
      </w:r>
    </w:p>
    <w:p w14:paraId="3C85381A">
      <w:pPr>
        <w:spacing w:line="360" w:lineRule="auto"/>
        <w:ind w:firstLine="420" w:firstLineChars="200"/>
        <w:rPr>
          <w:rFonts w:ascii="仿宋" w:hAnsi="仿宋" w:eastAsia="仿宋"/>
          <w:color w:val="auto"/>
          <w:szCs w:val="21"/>
          <w:highlight w:val="none"/>
        </w:rPr>
      </w:pPr>
      <w:r>
        <w:rPr>
          <w:rFonts w:hint="eastAsia" w:ascii="仿宋" w:hAnsi="仿宋" w:eastAsia="仿宋"/>
          <w:color w:val="auto"/>
          <w:szCs w:val="21"/>
          <w:highlight w:val="none"/>
        </w:rPr>
        <w:t>2、服务交付物</w:t>
      </w:r>
    </w:p>
    <w:p w14:paraId="1F168F18">
      <w:pPr>
        <w:spacing w:line="360" w:lineRule="auto"/>
        <w:ind w:firstLine="420" w:firstLineChars="200"/>
        <w:rPr>
          <w:rFonts w:ascii="仿宋" w:hAnsi="仿宋" w:eastAsia="仿宋"/>
          <w:color w:val="auto"/>
          <w:szCs w:val="21"/>
          <w:highlight w:val="none"/>
        </w:rPr>
      </w:pPr>
      <w:r>
        <w:rPr>
          <w:rFonts w:hint="eastAsia" w:ascii="仿宋" w:hAnsi="仿宋" w:eastAsia="仿宋"/>
          <w:color w:val="auto"/>
          <w:szCs w:val="21"/>
          <w:highlight w:val="none"/>
        </w:rPr>
        <w:t>1）服务期内完成监测数据推送不少于</w:t>
      </w:r>
      <w:r>
        <w:rPr>
          <w:rFonts w:hint="eastAsia" w:ascii="仿宋" w:hAnsi="仿宋" w:eastAsia="仿宋"/>
          <w:color w:val="auto"/>
          <w:szCs w:val="21"/>
          <w:highlight w:val="none"/>
          <w:lang w:val="en-US" w:eastAsia="zh-CN"/>
        </w:rPr>
        <w:t>38</w:t>
      </w:r>
      <w:r>
        <w:rPr>
          <w:rFonts w:ascii="仿宋" w:hAnsi="仿宋" w:eastAsia="仿宋"/>
          <w:color w:val="auto"/>
          <w:szCs w:val="21"/>
          <w:highlight w:val="none"/>
        </w:rPr>
        <w:t>0000</w:t>
      </w:r>
      <w:r>
        <w:rPr>
          <w:rFonts w:hint="eastAsia" w:ascii="仿宋" w:hAnsi="仿宋" w:eastAsia="仿宋"/>
          <w:color w:val="auto"/>
          <w:szCs w:val="21"/>
          <w:highlight w:val="none"/>
        </w:rPr>
        <w:t>条。</w:t>
      </w:r>
    </w:p>
    <w:p w14:paraId="30529D6B">
      <w:pPr>
        <w:pStyle w:val="5"/>
        <w:numPr>
          <w:ilvl w:val="0"/>
          <w:numId w:val="7"/>
        </w:numPr>
        <w:spacing w:line="360" w:lineRule="auto"/>
        <w:ind w:left="1140" w:hanging="720"/>
        <w:rPr>
          <w:rFonts w:ascii="仿宋" w:hAnsi="仿宋" w:eastAsia="仿宋" w:cs="仿宋"/>
          <w:color w:val="auto"/>
          <w:sz w:val="21"/>
          <w:szCs w:val="21"/>
          <w:highlight w:val="none"/>
        </w:rPr>
      </w:pPr>
      <w:r>
        <w:rPr>
          <w:rFonts w:hint="eastAsia" w:ascii="仿宋" w:hAnsi="仿宋" w:eastAsia="仿宋" w:cs="仿宋"/>
          <w:color w:val="auto"/>
          <w:sz w:val="21"/>
          <w:szCs w:val="21"/>
          <w:highlight w:val="none"/>
        </w:rPr>
        <w:t>涉网新型案件行为分析服务</w:t>
      </w:r>
    </w:p>
    <w:p w14:paraId="1DD0C4E2">
      <w:pPr>
        <w:spacing w:line="360" w:lineRule="auto"/>
        <w:ind w:firstLine="420" w:firstLineChars="200"/>
        <w:rPr>
          <w:rFonts w:ascii="仿宋" w:hAnsi="仿宋" w:eastAsia="仿宋"/>
          <w:color w:val="auto"/>
          <w:szCs w:val="21"/>
          <w:highlight w:val="none"/>
        </w:rPr>
      </w:pPr>
      <w:r>
        <w:rPr>
          <w:rFonts w:hint="eastAsia" w:ascii="仿宋" w:hAnsi="仿宋" w:eastAsia="仿宋"/>
          <w:color w:val="auto"/>
          <w:szCs w:val="21"/>
          <w:highlight w:val="none"/>
        </w:rPr>
        <w:t>1、服务要求</w:t>
      </w:r>
    </w:p>
    <w:p w14:paraId="1EC83A8A">
      <w:pPr>
        <w:spacing w:line="360" w:lineRule="auto"/>
        <w:ind w:firstLine="420" w:firstLineChars="200"/>
        <w:rPr>
          <w:rFonts w:ascii="仿宋" w:hAnsi="仿宋" w:eastAsia="仿宋"/>
          <w:color w:val="auto"/>
          <w:szCs w:val="21"/>
          <w:highlight w:val="none"/>
        </w:rPr>
      </w:pPr>
      <w:r>
        <w:rPr>
          <w:rFonts w:hint="eastAsia" w:ascii="仿宋" w:hAnsi="仿宋" w:eastAsia="仿宋"/>
          <w:color w:val="auto"/>
          <w:szCs w:val="21"/>
          <w:highlight w:val="none"/>
        </w:rPr>
        <w:t>以互联网移动终端设备为切入点，利用涉网行为进行综合分析，辅助分析可疑犯罪设备，扩线团伙成员、刻画团伙行为、挖掘犯罪活动轨迹，为案件侦办和落地提供手段支撑；根据涉案网络信息分析潜在受害者与可疑窝点，辅助侦防溯源，为涉网新型案件阻断提供数据支撑；利用大数据资源与全域定位能力，综合研判可疑应用信息和涉网新型犯罪团伙，分析辖区内潜在的可疑窝点及群体，主动发现风险隐患，进行线索推送，为辖区防控提供情报支撑。</w:t>
      </w:r>
    </w:p>
    <w:p w14:paraId="7AAE949A">
      <w:pPr>
        <w:spacing w:line="360" w:lineRule="auto"/>
        <w:ind w:firstLine="420" w:firstLineChars="200"/>
        <w:rPr>
          <w:rFonts w:ascii="仿宋" w:hAnsi="仿宋" w:eastAsia="仿宋"/>
          <w:color w:val="auto"/>
          <w:szCs w:val="21"/>
          <w:highlight w:val="none"/>
        </w:rPr>
      </w:pPr>
      <w:r>
        <w:rPr>
          <w:rFonts w:hint="eastAsia" w:ascii="仿宋" w:hAnsi="仿宋" w:eastAsia="仿宋"/>
          <w:color w:val="auto"/>
          <w:szCs w:val="21"/>
          <w:highlight w:val="none"/>
        </w:rPr>
        <w:t>2、服务内容</w:t>
      </w:r>
    </w:p>
    <w:p w14:paraId="0D495FF9">
      <w:pPr>
        <w:spacing w:line="360" w:lineRule="auto"/>
        <w:ind w:firstLine="420" w:firstLineChars="200"/>
        <w:rPr>
          <w:rFonts w:ascii="仿宋" w:hAnsi="仿宋" w:eastAsia="仿宋"/>
          <w:color w:val="auto"/>
          <w:szCs w:val="21"/>
          <w:highlight w:val="none"/>
        </w:rPr>
      </w:pPr>
      <w:r>
        <w:rPr>
          <w:rFonts w:hint="eastAsia" w:ascii="仿宋" w:hAnsi="仿宋" w:eastAsia="仿宋"/>
          <w:color w:val="auto"/>
          <w:szCs w:val="21"/>
          <w:highlight w:val="none"/>
        </w:rPr>
        <w:t>2.1、大数据辅助分析服务</w:t>
      </w:r>
    </w:p>
    <w:p w14:paraId="1AF70CCA">
      <w:pPr>
        <w:spacing w:line="360" w:lineRule="auto"/>
        <w:ind w:firstLine="420" w:firstLineChars="200"/>
        <w:rPr>
          <w:rFonts w:ascii="仿宋" w:hAnsi="仿宋" w:eastAsia="仿宋"/>
          <w:color w:val="auto"/>
          <w:szCs w:val="21"/>
          <w:highlight w:val="none"/>
        </w:rPr>
      </w:pPr>
      <w:r>
        <w:rPr>
          <w:rFonts w:hint="eastAsia" w:ascii="仿宋" w:hAnsi="仿宋" w:eastAsia="仿宋"/>
          <w:color w:val="auto"/>
          <w:szCs w:val="21"/>
          <w:highlight w:val="none"/>
        </w:rPr>
        <w:t>提供大数据辅助分析服务，通过整合社会面大数据资源，提高情报采集的及时性，从各个角度给用户画像，挖掘关联线索。利用线上大数据的使用，有效减少前期情报收集时间，通过画像分析、空间提数分析、场景追侦分析和设备追逃分析，将有限人力资源投入到更专业的分析、甄别、判断工作之中。</w:t>
      </w:r>
    </w:p>
    <w:p w14:paraId="6134E478">
      <w:pPr>
        <w:spacing w:line="360" w:lineRule="auto"/>
        <w:ind w:firstLine="420" w:firstLineChars="200"/>
        <w:rPr>
          <w:rFonts w:ascii="仿宋" w:hAnsi="仿宋" w:eastAsia="仿宋"/>
          <w:color w:val="auto"/>
          <w:szCs w:val="21"/>
          <w:highlight w:val="none"/>
        </w:rPr>
      </w:pPr>
      <w:r>
        <w:rPr>
          <w:rFonts w:hint="eastAsia" w:ascii="仿宋" w:hAnsi="仿宋" w:eastAsia="仿宋"/>
          <w:color w:val="auto"/>
          <w:szCs w:val="21"/>
          <w:highlight w:val="none"/>
        </w:rPr>
        <w:t>2.2、涉网新型行为分析服务</w:t>
      </w:r>
    </w:p>
    <w:p w14:paraId="6BB5D8C7">
      <w:pPr>
        <w:spacing w:line="360" w:lineRule="auto"/>
        <w:ind w:firstLine="420" w:firstLineChars="200"/>
        <w:rPr>
          <w:rFonts w:ascii="仿宋" w:hAnsi="仿宋" w:eastAsia="仿宋"/>
          <w:color w:val="auto"/>
          <w:szCs w:val="21"/>
          <w:highlight w:val="none"/>
        </w:rPr>
      </w:pPr>
      <w:r>
        <w:rPr>
          <w:rFonts w:hint="eastAsia" w:ascii="仿宋" w:hAnsi="仿宋" w:eastAsia="仿宋"/>
          <w:color w:val="auto"/>
          <w:szCs w:val="21"/>
          <w:highlight w:val="none"/>
        </w:rPr>
        <w:t>基于互联网犯罪移动终端设备，通过获取到的网络行为痕迹数据进行侦防分析，在涉网违法犯罪案件侦办过程中，辅助研判人员分析可疑窝点，刻画犯罪团伙成员行为，挖掘犯罪活动轨迹，为案件侦办和落地提供手段支撑。</w:t>
      </w:r>
    </w:p>
    <w:p w14:paraId="418421FF">
      <w:pPr>
        <w:spacing w:line="360" w:lineRule="auto"/>
        <w:ind w:firstLine="420" w:firstLineChars="200"/>
        <w:rPr>
          <w:rFonts w:ascii="仿宋" w:hAnsi="仿宋" w:eastAsia="仿宋"/>
          <w:color w:val="auto"/>
          <w:szCs w:val="21"/>
          <w:highlight w:val="none"/>
        </w:rPr>
      </w:pPr>
      <w:r>
        <w:rPr>
          <w:rFonts w:hint="eastAsia" w:ascii="仿宋" w:hAnsi="仿宋" w:eastAsia="仿宋"/>
          <w:color w:val="auto"/>
          <w:szCs w:val="21"/>
          <w:highlight w:val="none"/>
        </w:rPr>
        <w:t>3、服务交付物</w:t>
      </w:r>
    </w:p>
    <w:p w14:paraId="36785C8F">
      <w:pPr>
        <w:spacing w:line="360" w:lineRule="auto"/>
        <w:ind w:firstLine="420" w:firstLineChars="200"/>
        <w:rPr>
          <w:rFonts w:hint="eastAsia" w:ascii="仿宋" w:hAnsi="仿宋" w:eastAsia="仿宋"/>
          <w:color w:val="auto"/>
          <w:szCs w:val="21"/>
          <w:highlight w:val="none"/>
        </w:rPr>
      </w:pPr>
      <w:r>
        <w:rPr>
          <w:rFonts w:hint="eastAsia" w:ascii="仿宋" w:hAnsi="仿宋" w:eastAsia="仿宋"/>
          <w:color w:val="auto"/>
          <w:szCs w:val="21"/>
          <w:highlight w:val="none"/>
        </w:rPr>
        <w:t>1）</w:t>
      </w:r>
      <w:r>
        <w:rPr>
          <w:rFonts w:hint="eastAsia" w:ascii="仿宋" w:hAnsi="仿宋" w:eastAsia="仿宋" w:cs="仿宋"/>
          <w:color w:val="auto"/>
          <w:szCs w:val="21"/>
          <w:highlight w:val="none"/>
        </w:rPr>
        <w:t>提供涉诈设备大数据辅助分析和涉网新型行为分析服务不少于</w:t>
      </w:r>
      <w:r>
        <w:rPr>
          <w:rFonts w:hint="eastAsia" w:ascii="仿宋" w:hAnsi="仿宋" w:eastAsia="仿宋" w:cs="仿宋"/>
          <w:color w:val="auto"/>
          <w:szCs w:val="21"/>
          <w:highlight w:val="none"/>
          <w:lang w:val="en-US" w:eastAsia="zh-CN"/>
        </w:rPr>
        <w:t>1</w:t>
      </w:r>
      <w:r>
        <w:rPr>
          <w:rFonts w:hint="eastAsia" w:ascii="仿宋" w:hAnsi="仿宋" w:eastAsia="仿宋" w:cs="仿宋"/>
          <w:color w:val="auto"/>
          <w:szCs w:val="21"/>
          <w:highlight w:val="none"/>
        </w:rPr>
        <w:t>0次，</w:t>
      </w:r>
      <w:r>
        <w:rPr>
          <w:rFonts w:hint="eastAsia" w:ascii="仿宋" w:hAnsi="仿宋" w:eastAsia="仿宋"/>
          <w:color w:val="auto"/>
          <w:szCs w:val="21"/>
          <w:highlight w:val="none"/>
        </w:rPr>
        <w:t>输出</w:t>
      </w:r>
      <w:r>
        <w:rPr>
          <w:rFonts w:ascii="仿宋" w:hAnsi="仿宋" w:eastAsia="仿宋"/>
          <w:color w:val="auto"/>
          <w:szCs w:val="21"/>
          <w:highlight w:val="none"/>
        </w:rPr>
        <w:t>C类分析报告不少于</w:t>
      </w:r>
      <w:r>
        <w:rPr>
          <w:rFonts w:hint="eastAsia" w:ascii="仿宋" w:hAnsi="仿宋" w:eastAsia="仿宋"/>
          <w:color w:val="auto"/>
          <w:szCs w:val="21"/>
          <w:highlight w:val="none"/>
          <w:lang w:val="en-US" w:eastAsia="zh-CN"/>
        </w:rPr>
        <w:t>18</w:t>
      </w:r>
      <w:r>
        <w:rPr>
          <w:rFonts w:ascii="仿宋" w:hAnsi="仿宋" w:eastAsia="仿宋"/>
          <w:color w:val="auto"/>
          <w:szCs w:val="21"/>
          <w:highlight w:val="none"/>
        </w:rPr>
        <w:t>份</w:t>
      </w:r>
      <w:r>
        <w:rPr>
          <w:rFonts w:hint="eastAsia" w:ascii="仿宋" w:hAnsi="仿宋" w:eastAsia="仿宋"/>
          <w:color w:val="auto"/>
          <w:szCs w:val="21"/>
          <w:highlight w:val="none"/>
        </w:rPr>
        <w:t>；</w:t>
      </w:r>
    </w:p>
    <w:p w14:paraId="75183192">
      <w:pPr>
        <w:pStyle w:val="5"/>
        <w:numPr>
          <w:ilvl w:val="0"/>
          <w:numId w:val="7"/>
        </w:numPr>
        <w:spacing w:line="360" w:lineRule="auto"/>
        <w:ind w:left="1140" w:hanging="720"/>
        <w:rPr>
          <w:rFonts w:ascii="仿宋" w:hAnsi="仿宋" w:eastAsia="仿宋" w:cs="仿宋"/>
          <w:color w:val="auto"/>
          <w:sz w:val="21"/>
          <w:szCs w:val="21"/>
          <w:highlight w:val="none"/>
        </w:rPr>
      </w:pPr>
      <w:r>
        <w:rPr>
          <w:rFonts w:hint="eastAsia" w:ascii="仿宋" w:hAnsi="仿宋" w:eastAsia="仿宋" w:cs="仿宋"/>
          <w:color w:val="auto"/>
          <w:sz w:val="21"/>
          <w:szCs w:val="21"/>
          <w:highlight w:val="none"/>
        </w:rPr>
        <w:t>新型涉网案件智勘联侦分析系统服务</w:t>
      </w:r>
    </w:p>
    <w:p w14:paraId="44870287">
      <w:pPr>
        <w:spacing w:line="360" w:lineRule="auto"/>
        <w:ind w:firstLine="420" w:firstLineChars="200"/>
        <w:rPr>
          <w:rFonts w:ascii="仿宋" w:hAnsi="仿宋" w:eastAsia="仿宋"/>
          <w:color w:val="auto"/>
          <w:szCs w:val="21"/>
          <w:highlight w:val="none"/>
        </w:rPr>
      </w:pPr>
      <w:r>
        <w:rPr>
          <w:rFonts w:hint="eastAsia" w:ascii="仿宋" w:hAnsi="仿宋" w:eastAsia="仿宋"/>
          <w:color w:val="auto"/>
          <w:szCs w:val="21"/>
          <w:highlight w:val="none"/>
        </w:rPr>
        <w:t>1、服务要求</w:t>
      </w:r>
    </w:p>
    <w:p w14:paraId="3340CC46">
      <w:pPr>
        <w:spacing w:line="360" w:lineRule="auto"/>
        <w:ind w:firstLine="420" w:firstLineChars="200"/>
        <w:rPr>
          <w:rFonts w:ascii="仿宋" w:hAnsi="仿宋" w:eastAsia="仿宋"/>
          <w:color w:val="auto"/>
          <w:szCs w:val="21"/>
          <w:highlight w:val="none"/>
        </w:rPr>
      </w:pPr>
      <w:r>
        <w:rPr>
          <w:rFonts w:hint="eastAsia" w:ascii="仿宋" w:hAnsi="仿宋" w:eastAsia="仿宋"/>
          <w:color w:val="auto"/>
          <w:szCs w:val="21"/>
          <w:highlight w:val="none"/>
        </w:rPr>
        <w:t>基于涉网新型案件全国涉诈黑样本库，支持查看涉诈网络数据信息，对前端采集设备提交的涉诈数据进行深度智能分析，发现辖区案件侦查线索，支持样本数据库涉诈数据的去重、补全及标签化后定期推送。</w:t>
      </w:r>
    </w:p>
    <w:p w14:paraId="04B7D404">
      <w:pPr>
        <w:spacing w:line="360" w:lineRule="auto"/>
        <w:ind w:firstLine="420" w:firstLineChars="200"/>
        <w:rPr>
          <w:rFonts w:ascii="仿宋" w:hAnsi="仿宋" w:eastAsia="仿宋"/>
          <w:color w:val="auto"/>
          <w:szCs w:val="21"/>
          <w:highlight w:val="none"/>
        </w:rPr>
      </w:pPr>
      <w:r>
        <w:rPr>
          <w:rFonts w:hint="eastAsia" w:ascii="仿宋" w:hAnsi="仿宋" w:eastAsia="仿宋"/>
          <w:color w:val="auto"/>
          <w:szCs w:val="21"/>
          <w:highlight w:val="none"/>
        </w:rPr>
        <w:t>2、服务内容</w:t>
      </w:r>
    </w:p>
    <w:p w14:paraId="5E60438B">
      <w:pPr>
        <w:spacing w:line="360" w:lineRule="auto"/>
        <w:ind w:firstLine="420" w:firstLineChars="200"/>
        <w:rPr>
          <w:rFonts w:ascii="仿宋" w:hAnsi="仿宋" w:eastAsia="仿宋"/>
          <w:color w:val="auto"/>
          <w:szCs w:val="21"/>
          <w:highlight w:val="none"/>
        </w:rPr>
      </w:pPr>
      <w:r>
        <w:rPr>
          <w:rFonts w:hint="eastAsia" w:ascii="仿宋" w:hAnsi="仿宋" w:eastAsia="仿宋"/>
          <w:color w:val="auto"/>
          <w:szCs w:val="21"/>
          <w:highlight w:val="none"/>
        </w:rPr>
        <w:t>2.1、取证数据推送和分析支撑服务</w:t>
      </w:r>
    </w:p>
    <w:p w14:paraId="2FE6591D">
      <w:pPr>
        <w:spacing w:line="360" w:lineRule="auto"/>
        <w:ind w:firstLine="420" w:firstLineChars="200"/>
        <w:rPr>
          <w:rFonts w:ascii="仿宋" w:hAnsi="仿宋" w:eastAsia="仿宋"/>
          <w:color w:val="auto"/>
          <w:szCs w:val="21"/>
          <w:highlight w:val="none"/>
        </w:rPr>
      </w:pPr>
      <w:r>
        <w:rPr>
          <w:rFonts w:hint="eastAsia" w:ascii="仿宋" w:hAnsi="仿宋" w:eastAsia="仿宋"/>
          <w:color w:val="auto"/>
          <w:szCs w:val="21"/>
          <w:highlight w:val="none"/>
        </w:rPr>
        <w:t>定期推送经过去重、补全、标签化后的黑样本数据、现勘工作提取的涉诈网络数据，进行涉网勘验案件全网串并案分析，发现辖区串并案件侦查线索。</w:t>
      </w:r>
    </w:p>
    <w:p w14:paraId="02A86CC3">
      <w:pPr>
        <w:spacing w:line="360" w:lineRule="auto"/>
        <w:ind w:firstLine="420" w:firstLineChars="200"/>
        <w:rPr>
          <w:rFonts w:ascii="仿宋" w:hAnsi="仿宋" w:eastAsia="仿宋"/>
          <w:color w:val="auto"/>
          <w:szCs w:val="21"/>
          <w:highlight w:val="none"/>
        </w:rPr>
      </w:pPr>
      <w:r>
        <w:rPr>
          <w:rFonts w:hint="eastAsia" w:ascii="仿宋" w:hAnsi="仿宋" w:eastAsia="仿宋"/>
          <w:color w:val="auto"/>
          <w:szCs w:val="21"/>
          <w:highlight w:val="none"/>
        </w:rPr>
        <w:t>2.2、数据信息查询服务</w:t>
      </w:r>
    </w:p>
    <w:p w14:paraId="27ECEA94">
      <w:pPr>
        <w:spacing w:line="360" w:lineRule="auto"/>
        <w:ind w:firstLine="420" w:firstLineChars="200"/>
        <w:rPr>
          <w:rFonts w:ascii="仿宋" w:hAnsi="仿宋" w:eastAsia="仿宋"/>
          <w:color w:val="auto"/>
          <w:szCs w:val="21"/>
          <w:highlight w:val="none"/>
        </w:rPr>
      </w:pPr>
      <w:r>
        <w:rPr>
          <w:rFonts w:hint="eastAsia" w:ascii="仿宋" w:hAnsi="仿宋" w:eastAsia="仿宋"/>
          <w:color w:val="auto"/>
          <w:szCs w:val="21"/>
          <w:highlight w:val="none"/>
        </w:rPr>
        <w:t>基于现勘服务平台全国涉诈黑样本库，支持查看涉诈网络数据信息，对前端采集设备所提交的涉诈检测取证数据进行深度智能分析。</w:t>
      </w:r>
    </w:p>
    <w:p w14:paraId="77BDD8DD">
      <w:pPr>
        <w:spacing w:line="360" w:lineRule="auto"/>
        <w:ind w:firstLine="420" w:firstLineChars="200"/>
        <w:rPr>
          <w:rFonts w:ascii="仿宋" w:hAnsi="仿宋" w:eastAsia="仿宋"/>
          <w:color w:val="auto"/>
          <w:szCs w:val="21"/>
          <w:highlight w:val="none"/>
        </w:rPr>
      </w:pPr>
      <w:r>
        <w:rPr>
          <w:rFonts w:hint="eastAsia" w:ascii="仿宋" w:hAnsi="仿宋" w:eastAsia="仿宋"/>
          <w:color w:val="auto"/>
          <w:szCs w:val="21"/>
          <w:highlight w:val="none"/>
        </w:rPr>
        <w:t>3、服务交付物</w:t>
      </w:r>
    </w:p>
    <w:p w14:paraId="0F095A28">
      <w:pPr>
        <w:spacing w:line="360" w:lineRule="auto"/>
        <w:ind w:firstLine="420" w:firstLineChars="200"/>
        <w:rPr>
          <w:rFonts w:ascii="仿宋" w:hAnsi="仿宋" w:eastAsia="仿宋" w:cs="仿宋"/>
          <w:color w:val="auto"/>
          <w:kern w:val="0"/>
          <w:szCs w:val="21"/>
          <w:highlight w:val="none"/>
          <w:lang w:bidi="ar"/>
        </w:rPr>
      </w:pPr>
      <w:r>
        <w:rPr>
          <w:rFonts w:hint="eastAsia" w:ascii="仿宋" w:hAnsi="仿宋" w:eastAsia="仿宋"/>
          <w:color w:val="auto"/>
          <w:szCs w:val="21"/>
          <w:highlight w:val="none"/>
        </w:rPr>
        <w:t>1）</w:t>
      </w:r>
      <w:r>
        <w:rPr>
          <w:rFonts w:hint="eastAsia" w:ascii="仿宋" w:hAnsi="仿宋" w:eastAsia="仿宋" w:cs="仿宋"/>
          <w:color w:val="auto"/>
          <w:kern w:val="0"/>
          <w:szCs w:val="21"/>
          <w:highlight w:val="none"/>
          <w:lang w:bidi="ar"/>
        </w:rPr>
        <w:t>提供取证数据深度智能分析、研判支撑等案件服务不少于</w:t>
      </w:r>
      <w:r>
        <w:rPr>
          <w:rFonts w:hint="eastAsia" w:ascii="仿宋" w:hAnsi="仿宋" w:eastAsia="仿宋" w:cs="仿宋"/>
          <w:color w:val="auto"/>
          <w:kern w:val="0"/>
          <w:szCs w:val="21"/>
          <w:highlight w:val="none"/>
          <w:lang w:val="en-US" w:eastAsia="zh-CN" w:bidi="ar"/>
        </w:rPr>
        <w:t>6</w:t>
      </w:r>
      <w:r>
        <w:rPr>
          <w:rFonts w:hint="eastAsia" w:ascii="仿宋" w:hAnsi="仿宋" w:eastAsia="仿宋" w:cs="仿宋"/>
          <w:color w:val="auto"/>
          <w:kern w:val="0"/>
          <w:szCs w:val="21"/>
          <w:highlight w:val="none"/>
          <w:lang w:bidi="ar"/>
        </w:rPr>
        <w:t>个，</w:t>
      </w:r>
      <w:r>
        <w:rPr>
          <w:rFonts w:hint="eastAsia" w:ascii="仿宋" w:hAnsi="仿宋" w:eastAsia="仿宋"/>
          <w:color w:val="auto"/>
          <w:szCs w:val="21"/>
          <w:highlight w:val="none"/>
        </w:rPr>
        <w:t>输出</w:t>
      </w:r>
      <w:r>
        <w:rPr>
          <w:rFonts w:ascii="仿宋" w:hAnsi="仿宋" w:eastAsia="仿宋"/>
          <w:color w:val="auto"/>
          <w:szCs w:val="21"/>
          <w:highlight w:val="none"/>
        </w:rPr>
        <w:t>C类分析报告</w:t>
      </w:r>
      <w:r>
        <w:rPr>
          <w:rFonts w:hint="eastAsia" w:ascii="仿宋" w:hAnsi="仿宋" w:eastAsia="仿宋"/>
          <w:color w:val="auto"/>
          <w:szCs w:val="21"/>
          <w:highlight w:val="none"/>
        </w:rPr>
        <w:t>不少于</w:t>
      </w:r>
      <w:r>
        <w:rPr>
          <w:rFonts w:hint="eastAsia" w:ascii="仿宋" w:hAnsi="仿宋" w:eastAsia="仿宋"/>
          <w:color w:val="auto"/>
          <w:szCs w:val="21"/>
          <w:highlight w:val="none"/>
          <w:lang w:val="en-US" w:eastAsia="zh-CN"/>
        </w:rPr>
        <w:t>9</w:t>
      </w:r>
      <w:r>
        <w:rPr>
          <w:rFonts w:ascii="仿宋" w:hAnsi="仿宋" w:eastAsia="仿宋"/>
          <w:color w:val="auto"/>
          <w:szCs w:val="21"/>
          <w:highlight w:val="none"/>
        </w:rPr>
        <w:t>份</w:t>
      </w:r>
      <w:r>
        <w:rPr>
          <w:rFonts w:hint="eastAsia" w:ascii="仿宋" w:hAnsi="仿宋" w:eastAsia="仿宋" w:cs="仿宋"/>
          <w:color w:val="auto"/>
          <w:kern w:val="0"/>
          <w:szCs w:val="21"/>
          <w:highlight w:val="none"/>
          <w:lang w:bidi="ar"/>
        </w:rPr>
        <w:t>；</w:t>
      </w:r>
      <w:r>
        <w:rPr>
          <w:rFonts w:ascii="仿宋" w:hAnsi="仿宋" w:eastAsia="仿宋" w:cs="仿宋"/>
          <w:color w:val="auto"/>
          <w:kern w:val="0"/>
          <w:szCs w:val="21"/>
          <w:highlight w:val="none"/>
          <w:lang w:bidi="ar"/>
        </w:rPr>
        <w:t xml:space="preserve"> </w:t>
      </w:r>
    </w:p>
    <w:p w14:paraId="4177FA9E">
      <w:pPr>
        <w:spacing w:line="360" w:lineRule="auto"/>
        <w:ind w:firstLine="420" w:firstLineChars="200"/>
        <w:rPr>
          <w:rFonts w:ascii="仿宋" w:hAnsi="仿宋" w:eastAsia="仿宋" w:cs="仿宋"/>
          <w:color w:val="auto"/>
          <w:kern w:val="0"/>
          <w:szCs w:val="21"/>
          <w:highlight w:val="none"/>
          <w:lang w:bidi="ar"/>
        </w:rPr>
      </w:pPr>
      <w:r>
        <w:rPr>
          <w:rFonts w:hint="eastAsia" w:ascii="仿宋" w:hAnsi="仿宋" w:eastAsia="仿宋" w:cs="仿宋"/>
          <w:color w:val="auto"/>
          <w:kern w:val="0"/>
          <w:szCs w:val="21"/>
          <w:highlight w:val="none"/>
          <w:lang w:bidi="ar"/>
        </w:rPr>
        <w:t>2）提供涉案数据推送、数据信息查询等案件服务不少于5个，</w:t>
      </w:r>
      <w:r>
        <w:rPr>
          <w:rFonts w:hint="eastAsia" w:ascii="仿宋" w:hAnsi="仿宋" w:eastAsia="仿宋"/>
          <w:color w:val="auto"/>
          <w:szCs w:val="21"/>
          <w:highlight w:val="none"/>
        </w:rPr>
        <w:t>输出</w:t>
      </w:r>
      <w:r>
        <w:rPr>
          <w:rFonts w:ascii="仿宋" w:hAnsi="仿宋" w:eastAsia="仿宋"/>
          <w:color w:val="auto"/>
          <w:szCs w:val="21"/>
          <w:highlight w:val="none"/>
        </w:rPr>
        <w:t>C类分析报告</w:t>
      </w:r>
      <w:r>
        <w:rPr>
          <w:rFonts w:hint="eastAsia" w:ascii="仿宋" w:hAnsi="仿宋" w:eastAsia="仿宋"/>
          <w:color w:val="auto"/>
          <w:szCs w:val="21"/>
          <w:highlight w:val="none"/>
        </w:rPr>
        <w:t>不少于</w:t>
      </w:r>
      <w:r>
        <w:rPr>
          <w:rFonts w:hint="eastAsia" w:ascii="仿宋" w:hAnsi="仿宋" w:eastAsia="仿宋"/>
          <w:color w:val="auto"/>
          <w:szCs w:val="21"/>
          <w:highlight w:val="none"/>
          <w:lang w:val="en-US" w:eastAsia="zh-CN"/>
        </w:rPr>
        <w:t>8</w:t>
      </w:r>
      <w:r>
        <w:rPr>
          <w:rFonts w:ascii="仿宋" w:hAnsi="仿宋" w:eastAsia="仿宋"/>
          <w:color w:val="auto"/>
          <w:szCs w:val="21"/>
          <w:highlight w:val="none"/>
        </w:rPr>
        <w:t>份。</w:t>
      </w:r>
    </w:p>
    <w:p w14:paraId="23EC4BEB">
      <w:pPr>
        <w:pStyle w:val="5"/>
        <w:numPr>
          <w:ilvl w:val="0"/>
          <w:numId w:val="7"/>
        </w:numPr>
        <w:tabs>
          <w:tab w:val="left" w:pos="432"/>
        </w:tabs>
        <w:spacing w:line="360" w:lineRule="auto"/>
        <w:ind w:left="432" w:hanging="432"/>
        <w:rPr>
          <w:rFonts w:ascii="仿宋" w:hAnsi="仿宋" w:eastAsia="仿宋" w:cs="仿宋"/>
          <w:color w:val="auto"/>
          <w:sz w:val="21"/>
          <w:szCs w:val="21"/>
          <w:highlight w:val="none"/>
        </w:rPr>
      </w:pPr>
      <w:r>
        <w:rPr>
          <w:rFonts w:ascii="仿宋" w:hAnsi="仿宋" w:eastAsia="仿宋" w:cs="仿宋"/>
          <w:color w:val="auto"/>
          <w:sz w:val="21"/>
          <w:szCs w:val="21"/>
          <w:highlight w:val="none"/>
        </w:rPr>
        <w:t>服务响应</w:t>
      </w:r>
      <w:r>
        <w:rPr>
          <w:rFonts w:hint="eastAsia" w:ascii="仿宋" w:hAnsi="仿宋" w:eastAsia="仿宋" w:cs="仿宋"/>
          <w:color w:val="auto"/>
          <w:sz w:val="21"/>
          <w:szCs w:val="21"/>
          <w:highlight w:val="none"/>
        </w:rPr>
        <w:t>及</w:t>
      </w:r>
      <w:r>
        <w:rPr>
          <w:rFonts w:ascii="仿宋" w:hAnsi="仿宋" w:eastAsia="仿宋" w:cs="仿宋"/>
          <w:color w:val="auto"/>
          <w:sz w:val="21"/>
          <w:szCs w:val="21"/>
          <w:highlight w:val="none"/>
        </w:rPr>
        <w:t>人员要求</w:t>
      </w:r>
    </w:p>
    <w:p w14:paraId="7415C2DB">
      <w:pPr>
        <w:pStyle w:val="7"/>
        <w:keepNext/>
        <w:keepLines/>
        <w:pageBreakBefore w:val="0"/>
        <w:widowControl w:val="0"/>
        <w:numPr>
          <w:ilvl w:val="0"/>
          <w:numId w:val="8"/>
        </w:numPr>
        <w:tabs>
          <w:tab w:val="left" w:pos="900"/>
          <w:tab w:val="clear" w:pos="864"/>
        </w:tabs>
        <w:kinsoku/>
        <w:wordWrap/>
        <w:overflowPunct/>
        <w:topLinePunct w:val="0"/>
        <w:autoSpaceDE/>
        <w:autoSpaceDN/>
        <w:bidi w:val="0"/>
        <w:adjustRightInd w:val="0"/>
        <w:snapToGrid/>
        <w:spacing w:after="0" w:line="360" w:lineRule="auto"/>
        <w:ind w:left="845" w:hanging="420"/>
        <w:textAlignment w:val="auto"/>
        <w:outlineLvl w:val="3"/>
        <w:rPr>
          <w:rFonts w:ascii="仿宋" w:hAnsi="仿宋" w:eastAsia="仿宋" w:cs="仿宋"/>
          <w:color w:val="auto"/>
          <w:sz w:val="21"/>
          <w:szCs w:val="21"/>
          <w:highlight w:val="none"/>
        </w:rPr>
      </w:pPr>
      <w:r>
        <w:rPr>
          <w:rFonts w:ascii="仿宋" w:hAnsi="仿宋" w:eastAsia="仿宋" w:cs="仿宋"/>
          <w:color w:val="auto"/>
          <w:sz w:val="21"/>
          <w:szCs w:val="21"/>
          <w:highlight w:val="none"/>
        </w:rPr>
        <w:t>服务响应要求</w:t>
      </w:r>
    </w:p>
    <w:p w14:paraId="5A3210AE">
      <w:pPr>
        <w:pStyle w:val="275"/>
        <w:keepNext w:val="0"/>
        <w:keepLines w:val="0"/>
        <w:pageBreakBefore w:val="0"/>
        <w:widowControl w:val="0"/>
        <w:numPr>
          <w:ilvl w:val="0"/>
          <w:numId w:val="9"/>
        </w:numPr>
        <w:kinsoku/>
        <w:wordWrap/>
        <w:overflowPunct/>
        <w:topLinePunct w:val="0"/>
        <w:autoSpaceDE/>
        <w:autoSpaceDN/>
        <w:bidi w:val="0"/>
        <w:adjustRightInd/>
        <w:snapToGrid w:val="0"/>
        <w:spacing w:line="360" w:lineRule="auto"/>
        <w:ind w:left="845" w:hanging="363" w:firstLineChars="0"/>
        <w:textAlignment w:val="auto"/>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工作时间要求：提供7*24小时的技术支持（包括电话咨询与现场服务）；驻点工作人员按</w:t>
      </w:r>
      <w:r>
        <w:rPr>
          <w:rFonts w:hint="eastAsia" w:ascii="仿宋" w:hAnsi="仿宋" w:eastAsia="仿宋" w:cs="宋体"/>
          <w:color w:val="auto"/>
          <w:sz w:val="21"/>
          <w:szCs w:val="21"/>
          <w:highlight w:val="none"/>
          <w:lang w:eastAsia="zh-CN"/>
        </w:rPr>
        <w:t>甲方</w:t>
      </w:r>
      <w:r>
        <w:rPr>
          <w:rFonts w:hint="eastAsia" w:ascii="仿宋" w:hAnsi="仿宋" w:eastAsia="仿宋" w:cs="宋体"/>
          <w:color w:val="auto"/>
          <w:sz w:val="21"/>
          <w:szCs w:val="21"/>
          <w:highlight w:val="none"/>
        </w:rPr>
        <w:t>工作时间（上午9:00—1</w:t>
      </w:r>
      <w:r>
        <w:rPr>
          <w:rFonts w:ascii="仿宋" w:hAnsi="仿宋" w:eastAsia="仿宋" w:cs="宋体"/>
          <w:color w:val="auto"/>
          <w:sz w:val="21"/>
          <w:szCs w:val="21"/>
          <w:highlight w:val="none"/>
        </w:rPr>
        <w:t>2</w:t>
      </w:r>
      <w:r>
        <w:rPr>
          <w:rFonts w:hint="eastAsia" w:ascii="仿宋" w:hAnsi="仿宋" w:eastAsia="仿宋" w:cs="宋体"/>
          <w:color w:val="auto"/>
          <w:sz w:val="21"/>
          <w:szCs w:val="21"/>
          <w:highlight w:val="none"/>
        </w:rPr>
        <w:t>：0</w:t>
      </w:r>
      <w:r>
        <w:rPr>
          <w:rFonts w:ascii="仿宋" w:hAnsi="仿宋" w:eastAsia="仿宋" w:cs="宋体"/>
          <w:color w:val="auto"/>
          <w:sz w:val="21"/>
          <w:szCs w:val="21"/>
          <w:highlight w:val="none"/>
        </w:rPr>
        <w:t>0</w:t>
      </w:r>
      <w:r>
        <w:rPr>
          <w:rFonts w:hint="eastAsia" w:ascii="仿宋" w:hAnsi="仿宋" w:eastAsia="仿宋" w:cs="宋体"/>
          <w:color w:val="auto"/>
          <w:sz w:val="21"/>
          <w:szCs w:val="21"/>
          <w:highlight w:val="none"/>
        </w:rPr>
        <w:t>，下午1</w:t>
      </w:r>
      <w:r>
        <w:rPr>
          <w:rFonts w:ascii="仿宋" w:hAnsi="仿宋" w:eastAsia="仿宋" w:cs="宋体"/>
          <w:color w:val="auto"/>
          <w:sz w:val="21"/>
          <w:szCs w:val="21"/>
          <w:highlight w:val="none"/>
        </w:rPr>
        <w:t>3</w:t>
      </w:r>
      <w:r>
        <w:rPr>
          <w:rFonts w:hint="eastAsia" w:ascii="仿宋" w:hAnsi="仿宋" w:eastAsia="仿宋" w:cs="宋体"/>
          <w:color w:val="auto"/>
          <w:sz w:val="21"/>
          <w:szCs w:val="21"/>
          <w:highlight w:val="none"/>
        </w:rPr>
        <w:t>：0</w:t>
      </w:r>
      <w:r>
        <w:rPr>
          <w:rFonts w:ascii="仿宋" w:hAnsi="仿宋" w:eastAsia="仿宋" w:cs="宋体"/>
          <w:color w:val="auto"/>
          <w:sz w:val="21"/>
          <w:szCs w:val="21"/>
          <w:highlight w:val="none"/>
        </w:rPr>
        <w:t>0</w:t>
      </w:r>
      <w:r>
        <w:rPr>
          <w:rFonts w:hint="eastAsia" w:ascii="仿宋" w:hAnsi="仿宋" w:eastAsia="仿宋" w:cs="宋体"/>
          <w:color w:val="auto"/>
          <w:sz w:val="21"/>
          <w:szCs w:val="21"/>
          <w:highlight w:val="none"/>
        </w:rPr>
        <w:t>—</w:t>
      </w:r>
      <w:r>
        <w:rPr>
          <w:rFonts w:ascii="仿宋" w:hAnsi="仿宋" w:eastAsia="仿宋" w:cs="宋体"/>
          <w:color w:val="auto"/>
          <w:sz w:val="21"/>
          <w:szCs w:val="21"/>
          <w:highlight w:val="none"/>
        </w:rPr>
        <w:t>17</w:t>
      </w:r>
      <w:r>
        <w:rPr>
          <w:rFonts w:hint="eastAsia" w:ascii="仿宋" w:hAnsi="仿宋" w:eastAsia="仿宋" w:cs="宋体"/>
          <w:color w:val="auto"/>
          <w:sz w:val="21"/>
          <w:szCs w:val="21"/>
          <w:highlight w:val="none"/>
        </w:rPr>
        <w:t>:30）在杭州市公安局刑事侦查支队及其指定地点开展工作。</w:t>
      </w:r>
    </w:p>
    <w:p w14:paraId="75DF31DA">
      <w:pPr>
        <w:pStyle w:val="275"/>
        <w:keepNext w:val="0"/>
        <w:keepLines w:val="0"/>
        <w:pageBreakBefore w:val="0"/>
        <w:widowControl w:val="0"/>
        <w:numPr>
          <w:ilvl w:val="0"/>
          <w:numId w:val="9"/>
        </w:numPr>
        <w:kinsoku/>
        <w:wordWrap/>
        <w:overflowPunct/>
        <w:topLinePunct w:val="0"/>
        <w:autoSpaceDE/>
        <w:autoSpaceDN/>
        <w:bidi w:val="0"/>
        <w:adjustRightInd/>
        <w:snapToGrid w:val="0"/>
        <w:spacing w:line="360" w:lineRule="auto"/>
        <w:ind w:left="845" w:hanging="363" w:firstLineChars="0"/>
        <w:textAlignment w:val="auto"/>
        <w:rPr>
          <w:rFonts w:ascii="仿宋" w:hAnsi="仿宋" w:eastAsia="仿宋" w:cs="宋体"/>
          <w:color w:val="auto"/>
          <w:sz w:val="21"/>
          <w:szCs w:val="21"/>
          <w:highlight w:val="none"/>
        </w:rPr>
      </w:pPr>
      <w:r>
        <w:rPr>
          <w:rFonts w:hint="eastAsia" w:ascii="仿宋" w:hAnsi="仿宋" w:eastAsia="仿宋" w:cs="宋体"/>
          <w:color w:val="auto"/>
          <w:sz w:val="21"/>
          <w:szCs w:val="21"/>
          <w:highlight w:val="none"/>
          <w:lang w:eastAsia="zh-CN"/>
        </w:rPr>
        <w:t>乙方</w:t>
      </w:r>
      <w:r>
        <w:rPr>
          <w:rFonts w:hint="eastAsia" w:ascii="仿宋" w:hAnsi="仿宋" w:eastAsia="仿宋" w:cs="宋体"/>
          <w:color w:val="auto"/>
          <w:sz w:val="21"/>
          <w:szCs w:val="21"/>
          <w:highlight w:val="none"/>
        </w:rPr>
        <w:t>在接到</w:t>
      </w:r>
      <w:r>
        <w:rPr>
          <w:rFonts w:hint="eastAsia" w:ascii="仿宋" w:hAnsi="仿宋" w:eastAsia="仿宋" w:cs="宋体"/>
          <w:color w:val="auto"/>
          <w:sz w:val="21"/>
          <w:szCs w:val="21"/>
          <w:highlight w:val="none"/>
          <w:lang w:eastAsia="zh-CN"/>
        </w:rPr>
        <w:t>甲方</w:t>
      </w:r>
      <w:r>
        <w:rPr>
          <w:rFonts w:hint="eastAsia" w:ascii="仿宋" w:hAnsi="仿宋" w:eastAsia="仿宋" w:cs="宋体"/>
          <w:color w:val="auto"/>
          <w:sz w:val="21"/>
          <w:szCs w:val="21"/>
          <w:highlight w:val="none"/>
        </w:rPr>
        <w:t>服务指令后，须在30分钟内按</w:t>
      </w:r>
      <w:r>
        <w:rPr>
          <w:rFonts w:hint="eastAsia" w:ascii="仿宋" w:hAnsi="仿宋" w:eastAsia="仿宋" w:cs="宋体"/>
          <w:color w:val="auto"/>
          <w:sz w:val="21"/>
          <w:szCs w:val="21"/>
          <w:highlight w:val="none"/>
          <w:lang w:eastAsia="zh-CN"/>
        </w:rPr>
        <w:t>甲方</w:t>
      </w:r>
      <w:r>
        <w:rPr>
          <w:rFonts w:hint="eastAsia" w:ascii="仿宋" w:hAnsi="仿宋" w:eastAsia="仿宋" w:cs="宋体"/>
          <w:color w:val="auto"/>
          <w:sz w:val="21"/>
          <w:szCs w:val="21"/>
          <w:highlight w:val="none"/>
        </w:rPr>
        <w:t>指令开展工作。</w:t>
      </w:r>
    </w:p>
    <w:p w14:paraId="05F67095">
      <w:pPr>
        <w:pStyle w:val="275"/>
        <w:keepNext w:val="0"/>
        <w:keepLines w:val="0"/>
        <w:pageBreakBefore w:val="0"/>
        <w:widowControl w:val="0"/>
        <w:numPr>
          <w:ilvl w:val="0"/>
          <w:numId w:val="9"/>
        </w:numPr>
        <w:kinsoku/>
        <w:wordWrap/>
        <w:overflowPunct/>
        <w:topLinePunct w:val="0"/>
        <w:autoSpaceDE/>
        <w:autoSpaceDN/>
        <w:bidi w:val="0"/>
        <w:adjustRightInd/>
        <w:snapToGrid w:val="0"/>
        <w:spacing w:line="360" w:lineRule="auto"/>
        <w:ind w:left="845" w:hanging="363" w:firstLineChars="0"/>
        <w:textAlignment w:val="auto"/>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每次对涉案系统进行扫描、安全测试之前必须要先与</w:t>
      </w:r>
      <w:r>
        <w:rPr>
          <w:rFonts w:hint="eastAsia" w:ascii="仿宋" w:hAnsi="仿宋" w:eastAsia="仿宋" w:cs="宋体"/>
          <w:color w:val="auto"/>
          <w:sz w:val="21"/>
          <w:szCs w:val="21"/>
          <w:highlight w:val="none"/>
          <w:lang w:eastAsia="zh-CN"/>
        </w:rPr>
        <w:t>甲方</w:t>
      </w:r>
      <w:r>
        <w:rPr>
          <w:rFonts w:hint="eastAsia" w:ascii="仿宋" w:hAnsi="仿宋" w:eastAsia="仿宋" w:cs="宋体"/>
          <w:color w:val="auto"/>
          <w:sz w:val="21"/>
          <w:szCs w:val="21"/>
          <w:highlight w:val="none"/>
        </w:rPr>
        <w:t>书面确认，以确保系统的安全可控；进行服务实施时，需要在</w:t>
      </w:r>
      <w:r>
        <w:rPr>
          <w:rFonts w:hint="eastAsia" w:ascii="仿宋" w:hAnsi="仿宋" w:eastAsia="仿宋" w:cs="宋体"/>
          <w:color w:val="auto"/>
          <w:sz w:val="21"/>
          <w:szCs w:val="21"/>
          <w:highlight w:val="none"/>
          <w:lang w:eastAsia="zh-CN"/>
        </w:rPr>
        <w:t>甲方</w:t>
      </w:r>
      <w:r>
        <w:rPr>
          <w:rFonts w:hint="eastAsia" w:ascii="仿宋" w:hAnsi="仿宋" w:eastAsia="仿宋" w:cs="宋体"/>
          <w:color w:val="auto"/>
          <w:sz w:val="21"/>
          <w:szCs w:val="21"/>
          <w:highlight w:val="none"/>
        </w:rPr>
        <w:t>许可的情况下由服务团队人员进行。</w:t>
      </w:r>
    </w:p>
    <w:p w14:paraId="01EB6CA0">
      <w:pPr>
        <w:pStyle w:val="275"/>
        <w:keepNext w:val="0"/>
        <w:keepLines w:val="0"/>
        <w:pageBreakBefore w:val="0"/>
        <w:widowControl w:val="0"/>
        <w:numPr>
          <w:ilvl w:val="0"/>
          <w:numId w:val="9"/>
        </w:numPr>
        <w:kinsoku/>
        <w:wordWrap/>
        <w:overflowPunct/>
        <w:topLinePunct w:val="0"/>
        <w:autoSpaceDE/>
        <w:autoSpaceDN/>
        <w:bidi w:val="0"/>
        <w:adjustRightInd/>
        <w:snapToGrid w:val="0"/>
        <w:spacing w:line="360" w:lineRule="auto"/>
        <w:ind w:left="845" w:hanging="363" w:firstLineChars="0"/>
        <w:textAlignment w:val="auto"/>
        <w:rPr>
          <w:rFonts w:hint="eastAsia" w:ascii="仿宋" w:hAnsi="仿宋" w:eastAsia="仿宋" w:cs="宋体"/>
          <w:color w:val="auto"/>
          <w:sz w:val="21"/>
          <w:szCs w:val="21"/>
          <w:highlight w:val="none"/>
        </w:rPr>
      </w:pPr>
      <w:r>
        <w:rPr>
          <w:rFonts w:hint="eastAsia" w:ascii="仿宋" w:hAnsi="仿宋" w:eastAsia="仿宋" w:cs="宋体"/>
          <w:color w:val="auto"/>
          <w:sz w:val="21"/>
          <w:szCs w:val="21"/>
          <w:highlight w:val="none"/>
        </w:rPr>
        <w:t>报告出具时间要求：单个分析报告，需在接到</w:t>
      </w:r>
      <w:r>
        <w:rPr>
          <w:rFonts w:hint="eastAsia" w:ascii="仿宋" w:hAnsi="仿宋" w:eastAsia="仿宋" w:cs="宋体"/>
          <w:color w:val="auto"/>
          <w:sz w:val="21"/>
          <w:szCs w:val="21"/>
          <w:highlight w:val="none"/>
          <w:lang w:eastAsia="zh-CN"/>
        </w:rPr>
        <w:t>甲方</w:t>
      </w:r>
      <w:r>
        <w:rPr>
          <w:rFonts w:hint="eastAsia" w:ascii="仿宋" w:hAnsi="仿宋" w:eastAsia="仿宋" w:cs="宋体"/>
          <w:color w:val="auto"/>
          <w:sz w:val="21"/>
          <w:szCs w:val="21"/>
          <w:highlight w:val="none"/>
        </w:rPr>
        <w:t>书面工作指令后5个工作日内出具，并交由</w:t>
      </w:r>
      <w:r>
        <w:rPr>
          <w:rFonts w:hint="eastAsia" w:ascii="仿宋" w:hAnsi="仿宋" w:eastAsia="仿宋" w:cs="宋体"/>
          <w:color w:val="auto"/>
          <w:sz w:val="21"/>
          <w:szCs w:val="21"/>
          <w:highlight w:val="none"/>
          <w:lang w:eastAsia="zh-CN"/>
        </w:rPr>
        <w:t>甲方</w:t>
      </w:r>
      <w:r>
        <w:rPr>
          <w:rFonts w:hint="eastAsia" w:ascii="仿宋" w:hAnsi="仿宋" w:eastAsia="仿宋" w:cs="宋体"/>
          <w:color w:val="auto"/>
          <w:sz w:val="21"/>
          <w:szCs w:val="21"/>
          <w:highlight w:val="none"/>
        </w:rPr>
        <w:t>审核。</w:t>
      </w:r>
    </w:p>
    <w:p w14:paraId="44C7FB66">
      <w:pPr>
        <w:pStyle w:val="7"/>
        <w:keepNext/>
        <w:keepLines/>
        <w:pageBreakBefore w:val="0"/>
        <w:widowControl w:val="0"/>
        <w:numPr>
          <w:ilvl w:val="0"/>
          <w:numId w:val="8"/>
        </w:numPr>
        <w:tabs>
          <w:tab w:val="left" w:pos="900"/>
          <w:tab w:val="clear" w:pos="864"/>
        </w:tabs>
        <w:kinsoku/>
        <w:wordWrap/>
        <w:overflowPunct/>
        <w:topLinePunct w:val="0"/>
        <w:autoSpaceDE/>
        <w:autoSpaceDN/>
        <w:bidi w:val="0"/>
        <w:adjustRightInd w:val="0"/>
        <w:snapToGrid/>
        <w:spacing w:after="0" w:line="360" w:lineRule="auto"/>
        <w:ind w:left="845" w:hanging="420"/>
        <w:textAlignment w:val="auto"/>
        <w:outlineLvl w:val="3"/>
        <w:rPr>
          <w:rFonts w:ascii="仿宋" w:hAnsi="仿宋" w:eastAsia="仿宋" w:cs="仿宋"/>
          <w:color w:val="auto"/>
          <w:sz w:val="21"/>
          <w:szCs w:val="21"/>
          <w:highlight w:val="none"/>
        </w:rPr>
      </w:pPr>
      <w:r>
        <w:rPr>
          <w:rFonts w:hint="eastAsia" w:ascii="仿宋" w:hAnsi="仿宋" w:eastAsia="仿宋" w:cs="仿宋"/>
          <w:color w:val="auto"/>
          <w:sz w:val="21"/>
          <w:szCs w:val="21"/>
          <w:highlight w:val="none"/>
        </w:rPr>
        <w:t>服务人员要求</w:t>
      </w:r>
    </w:p>
    <w:p w14:paraId="76117239">
      <w:pPr>
        <w:pStyle w:val="275"/>
        <w:keepNext w:val="0"/>
        <w:keepLines w:val="0"/>
        <w:pageBreakBefore w:val="0"/>
        <w:widowControl w:val="0"/>
        <w:numPr>
          <w:ilvl w:val="0"/>
          <w:numId w:val="10"/>
        </w:numPr>
        <w:kinsoku/>
        <w:wordWrap/>
        <w:overflowPunct/>
        <w:topLinePunct w:val="0"/>
        <w:autoSpaceDE/>
        <w:autoSpaceDN/>
        <w:bidi w:val="0"/>
        <w:adjustRightInd/>
        <w:snapToGrid w:val="0"/>
        <w:spacing w:line="360" w:lineRule="auto"/>
        <w:ind w:left="426" w:firstLine="54" w:firstLineChars="0"/>
        <w:textAlignment w:val="auto"/>
        <w:rPr>
          <w:rFonts w:ascii="仿宋" w:hAnsi="仿宋" w:eastAsia="仿宋" w:cs="宋体"/>
          <w:b/>
          <w:color w:val="auto"/>
          <w:sz w:val="21"/>
          <w:szCs w:val="21"/>
          <w:highlight w:val="none"/>
          <w:u w:val="single"/>
        </w:rPr>
      </w:pPr>
      <w:r>
        <w:rPr>
          <w:rFonts w:hint="eastAsia" w:ascii="仿宋" w:hAnsi="仿宋" w:eastAsia="仿宋" w:cs="宋体"/>
          <w:b/>
          <w:color w:val="auto"/>
          <w:sz w:val="21"/>
          <w:szCs w:val="21"/>
          <w:highlight w:val="none"/>
          <w:u w:val="single"/>
        </w:rPr>
        <w:t>▲</w:t>
      </w:r>
      <w:r>
        <w:rPr>
          <w:rFonts w:hint="eastAsia" w:ascii="仿宋" w:hAnsi="仿宋" w:eastAsia="仿宋" w:cs="宋体"/>
          <w:b/>
          <w:color w:val="auto"/>
          <w:sz w:val="21"/>
          <w:szCs w:val="21"/>
          <w:highlight w:val="none"/>
          <w:u w:val="single"/>
          <w:lang w:eastAsia="zh-CN"/>
        </w:rPr>
        <w:t>乙方</w:t>
      </w:r>
      <w:r>
        <w:rPr>
          <w:rFonts w:hint="eastAsia" w:ascii="仿宋" w:hAnsi="仿宋" w:eastAsia="仿宋" w:cs="宋体"/>
          <w:b/>
          <w:color w:val="auto"/>
          <w:sz w:val="21"/>
          <w:szCs w:val="21"/>
          <w:highlight w:val="none"/>
          <w:u w:val="single"/>
        </w:rPr>
        <w:t>为本项目提供的服务团队人员不少于15人，其中包括项目负责人1人，案件侦查打击服务技术负责人1人、服务人员2人，大数据智能查控服务技术负责人1人、服务人员2人，资金智能查控服务人员1人，涉网诈骗预感探测数据服务技术负责人1人、服务人员2人，涉网新型案件行为分析服务技术负责人1人、服务人员1人，新型涉网案件智勘联侦分析系统服务技术负责人1人、服务人员1人。其中驻点人员不少于3人（技术负责人1人、服务人员2人）。</w:t>
      </w:r>
    </w:p>
    <w:p w14:paraId="5166A7CA">
      <w:pPr>
        <w:pStyle w:val="275"/>
        <w:keepNext w:val="0"/>
        <w:keepLines w:val="0"/>
        <w:pageBreakBefore w:val="0"/>
        <w:widowControl w:val="0"/>
        <w:kinsoku/>
        <w:wordWrap/>
        <w:overflowPunct/>
        <w:topLinePunct w:val="0"/>
        <w:autoSpaceDE/>
        <w:autoSpaceDN/>
        <w:bidi w:val="0"/>
        <w:adjustRightInd/>
        <w:snapToGrid w:val="0"/>
        <w:spacing w:line="360" w:lineRule="auto"/>
        <w:ind w:left="420" w:firstLine="359" w:firstLineChars="171"/>
        <w:textAlignment w:val="auto"/>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上述人员数量为基本采购需求，在项目服务期内，如</w:t>
      </w:r>
      <w:r>
        <w:rPr>
          <w:rFonts w:hint="eastAsia" w:ascii="仿宋" w:hAnsi="仿宋" w:eastAsia="仿宋" w:cs="宋体"/>
          <w:color w:val="auto"/>
          <w:sz w:val="21"/>
          <w:szCs w:val="21"/>
          <w:highlight w:val="none"/>
          <w:lang w:eastAsia="zh-CN"/>
        </w:rPr>
        <w:t>乙方</w:t>
      </w:r>
      <w:r>
        <w:rPr>
          <w:rFonts w:hint="eastAsia" w:ascii="仿宋" w:hAnsi="仿宋" w:eastAsia="仿宋" w:cs="宋体"/>
          <w:color w:val="auto"/>
          <w:sz w:val="21"/>
          <w:szCs w:val="21"/>
          <w:highlight w:val="none"/>
        </w:rPr>
        <w:t>为了更好的为</w:t>
      </w:r>
      <w:r>
        <w:rPr>
          <w:rFonts w:hint="eastAsia" w:ascii="仿宋" w:hAnsi="仿宋" w:eastAsia="仿宋" w:cs="宋体"/>
          <w:color w:val="auto"/>
          <w:sz w:val="21"/>
          <w:szCs w:val="21"/>
          <w:highlight w:val="none"/>
          <w:lang w:eastAsia="zh-CN"/>
        </w:rPr>
        <w:t>甲方</w:t>
      </w:r>
      <w:r>
        <w:rPr>
          <w:rFonts w:hint="eastAsia" w:ascii="仿宋" w:hAnsi="仿宋" w:eastAsia="仿宋" w:cs="宋体"/>
          <w:color w:val="auto"/>
          <w:sz w:val="21"/>
          <w:szCs w:val="21"/>
          <w:highlight w:val="none"/>
        </w:rPr>
        <w:t>提供高质量服务，可自行考虑增加配置。</w:t>
      </w:r>
    </w:p>
    <w:p w14:paraId="24D006E6">
      <w:pPr>
        <w:pStyle w:val="275"/>
        <w:keepNext w:val="0"/>
        <w:keepLines w:val="0"/>
        <w:pageBreakBefore w:val="0"/>
        <w:widowControl w:val="0"/>
        <w:numPr>
          <w:ilvl w:val="0"/>
          <w:numId w:val="10"/>
        </w:numPr>
        <w:kinsoku/>
        <w:wordWrap/>
        <w:overflowPunct/>
        <w:topLinePunct w:val="0"/>
        <w:autoSpaceDE/>
        <w:autoSpaceDN/>
        <w:bidi w:val="0"/>
        <w:adjustRightInd/>
        <w:snapToGrid w:val="0"/>
        <w:spacing w:line="360" w:lineRule="auto"/>
        <w:ind w:firstLineChars="0"/>
        <w:textAlignment w:val="auto"/>
        <w:rPr>
          <w:rFonts w:ascii="仿宋" w:hAnsi="仿宋" w:eastAsia="仿宋" w:cs="宋体"/>
          <w:bCs/>
          <w:color w:val="auto"/>
          <w:sz w:val="21"/>
          <w:szCs w:val="21"/>
          <w:highlight w:val="none"/>
          <w:u w:val="single"/>
        </w:rPr>
      </w:pPr>
      <w:r>
        <w:rPr>
          <w:rFonts w:hint="eastAsia" w:ascii="仿宋" w:hAnsi="仿宋" w:eastAsia="仿宋" w:cs="宋体"/>
          <w:bCs/>
          <w:color w:val="auto"/>
          <w:sz w:val="21"/>
          <w:szCs w:val="21"/>
          <w:highlight w:val="none"/>
          <w:u w:val="single"/>
        </w:rPr>
        <w:t>项目负责人配备标准：具有类似反诈服务项目经验</w:t>
      </w:r>
      <w:r>
        <w:rPr>
          <w:rFonts w:hint="eastAsia" w:ascii="仿宋" w:hAnsi="仿宋" w:eastAsia="仿宋" w:cs="宋体"/>
          <w:bCs/>
          <w:color w:val="auto"/>
          <w:sz w:val="21"/>
          <w:szCs w:val="21"/>
          <w:highlight w:val="none"/>
          <w:u w:val="single"/>
        </w:rPr>
        <w:t>（需提供类似业绩合同，须体现项目负责人姓名）</w:t>
      </w:r>
      <w:r>
        <w:rPr>
          <w:rFonts w:hint="eastAsia" w:ascii="仿宋" w:hAnsi="仿宋" w:eastAsia="仿宋" w:cs="宋体"/>
          <w:bCs/>
          <w:color w:val="auto"/>
          <w:sz w:val="21"/>
          <w:szCs w:val="21"/>
          <w:highlight w:val="none"/>
          <w:u w:val="single"/>
        </w:rPr>
        <w:t>。项目负责人应具</w:t>
      </w:r>
      <w:r>
        <w:rPr>
          <w:rFonts w:hint="eastAsia" w:ascii="仿宋" w:hAnsi="仿宋" w:eastAsia="仿宋" w:cs="宋体"/>
          <w:bCs/>
          <w:color w:val="auto"/>
          <w:sz w:val="21"/>
          <w:szCs w:val="21"/>
          <w:highlight w:val="none"/>
          <w:u w:val="single"/>
        </w:rPr>
        <w:t>有计算机技术与软件专业技术资格</w:t>
      </w:r>
      <w:r>
        <w:rPr>
          <w:rFonts w:hint="eastAsia" w:ascii="仿宋" w:hAnsi="仿宋" w:eastAsia="仿宋" w:cs="宋体"/>
          <w:bCs/>
          <w:color w:val="auto"/>
          <w:sz w:val="21"/>
          <w:szCs w:val="21"/>
          <w:highlight w:val="none"/>
          <w:u w:val="single"/>
          <w:lang w:eastAsia="zh-CN"/>
        </w:rPr>
        <w:t>（</w:t>
      </w:r>
      <w:r>
        <w:rPr>
          <w:rFonts w:hint="eastAsia" w:ascii="仿宋" w:hAnsi="仿宋" w:eastAsia="仿宋" w:cs="宋体"/>
          <w:bCs/>
          <w:color w:val="auto"/>
          <w:sz w:val="21"/>
          <w:szCs w:val="21"/>
          <w:highlight w:val="none"/>
          <w:u w:val="single"/>
        </w:rPr>
        <w:t>信息系统项目管理师</w:t>
      </w:r>
      <w:r>
        <w:rPr>
          <w:rFonts w:hint="eastAsia" w:ascii="仿宋" w:hAnsi="仿宋" w:eastAsia="仿宋" w:cs="宋体"/>
          <w:bCs/>
          <w:color w:val="auto"/>
          <w:sz w:val="21"/>
          <w:szCs w:val="21"/>
          <w:highlight w:val="none"/>
          <w:u w:val="single"/>
          <w:lang w:val="en-US" w:eastAsia="zh-CN"/>
        </w:rPr>
        <w:t>证书</w:t>
      </w:r>
      <w:r>
        <w:rPr>
          <w:rFonts w:hint="eastAsia" w:ascii="仿宋" w:hAnsi="仿宋" w:eastAsia="仿宋" w:cs="宋体"/>
          <w:bCs/>
          <w:color w:val="auto"/>
          <w:sz w:val="21"/>
          <w:szCs w:val="21"/>
          <w:highlight w:val="none"/>
          <w:u w:val="single"/>
          <w:lang w:eastAsia="zh-CN"/>
        </w:rPr>
        <w:t>）</w:t>
      </w:r>
      <w:r>
        <w:rPr>
          <w:rFonts w:hint="eastAsia" w:ascii="仿宋" w:hAnsi="仿宋" w:eastAsia="仿宋" w:cs="宋体"/>
          <w:bCs/>
          <w:color w:val="auto"/>
          <w:sz w:val="21"/>
          <w:szCs w:val="21"/>
          <w:highlight w:val="none"/>
          <w:u w:val="single"/>
        </w:rPr>
        <w:t>；工作内容主要负责本次项目的实施，以及对</w:t>
      </w:r>
      <w:r>
        <w:rPr>
          <w:rFonts w:hint="eastAsia" w:ascii="仿宋" w:hAnsi="仿宋" w:eastAsia="仿宋" w:cs="宋体"/>
          <w:bCs/>
          <w:color w:val="auto"/>
          <w:sz w:val="21"/>
          <w:szCs w:val="21"/>
          <w:highlight w:val="none"/>
          <w:u w:val="single"/>
          <w:lang w:eastAsia="zh-CN"/>
        </w:rPr>
        <w:t>甲方</w:t>
      </w:r>
      <w:r>
        <w:rPr>
          <w:rFonts w:hint="eastAsia" w:ascii="仿宋" w:hAnsi="仿宋" w:eastAsia="仿宋" w:cs="宋体"/>
          <w:bCs/>
          <w:color w:val="auto"/>
          <w:sz w:val="21"/>
          <w:szCs w:val="21"/>
          <w:highlight w:val="none"/>
          <w:u w:val="single"/>
        </w:rPr>
        <w:t>的对接工作。</w:t>
      </w:r>
    </w:p>
    <w:p w14:paraId="040F89BD">
      <w:pPr>
        <w:pStyle w:val="275"/>
        <w:keepNext w:val="0"/>
        <w:keepLines w:val="0"/>
        <w:pageBreakBefore w:val="0"/>
        <w:widowControl w:val="0"/>
        <w:numPr>
          <w:ilvl w:val="0"/>
          <w:numId w:val="10"/>
        </w:numPr>
        <w:kinsoku/>
        <w:wordWrap/>
        <w:overflowPunct/>
        <w:topLinePunct w:val="0"/>
        <w:autoSpaceDE/>
        <w:autoSpaceDN/>
        <w:bidi w:val="0"/>
        <w:adjustRightInd/>
        <w:snapToGrid w:val="0"/>
        <w:spacing w:line="360" w:lineRule="auto"/>
        <w:ind w:firstLineChars="0"/>
        <w:textAlignment w:val="auto"/>
        <w:rPr>
          <w:rFonts w:ascii="仿宋" w:hAnsi="仿宋" w:eastAsia="仿宋" w:cs="宋体"/>
          <w:bCs/>
          <w:color w:val="auto"/>
          <w:sz w:val="21"/>
          <w:szCs w:val="21"/>
          <w:highlight w:val="none"/>
          <w:u w:val="single"/>
        </w:rPr>
      </w:pPr>
      <w:r>
        <w:rPr>
          <w:rFonts w:hint="eastAsia" w:ascii="仿宋" w:hAnsi="仿宋" w:eastAsia="仿宋" w:cs="宋体"/>
          <w:bCs/>
          <w:color w:val="auto"/>
          <w:sz w:val="21"/>
          <w:szCs w:val="21"/>
          <w:highlight w:val="none"/>
          <w:u w:val="single"/>
        </w:rPr>
        <w:t>技术负责人、服务人员配备标准：均应具有类似反诈服务项目经验</w:t>
      </w:r>
      <w:r>
        <w:rPr>
          <w:rFonts w:hint="eastAsia" w:ascii="仿宋" w:hAnsi="仿宋" w:eastAsia="仿宋" w:cs="宋体"/>
          <w:bCs/>
          <w:color w:val="auto"/>
          <w:sz w:val="21"/>
          <w:szCs w:val="21"/>
          <w:highlight w:val="none"/>
          <w:u w:val="single"/>
        </w:rPr>
        <w:t>（需提供类似业绩合同，须体现服务人员姓名）</w:t>
      </w:r>
      <w:r>
        <w:rPr>
          <w:rFonts w:hint="eastAsia" w:ascii="仿宋" w:hAnsi="仿宋" w:eastAsia="仿宋" w:cs="宋体"/>
          <w:bCs/>
          <w:color w:val="auto"/>
          <w:sz w:val="21"/>
          <w:szCs w:val="21"/>
          <w:highlight w:val="none"/>
          <w:u w:val="single"/>
        </w:rPr>
        <w:t>；服务人员工作内容主要负责协助对案件开展侦查、涉案系统进行扫描、安全测试、电话咨询与现场服务、涉网诈骗预感探测数据端口维护等，并提供分析报告, 技术负责人负责对服务人员的工作进行技术支持；服务人员应有明确的岗位分配，各岗位有专人负责，投标文件中需提供人员配置表，保证服务工作顺利有序进行。</w:t>
      </w:r>
    </w:p>
    <w:p w14:paraId="79A1973F">
      <w:pPr>
        <w:pStyle w:val="275"/>
        <w:keepNext w:val="0"/>
        <w:keepLines w:val="0"/>
        <w:pageBreakBefore w:val="0"/>
        <w:widowControl w:val="0"/>
        <w:numPr>
          <w:ilvl w:val="0"/>
          <w:numId w:val="10"/>
        </w:numPr>
        <w:kinsoku/>
        <w:wordWrap/>
        <w:overflowPunct/>
        <w:topLinePunct w:val="0"/>
        <w:autoSpaceDE/>
        <w:autoSpaceDN/>
        <w:bidi w:val="0"/>
        <w:adjustRightInd/>
        <w:snapToGrid w:val="0"/>
        <w:spacing w:line="360" w:lineRule="auto"/>
        <w:ind w:firstLineChars="0"/>
        <w:textAlignment w:val="auto"/>
        <w:rPr>
          <w:rFonts w:ascii="仿宋" w:hAnsi="仿宋" w:eastAsia="仿宋" w:cs="宋体"/>
          <w:bCs/>
          <w:color w:val="auto"/>
          <w:sz w:val="21"/>
          <w:szCs w:val="21"/>
          <w:highlight w:val="none"/>
          <w:u w:val="single"/>
        </w:rPr>
      </w:pPr>
      <w:r>
        <w:rPr>
          <w:rFonts w:hint="eastAsia" w:ascii="仿宋" w:hAnsi="仿宋" w:eastAsia="仿宋" w:cs="宋体"/>
          <w:bCs/>
          <w:color w:val="auto"/>
          <w:sz w:val="21"/>
          <w:szCs w:val="21"/>
          <w:highlight w:val="none"/>
          <w:u w:val="single"/>
          <w:lang w:eastAsia="zh-CN"/>
        </w:rPr>
        <w:t>乙方</w:t>
      </w:r>
      <w:r>
        <w:rPr>
          <w:rFonts w:hint="eastAsia" w:ascii="仿宋" w:hAnsi="仿宋" w:eastAsia="仿宋" w:cs="宋体"/>
          <w:bCs/>
          <w:color w:val="auto"/>
          <w:sz w:val="21"/>
          <w:szCs w:val="21"/>
          <w:highlight w:val="none"/>
          <w:u w:val="single"/>
        </w:rPr>
        <w:t>拟派的服务人员合同期内不得随意变动，如人员进行变更时，需提前</w:t>
      </w:r>
      <w:r>
        <w:rPr>
          <w:rFonts w:hint="eastAsia" w:ascii="仿宋" w:hAnsi="仿宋" w:eastAsia="仿宋" w:cs="宋体"/>
          <w:bCs/>
          <w:color w:val="auto"/>
          <w:sz w:val="21"/>
          <w:szCs w:val="21"/>
          <w:highlight w:val="none"/>
          <w:u w:val="single"/>
        </w:rPr>
        <w:t>3</w:t>
      </w:r>
      <w:r>
        <w:rPr>
          <w:rFonts w:hint="eastAsia" w:ascii="仿宋" w:hAnsi="仿宋" w:eastAsia="仿宋" w:cs="宋体"/>
          <w:bCs/>
          <w:color w:val="auto"/>
          <w:sz w:val="21"/>
          <w:szCs w:val="21"/>
          <w:highlight w:val="none"/>
          <w:u w:val="single"/>
          <w:lang w:eastAsia="zh-CN"/>
        </w:rPr>
        <w:t>个工作</w:t>
      </w:r>
      <w:r>
        <w:rPr>
          <w:rFonts w:hint="eastAsia" w:ascii="仿宋" w:hAnsi="仿宋" w:eastAsia="仿宋" w:cs="宋体"/>
          <w:bCs/>
          <w:color w:val="auto"/>
          <w:sz w:val="21"/>
          <w:szCs w:val="21"/>
          <w:highlight w:val="none"/>
          <w:u w:val="single"/>
        </w:rPr>
        <w:t>日</w:t>
      </w:r>
      <w:r>
        <w:rPr>
          <w:rFonts w:hint="eastAsia" w:ascii="仿宋" w:hAnsi="仿宋" w:eastAsia="仿宋" w:cs="宋体"/>
          <w:bCs/>
          <w:color w:val="auto"/>
          <w:sz w:val="21"/>
          <w:szCs w:val="21"/>
          <w:highlight w:val="none"/>
          <w:u w:val="single"/>
        </w:rPr>
        <w:t>经</w:t>
      </w:r>
      <w:r>
        <w:rPr>
          <w:rFonts w:hint="eastAsia" w:ascii="仿宋" w:hAnsi="仿宋" w:eastAsia="仿宋" w:cs="宋体"/>
          <w:bCs/>
          <w:color w:val="auto"/>
          <w:sz w:val="21"/>
          <w:szCs w:val="21"/>
          <w:highlight w:val="none"/>
          <w:u w:val="single"/>
          <w:lang w:eastAsia="zh-CN"/>
        </w:rPr>
        <w:t>甲方</w:t>
      </w:r>
      <w:r>
        <w:rPr>
          <w:rFonts w:hint="eastAsia" w:ascii="仿宋" w:hAnsi="仿宋" w:eastAsia="仿宋" w:cs="宋体"/>
          <w:bCs/>
          <w:color w:val="auto"/>
          <w:sz w:val="21"/>
          <w:szCs w:val="21"/>
          <w:highlight w:val="none"/>
          <w:u w:val="single"/>
        </w:rPr>
        <w:t>经办人、审核人对服务人员变更进行书面审批，签发人员变更审批单。审批通过后方可更换，更换人员资历不得低于投标时人员资历，并确保任何时候都无人员缺位问题。</w:t>
      </w:r>
    </w:p>
    <w:p w14:paraId="18281C58">
      <w:pPr>
        <w:pStyle w:val="7"/>
        <w:keepNext/>
        <w:keepLines/>
        <w:pageBreakBefore w:val="0"/>
        <w:widowControl w:val="0"/>
        <w:numPr>
          <w:ilvl w:val="0"/>
          <w:numId w:val="8"/>
        </w:numPr>
        <w:tabs>
          <w:tab w:val="left" w:pos="900"/>
          <w:tab w:val="clear" w:pos="864"/>
        </w:tabs>
        <w:kinsoku/>
        <w:wordWrap/>
        <w:overflowPunct/>
        <w:topLinePunct w:val="0"/>
        <w:autoSpaceDE/>
        <w:autoSpaceDN/>
        <w:bidi w:val="0"/>
        <w:adjustRightInd w:val="0"/>
        <w:snapToGrid/>
        <w:spacing w:after="0" w:line="360" w:lineRule="auto"/>
        <w:ind w:left="845" w:hanging="420"/>
        <w:textAlignment w:val="auto"/>
        <w:outlineLvl w:val="3"/>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服务输出分析报告要求</w:t>
      </w:r>
    </w:p>
    <w:p w14:paraId="54607644">
      <w:pPr>
        <w:snapToGrid w:val="0"/>
        <w:spacing w:after="120" w:line="360" w:lineRule="auto"/>
        <w:ind w:left="482" w:firstLine="420" w:firstLineChars="200"/>
        <w:rPr>
          <w:rFonts w:ascii="仿宋" w:hAnsi="仿宋" w:eastAsia="仿宋" w:cs="宋体"/>
          <w:bCs/>
          <w:color w:val="auto"/>
          <w:szCs w:val="21"/>
          <w:highlight w:val="none"/>
          <w:u w:val="single"/>
        </w:rPr>
      </w:pPr>
      <w:r>
        <w:rPr>
          <w:rFonts w:hint="eastAsia" w:ascii="仿宋" w:hAnsi="仿宋" w:eastAsia="仿宋" w:cs="宋体"/>
          <w:bCs/>
          <w:color w:val="auto"/>
          <w:szCs w:val="21"/>
          <w:highlight w:val="none"/>
          <w:u w:val="single"/>
        </w:rPr>
        <w:t>根据</w:t>
      </w:r>
      <w:r>
        <w:rPr>
          <w:rFonts w:hint="eastAsia" w:ascii="仿宋" w:hAnsi="仿宋" w:eastAsia="仿宋" w:cs="宋体"/>
          <w:bCs/>
          <w:color w:val="auto"/>
          <w:szCs w:val="21"/>
          <w:highlight w:val="none"/>
          <w:u w:val="single"/>
          <w:lang w:val="en-US" w:eastAsia="zh-CN"/>
        </w:rPr>
        <w:t>乙方</w:t>
      </w:r>
      <w:r>
        <w:rPr>
          <w:rFonts w:hint="eastAsia" w:ascii="仿宋" w:hAnsi="仿宋" w:eastAsia="仿宋" w:cs="宋体"/>
          <w:bCs/>
          <w:color w:val="auto"/>
          <w:szCs w:val="21"/>
          <w:highlight w:val="none"/>
          <w:u w:val="single"/>
        </w:rPr>
        <w:t>输出的分析报告支撑</w:t>
      </w:r>
      <w:r>
        <w:rPr>
          <w:rFonts w:hint="eastAsia" w:ascii="仿宋" w:hAnsi="仿宋" w:eastAsia="仿宋" w:cs="宋体"/>
          <w:bCs/>
          <w:color w:val="auto"/>
          <w:szCs w:val="21"/>
          <w:highlight w:val="none"/>
          <w:u w:val="single"/>
          <w:lang w:eastAsia="zh-CN"/>
        </w:rPr>
        <w:t>甲方</w:t>
      </w:r>
      <w:r>
        <w:rPr>
          <w:rFonts w:hint="eastAsia" w:ascii="仿宋" w:hAnsi="仿宋" w:eastAsia="仿宋" w:cs="宋体"/>
          <w:bCs/>
          <w:color w:val="auto"/>
          <w:szCs w:val="21"/>
          <w:highlight w:val="none"/>
          <w:u w:val="single"/>
        </w:rPr>
        <w:t>发现涉网案件涉及的境内外诈骗、洗钱、技术支撑等多个犯罪环节的能力，以及案件打击效果来进行区分，将报告分为</w:t>
      </w:r>
      <w:r>
        <w:rPr>
          <w:rFonts w:ascii="仿宋" w:hAnsi="仿宋" w:eastAsia="仿宋" w:cs="宋体"/>
          <w:bCs/>
          <w:color w:val="auto"/>
          <w:szCs w:val="21"/>
          <w:highlight w:val="none"/>
          <w:u w:val="single"/>
        </w:rPr>
        <w:t>A类、B类、C类。</w:t>
      </w:r>
    </w:p>
    <w:p w14:paraId="2BEE83DF">
      <w:pPr>
        <w:snapToGrid w:val="0"/>
        <w:spacing w:after="120" w:line="360" w:lineRule="auto"/>
        <w:ind w:left="567" w:leftChars="270" w:firstLine="420" w:firstLineChars="200"/>
        <w:rPr>
          <w:rFonts w:ascii="仿宋" w:hAnsi="仿宋" w:eastAsia="仿宋" w:cs="宋体"/>
          <w:bCs/>
          <w:color w:val="auto"/>
          <w:szCs w:val="21"/>
          <w:highlight w:val="none"/>
          <w:u w:val="single"/>
        </w:rPr>
      </w:pPr>
      <w:r>
        <w:rPr>
          <w:rFonts w:ascii="仿宋" w:hAnsi="仿宋" w:eastAsia="仿宋" w:cs="宋体"/>
          <w:bCs/>
          <w:color w:val="auto"/>
          <w:szCs w:val="21"/>
          <w:highlight w:val="none"/>
          <w:u w:val="single"/>
        </w:rPr>
        <w:t>A</w:t>
      </w:r>
      <w:r>
        <w:rPr>
          <w:rFonts w:hint="eastAsia" w:ascii="仿宋" w:hAnsi="仿宋" w:eastAsia="仿宋" w:cs="宋体"/>
          <w:bCs/>
          <w:color w:val="auto"/>
          <w:szCs w:val="21"/>
          <w:highlight w:val="none"/>
          <w:u w:val="single"/>
        </w:rPr>
        <w:t>类报告为能有效服务支撑输出侦查线索，并使</w:t>
      </w:r>
      <w:r>
        <w:rPr>
          <w:rFonts w:hint="eastAsia" w:ascii="仿宋" w:hAnsi="仿宋" w:eastAsia="仿宋" w:cs="宋体"/>
          <w:bCs/>
          <w:color w:val="auto"/>
          <w:szCs w:val="21"/>
          <w:highlight w:val="none"/>
          <w:u w:val="single"/>
          <w:lang w:eastAsia="zh-CN"/>
        </w:rPr>
        <w:t>甲方</w:t>
      </w:r>
      <w:r>
        <w:rPr>
          <w:rFonts w:hint="eastAsia" w:ascii="仿宋" w:hAnsi="仿宋" w:eastAsia="仿宋" w:cs="宋体"/>
          <w:bCs/>
          <w:color w:val="auto"/>
          <w:szCs w:val="21"/>
          <w:highlight w:val="none"/>
          <w:u w:val="single"/>
        </w:rPr>
        <w:t>能够侦破目标案件，抓获实施诈骗三个以上犯罪环节的犯罪嫌疑人，或根据提供侦查线索明确境外犯罪嫌疑</w:t>
      </w:r>
      <w:r>
        <w:rPr>
          <w:rFonts w:ascii="仿宋" w:hAnsi="仿宋" w:eastAsia="仿宋" w:cs="宋体"/>
          <w:bCs/>
          <w:color w:val="auto"/>
          <w:szCs w:val="21"/>
          <w:highlight w:val="none"/>
          <w:u w:val="single"/>
        </w:rPr>
        <w:t>团伙、</w:t>
      </w:r>
      <w:r>
        <w:rPr>
          <w:rFonts w:hint="eastAsia" w:ascii="仿宋" w:hAnsi="仿宋" w:eastAsia="仿宋" w:cs="宋体"/>
          <w:bCs/>
          <w:color w:val="auto"/>
          <w:szCs w:val="21"/>
          <w:highlight w:val="none"/>
          <w:u w:val="single"/>
        </w:rPr>
        <w:t>嫌疑人身份等</w:t>
      </w:r>
      <w:r>
        <w:rPr>
          <w:rFonts w:ascii="仿宋" w:hAnsi="仿宋" w:eastAsia="仿宋" w:cs="宋体"/>
          <w:bCs/>
          <w:color w:val="auto"/>
          <w:szCs w:val="21"/>
          <w:highlight w:val="none"/>
          <w:u w:val="single"/>
        </w:rPr>
        <w:t>，能</w:t>
      </w:r>
      <w:r>
        <w:rPr>
          <w:rFonts w:hint="eastAsia" w:ascii="仿宋" w:hAnsi="仿宋" w:eastAsia="仿宋" w:cs="宋体"/>
          <w:bCs/>
          <w:color w:val="auto"/>
          <w:szCs w:val="21"/>
          <w:highlight w:val="none"/>
          <w:u w:val="single"/>
        </w:rPr>
        <w:t>提供</w:t>
      </w:r>
      <w:r>
        <w:rPr>
          <w:rFonts w:ascii="仿宋" w:hAnsi="仿宋" w:eastAsia="仿宋" w:cs="宋体"/>
          <w:bCs/>
          <w:color w:val="auto"/>
          <w:szCs w:val="21"/>
          <w:highlight w:val="none"/>
          <w:u w:val="single"/>
        </w:rPr>
        <w:t>部级</w:t>
      </w:r>
      <w:r>
        <w:rPr>
          <w:rFonts w:hint="eastAsia" w:ascii="仿宋" w:hAnsi="仿宋" w:eastAsia="仿宋" w:cs="宋体"/>
          <w:bCs/>
          <w:color w:val="auto"/>
          <w:szCs w:val="21"/>
          <w:highlight w:val="none"/>
          <w:u w:val="single"/>
        </w:rPr>
        <w:t>集群</w:t>
      </w:r>
      <w:r>
        <w:rPr>
          <w:rFonts w:ascii="仿宋" w:hAnsi="仿宋" w:eastAsia="仿宋" w:cs="宋体"/>
          <w:bCs/>
          <w:color w:val="auto"/>
          <w:szCs w:val="21"/>
          <w:highlight w:val="none"/>
          <w:u w:val="single"/>
        </w:rPr>
        <w:t>线索</w:t>
      </w:r>
      <w:r>
        <w:rPr>
          <w:rFonts w:hint="eastAsia" w:ascii="仿宋" w:hAnsi="仿宋" w:eastAsia="仿宋" w:cs="宋体"/>
          <w:bCs/>
          <w:color w:val="auto"/>
          <w:szCs w:val="21"/>
          <w:highlight w:val="none"/>
          <w:u w:val="single"/>
        </w:rPr>
        <w:t>。另根据</w:t>
      </w:r>
      <w:r>
        <w:rPr>
          <w:rFonts w:hint="eastAsia" w:ascii="仿宋" w:hAnsi="仿宋" w:eastAsia="仿宋" w:cs="宋体"/>
          <w:bCs/>
          <w:color w:val="auto"/>
          <w:szCs w:val="21"/>
          <w:highlight w:val="none"/>
          <w:u w:val="single"/>
          <w:lang w:eastAsia="zh-CN"/>
        </w:rPr>
        <w:t>甲方</w:t>
      </w:r>
      <w:r>
        <w:rPr>
          <w:rFonts w:hint="eastAsia" w:ascii="仿宋" w:hAnsi="仿宋" w:eastAsia="仿宋" w:cs="宋体"/>
          <w:bCs/>
          <w:color w:val="auto"/>
          <w:szCs w:val="21"/>
          <w:highlight w:val="none"/>
          <w:u w:val="single"/>
        </w:rPr>
        <w:t>支撑需要，对重特大涉网案件进行分析输出研判报告，满足</w:t>
      </w:r>
      <w:r>
        <w:rPr>
          <w:rFonts w:hint="eastAsia" w:ascii="仿宋" w:hAnsi="仿宋" w:eastAsia="仿宋" w:cs="宋体"/>
          <w:bCs/>
          <w:color w:val="auto"/>
          <w:szCs w:val="21"/>
          <w:highlight w:val="none"/>
          <w:u w:val="single"/>
          <w:lang w:eastAsia="zh-CN"/>
        </w:rPr>
        <w:t>甲方</w:t>
      </w:r>
      <w:r>
        <w:rPr>
          <w:rFonts w:hint="eastAsia" w:ascii="仿宋" w:hAnsi="仿宋" w:eastAsia="仿宋" w:cs="宋体"/>
          <w:bCs/>
          <w:color w:val="auto"/>
          <w:szCs w:val="21"/>
          <w:highlight w:val="none"/>
          <w:u w:val="single"/>
        </w:rPr>
        <w:t>相关支撑需求并抓获犯罪嫌疑人的，也可认定为</w:t>
      </w:r>
      <w:r>
        <w:rPr>
          <w:rFonts w:ascii="仿宋" w:hAnsi="仿宋" w:eastAsia="仿宋" w:cs="宋体"/>
          <w:bCs/>
          <w:color w:val="auto"/>
          <w:szCs w:val="21"/>
          <w:highlight w:val="none"/>
          <w:u w:val="single"/>
        </w:rPr>
        <w:t>A类报告。</w:t>
      </w:r>
    </w:p>
    <w:p w14:paraId="7DEDBEAA">
      <w:pPr>
        <w:snapToGrid w:val="0"/>
        <w:spacing w:after="120" w:line="360" w:lineRule="auto"/>
        <w:ind w:left="567" w:leftChars="270" w:firstLine="420" w:firstLineChars="200"/>
        <w:rPr>
          <w:rFonts w:ascii="仿宋" w:hAnsi="仿宋" w:eastAsia="仿宋" w:cs="宋体"/>
          <w:bCs/>
          <w:color w:val="auto"/>
          <w:szCs w:val="21"/>
          <w:highlight w:val="none"/>
          <w:u w:val="single"/>
        </w:rPr>
      </w:pPr>
      <w:r>
        <w:rPr>
          <w:rFonts w:ascii="仿宋" w:hAnsi="仿宋" w:eastAsia="仿宋" w:cs="宋体"/>
          <w:bCs/>
          <w:color w:val="auto"/>
          <w:szCs w:val="21"/>
          <w:highlight w:val="none"/>
          <w:u w:val="single"/>
        </w:rPr>
        <w:t>B</w:t>
      </w:r>
      <w:r>
        <w:rPr>
          <w:rFonts w:hint="eastAsia" w:ascii="仿宋" w:hAnsi="仿宋" w:eastAsia="仿宋" w:cs="宋体"/>
          <w:bCs/>
          <w:color w:val="auto"/>
          <w:szCs w:val="21"/>
          <w:highlight w:val="none"/>
          <w:u w:val="single"/>
        </w:rPr>
        <w:t>类报告为能有效服务支撑输出侦查线索并使</w:t>
      </w:r>
      <w:r>
        <w:rPr>
          <w:rFonts w:hint="eastAsia" w:ascii="仿宋" w:hAnsi="仿宋" w:eastAsia="仿宋" w:cs="宋体"/>
          <w:bCs/>
          <w:color w:val="auto"/>
          <w:szCs w:val="21"/>
          <w:highlight w:val="none"/>
          <w:u w:val="single"/>
          <w:lang w:eastAsia="zh-CN"/>
        </w:rPr>
        <w:t>甲方</w:t>
      </w:r>
      <w:r>
        <w:rPr>
          <w:rFonts w:hint="eastAsia" w:ascii="仿宋" w:hAnsi="仿宋" w:eastAsia="仿宋" w:cs="宋体"/>
          <w:bCs/>
          <w:color w:val="auto"/>
          <w:szCs w:val="21"/>
          <w:highlight w:val="none"/>
          <w:u w:val="single"/>
        </w:rPr>
        <w:t>能够侦破目标案件，抓获实施诈骗部分犯罪环节的犯罪嫌疑人，或根据提供侦查线索明确实施诈骗的犯罪嫌疑人身份的，或能提供省级集群线索。</w:t>
      </w:r>
    </w:p>
    <w:p w14:paraId="5124864F">
      <w:pPr>
        <w:snapToGrid w:val="0"/>
        <w:spacing w:after="120" w:line="360" w:lineRule="auto"/>
        <w:ind w:left="567" w:leftChars="270" w:firstLine="420" w:firstLineChars="200"/>
        <w:rPr>
          <w:rFonts w:ascii="仿宋" w:hAnsi="仿宋" w:eastAsia="仿宋"/>
          <w:color w:val="auto"/>
          <w:szCs w:val="21"/>
          <w:highlight w:val="none"/>
        </w:rPr>
      </w:pPr>
      <w:r>
        <w:rPr>
          <w:rFonts w:ascii="仿宋" w:hAnsi="仿宋" w:eastAsia="仿宋" w:cs="宋体"/>
          <w:bCs/>
          <w:color w:val="auto"/>
          <w:szCs w:val="21"/>
          <w:highlight w:val="none"/>
          <w:u w:val="single"/>
        </w:rPr>
        <w:t>C</w:t>
      </w:r>
      <w:r>
        <w:rPr>
          <w:rFonts w:hint="eastAsia" w:ascii="仿宋" w:hAnsi="仿宋" w:eastAsia="仿宋" w:cs="宋体"/>
          <w:bCs/>
          <w:color w:val="auto"/>
          <w:szCs w:val="21"/>
          <w:highlight w:val="none"/>
          <w:u w:val="single"/>
        </w:rPr>
        <w:t>类报告为能提供</w:t>
      </w:r>
      <w:r>
        <w:rPr>
          <w:rFonts w:hint="eastAsia" w:ascii="仿宋" w:hAnsi="仿宋" w:eastAsia="仿宋" w:cs="宋体"/>
          <w:bCs/>
          <w:color w:val="auto"/>
          <w:szCs w:val="21"/>
          <w:highlight w:val="none"/>
          <w:u w:val="single"/>
          <w:lang w:eastAsia="zh-CN"/>
        </w:rPr>
        <w:t>甲方</w:t>
      </w:r>
      <w:r>
        <w:rPr>
          <w:rFonts w:hint="eastAsia" w:ascii="仿宋" w:hAnsi="仿宋" w:eastAsia="仿宋" w:cs="宋体"/>
          <w:bCs/>
          <w:color w:val="auto"/>
          <w:szCs w:val="21"/>
          <w:highlight w:val="none"/>
          <w:u w:val="single"/>
        </w:rPr>
        <w:t>涉网案件侦查线索，或能够基本侦破目标案件，抓获任一犯罪环节犯罪嫌疑人的，或能提供市级集群线索。</w:t>
      </w:r>
    </w:p>
    <w:p w14:paraId="4C69611C">
      <w:pPr>
        <w:pStyle w:val="5"/>
        <w:tabs>
          <w:tab w:val="left" w:pos="432"/>
        </w:tabs>
        <w:spacing w:line="360" w:lineRule="auto"/>
        <w:ind w:left="432" w:firstLine="0"/>
        <w:rPr>
          <w:rFonts w:ascii="仿宋" w:hAnsi="仿宋" w:eastAsia="仿宋" w:cs="仿宋"/>
          <w:color w:val="auto"/>
          <w:sz w:val="21"/>
          <w:szCs w:val="21"/>
          <w:highlight w:val="none"/>
        </w:rPr>
      </w:pPr>
      <w:r>
        <w:rPr>
          <w:rFonts w:hint="eastAsia" w:ascii="仿宋" w:hAnsi="仿宋" w:eastAsia="仿宋" w:cs="仿宋"/>
          <w:color w:val="auto"/>
          <w:sz w:val="21"/>
          <w:szCs w:val="21"/>
          <w:highlight w:val="none"/>
        </w:rPr>
        <w:t>八、其他要求</w:t>
      </w:r>
    </w:p>
    <w:p w14:paraId="06991774">
      <w:pPr>
        <w:adjustRightInd/>
        <w:snapToGrid/>
        <w:spacing w:line="360" w:lineRule="auto"/>
        <w:ind w:firstLine="420" w:firstLineChars="200"/>
        <w:jc w:val="left"/>
        <w:rPr>
          <w:rFonts w:ascii="仿宋" w:hAnsi="仿宋" w:eastAsia="仿宋" w:cs="仿宋"/>
          <w:color w:val="auto"/>
          <w:szCs w:val="21"/>
          <w:highlight w:val="none"/>
        </w:rPr>
      </w:pPr>
      <w:r>
        <w:rPr>
          <w:rFonts w:ascii="仿宋" w:hAnsi="仿宋" w:eastAsia="仿宋" w:cs="仿宋"/>
          <w:color w:val="auto"/>
          <w:szCs w:val="21"/>
          <w:highlight w:val="none"/>
        </w:rPr>
        <w:t>1</w:t>
      </w:r>
      <w:r>
        <w:rPr>
          <w:rFonts w:hint="eastAsia" w:ascii="仿宋" w:hAnsi="仿宋" w:eastAsia="仿宋" w:cs="仿宋"/>
          <w:color w:val="auto"/>
          <w:szCs w:val="21"/>
          <w:highlight w:val="none"/>
        </w:rPr>
        <w:t>、保密要求：</w:t>
      </w:r>
    </w:p>
    <w:p w14:paraId="41D78FB8">
      <w:pPr>
        <w:pStyle w:val="905"/>
        <w:shd w:val="clear" w:color="auto" w:fill="FFFFFF"/>
        <w:snapToGrid w:val="0"/>
        <w:spacing w:before="0" w:beforeAutospacing="0" w:after="0" w:afterAutospacing="0" w:line="360" w:lineRule="auto"/>
        <w:ind w:firstLine="482"/>
        <w:contextualSpacing/>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甲方</w:t>
      </w:r>
      <w:r>
        <w:rPr>
          <w:rFonts w:hint="eastAsia" w:ascii="仿宋" w:hAnsi="仿宋" w:eastAsia="仿宋" w:cs="仿宋"/>
          <w:color w:val="auto"/>
          <w:sz w:val="21"/>
          <w:szCs w:val="21"/>
          <w:highlight w:val="none"/>
        </w:rPr>
        <w:t>对</w:t>
      </w:r>
      <w:r>
        <w:rPr>
          <w:rFonts w:hint="eastAsia" w:ascii="仿宋" w:hAnsi="仿宋" w:eastAsia="仿宋" w:cs="仿宋"/>
          <w:color w:val="auto"/>
          <w:sz w:val="21"/>
          <w:szCs w:val="21"/>
          <w:highlight w:val="none"/>
          <w:lang w:eastAsia="zh-CN"/>
        </w:rPr>
        <w:t>乙方</w:t>
      </w:r>
      <w:r>
        <w:rPr>
          <w:rFonts w:hint="eastAsia" w:ascii="仿宋" w:hAnsi="仿宋" w:eastAsia="仿宋" w:cs="仿宋"/>
          <w:color w:val="auto"/>
          <w:sz w:val="21"/>
          <w:szCs w:val="21"/>
          <w:highlight w:val="none"/>
        </w:rPr>
        <w:t>及工作人员开展常态化安全保密教育，组织签订安全保密承诺书，明确具体安全管理内容、安全保密义务和责任；</w:t>
      </w:r>
      <w:r>
        <w:rPr>
          <w:rFonts w:hint="eastAsia" w:ascii="仿宋" w:hAnsi="仿宋" w:eastAsia="仿宋" w:cs="仿宋"/>
          <w:color w:val="auto"/>
          <w:sz w:val="21"/>
          <w:szCs w:val="21"/>
          <w:highlight w:val="none"/>
          <w:lang w:eastAsia="zh-CN"/>
        </w:rPr>
        <w:t>乙方</w:t>
      </w:r>
      <w:r>
        <w:rPr>
          <w:rFonts w:hint="eastAsia" w:ascii="仿宋" w:hAnsi="仿宋" w:eastAsia="仿宋" w:cs="仿宋"/>
          <w:color w:val="auto"/>
          <w:sz w:val="21"/>
          <w:szCs w:val="21"/>
          <w:highlight w:val="none"/>
        </w:rPr>
        <w:t>及工作人员违反保密安全管理要求，构成违法犯罪的，</w:t>
      </w:r>
      <w:r>
        <w:rPr>
          <w:rFonts w:hint="eastAsia" w:ascii="仿宋" w:hAnsi="仿宋" w:eastAsia="仿宋" w:cs="仿宋"/>
          <w:color w:val="auto"/>
          <w:sz w:val="21"/>
          <w:szCs w:val="21"/>
          <w:highlight w:val="none"/>
          <w:lang w:eastAsia="zh-CN"/>
        </w:rPr>
        <w:t>甲方</w:t>
      </w:r>
      <w:r>
        <w:rPr>
          <w:rFonts w:hint="eastAsia" w:ascii="仿宋" w:hAnsi="仿宋" w:eastAsia="仿宋" w:cs="仿宋"/>
          <w:color w:val="auto"/>
          <w:sz w:val="21"/>
          <w:szCs w:val="21"/>
          <w:highlight w:val="none"/>
        </w:rPr>
        <w:t>将及时报送市场监督管理等部门，提请列入政府采购严重违法失信行为记录名单、市场监督管理严重失信名单，并追究相关责任。</w:t>
      </w:r>
    </w:p>
    <w:p w14:paraId="05B167C7">
      <w:pPr>
        <w:pStyle w:val="905"/>
        <w:shd w:val="clear" w:color="auto" w:fill="FFFFFF"/>
        <w:snapToGrid w:val="0"/>
        <w:spacing w:before="0" w:beforeAutospacing="0" w:after="0" w:afterAutospacing="0" w:line="360" w:lineRule="auto"/>
        <w:ind w:firstLine="482"/>
        <w:contextualSpacing/>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乙方</w:t>
      </w:r>
      <w:r>
        <w:rPr>
          <w:rFonts w:hint="eastAsia" w:ascii="仿宋" w:hAnsi="仿宋" w:eastAsia="仿宋" w:cs="仿宋"/>
          <w:color w:val="auto"/>
          <w:sz w:val="21"/>
          <w:szCs w:val="21"/>
          <w:highlight w:val="none"/>
        </w:rPr>
        <w:t>须严格按照</w:t>
      </w:r>
      <w:r>
        <w:rPr>
          <w:rFonts w:hint="eastAsia" w:ascii="仿宋" w:hAnsi="仿宋" w:eastAsia="仿宋" w:cs="仿宋"/>
          <w:color w:val="auto"/>
          <w:sz w:val="21"/>
          <w:szCs w:val="21"/>
          <w:highlight w:val="none"/>
          <w:lang w:eastAsia="zh-CN"/>
        </w:rPr>
        <w:t>甲方</w:t>
      </w:r>
      <w:r>
        <w:rPr>
          <w:rFonts w:hint="eastAsia" w:ascii="仿宋" w:hAnsi="仿宋" w:eastAsia="仿宋" w:cs="仿宋"/>
          <w:color w:val="auto"/>
          <w:sz w:val="21"/>
          <w:szCs w:val="21"/>
          <w:highlight w:val="none"/>
        </w:rPr>
        <w:t>规定使用、存储、处理文档资料和数据。合同终止时，应当交还全部资料和数据。</w:t>
      </w:r>
    </w:p>
    <w:p w14:paraId="01E70048">
      <w:pPr>
        <w:pStyle w:val="905"/>
        <w:shd w:val="clear" w:color="auto" w:fill="FFFFFF"/>
        <w:snapToGrid w:val="0"/>
        <w:spacing w:before="0" w:beforeAutospacing="0" w:after="0" w:afterAutospacing="0" w:line="360" w:lineRule="auto"/>
        <w:ind w:firstLine="482"/>
        <w:contextualSpacing/>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乙方</w:t>
      </w:r>
      <w:r>
        <w:rPr>
          <w:rFonts w:hint="eastAsia" w:ascii="仿宋" w:hAnsi="仿宋" w:eastAsia="仿宋" w:cs="仿宋"/>
          <w:color w:val="auto"/>
          <w:sz w:val="21"/>
          <w:szCs w:val="21"/>
          <w:highlight w:val="none"/>
        </w:rPr>
        <w:t>需与</w:t>
      </w:r>
      <w:r>
        <w:rPr>
          <w:rFonts w:hint="eastAsia" w:ascii="仿宋" w:hAnsi="仿宋" w:eastAsia="仿宋" w:cs="仿宋"/>
          <w:color w:val="auto"/>
          <w:sz w:val="21"/>
          <w:szCs w:val="21"/>
          <w:highlight w:val="none"/>
          <w:lang w:eastAsia="zh-CN"/>
        </w:rPr>
        <w:t>甲方</w:t>
      </w:r>
      <w:r>
        <w:rPr>
          <w:rFonts w:hint="eastAsia" w:ascii="仿宋" w:hAnsi="仿宋" w:eastAsia="仿宋" w:cs="仿宋"/>
          <w:color w:val="auto"/>
          <w:sz w:val="21"/>
          <w:szCs w:val="21"/>
          <w:highlight w:val="none"/>
        </w:rPr>
        <w:t>签署保密协议，</w:t>
      </w:r>
      <w:r>
        <w:rPr>
          <w:rFonts w:hint="eastAsia" w:ascii="仿宋" w:hAnsi="仿宋" w:eastAsia="仿宋" w:cs="仿宋"/>
          <w:color w:val="auto"/>
          <w:sz w:val="21"/>
          <w:szCs w:val="21"/>
          <w:highlight w:val="none"/>
          <w:lang w:eastAsia="zh-CN"/>
        </w:rPr>
        <w:t>乙方</w:t>
      </w:r>
      <w:r>
        <w:rPr>
          <w:rFonts w:hint="eastAsia" w:ascii="仿宋" w:hAnsi="仿宋" w:eastAsia="仿宋" w:cs="仿宋"/>
          <w:color w:val="auto"/>
          <w:sz w:val="21"/>
          <w:szCs w:val="21"/>
          <w:highlight w:val="none"/>
        </w:rPr>
        <w:t>对在项目实施期间所获得的</w:t>
      </w:r>
      <w:r>
        <w:rPr>
          <w:rFonts w:hint="eastAsia" w:ascii="仿宋" w:hAnsi="仿宋" w:eastAsia="仿宋" w:cs="仿宋"/>
          <w:color w:val="auto"/>
          <w:sz w:val="21"/>
          <w:szCs w:val="21"/>
          <w:highlight w:val="none"/>
          <w:lang w:eastAsia="zh-CN"/>
        </w:rPr>
        <w:t>甲方</w:t>
      </w:r>
      <w:r>
        <w:rPr>
          <w:rFonts w:hint="eastAsia" w:ascii="仿宋" w:hAnsi="仿宋" w:eastAsia="仿宋" w:cs="仿宋"/>
          <w:color w:val="auto"/>
          <w:sz w:val="21"/>
          <w:szCs w:val="21"/>
          <w:highlight w:val="none"/>
        </w:rPr>
        <w:t>的情报和资料有保密义务（包括但不限于合同履约期内），泄漏秘密应承担的责任。如有违反，按合同的违约条款向</w:t>
      </w:r>
      <w:r>
        <w:rPr>
          <w:rFonts w:hint="eastAsia" w:ascii="仿宋" w:hAnsi="仿宋" w:eastAsia="仿宋" w:cs="仿宋"/>
          <w:color w:val="auto"/>
          <w:sz w:val="21"/>
          <w:szCs w:val="21"/>
          <w:highlight w:val="none"/>
          <w:lang w:eastAsia="zh-CN"/>
        </w:rPr>
        <w:t>甲方</w:t>
      </w:r>
      <w:r>
        <w:rPr>
          <w:rFonts w:hint="eastAsia" w:ascii="仿宋" w:hAnsi="仿宋" w:eastAsia="仿宋" w:cs="仿宋"/>
          <w:color w:val="auto"/>
          <w:sz w:val="21"/>
          <w:szCs w:val="21"/>
          <w:highlight w:val="none"/>
        </w:rPr>
        <w:t>支付违约金，造成</w:t>
      </w:r>
      <w:r>
        <w:rPr>
          <w:rFonts w:hint="eastAsia" w:ascii="仿宋" w:hAnsi="仿宋" w:eastAsia="仿宋" w:cs="仿宋"/>
          <w:color w:val="auto"/>
          <w:sz w:val="21"/>
          <w:szCs w:val="21"/>
          <w:highlight w:val="none"/>
          <w:lang w:eastAsia="zh-CN"/>
        </w:rPr>
        <w:t>甲方</w:t>
      </w:r>
      <w:r>
        <w:rPr>
          <w:rFonts w:hint="eastAsia" w:ascii="仿宋" w:hAnsi="仿宋" w:eastAsia="仿宋" w:cs="仿宋"/>
          <w:color w:val="auto"/>
          <w:sz w:val="21"/>
          <w:szCs w:val="21"/>
          <w:highlight w:val="none"/>
        </w:rPr>
        <w:t>损失的应予赔偿，违法或涉嫌犯罪的依法追究刑事责任。</w:t>
      </w:r>
    </w:p>
    <w:p w14:paraId="16028C78">
      <w:pPr>
        <w:pStyle w:val="905"/>
        <w:shd w:val="clear" w:color="auto" w:fill="FFFFFF"/>
        <w:snapToGrid/>
        <w:spacing w:before="0" w:beforeAutospacing="0" w:after="0" w:afterAutospacing="0" w:line="360" w:lineRule="auto"/>
        <w:ind w:firstLine="420" w:firstLineChars="200"/>
        <w:contextualSpacing/>
        <w:rPr>
          <w:rFonts w:ascii="仿宋" w:hAnsi="仿宋" w:eastAsia="仿宋" w:cs="仿宋"/>
          <w:color w:val="auto"/>
          <w:szCs w:val="21"/>
          <w:highlight w:val="none"/>
        </w:rPr>
      </w:pPr>
      <w:r>
        <w:rPr>
          <w:rFonts w:hint="eastAsia" w:ascii="仿宋" w:hAnsi="仿宋" w:eastAsia="仿宋" w:cs="仿宋"/>
          <w:color w:val="auto"/>
          <w:sz w:val="21"/>
          <w:szCs w:val="21"/>
          <w:highlight w:val="none"/>
        </w:rPr>
        <w:t>若项目涉及分包的，</w:t>
      </w:r>
      <w:r>
        <w:rPr>
          <w:rFonts w:hint="eastAsia" w:ascii="仿宋" w:hAnsi="仿宋" w:eastAsia="仿宋" w:cs="仿宋"/>
          <w:color w:val="auto"/>
          <w:sz w:val="21"/>
          <w:szCs w:val="21"/>
          <w:highlight w:val="none"/>
          <w:lang w:eastAsia="zh-CN"/>
        </w:rPr>
        <w:t>乙方</w:t>
      </w:r>
      <w:r>
        <w:rPr>
          <w:rFonts w:hint="eastAsia" w:ascii="仿宋" w:hAnsi="仿宋" w:eastAsia="仿宋" w:cs="仿宋"/>
          <w:color w:val="auto"/>
          <w:sz w:val="21"/>
          <w:szCs w:val="21"/>
          <w:highlight w:val="none"/>
        </w:rPr>
        <w:t>须按照以上保密要求，与分包供应商签订单位保密协议、个人保密承诺书、开展日常保密教育等措施，确保分包供应商严格落实各项保密规定，并与分包供应商承担连带责任。</w:t>
      </w:r>
    </w:p>
    <w:p w14:paraId="68FC8792">
      <w:pPr>
        <w:snapToGrid w:val="0"/>
        <w:spacing w:line="360" w:lineRule="auto"/>
        <w:ind w:firstLine="420" w:firstLineChars="200"/>
        <w:rPr>
          <w:rFonts w:ascii="仿宋" w:hAnsi="仿宋" w:eastAsia="仿宋" w:cs="仿宋"/>
          <w:color w:val="auto"/>
          <w:szCs w:val="21"/>
          <w:highlight w:val="none"/>
        </w:rPr>
      </w:pPr>
      <w:r>
        <w:rPr>
          <w:rFonts w:ascii="仿宋" w:hAnsi="仿宋" w:eastAsia="仿宋" w:cs="仿宋"/>
          <w:color w:val="auto"/>
          <w:szCs w:val="21"/>
          <w:highlight w:val="none"/>
        </w:rPr>
        <w:t>2</w:t>
      </w:r>
      <w:r>
        <w:rPr>
          <w:rFonts w:hint="eastAsia" w:ascii="仿宋" w:hAnsi="仿宋" w:eastAsia="仿宋" w:cs="仿宋"/>
          <w:color w:val="auto"/>
          <w:szCs w:val="21"/>
          <w:highlight w:val="none"/>
        </w:rPr>
        <w:t>、本项目服务期结束后1</w:t>
      </w:r>
      <w:r>
        <w:rPr>
          <w:rFonts w:ascii="仿宋" w:hAnsi="仿宋" w:eastAsia="仿宋" w:cs="仿宋"/>
          <w:color w:val="auto"/>
          <w:szCs w:val="21"/>
          <w:highlight w:val="none"/>
        </w:rPr>
        <w:t>0</w:t>
      </w:r>
      <w:r>
        <w:rPr>
          <w:rFonts w:hint="eastAsia" w:ascii="仿宋" w:hAnsi="仿宋" w:eastAsia="仿宋" w:cs="仿宋"/>
          <w:color w:val="auto"/>
          <w:szCs w:val="21"/>
          <w:highlight w:val="none"/>
        </w:rPr>
        <w:t>天内，</w:t>
      </w:r>
      <w:r>
        <w:rPr>
          <w:rFonts w:hint="eastAsia" w:ascii="仿宋" w:hAnsi="仿宋" w:eastAsia="仿宋" w:cs="仿宋"/>
          <w:color w:val="auto"/>
          <w:szCs w:val="21"/>
          <w:highlight w:val="none"/>
          <w:lang w:eastAsia="zh-CN"/>
        </w:rPr>
        <w:t>乙方</w:t>
      </w:r>
      <w:r>
        <w:rPr>
          <w:rFonts w:hint="eastAsia" w:ascii="仿宋" w:hAnsi="仿宋" w:eastAsia="仿宋" w:cs="仿宋"/>
          <w:color w:val="auto"/>
          <w:szCs w:val="21"/>
          <w:highlight w:val="none"/>
        </w:rPr>
        <w:t>应编制案件分析报告汇总表及服务总结报告等，并报</w:t>
      </w:r>
      <w:r>
        <w:rPr>
          <w:rFonts w:hint="eastAsia" w:ascii="仿宋" w:hAnsi="仿宋" w:eastAsia="仿宋" w:cs="仿宋"/>
          <w:color w:val="auto"/>
          <w:szCs w:val="21"/>
          <w:highlight w:val="none"/>
          <w:lang w:eastAsia="zh-CN"/>
        </w:rPr>
        <w:t>甲方</w:t>
      </w:r>
      <w:r>
        <w:rPr>
          <w:rFonts w:hint="eastAsia" w:ascii="仿宋" w:hAnsi="仿宋" w:eastAsia="仿宋" w:cs="仿宋"/>
          <w:color w:val="auto"/>
          <w:szCs w:val="21"/>
          <w:highlight w:val="none"/>
        </w:rPr>
        <w:t>审核。</w:t>
      </w:r>
    </w:p>
    <w:p w14:paraId="33A61F25">
      <w:pPr>
        <w:autoSpaceDE w:val="0"/>
        <w:autoSpaceDN w:val="0"/>
        <w:spacing w:line="360" w:lineRule="auto"/>
        <w:ind w:firstLine="420" w:firstLineChars="200"/>
        <w:rPr>
          <w:rFonts w:ascii="仿宋" w:hAnsi="仿宋" w:eastAsia="仿宋"/>
          <w:color w:val="auto"/>
          <w:szCs w:val="21"/>
          <w:highlight w:val="none"/>
        </w:rPr>
      </w:pPr>
      <w:r>
        <w:rPr>
          <w:rFonts w:hint="eastAsia"/>
          <w:color w:val="auto"/>
          <w:highlight w:val="none"/>
        </w:rPr>
        <w:t>3、</w:t>
      </w:r>
      <w:r>
        <w:rPr>
          <w:rFonts w:hint="eastAsia" w:ascii="仿宋" w:hAnsi="仿宋" w:eastAsia="仿宋"/>
          <w:color w:val="auto"/>
          <w:szCs w:val="21"/>
          <w:highlight w:val="none"/>
        </w:rPr>
        <w:t>网络安全责任和义务要求</w:t>
      </w:r>
    </w:p>
    <w:p w14:paraId="7AC4D7D3">
      <w:pPr>
        <w:spacing w:line="360" w:lineRule="auto"/>
        <w:ind w:firstLine="371" w:firstLineChars="177"/>
        <w:rPr>
          <w:rFonts w:ascii="仿宋" w:hAnsi="仿宋" w:eastAsia="仿宋" w:cs="仿宋"/>
          <w:color w:val="auto"/>
          <w:szCs w:val="21"/>
          <w:highlight w:val="none"/>
        </w:rPr>
      </w:pPr>
      <w:r>
        <w:rPr>
          <w:rFonts w:hint="eastAsia" w:ascii="仿宋" w:hAnsi="仿宋" w:eastAsia="仿宋" w:cs="仿宋"/>
          <w:color w:val="auto"/>
          <w:szCs w:val="21"/>
          <w:highlight w:val="none"/>
        </w:rPr>
        <w:t>（1）</w:t>
      </w:r>
      <w:r>
        <w:rPr>
          <w:rFonts w:ascii="仿宋" w:hAnsi="仿宋" w:eastAsia="仿宋" w:cs="仿宋"/>
          <w:color w:val="auto"/>
          <w:szCs w:val="21"/>
          <w:highlight w:val="none"/>
        </w:rPr>
        <w:t>明确</w:t>
      </w:r>
      <w:r>
        <w:rPr>
          <w:rFonts w:hint="eastAsia" w:ascii="仿宋" w:hAnsi="仿宋" w:eastAsia="仿宋" w:cs="仿宋"/>
          <w:color w:val="auto"/>
          <w:szCs w:val="21"/>
          <w:highlight w:val="none"/>
          <w:lang w:eastAsia="zh-CN"/>
        </w:rPr>
        <w:t>乙方</w:t>
      </w:r>
      <w:r>
        <w:rPr>
          <w:rFonts w:ascii="仿宋" w:hAnsi="仿宋" w:eastAsia="仿宋" w:cs="仿宋"/>
          <w:color w:val="auto"/>
          <w:szCs w:val="21"/>
          <w:highlight w:val="none"/>
        </w:rPr>
        <w:t>法定代表人为合作事项网络</w:t>
      </w:r>
      <w:r>
        <w:rPr>
          <w:rFonts w:hint="eastAsia" w:ascii="仿宋" w:hAnsi="仿宋" w:eastAsia="仿宋" w:cs="仿宋"/>
          <w:color w:val="auto"/>
          <w:szCs w:val="21"/>
          <w:highlight w:val="none"/>
        </w:rPr>
        <w:t>安全第一责任人，具体承担合作事项的部门主要负责人为直接责任人。</w:t>
      </w:r>
    </w:p>
    <w:p w14:paraId="4602AE0B">
      <w:pPr>
        <w:spacing w:line="360" w:lineRule="auto"/>
        <w:ind w:firstLine="371" w:firstLineChars="177"/>
        <w:rPr>
          <w:rFonts w:ascii="仿宋" w:hAnsi="仿宋" w:eastAsia="仿宋" w:cs="仿宋"/>
          <w:color w:val="auto"/>
          <w:szCs w:val="21"/>
          <w:highlight w:val="none"/>
        </w:rPr>
      </w:pPr>
      <w:r>
        <w:rPr>
          <w:rFonts w:hint="eastAsia" w:ascii="仿宋" w:hAnsi="仿宋" w:eastAsia="仿宋" w:cs="仿宋"/>
          <w:color w:val="auto"/>
          <w:szCs w:val="21"/>
          <w:highlight w:val="none"/>
        </w:rPr>
        <w:t>（2）</w:t>
      </w:r>
      <w:r>
        <w:rPr>
          <w:rFonts w:hint="eastAsia" w:ascii="仿宋" w:hAnsi="仿宋" w:eastAsia="仿宋" w:cs="仿宋"/>
          <w:color w:val="auto"/>
          <w:szCs w:val="21"/>
          <w:highlight w:val="none"/>
        </w:rPr>
        <w:t>不得转包合同任务；除非主体、非关键性的“大数据智能查控服务、资金智能查控服务、新型涉网案件智勘联侦分析服务”工作外，不得分包合同任务。</w:t>
      </w:r>
    </w:p>
    <w:p w14:paraId="67D428E4">
      <w:pPr>
        <w:spacing w:line="360" w:lineRule="auto"/>
        <w:ind w:firstLine="371" w:firstLineChars="177"/>
        <w:rPr>
          <w:rFonts w:ascii="仿宋" w:hAnsi="仿宋" w:eastAsia="仿宋" w:cs="仿宋"/>
          <w:color w:val="auto"/>
          <w:szCs w:val="21"/>
          <w:highlight w:val="none"/>
        </w:rPr>
      </w:pPr>
      <w:r>
        <w:rPr>
          <w:rFonts w:hint="eastAsia" w:ascii="仿宋" w:hAnsi="仿宋" w:eastAsia="仿宋" w:cs="仿宋"/>
          <w:color w:val="auto"/>
          <w:szCs w:val="21"/>
          <w:highlight w:val="none"/>
        </w:rPr>
        <w:t>（3）</w:t>
      </w:r>
      <w:r>
        <w:rPr>
          <w:rFonts w:hint="eastAsia" w:ascii="仿宋" w:hAnsi="仿宋" w:eastAsia="仿宋" w:cs="仿宋"/>
          <w:color w:val="auto"/>
          <w:szCs w:val="21"/>
          <w:highlight w:val="none"/>
          <w:lang w:eastAsia="zh-CN"/>
        </w:rPr>
        <w:t>乙方</w:t>
      </w:r>
      <w:r>
        <w:rPr>
          <w:rFonts w:ascii="仿宋" w:hAnsi="仿宋" w:eastAsia="仿宋" w:cs="仿宋"/>
          <w:color w:val="auto"/>
          <w:szCs w:val="21"/>
          <w:highlight w:val="none"/>
        </w:rPr>
        <w:t>应制订与合作事项相关的网络安全保障方案和网络安全事件应急预案。</w:t>
      </w:r>
    </w:p>
    <w:p w14:paraId="58C15EBC">
      <w:pPr>
        <w:spacing w:line="360" w:lineRule="auto"/>
        <w:ind w:firstLine="371" w:firstLineChars="177"/>
        <w:rPr>
          <w:rFonts w:ascii="仿宋" w:hAnsi="仿宋" w:eastAsia="仿宋" w:cs="仿宋"/>
          <w:color w:val="auto"/>
          <w:szCs w:val="21"/>
          <w:highlight w:val="none"/>
        </w:rPr>
      </w:pPr>
      <w:r>
        <w:rPr>
          <w:rFonts w:hint="eastAsia" w:ascii="仿宋" w:hAnsi="仿宋" w:eastAsia="仿宋" w:cs="仿宋"/>
          <w:color w:val="auto"/>
          <w:szCs w:val="21"/>
          <w:highlight w:val="none"/>
        </w:rPr>
        <w:t>（4）</w:t>
      </w:r>
      <w:r>
        <w:rPr>
          <w:rFonts w:hint="eastAsia" w:ascii="仿宋" w:hAnsi="仿宋" w:eastAsia="仿宋" w:cs="仿宋"/>
          <w:color w:val="auto"/>
          <w:szCs w:val="21"/>
          <w:highlight w:val="none"/>
          <w:lang w:eastAsia="zh-CN"/>
        </w:rPr>
        <w:t>乙方</w:t>
      </w:r>
      <w:r>
        <w:rPr>
          <w:rFonts w:ascii="仿宋" w:hAnsi="仿宋" w:eastAsia="仿宋" w:cs="仿宋"/>
          <w:color w:val="auto"/>
          <w:szCs w:val="21"/>
          <w:highlight w:val="none"/>
        </w:rPr>
        <w:t>发现网络安全漏洞、缺陷或者其他严重网络安全风险，应及时向</w:t>
      </w:r>
      <w:r>
        <w:rPr>
          <w:rFonts w:hint="eastAsia" w:ascii="仿宋" w:hAnsi="仿宋" w:eastAsia="仿宋" w:cs="仿宋"/>
          <w:color w:val="auto"/>
          <w:szCs w:val="21"/>
          <w:highlight w:val="none"/>
          <w:lang w:eastAsia="zh-CN"/>
        </w:rPr>
        <w:t>甲方</w:t>
      </w:r>
      <w:r>
        <w:rPr>
          <w:rFonts w:ascii="仿宋" w:hAnsi="仿宋" w:eastAsia="仿宋" w:cs="仿宋"/>
          <w:color w:val="auto"/>
          <w:szCs w:val="21"/>
          <w:highlight w:val="none"/>
        </w:rPr>
        <w:t>报告。</w:t>
      </w:r>
    </w:p>
    <w:p w14:paraId="749B2922">
      <w:pPr>
        <w:spacing w:line="360" w:lineRule="auto"/>
        <w:ind w:firstLine="371" w:firstLineChars="177"/>
        <w:rPr>
          <w:rFonts w:ascii="仿宋" w:hAnsi="仿宋" w:eastAsia="仿宋" w:cs="仿宋"/>
          <w:color w:val="auto"/>
          <w:szCs w:val="21"/>
          <w:highlight w:val="none"/>
        </w:rPr>
      </w:pPr>
      <w:r>
        <w:rPr>
          <w:rFonts w:hint="eastAsia" w:ascii="仿宋" w:hAnsi="仿宋" w:eastAsia="仿宋" w:cs="仿宋"/>
          <w:color w:val="auto"/>
          <w:szCs w:val="21"/>
          <w:highlight w:val="none"/>
        </w:rPr>
        <w:t>（5）处理合作事项的信息平台应当优先采用符合安全可靠测评要求的硬件和软件产品。</w:t>
      </w:r>
    </w:p>
    <w:p w14:paraId="69B0D5A0">
      <w:pPr>
        <w:spacing w:line="360" w:lineRule="auto"/>
        <w:ind w:firstLine="371" w:firstLineChars="177"/>
        <w:rPr>
          <w:rFonts w:ascii="仿宋" w:hAnsi="仿宋" w:eastAsia="仿宋" w:cs="仿宋"/>
          <w:color w:val="auto"/>
          <w:szCs w:val="21"/>
          <w:highlight w:val="none"/>
        </w:rPr>
      </w:pPr>
      <w:r>
        <w:rPr>
          <w:rFonts w:hint="eastAsia" w:ascii="仿宋" w:hAnsi="仿宋" w:eastAsia="仿宋" w:cs="仿宋"/>
          <w:color w:val="auto"/>
          <w:szCs w:val="21"/>
          <w:highlight w:val="none"/>
        </w:rPr>
        <w:t>（6）</w:t>
      </w:r>
      <w:r>
        <w:rPr>
          <w:rFonts w:ascii="仿宋" w:hAnsi="仿宋" w:eastAsia="仿宋" w:cs="仿宋"/>
          <w:color w:val="auto"/>
          <w:szCs w:val="21"/>
          <w:highlight w:val="none"/>
        </w:rPr>
        <w:t>发生可能影响合作事项的网络安全重大事项，包括负责人及重要工作人员变更、业务转型、</w:t>
      </w:r>
      <w:r>
        <w:rPr>
          <w:rFonts w:hint="eastAsia" w:ascii="仿宋" w:hAnsi="仿宋" w:eastAsia="仿宋" w:cs="仿宋"/>
          <w:color w:val="auto"/>
          <w:szCs w:val="21"/>
          <w:highlight w:val="none"/>
        </w:rPr>
        <w:t>合并重组和投资并购等，</w:t>
      </w:r>
      <w:r>
        <w:rPr>
          <w:rFonts w:hint="eastAsia" w:ascii="仿宋" w:hAnsi="仿宋" w:eastAsia="仿宋" w:cs="仿宋"/>
          <w:color w:val="auto"/>
          <w:szCs w:val="21"/>
          <w:highlight w:val="none"/>
          <w:lang w:eastAsia="zh-CN"/>
        </w:rPr>
        <w:t>乙方</w:t>
      </w:r>
      <w:r>
        <w:rPr>
          <w:rFonts w:hint="eastAsia" w:ascii="仿宋" w:hAnsi="仿宋" w:eastAsia="仿宋" w:cs="仿宋"/>
          <w:color w:val="auto"/>
          <w:szCs w:val="21"/>
          <w:highlight w:val="none"/>
        </w:rPr>
        <w:t>应提前向</w:t>
      </w:r>
      <w:r>
        <w:rPr>
          <w:rFonts w:hint="eastAsia" w:ascii="仿宋" w:hAnsi="仿宋" w:eastAsia="仿宋" w:cs="仿宋"/>
          <w:color w:val="auto"/>
          <w:szCs w:val="21"/>
          <w:highlight w:val="none"/>
          <w:lang w:eastAsia="zh-CN"/>
        </w:rPr>
        <w:t>甲方</w:t>
      </w:r>
      <w:r>
        <w:rPr>
          <w:rFonts w:hint="eastAsia" w:ascii="仿宋" w:hAnsi="仿宋" w:eastAsia="仿宋" w:cs="仿宋"/>
          <w:color w:val="auto"/>
          <w:szCs w:val="21"/>
          <w:highlight w:val="none"/>
        </w:rPr>
        <w:t>报告。</w:t>
      </w:r>
    </w:p>
    <w:p w14:paraId="25E21812">
      <w:pPr>
        <w:spacing w:line="360" w:lineRule="auto"/>
        <w:ind w:firstLine="371" w:firstLineChars="177"/>
        <w:rPr>
          <w:rFonts w:ascii="仿宋" w:hAnsi="仿宋" w:eastAsia="仿宋" w:cs="仿宋"/>
          <w:color w:val="auto"/>
          <w:szCs w:val="21"/>
          <w:highlight w:val="none"/>
        </w:rPr>
      </w:pPr>
      <w:r>
        <w:rPr>
          <w:rFonts w:hint="eastAsia" w:ascii="仿宋" w:hAnsi="仿宋" w:eastAsia="仿宋" w:cs="仿宋"/>
          <w:color w:val="auto"/>
          <w:szCs w:val="21"/>
          <w:highlight w:val="none"/>
        </w:rPr>
        <w:t>（7）</w:t>
      </w:r>
      <w:r>
        <w:rPr>
          <w:rFonts w:ascii="仿宋" w:hAnsi="仿宋" w:eastAsia="仿宋" w:cs="仿宋"/>
          <w:color w:val="auto"/>
          <w:szCs w:val="21"/>
          <w:highlight w:val="none"/>
        </w:rPr>
        <w:t>采用社会公共网络平台实施合作事项时，严禁涉及国家秘密和警务工作秘密。</w:t>
      </w:r>
    </w:p>
    <w:p w14:paraId="4809734F">
      <w:pPr>
        <w:spacing w:line="360" w:lineRule="auto"/>
        <w:ind w:firstLine="371" w:firstLineChars="177"/>
        <w:rPr>
          <w:rFonts w:ascii="仿宋" w:hAnsi="仿宋" w:eastAsia="仿宋" w:cs="仿宋"/>
          <w:color w:val="auto"/>
          <w:szCs w:val="21"/>
          <w:highlight w:val="none"/>
        </w:rPr>
      </w:pPr>
      <w:r>
        <w:rPr>
          <w:rFonts w:hint="eastAsia" w:ascii="仿宋" w:hAnsi="仿宋" w:eastAsia="仿宋" w:cs="仿宋"/>
          <w:color w:val="auto"/>
          <w:szCs w:val="21"/>
          <w:highlight w:val="none"/>
        </w:rPr>
        <w:t>（8）</w:t>
      </w:r>
      <w:r>
        <w:rPr>
          <w:rFonts w:hint="eastAsia" w:ascii="仿宋" w:hAnsi="仿宋" w:eastAsia="仿宋" w:cs="仿宋"/>
          <w:color w:val="auto"/>
          <w:szCs w:val="21"/>
          <w:highlight w:val="none"/>
          <w:lang w:eastAsia="zh-CN"/>
        </w:rPr>
        <w:t>乙方</w:t>
      </w:r>
      <w:r>
        <w:rPr>
          <w:rFonts w:ascii="仿宋" w:hAnsi="仿宋" w:eastAsia="仿宋" w:cs="仿宋"/>
          <w:color w:val="auto"/>
          <w:szCs w:val="21"/>
          <w:highlight w:val="none"/>
        </w:rPr>
        <w:t>应</w:t>
      </w:r>
      <w:r>
        <w:rPr>
          <w:rFonts w:hint="eastAsia" w:ascii="仿宋" w:hAnsi="仿宋" w:eastAsia="仿宋" w:cs="仿宋"/>
          <w:color w:val="auto"/>
          <w:szCs w:val="21"/>
          <w:highlight w:val="none"/>
          <w:lang w:val="en-US" w:eastAsia="zh-CN"/>
        </w:rPr>
        <w:t>在每次验收</w:t>
      </w:r>
      <w:r>
        <w:rPr>
          <w:rFonts w:ascii="仿宋" w:hAnsi="仿宋" w:eastAsia="仿宋" w:cs="仿宋"/>
          <w:color w:val="auto"/>
          <w:szCs w:val="21"/>
          <w:highlight w:val="none"/>
        </w:rPr>
        <w:t>之前向</w:t>
      </w:r>
      <w:r>
        <w:rPr>
          <w:rFonts w:hint="eastAsia" w:ascii="仿宋" w:hAnsi="仿宋" w:eastAsia="仿宋" w:cs="仿宋"/>
          <w:color w:val="auto"/>
          <w:szCs w:val="21"/>
          <w:highlight w:val="none"/>
          <w:lang w:eastAsia="zh-CN"/>
        </w:rPr>
        <w:t>甲方</w:t>
      </w:r>
      <w:r>
        <w:rPr>
          <w:rFonts w:ascii="仿宋" w:hAnsi="仿宋" w:eastAsia="仿宋" w:cs="仿宋"/>
          <w:color w:val="auto"/>
          <w:szCs w:val="21"/>
          <w:highlight w:val="none"/>
        </w:rPr>
        <w:t>提交网络安全报告。</w:t>
      </w:r>
    </w:p>
    <w:p w14:paraId="4560D8A7">
      <w:pPr>
        <w:spacing w:line="360" w:lineRule="auto"/>
        <w:ind w:firstLine="371" w:firstLineChars="177"/>
        <w:rPr>
          <w:color w:val="auto"/>
          <w:highlight w:val="none"/>
        </w:rPr>
      </w:pPr>
      <w:r>
        <w:rPr>
          <w:rFonts w:hint="eastAsia" w:ascii="仿宋" w:hAnsi="仿宋" w:eastAsia="仿宋" w:cs="仿宋"/>
          <w:color w:val="auto"/>
          <w:szCs w:val="21"/>
          <w:highlight w:val="none"/>
        </w:rPr>
        <w:t>（9）</w:t>
      </w:r>
      <w:r>
        <w:rPr>
          <w:rFonts w:ascii="仿宋" w:hAnsi="仿宋" w:eastAsia="仿宋" w:cs="仿宋"/>
          <w:color w:val="auto"/>
          <w:szCs w:val="21"/>
          <w:highlight w:val="none"/>
        </w:rPr>
        <w:t>其他应当落实的网络安全责任和义务。</w:t>
      </w:r>
    </w:p>
    <w:p w14:paraId="34C5DB3B">
      <w:pPr>
        <w:widowControl w:val="0"/>
        <w:shd w:val="clear" w:color="auto" w:fill="FFFFFF"/>
        <w:snapToGrid/>
        <w:spacing w:before="0" w:beforeAutospacing="0" w:after="0" w:afterAutospacing="0" w:line="360" w:lineRule="auto"/>
        <w:ind w:firstLine="420" w:firstLineChars="200"/>
        <w:contextualSpacing/>
        <w:rPr>
          <w:rFonts w:hint="default" w:ascii="仿宋" w:hAnsi="仿宋" w:eastAsia="仿宋" w:cs="仿宋"/>
          <w:color w:val="auto"/>
          <w:kern w:val="2"/>
          <w:sz w:val="21"/>
          <w:szCs w:val="21"/>
          <w:highlight w:val="none"/>
        </w:rPr>
      </w:pPr>
      <w:r>
        <w:rPr>
          <w:rFonts w:hint="eastAsia" w:ascii="仿宋" w:hAnsi="仿宋" w:eastAsia="仿宋" w:cs="仿宋"/>
          <w:color w:val="auto"/>
          <w:sz w:val="21"/>
          <w:szCs w:val="21"/>
          <w:highlight w:val="none"/>
          <w:lang w:val="en-US" w:eastAsia="zh-CN"/>
        </w:rPr>
        <w:t>4</w:t>
      </w:r>
      <w:r>
        <w:rPr>
          <w:rFonts w:hint="default" w:ascii="仿宋" w:hAnsi="仿宋" w:eastAsia="仿宋" w:cs="仿宋"/>
          <w:color w:val="auto"/>
          <w:sz w:val="21"/>
          <w:szCs w:val="21"/>
          <w:highlight w:val="none"/>
        </w:rPr>
        <w:t>、</w:t>
      </w:r>
      <w:r>
        <w:rPr>
          <w:rFonts w:hint="default" w:ascii="仿宋" w:hAnsi="仿宋" w:eastAsia="仿宋" w:cs="仿宋"/>
          <w:color w:val="auto"/>
          <w:sz w:val="21"/>
          <w:szCs w:val="21"/>
          <w:highlight w:val="none"/>
          <w:lang w:val="zh-CN"/>
        </w:rPr>
        <w:t>安全事故责任条款：因乙方或乙方派遣人员工作过错造成的安全管理事故，乙方负全部责任及相关费用。</w:t>
      </w:r>
    </w:p>
    <w:p w14:paraId="7C3D81CA">
      <w:pPr>
        <w:rPr>
          <w:rFonts w:hint="eastAsia" w:ascii="仿宋" w:hAnsi="仿宋" w:eastAsia="仿宋" w:cs="仿宋"/>
          <w:color w:val="auto"/>
          <w:kern w:val="2"/>
          <w:sz w:val="21"/>
          <w:szCs w:val="21"/>
          <w:highlight w:val="none"/>
          <w:lang w:val="en-US" w:eastAsia="zh-CN" w:bidi="ar-SA"/>
        </w:rPr>
      </w:pPr>
    </w:p>
    <w:p w14:paraId="08A3302D">
      <w:pPr>
        <w:rPr>
          <w:rFonts w:hint="eastAsia"/>
          <w:color w:val="auto"/>
          <w:highlight w:val="none"/>
          <w:lang w:val="en-US" w:eastAsia="zh-CN"/>
        </w:rPr>
      </w:pPr>
    </w:p>
    <w:p w14:paraId="19A8FDD6">
      <w:pPr>
        <w:keepNext w:val="0"/>
        <w:keepLines w:val="0"/>
        <w:pageBreakBefore w:val="0"/>
        <w:widowControl w:val="0"/>
        <w:numPr>
          <w:ilvl w:val="0"/>
          <w:numId w:val="0"/>
        </w:numPr>
        <w:kinsoku/>
        <w:wordWrap/>
        <w:overflowPunct/>
        <w:topLinePunct w:val="0"/>
        <w:autoSpaceDE/>
        <w:autoSpaceDN/>
        <w:bidi w:val="0"/>
        <w:adjustRightInd w:val="0"/>
        <w:snapToGrid/>
        <w:spacing w:line="360" w:lineRule="auto"/>
        <w:ind w:right="-420" w:rightChars="-200"/>
        <w:jc w:val="left"/>
        <w:textAlignment w:val="auto"/>
        <w:outlineLvl w:val="2"/>
        <w:rPr>
          <w:rFonts w:hint="eastAsia" w:ascii="仿宋" w:hAnsi="仿宋" w:eastAsia="仿宋" w:cs="仿宋"/>
          <w:b/>
          <w:bCs/>
          <w:color w:val="auto"/>
          <w:kern w:val="2"/>
          <w:sz w:val="24"/>
          <w:szCs w:val="24"/>
          <w:highlight w:val="none"/>
          <w:lang w:val="en-US" w:eastAsia="zh-CN" w:bidi="ar-SA"/>
        </w:rPr>
      </w:pPr>
      <w:r>
        <w:rPr>
          <w:rFonts w:hint="eastAsia" w:ascii="仿宋" w:hAnsi="仿宋" w:eastAsia="仿宋" w:cs="仿宋"/>
          <w:b/>
          <w:bCs/>
          <w:color w:val="auto"/>
          <w:kern w:val="2"/>
          <w:sz w:val="24"/>
          <w:szCs w:val="24"/>
          <w:highlight w:val="none"/>
          <w:lang w:val="en-US" w:eastAsia="zh-CN" w:bidi="ar-SA"/>
        </w:rPr>
        <w:t>4、附件：</w:t>
      </w:r>
    </w:p>
    <w:p w14:paraId="4B644F53">
      <w:pPr>
        <w:keepNext w:val="0"/>
        <w:keepLines w:val="0"/>
        <w:pageBreakBefore w:val="0"/>
        <w:kinsoku/>
        <w:wordWrap/>
        <w:topLinePunct w:val="0"/>
        <w:bidi w:val="0"/>
        <w:snapToGrid/>
        <w:spacing w:line="360" w:lineRule="auto"/>
        <w:ind w:firstLine="422" w:firstLineChars="200"/>
        <w:outlineLvl w:val="0"/>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附件一：合同价格清单</w:t>
      </w:r>
    </w:p>
    <w:tbl>
      <w:tblPr>
        <w:tblStyle w:val="80"/>
        <w:tblW w:w="1029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67"/>
        <w:gridCol w:w="1418"/>
        <w:gridCol w:w="2942"/>
        <w:gridCol w:w="39"/>
        <w:gridCol w:w="1134"/>
        <w:gridCol w:w="733"/>
        <w:gridCol w:w="867"/>
        <w:gridCol w:w="709"/>
        <w:gridCol w:w="892"/>
        <w:gridCol w:w="992"/>
      </w:tblGrid>
      <w:tr w14:paraId="463174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7" w:hRule="atLeast"/>
          <w:jc w:val="center"/>
        </w:trPr>
        <w:tc>
          <w:tcPr>
            <w:tcW w:w="567" w:type="dxa"/>
            <w:tcBorders>
              <w:top w:val="single" w:color="000000" w:sz="4" w:space="0"/>
              <w:left w:val="single" w:color="000000" w:sz="4" w:space="0"/>
              <w:bottom w:val="single" w:color="000000" w:sz="4" w:space="0"/>
              <w:right w:val="single" w:color="000000" w:sz="4" w:space="0"/>
            </w:tcBorders>
            <w:noWrap w:val="0"/>
            <w:vAlign w:val="center"/>
          </w:tcPr>
          <w:p w14:paraId="7CA6B15E">
            <w:pPr>
              <w:widowControl/>
              <w:jc w:val="center"/>
              <w:textAlignment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序号</w:t>
            </w:r>
          </w:p>
        </w:tc>
        <w:tc>
          <w:tcPr>
            <w:tcW w:w="1418" w:type="dxa"/>
            <w:tcBorders>
              <w:top w:val="single" w:color="000000" w:sz="4" w:space="0"/>
              <w:left w:val="single" w:color="000000" w:sz="4" w:space="0"/>
              <w:bottom w:val="single" w:color="000000" w:sz="4" w:space="0"/>
              <w:right w:val="single" w:color="000000" w:sz="4" w:space="0"/>
            </w:tcBorders>
            <w:noWrap w:val="0"/>
            <w:vAlign w:val="center"/>
          </w:tcPr>
          <w:p w14:paraId="7EE5E750">
            <w:pPr>
              <w:widowControl/>
              <w:jc w:val="center"/>
              <w:textAlignment w:val="center"/>
              <w:rPr>
                <w:rFonts w:ascii="仿宋" w:hAnsi="仿宋" w:eastAsia="仿宋" w:cs="仿宋"/>
                <w:b/>
                <w:bCs/>
                <w:color w:val="auto"/>
                <w:szCs w:val="21"/>
                <w:highlight w:val="none"/>
              </w:rPr>
            </w:pPr>
            <w:r>
              <w:rPr>
                <w:rFonts w:hint="eastAsia" w:ascii="仿宋" w:hAnsi="仿宋" w:eastAsia="仿宋" w:cs="仿宋"/>
                <w:b/>
                <w:bCs/>
                <w:color w:val="auto"/>
                <w:kern w:val="0"/>
                <w:szCs w:val="21"/>
                <w:highlight w:val="none"/>
                <w:lang w:bidi="ar"/>
              </w:rPr>
              <w:t>服务名称</w:t>
            </w:r>
          </w:p>
        </w:tc>
        <w:tc>
          <w:tcPr>
            <w:tcW w:w="2981" w:type="dxa"/>
            <w:gridSpan w:val="2"/>
            <w:tcBorders>
              <w:top w:val="single" w:color="000000" w:sz="4" w:space="0"/>
              <w:left w:val="single" w:color="000000" w:sz="4" w:space="0"/>
              <w:bottom w:val="single" w:color="000000" w:sz="4" w:space="0"/>
              <w:right w:val="single" w:color="000000" w:sz="4" w:space="0"/>
            </w:tcBorders>
            <w:noWrap w:val="0"/>
            <w:vAlign w:val="center"/>
          </w:tcPr>
          <w:p w14:paraId="1FF04DBE">
            <w:pPr>
              <w:widowControl/>
              <w:jc w:val="center"/>
              <w:textAlignment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内容</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14:paraId="61E501C2">
            <w:pPr>
              <w:jc w:val="center"/>
              <w:textAlignment w:val="center"/>
              <w:rPr>
                <w:rFonts w:ascii="仿宋" w:hAnsi="仿宋" w:eastAsia="仿宋" w:cs="仿宋"/>
                <w:b/>
                <w:bCs/>
                <w:color w:val="auto"/>
                <w:kern w:val="0"/>
                <w:szCs w:val="21"/>
                <w:highlight w:val="none"/>
                <w:lang w:bidi="ar"/>
              </w:rPr>
            </w:pPr>
            <w:r>
              <w:rPr>
                <w:rFonts w:hint="eastAsia" w:ascii="仿宋" w:hAnsi="仿宋" w:eastAsia="仿宋" w:cs="仿宋"/>
                <w:b/>
                <w:bCs/>
                <w:color w:val="auto"/>
                <w:kern w:val="0"/>
                <w:szCs w:val="21"/>
                <w:highlight w:val="none"/>
                <w:lang w:bidi="ar"/>
              </w:rPr>
              <w:t>报告</w:t>
            </w:r>
          </w:p>
          <w:p w14:paraId="0B84F545">
            <w:pPr>
              <w:jc w:val="center"/>
              <w:textAlignment w:val="center"/>
              <w:rPr>
                <w:rFonts w:ascii="仿宋" w:hAnsi="仿宋" w:eastAsia="仿宋" w:cs="仿宋"/>
                <w:b/>
                <w:bCs/>
                <w:color w:val="auto"/>
                <w:kern w:val="0"/>
                <w:szCs w:val="21"/>
                <w:highlight w:val="none"/>
                <w:lang w:bidi="ar"/>
              </w:rPr>
            </w:pPr>
            <w:r>
              <w:rPr>
                <w:rFonts w:hint="eastAsia" w:ascii="仿宋" w:hAnsi="仿宋" w:eastAsia="仿宋" w:cs="仿宋"/>
                <w:b/>
                <w:bCs/>
                <w:color w:val="auto"/>
                <w:kern w:val="0"/>
                <w:szCs w:val="21"/>
                <w:highlight w:val="none"/>
                <w:lang w:bidi="ar"/>
              </w:rPr>
              <w:t>类型</w:t>
            </w:r>
          </w:p>
        </w:tc>
        <w:tc>
          <w:tcPr>
            <w:tcW w:w="733" w:type="dxa"/>
            <w:tcBorders>
              <w:top w:val="single" w:color="000000" w:sz="4" w:space="0"/>
              <w:left w:val="single" w:color="000000" w:sz="4" w:space="0"/>
              <w:bottom w:val="single" w:color="000000" w:sz="4" w:space="0"/>
              <w:right w:val="single" w:color="000000" w:sz="4" w:space="0"/>
            </w:tcBorders>
            <w:noWrap w:val="0"/>
            <w:vAlign w:val="center"/>
          </w:tcPr>
          <w:p w14:paraId="6C4B9937">
            <w:pPr>
              <w:jc w:val="center"/>
              <w:textAlignment w:val="center"/>
              <w:rPr>
                <w:rFonts w:hint="eastAsia" w:ascii="仿宋" w:hAnsi="仿宋" w:eastAsia="仿宋" w:cs="仿宋"/>
                <w:b/>
                <w:bCs/>
                <w:color w:val="auto"/>
                <w:kern w:val="0"/>
                <w:szCs w:val="21"/>
                <w:highlight w:val="none"/>
                <w:lang w:bidi="ar"/>
              </w:rPr>
            </w:pPr>
            <w:r>
              <w:rPr>
                <w:rFonts w:hint="eastAsia" w:ascii="仿宋" w:hAnsi="仿宋" w:eastAsia="仿宋" w:cs="仿宋"/>
                <w:b/>
                <w:bCs/>
                <w:color w:val="auto"/>
                <w:kern w:val="0"/>
                <w:szCs w:val="21"/>
                <w:highlight w:val="none"/>
                <w:lang w:bidi="ar"/>
              </w:rPr>
              <w:t>单位</w:t>
            </w:r>
          </w:p>
        </w:tc>
        <w:tc>
          <w:tcPr>
            <w:tcW w:w="867" w:type="dxa"/>
            <w:tcBorders>
              <w:top w:val="single" w:color="000000" w:sz="4" w:space="0"/>
              <w:left w:val="single" w:color="000000" w:sz="4" w:space="0"/>
              <w:bottom w:val="single" w:color="000000" w:sz="4" w:space="0"/>
              <w:right w:val="single" w:color="000000" w:sz="4" w:space="0"/>
            </w:tcBorders>
            <w:noWrap w:val="0"/>
            <w:vAlign w:val="center"/>
          </w:tcPr>
          <w:p w14:paraId="7B806B05">
            <w:pPr>
              <w:jc w:val="center"/>
              <w:textAlignment w:val="center"/>
              <w:rPr>
                <w:rFonts w:ascii="仿宋" w:hAnsi="仿宋" w:eastAsia="仿宋" w:cs="仿宋"/>
                <w:b/>
                <w:bCs/>
                <w:color w:val="auto"/>
                <w:kern w:val="0"/>
                <w:szCs w:val="21"/>
                <w:highlight w:val="none"/>
                <w:lang w:bidi="ar"/>
              </w:rPr>
            </w:pPr>
            <w:r>
              <w:rPr>
                <w:rFonts w:hint="eastAsia" w:ascii="仿宋" w:hAnsi="仿宋" w:eastAsia="仿宋" w:cs="仿宋"/>
                <w:b/>
                <w:bCs/>
                <w:color w:val="auto"/>
                <w:kern w:val="0"/>
                <w:szCs w:val="21"/>
                <w:highlight w:val="none"/>
                <w:lang w:bidi="ar"/>
              </w:rPr>
              <w:t>数量</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14:paraId="4CA214A1">
            <w:pPr>
              <w:jc w:val="center"/>
              <w:textAlignment w:val="center"/>
              <w:rPr>
                <w:rFonts w:ascii="仿宋" w:hAnsi="仿宋" w:eastAsia="仿宋" w:cs="仿宋"/>
                <w:b/>
                <w:bCs/>
                <w:color w:val="auto"/>
                <w:kern w:val="0"/>
                <w:szCs w:val="21"/>
                <w:highlight w:val="none"/>
                <w:lang w:bidi="ar"/>
              </w:rPr>
            </w:pPr>
            <w:r>
              <w:rPr>
                <w:rFonts w:hint="eastAsia" w:ascii="仿宋" w:hAnsi="仿宋" w:eastAsia="仿宋" w:cs="仿宋"/>
                <w:b/>
                <w:bCs/>
                <w:color w:val="auto"/>
                <w:kern w:val="0"/>
                <w:szCs w:val="21"/>
                <w:highlight w:val="none"/>
                <w:lang w:bidi="ar"/>
              </w:rPr>
              <w:t>单价</w:t>
            </w:r>
          </w:p>
          <w:p w14:paraId="267AEAB5">
            <w:pPr>
              <w:jc w:val="center"/>
              <w:textAlignment w:val="center"/>
              <w:rPr>
                <w:rFonts w:ascii="仿宋" w:hAnsi="仿宋" w:eastAsia="仿宋" w:cs="仿宋"/>
                <w:b/>
                <w:bCs/>
                <w:color w:val="auto"/>
                <w:kern w:val="0"/>
                <w:szCs w:val="21"/>
                <w:highlight w:val="none"/>
                <w:lang w:bidi="ar"/>
              </w:rPr>
            </w:pPr>
            <w:r>
              <w:rPr>
                <w:rFonts w:hint="eastAsia" w:ascii="仿宋" w:hAnsi="仿宋" w:eastAsia="仿宋" w:cs="仿宋"/>
                <w:b/>
                <w:bCs/>
                <w:color w:val="auto"/>
                <w:kern w:val="0"/>
                <w:szCs w:val="21"/>
                <w:highlight w:val="none"/>
                <w:lang w:bidi="ar"/>
              </w:rPr>
              <w:t>(元</w:t>
            </w:r>
            <w:r>
              <w:rPr>
                <w:rFonts w:ascii="仿宋" w:hAnsi="仿宋" w:eastAsia="仿宋" w:cs="仿宋"/>
                <w:b/>
                <w:bCs/>
                <w:color w:val="auto"/>
                <w:kern w:val="0"/>
                <w:szCs w:val="21"/>
                <w:highlight w:val="none"/>
                <w:lang w:bidi="ar"/>
              </w:rPr>
              <w:t>)</w:t>
            </w:r>
          </w:p>
        </w:tc>
        <w:tc>
          <w:tcPr>
            <w:tcW w:w="892" w:type="dxa"/>
            <w:tcBorders>
              <w:top w:val="single" w:color="000000" w:sz="4" w:space="0"/>
              <w:left w:val="single" w:color="000000" w:sz="4" w:space="0"/>
              <w:bottom w:val="single" w:color="000000" w:sz="4" w:space="0"/>
              <w:right w:val="single" w:color="000000" w:sz="4" w:space="0"/>
            </w:tcBorders>
            <w:noWrap w:val="0"/>
            <w:vAlign w:val="center"/>
          </w:tcPr>
          <w:p w14:paraId="0DAEC12E">
            <w:pPr>
              <w:jc w:val="center"/>
              <w:textAlignment w:val="center"/>
              <w:rPr>
                <w:rFonts w:ascii="仿宋" w:hAnsi="仿宋" w:eastAsia="仿宋" w:cs="仿宋"/>
                <w:b/>
                <w:bCs/>
                <w:color w:val="auto"/>
                <w:kern w:val="0"/>
                <w:szCs w:val="21"/>
                <w:highlight w:val="none"/>
                <w:lang w:bidi="ar"/>
              </w:rPr>
            </w:pPr>
            <w:r>
              <w:rPr>
                <w:rFonts w:hint="eastAsia" w:ascii="仿宋" w:hAnsi="仿宋" w:eastAsia="仿宋" w:cs="仿宋"/>
                <w:b/>
                <w:bCs/>
                <w:color w:val="auto"/>
                <w:kern w:val="0"/>
                <w:szCs w:val="21"/>
                <w:highlight w:val="none"/>
                <w:lang w:bidi="ar"/>
              </w:rPr>
              <w:t>合计</w:t>
            </w:r>
          </w:p>
          <w:p w14:paraId="6BD6F171">
            <w:pPr>
              <w:jc w:val="center"/>
              <w:textAlignment w:val="center"/>
              <w:rPr>
                <w:rFonts w:ascii="仿宋" w:hAnsi="仿宋" w:eastAsia="仿宋" w:cs="仿宋"/>
                <w:b/>
                <w:bCs/>
                <w:color w:val="auto"/>
                <w:kern w:val="0"/>
                <w:szCs w:val="21"/>
                <w:highlight w:val="none"/>
                <w:lang w:bidi="ar"/>
              </w:rPr>
            </w:pPr>
            <w:r>
              <w:rPr>
                <w:rFonts w:hint="eastAsia" w:ascii="仿宋" w:hAnsi="仿宋" w:eastAsia="仿宋" w:cs="仿宋"/>
                <w:b/>
                <w:bCs/>
                <w:color w:val="auto"/>
                <w:kern w:val="0"/>
                <w:szCs w:val="21"/>
                <w:highlight w:val="none"/>
                <w:lang w:bidi="ar"/>
              </w:rPr>
              <w:t>(元</w:t>
            </w:r>
            <w:r>
              <w:rPr>
                <w:rFonts w:ascii="仿宋" w:hAnsi="仿宋" w:eastAsia="仿宋" w:cs="仿宋"/>
                <w:b/>
                <w:bCs/>
                <w:color w:val="auto"/>
                <w:kern w:val="0"/>
                <w:szCs w:val="21"/>
                <w:highlight w:val="none"/>
                <w:lang w:bidi="ar"/>
              </w:rPr>
              <w:t>)</w:t>
            </w:r>
          </w:p>
        </w:tc>
        <w:tc>
          <w:tcPr>
            <w:tcW w:w="992" w:type="dxa"/>
            <w:tcBorders>
              <w:top w:val="single" w:color="000000" w:sz="4" w:space="0"/>
              <w:left w:val="single" w:color="000000" w:sz="4" w:space="0"/>
              <w:bottom w:val="single" w:color="000000" w:sz="4" w:space="0"/>
              <w:right w:val="single" w:color="000000" w:sz="4" w:space="0"/>
            </w:tcBorders>
            <w:noWrap w:val="0"/>
            <w:vAlign w:val="center"/>
          </w:tcPr>
          <w:p w14:paraId="39ADFD08">
            <w:pPr>
              <w:jc w:val="center"/>
              <w:textAlignment w:val="center"/>
              <w:rPr>
                <w:rFonts w:hint="eastAsia" w:ascii="仿宋" w:hAnsi="仿宋" w:eastAsia="仿宋" w:cs="仿宋"/>
                <w:b/>
                <w:bCs/>
                <w:color w:val="auto"/>
                <w:kern w:val="0"/>
                <w:szCs w:val="21"/>
                <w:highlight w:val="none"/>
                <w:lang w:bidi="ar"/>
              </w:rPr>
            </w:pPr>
            <w:r>
              <w:rPr>
                <w:rFonts w:hint="eastAsia" w:ascii="仿宋" w:hAnsi="仿宋" w:eastAsia="仿宋" w:cs="仿宋"/>
                <w:b/>
                <w:bCs/>
                <w:color w:val="auto"/>
                <w:kern w:val="0"/>
                <w:szCs w:val="21"/>
                <w:highlight w:val="none"/>
                <w:lang w:bidi="ar"/>
              </w:rPr>
              <w:t>备注(请备注中小微企业提供的服务）</w:t>
            </w:r>
          </w:p>
        </w:tc>
      </w:tr>
      <w:tr w14:paraId="5FB289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0" w:hRule="atLeast"/>
          <w:jc w:val="center"/>
        </w:trPr>
        <w:tc>
          <w:tcPr>
            <w:tcW w:w="567" w:type="dxa"/>
            <w:vMerge w:val="restart"/>
            <w:tcBorders>
              <w:top w:val="single" w:color="000000" w:sz="4" w:space="0"/>
              <w:left w:val="single" w:color="000000" w:sz="4" w:space="0"/>
              <w:bottom w:val="single" w:color="000000" w:sz="4" w:space="0"/>
              <w:right w:val="single" w:color="000000" w:sz="4" w:space="0"/>
            </w:tcBorders>
            <w:noWrap w:val="0"/>
            <w:vAlign w:val="center"/>
          </w:tcPr>
          <w:p w14:paraId="5F8E43BB">
            <w:pPr>
              <w:widowControl/>
              <w:jc w:val="center"/>
              <w:textAlignment w:val="center"/>
              <w:rPr>
                <w:rFonts w:ascii="仿宋" w:hAnsi="仿宋" w:eastAsia="仿宋" w:cs="仿宋"/>
                <w:color w:val="auto"/>
                <w:szCs w:val="21"/>
                <w:highlight w:val="none"/>
              </w:rPr>
            </w:pPr>
            <w:r>
              <w:rPr>
                <w:rFonts w:hint="eastAsia" w:ascii="仿宋" w:hAnsi="仿宋" w:eastAsia="仿宋" w:cs="仿宋"/>
                <w:color w:val="auto"/>
                <w:szCs w:val="21"/>
                <w:highlight w:val="none"/>
              </w:rPr>
              <w:t>1</w:t>
            </w:r>
          </w:p>
        </w:tc>
        <w:tc>
          <w:tcPr>
            <w:tcW w:w="1418" w:type="dxa"/>
            <w:vMerge w:val="restart"/>
            <w:tcBorders>
              <w:top w:val="single" w:color="000000" w:sz="4" w:space="0"/>
              <w:left w:val="single" w:color="000000" w:sz="4" w:space="0"/>
              <w:bottom w:val="single" w:color="000000" w:sz="4" w:space="0"/>
              <w:right w:val="single" w:color="000000" w:sz="4" w:space="0"/>
            </w:tcBorders>
            <w:noWrap w:val="0"/>
            <w:vAlign w:val="center"/>
          </w:tcPr>
          <w:p w14:paraId="0B7CAE42">
            <w:pPr>
              <w:pStyle w:val="31"/>
              <w:ind w:firstLine="0" w:firstLineChars="0"/>
              <w:jc w:val="center"/>
              <w:rPr>
                <w:color w:val="auto"/>
                <w:sz w:val="21"/>
                <w:szCs w:val="21"/>
                <w:highlight w:val="none"/>
                <w:lang w:bidi="ar"/>
              </w:rPr>
            </w:pPr>
            <w:r>
              <w:rPr>
                <w:rFonts w:hint="eastAsia" w:ascii="仿宋" w:hAnsi="仿宋" w:eastAsia="仿宋" w:cs="仿宋"/>
                <w:color w:val="auto"/>
                <w:sz w:val="21"/>
                <w:szCs w:val="18"/>
                <w:highlight w:val="none"/>
              </w:rPr>
              <w:t>案件侦查打击服务</w:t>
            </w:r>
          </w:p>
        </w:tc>
        <w:tc>
          <w:tcPr>
            <w:tcW w:w="2981" w:type="dxa"/>
            <w:gridSpan w:val="2"/>
            <w:tcBorders>
              <w:top w:val="single" w:color="000000" w:sz="4" w:space="0"/>
              <w:left w:val="single" w:color="000000" w:sz="4" w:space="0"/>
              <w:bottom w:val="single" w:color="000000" w:sz="4" w:space="0"/>
              <w:right w:val="single" w:color="000000" w:sz="4" w:space="0"/>
            </w:tcBorders>
            <w:noWrap w:val="0"/>
            <w:vAlign w:val="center"/>
          </w:tcPr>
          <w:p w14:paraId="2378EEFC">
            <w:pPr>
              <w:widowControl/>
              <w:jc w:val="center"/>
              <w:textAlignment w:val="center"/>
              <w:rPr>
                <w:rFonts w:ascii="仿宋" w:hAnsi="仿宋" w:eastAsia="仿宋" w:cs="仿宋"/>
                <w:color w:val="auto"/>
                <w:szCs w:val="21"/>
                <w:highlight w:val="none"/>
              </w:rPr>
            </w:pPr>
            <w:r>
              <w:rPr>
                <w:rFonts w:hint="eastAsia" w:ascii="仿宋" w:hAnsi="仿宋" w:eastAsia="仿宋" w:cs="仿宋"/>
                <w:color w:val="auto"/>
                <w:kern w:val="0"/>
                <w:szCs w:val="21"/>
                <w:highlight w:val="none"/>
                <w:lang w:bidi="ar"/>
              </w:rPr>
              <w:t>提供涉网新型犯罪案件任务管理、案件侦查、案件支撑、研判分析等服务，</w:t>
            </w:r>
            <w:r>
              <w:rPr>
                <w:rFonts w:hint="eastAsia" w:ascii="仿宋" w:hAnsi="仿宋" w:eastAsia="仿宋"/>
                <w:color w:val="auto"/>
                <w:szCs w:val="21"/>
                <w:highlight w:val="none"/>
              </w:rPr>
              <w:t>提供</w:t>
            </w:r>
            <w:r>
              <w:rPr>
                <w:rFonts w:hint="eastAsia" w:ascii="仿宋" w:hAnsi="仿宋" w:eastAsia="仿宋" w:cs="仿宋"/>
                <w:color w:val="auto"/>
                <w:kern w:val="0"/>
                <w:szCs w:val="21"/>
                <w:highlight w:val="none"/>
                <w:lang w:bidi="ar"/>
              </w:rPr>
              <w:t>重特大案件线索不少于</w:t>
            </w:r>
            <w:r>
              <w:rPr>
                <w:rFonts w:hint="eastAsia" w:ascii="仿宋" w:hAnsi="仿宋" w:eastAsia="仿宋" w:cs="仿宋"/>
                <w:color w:val="auto"/>
                <w:kern w:val="0"/>
                <w:szCs w:val="21"/>
                <w:highlight w:val="none"/>
                <w:lang w:val="en-US" w:eastAsia="zh-CN" w:bidi="ar"/>
              </w:rPr>
              <w:t>5</w:t>
            </w:r>
            <w:r>
              <w:rPr>
                <w:rFonts w:hint="eastAsia" w:ascii="仿宋" w:hAnsi="仿宋" w:eastAsia="仿宋" w:cs="仿宋"/>
                <w:color w:val="auto"/>
                <w:kern w:val="0"/>
                <w:szCs w:val="21"/>
                <w:highlight w:val="none"/>
                <w:lang w:bidi="ar"/>
              </w:rPr>
              <w:t>起</w:t>
            </w:r>
            <w:r>
              <w:rPr>
                <w:rFonts w:hint="eastAsia" w:ascii="仿宋" w:hAnsi="仿宋" w:eastAsia="仿宋" w:cs="仿宋"/>
                <w:color w:val="auto"/>
                <w:kern w:val="0"/>
                <w:szCs w:val="21"/>
                <w:highlight w:val="none"/>
                <w:lang w:bidi="ar"/>
              </w:rPr>
              <w:t>，</w:t>
            </w:r>
            <w:r>
              <w:rPr>
                <w:rFonts w:hint="eastAsia" w:ascii="仿宋" w:hAnsi="仿宋" w:eastAsia="仿宋" w:cs="仿宋"/>
                <w:color w:val="auto"/>
                <w:kern w:val="0"/>
                <w:szCs w:val="21"/>
                <w:highlight w:val="none"/>
                <w:lang w:bidi="ar"/>
              </w:rPr>
              <w:t>输出分析报告</w:t>
            </w:r>
            <w:r>
              <w:rPr>
                <w:rFonts w:hint="eastAsia" w:ascii="仿宋" w:hAnsi="仿宋" w:eastAsia="仿宋" w:cs="仿宋"/>
                <w:color w:val="auto"/>
                <w:kern w:val="0"/>
                <w:szCs w:val="21"/>
                <w:highlight w:val="none"/>
                <w:lang w:val="en-US" w:eastAsia="zh-CN" w:bidi="ar"/>
              </w:rPr>
              <w:t>8</w:t>
            </w:r>
            <w:r>
              <w:rPr>
                <w:rFonts w:hint="eastAsia" w:ascii="仿宋" w:hAnsi="仿宋" w:eastAsia="仿宋" w:cs="仿宋"/>
                <w:color w:val="auto"/>
                <w:kern w:val="0"/>
                <w:szCs w:val="21"/>
                <w:highlight w:val="none"/>
                <w:lang w:bidi="ar"/>
              </w:rPr>
              <w:t>份</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14:paraId="0A1F0C3B">
            <w:pPr>
              <w:widowControl/>
              <w:jc w:val="center"/>
              <w:textAlignment w:val="center"/>
              <w:rPr>
                <w:rFonts w:ascii="仿宋" w:hAnsi="仿宋" w:eastAsia="仿宋" w:cs="仿宋"/>
                <w:color w:val="auto"/>
                <w:kern w:val="0"/>
                <w:szCs w:val="21"/>
                <w:highlight w:val="none"/>
                <w:lang w:bidi="ar"/>
              </w:rPr>
            </w:pPr>
            <w:r>
              <w:rPr>
                <w:rFonts w:hint="eastAsia" w:ascii="仿宋" w:hAnsi="仿宋" w:eastAsia="仿宋" w:cs="仿宋"/>
                <w:color w:val="auto"/>
                <w:kern w:val="0"/>
                <w:szCs w:val="21"/>
                <w:highlight w:val="none"/>
                <w:lang w:bidi="ar"/>
              </w:rPr>
              <w:t>A类报告</w:t>
            </w:r>
          </w:p>
        </w:tc>
        <w:tc>
          <w:tcPr>
            <w:tcW w:w="733" w:type="dxa"/>
            <w:tcBorders>
              <w:top w:val="single" w:color="000000" w:sz="4" w:space="0"/>
              <w:left w:val="single" w:color="000000" w:sz="4" w:space="0"/>
              <w:bottom w:val="single" w:color="000000" w:sz="4" w:space="0"/>
              <w:right w:val="single" w:color="000000" w:sz="4" w:space="0"/>
            </w:tcBorders>
            <w:noWrap w:val="0"/>
            <w:vAlign w:val="center"/>
          </w:tcPr>
          <w:p w14:paraId="6DD4D2C0">
            <w:pPr>
              <w:jc w:val="center"/>
              <w:rPr>
                <w:color w:val="auto"/>
                <w:highlight w:val="none"/>
              </w:rPr>
            </w:pPr>
            <w:r>
              <w:rPr>
                <w:rFonts w:hint="eastAsia" w:ascii="仿宋" w:hAnsi="仿宋" w:eastAsia="仿宋" w:cs="仿宋"/>
                <w:b/>
                <w:bCs/>
                <w:color w:val="auto"/>
                <w:kern w:val="0"/>
                <w:szCs w:val="21"/>
                <w:highlight w:val="none"/>
                <w:lang w:bidi="ar"/>
              </w:rPr>
              <w:t>份</w:t>
            </w:r>
          </w:p>
        </w:tc>
        <w:tc>
          <w:tcPr>
            <w:tcW w:w="867" w:type="dxa"/>
            <w:tcBorders>
              <w:top w:val="single" w:color="000000" w:sz="4" w:space="0"/>
              <w:left w:val="single" w:color="000000" w:sz="4" w:space="0"/>
              <w:bottom w:val="single" w:color="000000" w:sz="4" w:space="0"/>
              <w:right w:val="single" w:color="000000" w:sz="4" w:space="0"/>
            </w:tcBorders>
            <w:noWrap w:val="0"/>
            <w:vAlign w:val="center"/>
          </w:tcPr>
          <w:p w14:paraId="3CA729EE">
            <w:pPr>
              <w:widowControl/>
              <w:jc w:val="center"/>
              <w:textAlignment w:val="center"/>
              <w:rPr>
                <w:rFonts w:hint="eastAsia" w:ascii="仿宋" w:hAnsi="仿宋" w:eastAsia="仿宋" w:cs="仿宋"/>
                <w:b/>
                <w:bCs/>
                <w:color w:val="auto"/>
                <w:szCs w:val="21"/>
                <w:highlight w:val="none"/>
                <w:lang w:eastAsia="zh-CN"/>
              </w:rPr>
            </w:pPr>
            <w:r>
              <w:rPr>
                <w:rFonts w:hint="eastAsia" w:ascii="仿宋" w:hAnsi="仿宋" w:eastAsia="仿宋" w:cs="仿宋"/>
                <w:b/>
                <w:bCs/>
                <w:color w:val="auto"/>
                <w:kern w:val="0"/>
                <w:szCs w:val="21"/>
                <w:highlight w:val="none"/>
                <w:lang w:val="en-US" w:eastAsia="zh-CN" w:bidi="ar"/>
              </w:rPr>
              <w:t>8</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14:paraId="46234D7C">
            <w:pPr>
              <w:widowControl/>
              <w:jc w:val="center"/>
              <w:textAlignment w:val="center"/>
              <w:rPr>
                <w:rFonts w:ascii="仿宋" w:hAnsi="仿宋" w:eastAsia="仿宋" w:cs="仿宋"/>
                <w:color w:val="auto"/>
                <w:kern w:val="0"/>
                <w:szCs w:val="21"/>
                <w:highlight w:val="none"/>
                <w:lang w:bidi="ar"/>
              </w:rPr>
            </w:pPr>
          </w:p>
        </w:tc>
        <w:tc>
          <w:tcPr>
            <w:tcW w:w="892" w:type="dxa"/>
            <w:tcBorders>
              <w:top w:val="single" w:color="000000" w:sz="4" w:space="0"/>
              <w:left w:val="single" w:color="000000" w:sz="4" w:space="0"/>
              <w:bottom w:val="single" w:color="000000" w:sz="4" w:space="0"/>
              <w:right w:val="single" w:color="000000" w:sz="4" w:space="0"/>
            </w:tcBorders>
            <w:noWrap w:val="0"/>
            <w:vAlign w:val="center"/>
          </w:tcPr>
          <w:p w14:paraId="7425A406">
            <w:pPr>
              <w:widowControl/>
              <w:jc w:val="center"/>
              <w:textAlignment w:val="center"/>
              <w:rPr>
                <w:rFonts w:ascii="仿宋" w:hAnsi="仿宋" w:eastAsia="仿宋" w:cs="仿宋"/>
                <w:color w:val="auto"/>
                <w:kern w:val="0"/>
                <w:szCs w:val="21"/>
                <w:highlight w:val="none"/>
                <w:lang w:bidi="ar"/>
              </w:rPr>
            </w:pPr>
          </w:p>
        </w:tc>
        <w:tc>
          <w:tcPr>
            <w:tcW w:w="992" w:type="dxa"/>
            <w:tcBorders>
              <w:top w:val="single" w:color="000000" w:sz="4" w:space="0"/>
              <w:left w:val="single" w:color="000000" w:sz="4" w:space="0"/>
              <w:bottom w:val="single" w:color="000000" w:sz="4" w:space="0"/>
              <w:right w:val="single" w:color="000000" w:sz="4" w:space="0"/>
            </w:tcBorders>
            <w:noWrap w:val="0"/>
            <w:vAlign w:val="center"/>
          </w:tcPr>
          <w:p w14:paraId="12219DFE">
            <w:pPr>
              <w:widowControl/>
              <w:jc w:val="center"/>
              <w:textAlignment w:val="center"/>
              <w:rPr>
                <w:rFonts w:ascii="仿宋" w:hAnsi="仿宋" w:eastAsia="仿宋" w:cs="仿宋"/>
                <w:color w:val="auto"/>
                <w:kern w:val="0"/>
                <w:szCs w:val="21"/>
                <w:highlight w:val="none"/>
                <w:lang w:bidi="ar"/>
              </w:rPr>
            </w:pPr>
          </w:p>
        </w:tc>
      </w:tr>
      <w:tr w14:paraId="7AD437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83" w:hRule="atLeast"/>
          <w:jc w:val="center"/>
        </w:trPr>
        <w:tc>
          <w:tcPr>
            <w:tcW w:w="567" w:type="dxa"/>
            <w:vMerge w:val="continue"/>
            <w:tcBorders>
              <w:top w:val="single" w:color="000000" w:sz="4" w:space="0"/>
              <w:left w:val="single" w:color="000000" w:sz="4" w:space="0"/>
              <w:bottom w:val="single" w:color="000000" w:sz="4" w:space="0"/>
              <w:right w:val="single" w:color="000000" w:sz="4" w:space="0"/>
            </w:tcBorders>
            <w:noWrap w:val="0"/>
            <w:vAlign w:val="center"/>
          </w:tcPr>
          <w:p w14:paraId="4A21548B">
            <w:pPr>
              <w:widowControl/>
              <w:spacing w:beforeAutospacing="1" w:afterAutospacing="1"/>
              <w:jc w:val="left"/>
              <w:rPr>
                <w:rFonts w:ascii="仿宋" w:hAnsi="仿宋" w:eastAsia="仿宋" w:cs="仿宋"/>
                <w:color w:val="auto"/>
                <w:szCs w:val="21"/>
                <w:highlight w:val="none"/>
              </w:rPr>
            </w:pPr>
          </w:p>
        </w:tc>
        <w:tc>
          <w:tcPr>
            <w:tcW w:w="1418" w:type="dxa"/>
            <w:vMerge w:val="continue"/>
            <w:tcBorders>
              <w:top w:val="single" w:color="000000" w:sz="4" w:space="0"/>
              <w:left w:val="single" w:color="000000" w:sz="4" w:space="0"/>
              <w:bottom w:val="single" w:color="000000" w:sz="4" w:space="0"/>
              <w:right w:val="single" w:color="000000" w:sz="4" w:space="0"/>
            </w:tcBorders>
            <w:noWrap w:val="0"/>
            <w:vAlign w:val="center"/>
          </w:tcPr>
          <w:p w14:paraId="6BCD2B53">
            <w:pPr>
              <w:widowControl/>
              <w:spacing w:beforeAutospacing="1" w:afterAutospacing="1"/>
              <w:jc w:val="left"/>
              <w:rPr>
                <w:color w:val="auto"/>
                <w:szCs w:val="21"/>
                <w:highlight w:val="none"/>
                <w:lang w:bidi="ar"/>
              </w:rPr>
            </w:pPr>
          </w:p>
        </w:tc>
        <w:tc>
          <w:tcPr>
            <w:tcW w:w="2981"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34CCB379">
            <w:pPr>
              <w:widowControl/>
              <w:jc w:val="center"/>
              <w:textAlignment w:val="center"/>
              <w:rPr>
                <w:rFonts w:ascii="仿宋" w:hAnsi="仿宋" w:eastAsia="仿宋" w:cs="仿宋"/>
                <w:color w:val="auto"/>
                <w:szCs w:val="21"/>
                <w:highlight w:val="none"/>
              </w:rPr>
            </w:pPr>
            <w:r>
              <w:rPr>
                <w:rFonts w:hint="eastAsia" w:ascii="仿宋" w:hAnsi="仿宋" w:eastAsia="仿宋" w:cs="仿宋"/>
                <w:color w:val="auto"/>
                <w:kern w:val="0"/>
                <w:szCs w:val="21"/>
                <w:highlight w:val="none"/>
                <w:lang w:bidi="ar"/>
              </w:rPr>
              <w:t>提供涉网新型犯罪案件数据还原、数据分析、侦查协助等服务，服务器内提供不少于20起案件侦查打击服务，</w:t>
            </w:r>
            <w:r>
              <w:rPr>
                <w:rFonts w:hint="eastAsia" w:ascii="仿宋" w:hAnsi="仿宋" w:eastAsia="仿宋" w:cs="仿宋"/>
                <w:color w:val="auto"/>
                <w:kern w:val="0"/>
                <w:szCs w:val="21"/>
                <w:highlight w:val="none"/>
                <w:lang w:bidi="ar"/>
              </w:rPr>
              <w:t>输出分析报告</w:t>
            </w:r>
            <w:r>
              <w:rPr>
                <w:rFonts w:hint="eastAsia" w:ascii="仿宋" w:hAnsi="仿宋" w:eastAsia="仿宋" w:cs="仿宋"/>
                <w:color w:val="auto"/>
                <w:kern w:val="0"/>
                <w:szCs w:val="21"/>
                <w:highlight w:val="none"/>
                <w:lang w:val="en-US" w:eastAsia="zh-CN" w:bidi="ar"/>
              </w:rPr>
              <w:t>4</w:t>
            </w:r>
            <w:r>
              <w:rPr>
                <w:rFonts w:hint="eastAsia" w:ascii="仿宋" w:hAnsi="仿宋" w:eastAsia="仿宋" w:cs="仿宋"/>
                <w:color w:val="auto"/>
                <w:kern w:val="0"/>
                <w:szCs w:val="21"/>
                <w:highlight w:val="none"/>
                <w:lang w:bidi="ar"/>
              </w:rPr>
              <w:t>8份</w:t>
            </w:r>
          </w:p>
        </w:tc>
        <w:tc>
          <w:tcPr>
            <w:tcW w:w="1134" w:type="dxa"/>
            <w:tcBorders>
              <w:top w:val="single" w:color="000000" w:sz="4" w:space="0"/>
              <w:left w:val="single" w:color="000000" w:sz="4" w:space="0"/>
              <w:bottom w:val="single" w:color="auto" w:sz="4" w:space="0"/>
              <w:right w:val="single" w:color="000000" w:sz="4" w:space="0"/>
            </w:tcBorders>
            <w:noWrap w:val="0"/>
            <w:vAlign w:val="center"/>
          </w:tcPr>
          <w:p w14:paraId="0E0ABF2E">
            <w:pPr>
              <w:widowControl/>
              <w:jc w:val="center"/>
              <w:textAlignment w:val="center"/>
              <w:rPr>
                <w:rFonts w:ascii="仿宋" w:hAnsi="仿宋" w:eastAsia="仿宋" w:cs="仿宋"/>
                <w:color w:val="auto"/>
                <w:kern w:val="0"/>
                <w:szCs w:val="21"/>
                <w:highlight w:val="none"/>
                <w:lang w:bidi="ar"/>
              </w:rPr>
            </w:pPr>
            <w:r>
              <w:rPr>
                <w:rFonts w:hint="eastAsia" w:ascii="仿宋" w:hAnsi="仿宋" w:eastAsia="仿宋" w:cs="仿宋"/>
                <w:color w:val="auto"/>
                <w:kern w:val="0"/>
                <w:szCs w:val="21"/>
                <w:highlight w:val="none"/>
                <w:lang w:bidi="ar"/>
              </w:rPr>
              <w:t>B类报告</w:t>
            </w:r>
          </w:p>
        </w:tc>
        <w:tc>
          <w:tcPr>
            <w:tcW w:w="733" w:type="dxa"/>
            <w:tcBorders>
              <w:top w:val="single" w:color="000000" w:sz="4" w:space="0"/>
              <w:left w:val="single" w:color="000000" w:sz="4" w:space="0"/>
              <w:bottom w:val="single" w:color="auto" w:sz="4" w:space="0"/>
              <w:right w:val="single" w:color="000000" w:sz="4" w:space="0"/>
            </w:tcBorders>
            <w:noWrap w:val="0"/>
            <w:vAlign w:val="center"/>
          </w:tcPr>
          <w:p w14:paraId="35951EBA">
            <w:pPr>
              <w:jc w:val="center"/>
              <w:rPr>
                <w:color w:val="auto"/>
                <w:highlight w:val="none"/>
              </w:rPr>
            </w:pPr>
            <w:r>
              <w:rPr>
                <w:rFonts w:hint="eastAsia" w:ascii="仿宋" w:hAnsi="仿宋" w:eastAsia="仿宋" w:cs="仿宋"/>
                <w:b/>
                <w:bCs/>
                <w:color w:val="auto"/>
                <w:kern w:val="0"/>
                <w:szCs w:val="21"/>
                <w:highlight w:val="none"/>
                <w:lang w:bidi="ar"/>
              </w:rPr>
              <w:t>份</w:t>
            </w:r>
          </w:p>
        </w:tc>
        <w:tc>
          <w:tcPr>
            <w:tcW w:w="867" w:type="dxa"/>
            <w:tcBorders>
              <w:top w:val="single" w:color="000000" w:sz="4" w:space="0"/>
              <w:left w:val="single" w:color="000000" w:sz="4" w:space="0"/>
              <w:bottom w:val="single" w:color="auto" w:sz="4" w:space="0"/>
              <w:right w:val="single" w:color="000000" w:sz="4" w:space="0"/>
            </w:tcBorders>
            <w:noWrap w:val="0"/>
            <w:vAlign w:val="center"/>
          </w:tcPr>
          <w:p w14:paraId="4C6184CE">
            <w:pPr>
              <w:widowControl/>
              <w:jc w:val="center"/>
              <w:textAlignment w:val="center"/>
              <w:rPr>
                <w:rFonts w:ascii="仿宋" w:hAnsi="仿宋" w:eastAsia="仿宋" w:cs="仿宋"/>
                <w:b/>
                <w:bCs/>
                <w:color w:val="auto"/>
                <w:szCs w:val="21"/>
                <w:highlight w:val="none"/>
              </w:rPr>
            </w:pPr>
            <w:r>
              <w:rPr>
                <w:rFonts w:hint="eastAsia" w:ascii="仿宋" w:hAnsi="仿宋" w:eastAsia="仿宋" w:cs="仿宋"/>
                <w:b/>
                <w:bCs/>
                <w:color w:val="auto"/>
                <w:kern w:val="0"/>
                <w:szCs w:val="21"/>
                <w:highlight w:val="none"/>
                <w:lang w:val="en-US" w:eastAsia="zh-CN" w:bidi="ar"/>
              </w:rPr>
              <w:t>1</w:t>
            </w:r>
            <w:r>
              <w:rPr>
                <w:rFonts w:ascii="仿宋" w:hAnsi="仿宋" w:eastAsia="仿宋" w:cs="仿宋"/>
                <w:b/>
                <w:bCs/>
                <w:color w:val="auto"/>
                <w:kern w:val="0"/>
                <w:szCs w:val="21"/>
                <w:highlight w:val="none"/>
                <w:lang w:bidi="ar"/>
              </w:rPr>
              <w:t>8</w:t>
            </w:r>
          </w:p>
        </w:tc>
        <w:tc>
          <w:tcPr>
            <w:tcW w:w="709" w:type="dxa"/>
            <w:tcBorders>
              <w:top w:val="single" w:color="000000" w:sz="4" w:space="0"/>
              <w:left w:val="single" w:color="000000" w:sz="4" w:space="0"/>
              <w:bottom w:val="single" w:color="auto" w:sz="4" w:space="0"/>
              <w:right w:val="single" w:color="000000" w:sz="4" w:space="0"/>
            </w:tcBorders>
            <w:noWrap w:val="0"/>
            <w:vAlign w:val="center"/>
          </w:tcPr>
          <w:p w14:paraId="5856F0F0">
            <w:pPr>
              <w:widowControl/>
              <w:jc w:val="center"/>
              <w:textAlignment w:val="center"/>
              <w:rPr>
                <w:rFonts w:ascii="仿宋" w:hAnsi="仿宋" w:eastAsia="仿宋" w:cs="仿宋"/>
                <w:color w:val="auto"/>
                <w:kern w:val="0"/>
                <w:szCs w:val="21"/>
                <w:highlight w:val="none"/>
                <w:lang w:bidi="ar"/>
              </w:rPr>
            </w:pPr>
          </w:p>
        </w:tc>
        <w:tc>
          <w:tcPr>
            <w:tcW w:w="892" w:type="dxa"/>
            <w:tcBorders>
              <w:top w:val="single" w:color="000000" w:sz="4" w:space="0"/>
              <w:left w:val="single" w:color="000000" w:sz="4" w:space="0"/>
              <w:bottom w:val="single" w:color="auto" w:sz="4" w:space="0"/>
              <w:right w:val="single" w:color="000000" w:sz="4" w:space="0"/>
            </w:tcBorders>
            <w:noWrap w:val="0"/>
            <w:vAlign w:val="center"/>
          </w:tcPr>
          <w:p w14:paraId="567964A9">
            <w:pPr>
              <w:widowControl/>
              <w:jc w:val="center"/>
              <w:textAlignment w:val="center"/>
              <w:rPr>
                <w:rFonts w:ascii="仿宋" w:hAnsi="仿宋" w:eastAsia="仿宋" w:cs="仿宋"/>
                <w:color w:val="auto"/>
                <w:kern w:val="0"/>
                <w:szCs w:val="21"/>
                <w:highlight w:val="none"/>
                <w:lang w:bidi="ar"/>
              </w:rPr>
            </w:pPr>
          </w:p>
        </w:tc>
        <w:tc>
          <w:tcPr>
            <w:tcW w:w="992" w:type="dxa"/>
            <w:tcBorders>
              <w:top w:val="single" w:color="000000" w:sz="4" w:space="0"/>
              <w:left w:val="single" w:color="000000" w:sz="4" w:space="0"/>
              <w:bottom w:val="single" w:color="auto" w:sz="4" w:space="0"/>
              <w:right w:val="single" w:color="000000" w:sz="4" w:space="0"/>
            </w:tcBorders>
            <w:noWrap w:val="0"/>
            <w:vAlign w:val="center"/>
          </w:tcPr>
          <w:p w14:paraId="19D389C6">
            <w:pPr>
              <w:widowControl/>
              <w:jc w:val="center"/>
              <w:textAlignment w:val="center"/>
              <w:rPr>
                <w:rFonts w:ascii="仿宋" w:hAnsi="仿宋" w:eastAsia="仿宋" w:cs="仿宋"/>
                <w:color w:val="auto"/>
                <w:kern w:val="0"/>
                <w:szCs w:val="21"/>
                <w:highlight w:val="none"/>
                <w:lang w:bidi="ar"/>
              </w:rPr>
            </w:pPr>
          </w:p>
        </w:tc>
      </w:tr>
      <w:tr w14:paraId="610A86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4" w:hRule="atLeast"/>
          <w:jc w:val="center"/>
        </w:trPr>
        <w:tc>
          <w:tcPr>
            <w:tcW w:w="567" w:type="dxa"/>
            <w:vMerge w:val="continue"/>
            <w:tcBorders>
              <w:top w:val="single" w:color="000000" w:sz="4" w:space="0"/>
              <w:left w:val="single" w:color="000000" w:sz="4" w:space="0"/>
              <w:bottom w:val="single" w:color="000000" w:sz="4" w:space="0"/>
              <w:right w:val="single" w:color="000000" w:sz="4" w:space="0"/>
            </w:tcBorders>
            <w:noWrap w:val="0"/>
            <w:vAlign w:val="center"/>
          </w:tcPr>
          <w:p w14:paraId="3947AD88">
            <w:pPr>
              <w:widowControl/>
              <w:spacing w:beforeAutospacing="1" w:afterAutospacing="1"/>
              <w:jc w:val="left"/>
              <w:rPr>
                <w:rFonts w:ascii="仿宋" w:hAnsi="仿宋" w:eastAsia="仿宋" w:cs="仿宋"/>
                <w:color w:val="auto"/>
                <w:szCs w:val="21"/>
                <w:highlight w:val="none"/>
              </w:rPr>
            </w:pPr>
          </w:p>
        </w:tc>
        <w:tc>
          <w:tcPr>
            <w:tcW w:w="1418" w:type="dxa"/>
            <w:vMerge w:val="continue"/>
            <w:tcBorders>
              <w:top w:val="single" w:color="000000" w:sz="4" w:space="0"/>
              <w:left w:val="single" w:color="000000" w:sz="4" w:space="0"/>
              <w:bottom w:val="single" w:color="000000" w:sz="4" w:space="0"/>
              <w:right w:val="single" w:color="000000" w:sz="4" w:space="0"/>
            </w:tcBorders>
            <w:noWrap w:val="0"/>
            <w:vAlign w:val="center"/>
          </w:tcPr>
          <w:p w14:paraId="66AFE76D">
            <w:pPr>
              <w:widowControl/>
              <w:spacing w:beforeAutospacing="1" w:afterAutospacing="1"/>
              <w:jc w:val="left"/>
              <w:rPr>
                <w:color w:val="auto"/>
                <w:szCs w:val="21"/>
                <w:highlight w:val="none"/>
                <w:lang w:bidi="ar"/>
              </w:rPr>
            </w:pPr>
          </w:p>
        </w:tc>
        <w:tc>
          <w:tcPr>
            <w:tcW w:w="2981"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470F694">
            <w:pPr>
              <w:widowControl/>
              <w:spacing w:beforeAutospacing="1" w:afterAutospacing="1"/>
              <w:jc w:val="left"/>
              <w:rPr>
                <w:rFonts w:ascii="仿宋" w:hAnsi="仿宋" w:eastAsia="仿宋" w:cs="仿宋"/>
                <w:color w:val="auto"/>
                <w:szCs w:val="21"/>
                <w:highlight w:val="none"/>
              </w:rPr>
            </w:pPr>
          </w:p>
        </w:tc>
        <w:tc>
          <w:tcPr>
            <w:tcW w:w="1134" w:type="dxa"/>
            <w:tcBorders>
              <w:top w:val="single" w:color="auto" w:sz="4" w:space="0"/>
              <w:left w:val="single" w:color="000000" w:sz="4" w:space="0"/>
              <w:bottom w:val="single" w:color="000000" w:sz="4" w:space="0"/>
              <w:right w:val="single" w:color="000000" w:sz="4" w:space="0"/>
            </w:tcBorders>
            <w:noWrap w:val="0"/>
            <w:vAlign w:val="center"/>
          </w:tcPr>
          <w:p w14:paraId="4CB46650">
            <w:pPr>
              <w:jc w:val="center"/>
              <w:textAlignment w:val="center"/>
              <w:rPr>
                <w:rFonts w:ascii="仿宋" w:hAnsi="仿宋" w:eastAsia="仿宋" w:cs="仿宋"/>
                <w:color w:val="auto"/>
                <w:kern w:val="0"/>
                <w:szCs w:val="21"/>
                <w:highlight w:val="none"/>
                <w:lang w:bidi="ar"/>
              </w:rPr>
            </w:pPr>
            <w:r>
              <w:rPr>
                <w:rFonts w:hint="eastAsia" w:ascii="仿宋" w:hAnsi="仿宋" w:eastAsia="仿宋" w:cs="仿宋"/>
                <w:color w:val="auto"/>
                <w:kern w:val="0"/>
                <w:szCs w:val="21"/>
                <w:highlight w:val="none"/>
                <w:lang w:bidi="ar"/>
              </w:rPr>
              <w:t>C类报告</w:t>
            </w:r>
          </w:p>
        </w:tc>
        <w:tc>
          <w:tcPr>
            <w:tcW w:w="733" w:type="dxa"/>
            <w:tcBorders>
              <w:top w:val="single" w:color="auto" w:sz="4" w:space="0"/>
              <w:left w:val="single" w:color="000000" w:sz="4" w:space="0"/>
              <w:bottom w:val="single" w:color="000000" w:sz="4" w:space="0"/>
              <w:right w:val="single" w:color="000000" w:sz="4" w:space="0"/>
            </w:tcBorders>
            <w:noWrap w:val="0"/>
            <w:vAlign w:val="center"/>
          </w:tcPr>
          <w:p w14:paraId="712AAD3D">
            <w:pPr>
              <w:jc w:val="center"/>
              <w:rPr>
                <w:color w:val="auto"/>
                <w:highlight w:val="none"/>
              </w:rPr>
            </w:pPr>
            <w:r>
              <w:rPr>
                <w:rFonts w:hint="eastAsia" w:ascii="仿宋" w:hAnsi="仿宋" w:eastAsia="仿宋" w:cs="仿宋"/>
                <w:b/>
                <w:bCs/>
                <w:color w:val="auto"/>
                <w:kern w:val="0"/>
                <w:szCs w:val="21"/>
                <w:highlight w:val="none"/>
                <w:lang w:bidi="ar"/>
              </w:rPr>
              <w:t>份</w:t>
            </w:r>
          </w:p>
        </w:tc>
        <w:tc>
          <w:tcPr>
            <w:tcW w:w="867" w:type="dxa"/>
            <w:tcBorders>
              <w:top w:val="single" w:color="auto" w:sz="4" w:space="0"/>
              <w:left w:val="single" w:color="000000" w:sz="4" w:space="0"/>
              <w:bottom w:val="single" w:color="000000" w:sz="4" w:space="0"/>
              <w:right w:val="single" w:color="000000" w:sz="4" w:space="0"/>
            </w:tcBorders>
            <w:noWrap w:val="0"/>
            <w:vAlign w:val="center"/>
          </w:tcPr>
          <w:p w14:paraId="5B428DED">
            <w:pPr>
              <w:jc w:val="center"/>
              <w:textAlignment w:val="center"/>
              <w:rPr>
                <w:rFonts w:hint="default" w:ascii="仿宋" w:hAnsi="仿宋" w:eastAsia="仿宋" w:cs="仿宋"/>
                <w:b/>
                <w:bCs/>
                <w:color w:val="auto"/>
                <w:kern w:val="0"/>
                <w:szCs w:val="21"/>
                <w:highlight w:val="none"/>
                <w:lang w:val="en-US" w:eastAsia="zh-CN" w:bidi="ar"/>
              </w:rPr>
            </w:pPr>
            <w:r>
              <w:rPr>
                <w:rFonts w:hint="eastAsia" w:ascii="仿宋" w:hAnsi="仿宋" w:eastAsia="仿宋" w:cs="仿宋"/>
                <w:b/>
                <w:bCs/>
                <w:color w:val="auto"/>
                <w:kern w:val="0"/>
                <w:szCs w:val="21"/>
                <w:highlight w:val="none"/>
                <w:lang w:val="en-US" w:eastAsia="zh-CN" w:bidi="ar"/>
              </w:rPr>
              <w:t>30</w:t>
            </w:r>
          </w:p>
        </w:tc>
        <w:tc>
          <w:tcPr>
            <w:tcW w:w="709" w:type="dxa"/>
            <w:tcBorders>
              <w:top w:val="single" w:color="auto" w:sz="4" w:space="0"/>
              <w:left w:val="single" w:color="000000" w:sz="4" w:space="0"/>
              <w:bottom w:val="single" w:color="000000" w:sz="4" w:space="0"/>
              <w:right w:val="single" w:color="000000" w:sz="4" w:space="0"/>
            </w:tcBorders>
            <w:noWrap w:val="0"/>
            <w:vAlign w:val="center"/>
          </w:tcPr>
          <w:p w14:paraId="51892295">
            <w:pPr>
              <w:jc w:val="center"/>
              <w:textAlignment w:val="center"/>
              <w:rPr>
                <w:rFonts w:ascii="仿宋" w:hAnsi="仿宋" w:eastAsia="仿宋" w:cs="仿宋"/>
                <w:color w:val="auto"/>
                <w:kern w:val="0"/>
                <w:szCs w:val="21"/>
                <w:highlight w:val="none"/>
                <w:lang w:bidi="ar"/>
              </w:rPr>
            </w:pPr>
          </w:p>
        </w:tc>
        <w:tc>
          <w:tcPr>
            <w:tcW w:w="892" w:type="dxa"/>
            <w:tcBorders>
              <w:top w:val="single" w:color="auto" w:sz="4" w:space="0"/>
              <w:left w:val="single" w:color="000000" w:sz="4" w:space="0"/>
              <w:bottom w:val="single" w:color="000000" w:sz="4" w:space="0"/>
              <w:right w:val="single" w:color="000000" w:sz="4" w:space="0"/>
            </w:tcBorders>
            <w:noWrap w:val="0"/>
            <w:vAlign w:val="center"/>
          </w:tcPr>
          <w:p w14:paraId="626A943E">
            <w:pPr>
              <w:jc w:val="center"/>
              <w:textAlignment w:val="center"/>
              <w:rPr>
                <w:rFonts w:ascii="仿宋" w:hAnsi="仿宋" w:eastAsia="仿宋" w:cs="仿宋"/>
                <w:color w:val="auto"/>
                <w:kern w:val="0"/>
                <w:szCs w:val="21"/>
                <w:highlight w:val="none"/>
                <w:lang w:bidi="ar"/>
              </w:rPr>
            </w:pPr>
          </w:p>
        </w:tc>
        <w:tc>
          <w:tcPr>
            <w:tcW w:w="992" w:type="dxa"/>
            <w:tcBorders>
              <w:top w:val="single" w:color="auto" w:sz="4" w:space="0"/>
              <w:left w:val="single" w:color="000000" w:sz="4" w:space="0"/>
              <w:bottom w:val="single" w:color="000000" w:sz="4" w:space="0"/>
              <w:right w:val="single" w:color="000000" w:sz="4" w:space="0"/>
            </w:tcBorders>
            <w:noWrap w:val="0"/>
            <w:vAlign w:val="center"/>
          </w:tcPr>
          <w:p w14:paraId="1A1858C1">
            <w:pPr>
              <w:jc w:val="center"/>
              <w:textAlignment w:val="center"/>
              <w:rPr>
                <w:rFonts w:ascii="仿宋" w:hAnsi="仿宋" w:eastAsia="仿宋" w:cs="仿宋"/>
                <w:color w:val="auto"/>
                <w:kern w:val="0"/>
                <w:szCs w:val="21"/>
                <w:highlight w:val="none"/>
                <w:lang w:bidi="ar"/>
              </w:rPr>
            </w:pPr>
          </w:p>
        </w:tc>
      </w:tr>
      <w:tr w14:paraId="776D32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72" w:hRule="atLeast"/>
          <w:jc w:val="center"/>
        </w:trPr>
        <w:tc>
          <w:tcPr>
            <w:tcW w:w="567" w:type="dxa"/>
            <w:vMerge w:val="restart"/>
            <w:tcBorders>
              <w:top w:val="single" w:color="000000" w:sz="4" w:space="0"/>
              <w:left w:val="single" w:color="000000" w:sz="4" w:space="0"/>
              <w:right w:val="single" w:color="000000" w:sz="4" w:space="0"/>
            </w:tcBorders>
            <w:noWrap w:val="0"/>
            <w:vAlign w:val="center"/>
          </w:tcPr>
          <w:p w14:paraId="36553008">
            <w:pPr>
              <w:jc w:val="center"/>
              <w:textAlignment w:val="center"/>
              <w:rPr>
                <w:rFonts w:ascii="仿宋" w:hAnsi="仿宋" w:eastAsia="仿宋" w:cs="仿宋"/>
                <w:color w:val="auto"/>
                <w:szCs w:val="21"/>
                <w:highlight w:val="none"/>
              </w:rPr>
            </w:pPr>
            <w:r>
              <w:rPr>
                <w:rFonts w:ascii="仿宋" w:hAnsi="仿宋" w:eastAsia="仿宋" w:cs="仿宋"/>
                <w:color w:val="auto"/>
                <w:szCs w:val="21"/>
                <w:highlight w:val="none"/>
              </w:rPr>
              <w:t>2</w:t>
            </w:r>
          </w:p>
        </w:tc>
        <w:tc>
          <w:tcPr>
            <w:tcW w:w="1418" w:type="dxa"/>
            <w:vMerge w:val="restart"/>
            <w:tcBorders>
              <w:top w:val="single" w:color="000000" w:sz="4" w:space="0"/>
              <w:left w:val="single" w:color="000000" w:sz="4" w:space="0"/>
              <w:right w:val="single" w:color="000000" w:sz="4" w:space="0"/>
            </w:tcBorders>
            <w:noWrap w:val="0"/>
            <w:vAlign w:val="center"/>
          </w:tcPr>
          <w:p w14:paraId="2B1A4632">
            <w:pPr>
              <w:widowControl/>
              <w:spacing w:beforeAutospacing="1" w:afterAutospacing="1"/>
              <w:jc w:val="left"/>
              <w:rPr>
                <w:color w:val="auto"/>
                <w:szCs w:val="21"/>
                <w:highlight w:val="none"/>
                <w:lang w:bidi="ar"/>
              </w:rPr>
            </w:pPr>
            <w:r>
              <w:rPr>
                <w:rFonts w:hint="eastAsia" w:ascii="仿宋" w:hAnsi="仿宋" w:eastAsia="仿宋" w:cs="仿宋"/>
                <w:color w:val="auto"/>
                <w:kern w:val="0"/>
                <w:szCs w:val="21"/>
                <w:highlight w:val="none"/>
                <w:lang w:bidi="ar"/>
              </w:rPr>
              <w:t>大数据智能查控服务</w:t>
            </w:r>
          </w:p>
        </w:tc>
        <w:tc>
          <w:tcPr>
            <w:tcW w:w="2981" w:type="dxa"/>
            <w:gridSpan w:val="2"/>
            <w:tcBorders>
              <w:top w:val="single" w:color="000000" w:sz="4" w:space="0"/>
              <w:left w:val="single" w:color="000000" w:sz="4" w:space="0"/>
              <w:right w:val="single" w:color="000000" w:sz="4" w:space="0"/>
            </w:tcBorders>
            <w:noWrap w:val="0"/>
            <w:vAlign w:val="center"/>
          </w:tcPr>
          <w:p w14:paraId="6C36EC3E">
            <w:pPr>
              <w:widowControl/>
              <w:spacing w:beforeAutospacing="1" w:afterAutospacing="1"/>
              <w:jc w:val="left"/>
              <w:rPr>
                <w:rFonts w:ascii="仿宋" w:hAnsi="仿宋" w:eastAsia="仿宋" w:cs="仿宋"/>
                <w:color w:val="auto"/>
                <w:szCs w:val="21"/>
                <w:highlight w:val="none"/>
              </w:rPr>
            </w:pPr>
            <w:r>
              <w:rPr>
                <w:rFonts w:hint="eastAsia" w:ascii="仿宋" w:hAnsi="仿宋" w:eastAsia="仿宋" w:cs="仿宋"/>
                <w:color w:val="auto"/>
                <w:kern w:val="0"/>
                <w:szCs w:val="21"/>
                <w:highlight w:val="none"/>
                <w:lang w:bidi="ar"/>
              </w:rPr>
              <w:t>提供大数据多维研判、</w:t>
            </w:r>
            <w:r>
              <w:rPr>
                <w:rFonts w:hint="eastAsia" w:ascii="仿宋" w:hAnsi="仿宋" w:eastAsia="仿宋"/>
                <w:color w:val="auto"/>
                <w:szCs w:val="21"/>
                <w:highlight w:val="none"/>
              </w:rPr>
              <w:t>终端溯源嫌疑追踪、案件管理数据分析、态势分析</w:t>
            </w:r>
            <w:r>
              <w:rPr>
                <w:rFonts w:ascii="仿宋" w:hAnsi="仿宋" w:eastAsia="仿宋"/>
                <w:color w:val="auto"/>
                <w:szCs w:val="21"/>
                <w:highlight w:val="none"/>
              </w:rPr>
              <w:t>报告输出</w:t>
            </w:r>
            <w:r>
              <w:rPr>
                <w:rFonts w:hint="eastAsia" w:ascii="仿宋" w:hAnsi="仿宋" w:eastAsia="仿宋" w:cs="宋体"/>
                <w:color w:val="auto"/>
                <w:szCs w:val="21"/>
                <w:highlight w:val="none"/>
              </w:rPr>
              <w:t>等服务，</w:t>
            </w:r>
            <w:r>
              <w:rPr>
                <w:rFonts w:hint="eastAsia" w:ascii="仿宋" w:hAnsi="仿宋" w:eastAsia="仿宋" w:cs="仿宋"/>
                <w:color w:val="auto"/>
                <w:kern w:val="0"/>
                <w:szCs w:val="21"/>
                <w:highlight w:val="none"/>
                <w:lang w:bidi="ar"/>
              </w:rPr>
              <w:t>服务期内提供不少于10次重特大案件服务，</w:t>
            </w:r>
            <w:r>
              <w:rPr>
                <w:rFonts w:hint="eastAsia" w:ascii="仿宋" w:hAnsi="仿宋" w:eastAsia="仿宋" w:cs="仿宋"/>
                <w:color w:val="auto"/>
                <w:kern w:val="0"/>
                <w:szCs w:val="21"/>
                <w:highlight w:val="none"/>
                <w:lang w:bidi="ar"/>
              </w:rPr>
              <w:t>输出分析报告2</w:t>
            </w:r>
            <w:r>
              <w:rPr>
                <w:rFonts w:hint="eastAsia" w:ascii="仿宋" w:hAnsi="仿宋" w:eastAsia="仿宋" w:cs="仿宋"/>
                <w:color w:val="auto"/>
                <w:kern w:val="0"/>
                <w:szCs w:val="21"/>
                <w:highlight w:val="none"/>
                <w:lang w:val="en-US" w:eastAsia="zh-CN" w:bidi="ar"/>
              </w:rPr>
              <w:t>0</w:t>
            </w:r>
            <w:r>
              <w:rPr>
                <w:rFonts w:hint="eastAsia" w:ascii="仿宋" w:hAnsi="仿宋" w:eastAsia="仿宋" w:cs="仿宋"/>
                <w:color w:val="auto"/>
                <w:kern w:val="0"/>
                <w:szCs w:val="21"/>
                <w:highlight w:val="none"/>
                <w:lang w:bidi="ar"/>
              </w:rPr>
              <w:t>份</w:t>
            </w:r>
          </w:p>
        </w:tc>
        <w:tc>
          <w:tcPr>
            <w:tcW w:w="1134" w:type="dxa"/>
            <w:tcBorders>
              <w:top w:val="single" w:color="auto" w:sz="4" w:space="0"/>
              <w:left w:val="single" w:color="000000" w:sz="4" w:space="0"/>
              <w:right w:val="single" w:color="000000" w:sz="4" w:space="0"/>
            </w:tcBorders>
            <w:noWrap w:val="0"/>
            <w:vAlign w:val="center"/>
          </w:tcPr>
          <w:p w14:paraId="20ECB4B1">
            <w:pPr>
              <w:jc w:val="center"/>
              <w:textAlignment w:val="center"/>
              <w:rPr>
                <w:rFonts w:hint="eastAsia" w:ascii="仿宋" w:hAnsi="仿宋" w:eastAsia="仿宋" w:cs="仿宋"/>
                <w:color w:val="auto"/>
                <w:kern w:val="0"/>
                <w:szCs w:val="21"/>
                <w:highlight w:val="none"/>
                <w:lang w:bidi="ar"/>
              </w:rPr>
            </w:pPr>
            <w:r>
              <w:rPr>
                <w:rFonts w:hint="eastAsia" w:ascii="仿宋" w:hAnsi="仿宋" w:eastAsia="仿宋" w:cs="仿宋"/>
                <w:color w:val="auto"/>
                <w:kern w:val="0"/>
                <w:szCs w:val="21"/>
                <w:highlight w:val="none"/>
                <w:lang w:bidi="ar"/>
              </w:rPr>
              <w:t>B类报告</w:t>
            </w:r>
          </w:p>
        </w:tc>
        <w:tc>
          <w:tcPr>
            <w:tcW w:w="733" w:type="dxa"/>
            <w:tcBorders>
              <w:top w:val="single" w:color="auto" w:sz="4" w:space="0"/>
              <w:left w:val="single" w:color="000000" w:sz="4" w:space="0"/>
              <w:right w:val="single" w:color="000000" w:sz="4" w:space="0"/>
            </w:tcBorders>
            <w:noWrap w:val="0"/>
            <w:vAlign w:val="center"/>
          </w:tcPr>
          <w:p w14:paraId="5F2F36D6">
            <w:pPr>
              <w:jc w:val="center"/>
              <w:rPr>
                <w:rFonts w:hint="eastAsia" w:ascii="仿宋" w:hAnsi="仿宋" w:eastAsia="仿宋" w:cs="仿宋"/>
                <w:b/>
                <w:bCs/>
                <w:color w:val="auto"/>
                <w:kern w:val="0"/>
                <w:szCs w:val="21"/>
                <w:highlight w:val="none"/>
                <w:lang w:bidi="ar"/>
              </w:rPr>
            </w:pPr>
            <w:r>
              <w:rPr>
                <w:rFonts w:hint="eastAsia" w:ascii="仿宋" w:hAnsi="仿宋" w:eastAsia="仿宋" w:cs="仿宋"/>
                <w:b/>
                <w:bCs/>
                <w:color w:val="auto"/>
                <w:kern w:val="0"/>
                <w:szCs w:val="21"/>
                <w:highlight w:val="none"/>
                <w:lang w:bidi="ar"/>
              </w:rPr>
              <w:t>份</w:t>
            </w:r>
          </w:p>
        </w:tc>
        <w:tc>
          <w:tcPr>
            <w:tcW w:w="867" w:type="dxa"/>
            <w:tcBorders>
              <w:top w:val="single" w:color="auto" w:sz="4" w:space="0"/>
              <w:left w:val="single" w:color="000000" w:sz="4" w:space="0"/>
              <w:right w:val="single" w:color="000000" w:sz="4" w:space="0"/>
            </w:tcBorders>
            <w:noWrap w:val="0"/>
            <w:vAlign w:val="center"/>
          </w:tcPr>
          <w:p w14:paraId="15F8A252">
            <w:pPr>
              <w:jc w:val="center"/>
              <w:textAlignment w:val="center"/>
              <w:rPr>
                <w:rFonts w:hint="eastAsia" w:ascii="仿宋" w:hAnsi="仿宋" w:eastAsia="仿宋" w:cs="仿宋"/>
                <w:b/>
                <w:bCs/>
                <w:color w:val="auto"/>
                <w:kern w:val="0"/>
                <w:szCs w:val="21"/>
                <w:highlight w:val="none"/>
                <w:lang w:eastAsia="zh-CN" w:bidi="ar"/>
              </w:rPr>
            </w:pPr>
            <w:r>
              <w:rPr>
                <w:rFonts w:hint="eastAsia" w:ascii="仿宋" w:hAnsi="仿宋" w:eastAsia="仿宋" w:cs="仿宋"/>
                <w:b/>
                <w:bCs/>
                <w:color w:val="auto"/>
                <w:kern w:val="0"/>
                <w:szCs w:val="21"/>
                <w:highlight w:val="none"/>
                <w:lang w:bidi="ar"/>
              </w:rPr>
              <w:t>2</w:t>
            </w:r>
            <w:r>
              <w:rPr>
                <w:rFonts w:hint="eastAsia" w:ascii="仿宋" w:hAnsi="仿宋" w:eastAsia="仿宋" w:cs="仿宋"/>
                <w:b/>
                <w:bCs/>
                <w:color w:val="auto"/>
                <w:kern w:val="0"/>
                <w:szCs w:val="21"/>
                <w:highlight w:val="none"/>
                <w:lang w:val="en-US" w:eastAsia="zh-CN" w:bidi="ar"/>
              </w:rPr>
              <w:t>0</w:t>
            </w:r>
          </w:p>
        </w:tc>
        <w:tc>
          <w:tcPr>
            <w:tcW w:w="709" w:type="dxa"/>
            <w:tcBorders>
              <w:top w:val="single" w:color="auto" w:sz="4" w:space="0"/>
              <w:left w:val="single" w:color="000000" w:sz="4" w:space="0"/>
              <w:right w:val="single" w:color="000000" w:sz="4" w:space="0"/>
            </w:tcBorders>
            <w:noWrap w:val="0"/>
            <w:vAlign w:val="center"/>
          </w:tcPr>
          <w:p w14:paraId="1BAA76F5">
            <w:pPr>
              <w:jc w:val="center"/>
              <w:textAlignment w:val="center"/>
              <w:rPr>
                <w:rFonts w:ascii="仿宋" w:hAnsi="仿宋" w:eastAsia="仿宋" w:cs="仿宋"/>
                <w:color w:val="auto"/>
                <w:kern w:val="0"/>
                <w:szCs w:val="21"/>
                <w:highlight w:val="none"/>
                <w:lang w:bidi="ar"/>
              </w:rPr>
            </w:pPr>
          </w:p>
        </w:tc>
        <w:tc>
          <w:tcPr>
            <w:tcW w:w="892" w:type="dxa"/>
            <w:tcBorders>
              <w:top w:val="single" w:color="auto" w:sz="4" w:space="0"/>
              <w:left w:val="single" w:color="000000" w:sz="4" w:space="0"/>
              <w:right w:val="single" w:color="000000" w:sz="4" w:space="0"/>
            </w:tcBorders>
            <w:noWrap w:val="0"/>
            <w:vAlign w:val="center"/>
          </w:tcPr>
          <w:p w14:paraId="5A8EF1D4">
            <w:pPr>
              <w:jc w:val="center"/>
              <w:rPr>
                <w:rFonts w:ascii="仿宋" w:hAnsi="仿宋" w:eastAsia="仿宋" w:cs="仿宋"/>
                <w:b/>
                <w:bCs/>
                <w:color w:val="auto"/>
                <w:kern w:val="0"/>
                <w:szCs w:val="21"/>
                <w:highlight w:val="none"/>
                <w:lang w:bidi="ar"/>
              </w:rPr>
            </w:pPr>
          </w:p>
        </w:tc>
        <w:tc>
          <w:tcPr>
            <w:tcW w:w="992" w:type="dxa"/>
            <w:tcBorders>
              <w:top w:val="single" w:color="auto" w:sz="4" w:space="0"/>
              <w:left w:val="single" w:color="000000" w:sz="4" w:space="0"/>
              <w:right w:val="single" w:color="000000" w:sz="4" w:space="0"/>
            </w:tcBorders>
            <w:noWrap w:val="0"/>
            <w:vAlign w:val="center"/>
          </w:tcPr>
          <w:p w14:paraId="62D414C3">
            <w:pPr>
              <w:jc w:val="center"/>
              <w:textAlignment w:val="center"/>
              <w:rPr>
                <w:rFonts w:ascii="仿宋" w:hAnsi="仿宋" w:eastAsia="仿宋" w:cs="仿宋"/>
                <w:color w:val="auto"/>
                <w:kern w:val="0"/>
                <w:szCs w:val="21"/>
                <w:highlight w:val="none"/>
                <w:lang w:bidi="ar"/>
              </w:rPr>
            </w:pPr>
          </w:p>
        </w:tc>
      </w:tr>
      <w:tr w14:paraId="6613F1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76" w:hRule="atLeast"/>
          <w:jc w:val="center"/>
        </w:trPr>
        <w:tc>
          <w:tcPr>
            <w:tcW w:w="567" w:type="dxa"/>
            <w:vMerge w:val="continue"/>
            <w:tcBorders>
              <w:left w:val="single" w:color="000000" w:sz="4" w:space="0"/>
              <w:right w:val="single" w:color="000000" w:sz="4" w:space="0"/>
            </w:tcBorders>
            <w:noWrap w:val="0"/>
            <w:vAlign w:val="center"/>
          </w:tcPr>
          <w:p w14:paraId="6C49D7E0">
            <w:pPr>
              <w:widowControl/>
              <w:jc w:val="center"/>
              <w:textAlignment w:val="center"/>
              <w:rPr>
                <w:rFonts w:ascii="仿宋" w:hAnsi="仿宋" w:eastAsia="仿宋" w:cs="仿宋"/>
                <w:color w:val="auto"/>
                <w:szCs w:val="21"/>
                <w:highlight w:val="none"/>
              </w:rPr>
            </w:pPr>
          </w:p>
        </w:tc>
        <w:tc>
          <w:tcPr>
            <w:tcW w:w="1418" w:type="dxa"/>
            <w:vMerge w:val="continue"/>
            <w:tcBorders>
              <w:left w:val="single" w:color="000000" w:sz="4" w:space="0"/>
              <w:right w:val="single" w:color="000000" w:sz="4" w:space="0"/>
            </w:tcBorders>
            <w:noWrap w:val="0"/>
            <w:vAlign w:val="center"/>
          </w:tcPr>
          <w:p w14:paraId="70674181">
            <w:pPr>
              <w:widowControl/>
              <w:jc w:val="center"/>
              <w:textAlignment w:val="center"/>
              <w:rPr>
                <w:rFonts w:ascii="仿宋" w:hAnsi="仿宋" w:eastAsia="仿宋" w:cs="仿宋"/>
                <w:color w:val="auto"/>
                <w:kern w:val="0"/>
                <w:szCs w:val="21"/>
                <w:highlight w:val="none"/>
                <w:lang w:bidi="ar"/>
              </w:rPr>
            </w:pPr>
          </w:p>
        </w:tc>
        <w:tc>
          <w:tcPr>
            <w:tcW w:w="2981" w:type="dxa"/>
            <w:gridSpan w:val="2"/>
            <w:tcBorders>
              <w:top w:val="single" w:color="000000" w:sz="4" w:space="0"/>
              <w:left w:val="single" w:color="000000" w:sz="4" w:space="0"/>
              <w:bottom w:val="single" w:color="000000" w:sz="4" w:space="0"/>
              <w:right w:val="single" w:color="000000" w:sz="4" w:space="0"/>
            </w:tcBorders>
            <w:noWrap w:val="0"/>
            <w:vAlign w:val="center"/>
          </w:tcPr>
          <w:p w14:paraId="2A2DF318">
            <w:pPr>
              <w:widowControl/>
              <w:textAlignment w:val="center"/>
              <w:rPr>
                <w:rFonts w:hint="eastAsia" w:ascii="仿宋" w:hAnsi="仿宋" w:eastAsia="仿宋" w:cs="仿宋"/>
                <w:color w:val="auto"/>
                <w:szCs w:val="21"/>
                <w:highlight w:val="none"/>
              </w:rPr>
            </w:pPr>
            <w:r>
              <w:rPr>
                <w:rFonts w:hint="eastAsia" w:ascii="仿宋" w:hAnsi="仿宋" w:eastAsia="仿宋" w:cs="仿宋"/>
                <w:color w:val="auto"/>
                <w:kern w:val="0"/>
                <w:szCs w:val="21"/>
                <w:highlight w:val="none"/>
                <w:lang w:bidi="ar"/>
              </w:rPr>
              <w:t>服务期内提供不少于20次涉诈网站数据及线索分析服务，</w:t>
            </w:r>
            <w:r>
              <w:rPr>
                <w:rFonts w:hint="eastAsia" w:ascii="仿宋" w:hAnsi="仿宋" w:eastAsia="仿宋" w:cs="仿宋"/>
                <w:color w:val="auto"/>
                <w:kern w:val="0"/>
                <w:szCs w:val="21"/>
                <w:highlight w:val="none"/>
                <w:lang w:bidi="ar"/>
              </w:rPr>
              <w:t>输出分析报告</w:t>
            </w:r>
            <w:r>
              <w:rPr>
                <w:rFonts w:hint="eastAsia" w:ascii="仿宋" w:hAnsi="仿宋" w:eastAsia="仿宋" w:cs="仿宋"/>
                <w:color w:val="auto"/>
                <w:kern w:val="0"/>
                <w:szCs w:val="21"/>
                <w:highlight w:val="none"/>
                <w:lang w:val="en-US" w:eastAsia="zh-CN" w:bidi="ar"/>
              </w:rPr>
              <w:t>40</w:t>
            </w:r>
            <w:r>
              <w:rPr>
                <w:rFonts w:hint="eastAsia" w:ascii="仿宋" w:hAnsi="仿宋" w:eastAsia="仿宋" w:cs="仿宋"/>
                <w:color w:val="auto"/>
                <w:kern w:val="0"/>
                <w:szCs w:val="21"/>
                <w:highlight w:val="none"/>
                <w:lang w:bidi="ar"/>
              </w:rPr>
              <w:t>份</w:t>
            </w:r>
          </w:p>
        </w:tc>
        <w:tc>
          <w:tcPr>
            <w:tcW w:w="1134" w:type="dxa"/>
            <w:tcBorders>
              <w:top w:val="single" w:color="000000" w:sz="4" w:space="0"/>
              <w:left w:val="single" w:color="000000" w:sz="4" w:space="0"/>
              <w:right w:val="single" w:color="000000" w:sz="4" w:space="0"/>
            </w:tcBorders>
            <w:noWrap w:val="0"/>
            <w:vAlign w:val="center"/>
          </w:tcPr>
          <w:p w14:paraId="703A23E5">
            <w:pPr>
              <w:jc w:val="center"/>
              <w:textAlignment w:val="center"/>
              <w:rPr>
                <w:rFonts w:ascii="仿宋" w:hAnsi="仿宋" w:eastAsia="仿宋" w:cs="仿宋"/>
                <w:color w:val="auto"/>
                <w:kern w:val="0"/>
                <w:szCs w:val="21"/>
                <w:highlight w:val="none"/>
                <w:lang w:bidi="ar"/>
              </w:rPr>
            </w:pPr>
            <w:r>
              <w:rPr>
                <w:rFonts w:hint="eastAsia" w:ascii="仿宋" w:hAnsi="仿宋" w:eastAsia="仿宋" w:cs="仿宋"/>
                <w:color w:val="auto"/>
                <w:kern w:val="0"/>
                <w:szCs w:val="21"/>
                <w:highlight w:val="none"/>
                <w:lang w:bidi="ar"/>
              </w:rPr>
              <w:t>C类报告</w:t>
            </w:r>
          </w:p>
        </w:tc>
        <w:tc>
          <w:tcPr>
            <w:tcW w:w="733" w:type="dxa"/>
            <w:tcBorders>
              <w:top w:val="single" w:color="000000" w:sz="4" w:space="0"/>
              <w:left w:val="single" w:color="000000" w:sz="4" w:space="0"/>
              <w:right w:val="single" w:color="000000" w:sz="4" w:space="0"/>
            </w:tcBorders>
            <w:noWrap w:val="0"/>
            <w:vAlign w:val="center"/>
          </w:tcPr>
          <w:p w14:paraId="2AB2184F">
            <w:pPr>
              <w:jc w:val="center"/>
              <w:rPr>
                <w:color w:val="auto"/>
                <w:highlight w:val="none"/>
              </w:rPr>
            </w:pPr>
            <w:r>
              <w:rPr>
                <w:rFonts w:hint="eastAsia" w:ascii="仿宋" w:hAnsi="仿宋" w:eastAsia="仿宋" w:cs="仿宋"/>
                <w:b/>
                <w:bCs/>
                <w:color w:val="auto"/>
                <w:kern w:val="0"/>
                <w:szCs w:val="21"/>
                <w:highlight w:val="none"/>
                <w:lang w:bidi="ar"/>
              </w:rPr>
              <w:t>份</w:t>
            </w:r>
          </w:p>
        </w:tc>
        <w:tc>
          <w:tcPr>
            <w:tcW w:w="867" w:type="dxa"/>
            <w:tcBorders>
              <w:top w:val="single" w:color="000000" w:sz="4" w:space="0"/>
              <w:left w:val="single" w:color="000000" w:sz="4" w:space="0"/>
              <w:right w:val="single" w:color="000000" w:sz="4" w:space="0"/>
            </w:tcBorders>
            <w:noWrap w:val="0"/>
            <w:vAlign w:val="center"/>
          </w:tcPr>
          <w:p w14:paraId="7011C874">
            <w:pPr>
              <w:jc w:val="center"/>
              <w:textAlignment w:val="center"/>
              <w:rPr>
                <w:rFonts w:hint="default" w:ascii="仿宋" w:hAnsi="仿宋" w:eastAsia="仿宋" w:cs="仿宋"/>
                <w:b/>
                <w:bCs/>
                <w:color w:val="auto"/>
                <w:kern w:val="0"/>
                <w:szCs w:val="21"/>
                <w:highlight w:val="none"/>
                <w:lang w:val="en-US" w:eastAsia="zh-CN" w:bidi="ar"/>
              </w:rPr>
            </w:pPr>
            <w:r>
              <w:rPr>
                <w:rFonts w:hint="eastAsia" w:ascii="仿宋" w:hAnsi="仿宋" w:eastAsia="仿宋" w:cs="仿宋"/>
                <w:b/>
                <w:bCs/>
                <w:color w:val="auto"/>
                <w:kern w:val="0"/>
                <w:szCs w:val="21"/>
                <w:highlight w:val="none"/>
                <w:lang w:val="en-US" w:eastAsia="zh-CN" w:bidi="ar"/>
              </w:rPr>
              <w:t>40</w:t>
            </w:r>
          </w:p>
        </w:tc>
        <w:tc>
          <w:tcPr>
            <w:tcW w:w="709" w:type="dxa"/>
            <w:tcBorders>
              <w:top w:val="single" w:color="000000" w:sz="4" w:space="0"/>
              <w:left w:val="single" w:color="000000" w:sz="4" w:space="0"/>
              <w:right w:val="single" w:color="000000" w:sz="4" w:space="0"/>
            </w:tcBorders>
            <w:noWrap w:val="0"/>
            <w:vAlign w:val="center"/>
          </w:tcPr>
          <w:p w14:paraId="262328A9">
            <w:pPr>
              <w:jc w:val="center"/>
              <w:textAlignment w:val="center"/>
              <w:rPr>
                <w:rFonts w:ascii="仿宋" w:hAnsi="仿宋" w:eastAsia="仿宋" w:cs="仿宋"/>
                <w:color w:val="auto"/>
                <w:kern w:val="0"/>
                <w:szCs w:val="21"/>
                <w:highlight w:val="none"/>
                <w:lang w:bidi="ar"/>
              </w:rPr>
            </w:pPr>
          </w:p>
        </w:tc>
        <w:tc>
          <w:tcPr>
            <w:tcW w:w="892" w:type="dxa"/>
            <w:tcBorders>
              <w:top w:val="single" w:color="000000" w:sz="4" w:space="0"/>
              <w:left w:val="single" w:color="000000" w:sz="4" w:space="0"/>
              <w:right w:val="single" w:color="000000" w:sz="4" w:space="0"/>
            </w:tcBorders>
            <w:noWrap w:val="0"/>
            <w:vAlign w:val="center"/>
          </w:tcPr>
          <w:p w14:paraId="71AE544C">
            <w:pPr>
              <w:jc w:val="center"/>
              <w:textAlignment w:val="center"/>
              <w:rPr>
                <w:rFonts w:ascii="仿宋" w:hAnsi="仿宋" w:eastAsia="仿宋" w:cs="仿宋"/>
                <w:color w:val="auto"/>
                <w:kern w:val="0"/>
                <w:szCs w:val="21"/>
                <w:highlight w:val="none"/>
                <w:lang w:bidi="ar"/>
              </w:rPr>
            </w:pPr>
          </w:p>
        </w:tc>
        <w:tc>
          <w:tcPr>
            <w:tcW w:w="992" w:type="dxa"/>
            <w:tcBorders>
              <w:top w:val="single" w:color="000000" w:sz="4" w:space="0"/>
              <w:left w:val="single" w:color="000000" w:sz="4" w:space="0"/>
              <w:right w:val="single" w:color="000000" w:sz="4" w:space="0"/>
            </w:tcBorders>
            <w:noWrap w:val="0"/>
            <w:vAlign w:val="center"/>
          </w:tcPr>
          <w:p w14:paraId="3757ADD9">
            <w:pPr>
              <w:jc w:val="center"/>
              <w:textAlignment w:val="center"/>
              <w:rPr>
                <w:rFonts w:ascii="仿宋" w:hAnsi="仿宋" w:eastAsia="仿宋" w:cs="仿宋"/>
                <w:color w:val="auto"/>
                <w:kern w:val="0"/>
                <w:szCs w:val="21"/>
                <w:highlight w:val="none"/>
                <w:lang w:bidi="ar"/>
              </w:rPr>
            </w:pPr>
          </w:p>
        </w:tc>
      </w:tr>
      <w:tr w14:paraId="3E0E56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6" w:hRule="atLeast"/>
          <w:jc w:val="center"/>
        </w:trPr>
        <w:tc>
          <w:tcPr>
            <w:tcW w:w="567" w:type="dxa"/>
            <w:vMerge w:val="restart"/>
            <w:tcBorders>
              <w:top w:val="single" w:color="000000" w:sz="4" w:space="0"/>
              <w:left w:val="single" w:color="000000" w:sz="4" w:space="0"/>
              <w:bottom w:val="single" w:color="000000" w:sz="4" w:space="0"/>
              <w:right w:val="single" w:color="000000" w:sz="4" w:space="0"/>
            </w:tcBorders>
            <w:noWrap w:val="0"/>
            <w:vAlign w:val="center"/>
          </w:tcPr>
          <w:p w14:paraId="276C2FCC">
            <w:pPr>
              <w:widowControl/>
              <w:jc w:val="center"/>
              <w:textAlignment w:val="center"/>
              <w:rPr>
                <w:rFonts w:ascii="仿宋" w:hAnsi="仿宋" w:eastAsia="仿宋" w:cs="仿宋"/>
                <w:color w:val="auto"/>
                <w:szCs w:val="21"/>
                <w:highlight w:val="none"/>
              </w:rPr>
            </w:pPr>
            <w:r>
              <w:rPr>
                <w:rFonts w:ascii="仿宋" w:hAnsi="仿宋" w:eastAsia="仿宋" w:cs="仿宋"/>
                <w:color w:val="auto"/>
                <w:szCs w:val="21"/>
                <w:highlight w:val="none"/>
              </w:rPr>
              <w:t>3</w:t>
            </w:r>
          </w:p>
        </w:tc>
        <w:tc>
          <w:tcPr>
            <w:tcW w:w="1418" w:type="dxa"/>
            <w:vMerge w:val="restart"/>
            <w:tcBorders>
              <w:top w:val="single" w:color="000000" w:sz="4" w:space="0"/>
              <w:left w:val="single" w:color="000000" w:sz="4" w:space="0"/>
              <w:bottom w:val="single" w:color="000000" w:sz="4" w:space="0"/>
              <w:right w:val="single" w:color="000000" w:sz="4" w:space="0"/>
            </w:tcBorders>
            <w:noWrap w:val="0"/>
            <w:vAlign w:val="center"/>
          </w:tcPr>
          <w:p w14:paraId="0828A451">
            <w:pPr>
              <w:widowControl/>
              <w:jc w:val="center"/>
              <w:textAlignment w:val="center"/>
              <w:rPr>
                <w:rFonts w:ascii="仿宋" w:hAnsi="仿宋" w:eastAsia="仿宋"/>
                <w:color w:val="auto"/>
                <w:kern w:val="0"/>
                <w:szCs w:val="21"/>
                <w:highlight w:val="none"/>
              </w:rPr>
            </w:pPr>
            <w:r>
              <w:rPr>
                <w:rFonts w:hint="eastAsia" w:ascii="仿宋" w:hAnsi="仿宋" w:eastAsia="仿宋" w:cs="仿宋"/>
                <w:color w:val="auto"/>
                <w:kern w:val="0"/>
                <w:szCs w:val="21"/>
                <w:highlight w:val="none"/>
                <w:lang w:bidi="ar"/>
              </w:rPr>
              <w:t>资金智能查控服务</w:t>
            </w:r>
          </w:p>
        </w:tc>
        <w:tc>
          <w:tcPr>
            <w:tcW w:w="2981" w:type="dxa"/>
            <w:gridSpan w:val="2"/>
            <w:tcBorders>
              <w:top w:val="single" w:color="000000" w:sz="4" w:space="0"/>
              <w:left w:val="single" w:color="000000" w:sz="4" w:space="0"/>
              <w:bottom w:val="single" w:color="000000" w:sz="4" w:space="0"/>
              <w:right w:val="single" w:color="000000" w:sz="4" w:space="0"/>
            </w:tcBorders>
            <w:noWrap w:val="0"/>
            <w:vAlign w:val="center"/>
          </w:tcPr>
          <w:p w14:paraId="40E5E5C9">
            <w:pPr>
              <w:widowControl/>
              <w:jc w:val="center"/>
              <w:textAlignment w:val="center"/>
              <w:rPr>
                <w:rFonts w:ascii="仿宋" w:hAnsi="仿宋" w:eastAsia="仿宋" w:cs="仿宋"/>
                <w:color w:val="auto"/>
                <w:szCs w:val="21"/>
                <w:highlight w:val="none"/>
              </w:rPr>
            </w:pPr>
            <w:r>
              <w:rPr>
                <w:rFonts w:hint="eastAsia" w:ascii="仿宋" w:hAnsi="仿宋" w:eastAsia="仿宋" w:cs="仿宋"/>
                <w:color w:val="auto"/>
                <w:szCs w:val="21"/>
                <w:highlight w:val="none"/>
              </w:rPr>
              <w:t>资金查控服务（查询逻辑图、查询逻辑表、资金智能查控、资金流分析、资金流向分析模型）</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14:paraId="1D65345A">
            <w:pPr>
              <w:widowControl/>
              <w:jc w:val="center"/>
              <w:textAlignment w:val="center"/>
              <w:rPr>
                <w:rFonts w:ascii="仿宋" w:hAnsi="仿宋" w:eastAsia="仿宋" w:cs="仿宋"/>
                <w:color w:val="auto"/>
                <w:kern w:val="0"/>
                <w:szCs w:val="21"/>
                <w:highlight w:val="none"/>
                <w:lang w:bidi="ar"/>
              </w:rPr>
            </w:pPr>
            <w:r>
              <w:rPr>
                <w:rFonts w:hint="eastAsia" w:ascii="仿宋" w:hAnsi="仿宋" w:eastAsia="仿宋" w:cs="仿宋"/>
                <w:color w:val="auto"/>
                <w:kern w:val="0"/>
                <w:szCs w:val="21"/>
                <w:highlight w:val="none"/>
                <w:lang w:bidi="ar"/>
              </w:rPr>
              <w:t>C类报告</w:t>
            </w:r>
          </w:p>
        </w:tc>
        <w:tc>
          <w:tcPr>
            <w:tcW w:w="733" w:type="dxa"/>
            <w:tcBorders>
              <w:top w:val="single" w:color="000000" w:sz="4" w:space="0"/>
              <w:left w:val="single" w:color="000000" w:sz="4" w:space="0"/>
              <w:bottom w:val="single" w:color="000000" w:sz="4" w:space="0"/>
              <w:right w:val="single" w:color="000000" w:sz="4" w:space="0"/>
            </w:tcBorders>
            <w:noWrap w:val="0"/>
            <w:vAlign w:val="center"/>
          </w:tcPr>
          <w:p w14:paraId="59709897">
            <w:pPr>
              <w:jc w:val="center"/>
              <w:rPr>
                <w:color w:val="auto"/>
                <w:highlight w:val="none"/>
              </w:rPr>
            </w:pPr>
            <w:r>
              <w:rPr>
                <w:rFonts w:hint="eastAsia" w:ascii="仿宋" w:hAnsi="仿宋" w:eastAsia="仿宋" w:cs="仿宋"/>
                <w:b/>
                <w:bCs/>
                <w:color w:val="auto"/>
                <w:kern w:val="0"/>
                <w:szCs w:val="21"/>
                <w:highlight w:val="none"/>
                <w:lang w:bidi="ar"/>
              </w:rPr>
              <w:t>份</w:t>
            </w:r>
          </w:p>
        </w:tc>
        <w:tc>
          <w:tcPr>
            <w:tcW w:w="867" w:type="dxa"/>
            <w:tcBorders>
              <w:top w:val="single" w:color="000000" w:sz="4" w:space="0"/>
              <w:left w:val="single" w:color="000000" w:sz="4" w:space="0"/>
              <w:bottom w:val="single" w:color="000000" w:sz="4" w:space="0"/>
              <w:right w:val="single" w:color="000000" w:sz="4" w:space="0"/>
            </w:tcBorders>
            <w:noWrap w:val="0"/>
            <w:vAlign w:val="center"/>
          </w:tcPr>
          <w:p w14:paraId="39005DE1">
            <w:pPr>
              <w:widowControl/>
              <w:jc w:val="center"/>
              <w:textAlignment w:val="center"/>
              <w:rPr>
                <w:rFonts w:hint="eastAsia" w:ascii="仿宋" w:hAnsi="仿宋" w:eastAsia="仿宋" w:cs="仿宋"/>
                <w:b/>
                <w:bCs/>
                <w:color w:val="auto"/>
                <w:szCs w:val="21"/>
                <w:highlight w:val="none"/>
                <w:lang w:eastAsia="zh-CN"/>
              </w:rPr>
            </w:pPr>
            <w:r>
              <w:rPr>
                <w:rFonts w:hint="eastAsia" w:ascii="仿宋" w:hAnsi="仿宋" w:eastAsia="仿宋" w:cs="仿宋"/>
                <w:b/>
                <w:bCs/>
                <w:color w:val="auto"/>
                <w:kern w:val="0"/>
                <w:szCs w:val="21"/>
                <w:highlight w:val="none"/>
                <w:lang w:val="en-US" w:eastAsia="zh-CN" w:bidi="ar"/>
              </w:rPr>
              <w:t>2</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14:paraId="3E0A7C94">
            <w:pPr>
              <w:widowControl/>
              <w:jc w:val="center"/>
              <w:textAlignment w:val="center"/>
              <w:rPr>
                <w:rFonts w:ascii="仿宋" w:hAnsi="仿宋" w:eastAsia="仿宋" w:cs="仿宋"/>
                <w:color w:val="auto"/>
                <w:kern w:val="0"/>
                <w:szCs w:val="21"/>
                <w:highlight w:val="none"/>
                <w:lang w:bidi="ar"/>
              </w:rPr>
            </w:pPr>
          </w:p>
        </w:tc>
        <w:tc>
          <w:tcPr>
            <w:tcW w:w="892" w:type="dxa"/>
            <w:tcBorders>
              <w:top w:val="single" w:color="000000" w:sz="4" w:space="0"/>
              <w:left w:val="single" w:color="000000" w:sz="4" w:space="0"/>
              <w:bottom w:val="single" w:color="000000" w:sz="4" w:space="0"/>
              <w:right w:val="single" w:color="000000" w:sz="4" w:space="0"/>
            </w:tcBorders>
            <w:noWrap w:val="0"/>
            <w:vAlign w:val="center"/>
          </w:tcPr>
          <w:p w14:paraId="4D83B683">
            <w:pPr>
              <w:widowControl/>
              <w:jc w:val="center"/>
              <w:textAlignment w:val="center"/>
              <w:rPr>
                <w:rFonts w:ascii="仿宋" w:hAnsi="仿宋" w:eastAsia="仿宋" w:cs="仿宋"/>
                <w:color w:val="auto"/>
                <w:kern w:val="0"/>
                <w:szCs w:val="21"/>
                <w:highlight w:val="none"/>
                <w:lang w:bidi="ar"/>
              </w:rPr>
            </w:pPr>
          </w:p>
        </w:tc>
        <w:tc>
          <w:tcPr>
            <w:tcW w:w="992" w:type="dxa"/>
            <w:tcBorders>
              <w:top w:val="single" w:color="000000" w:sz="4" w:space="0"/>
              <w:left w:val="single" w:color="000000" w:sz="4" w:space="0"/>
              <w:bottom w:val="single" w:color="000000" w:sz="4" w:space="0"/>
              <w:right w:val="single" w:color="000000" w:sz="4" w:space="0"/>
            </w:tcBorders>
            <w:noWrap w:val="0"/>
            <w:vAlign w:val="center"/>
          </w:tcPr>
          <w:p w14:paraId="6E08DD07">
            <w:pPr>
              <w:widowControl/>
              <w:jc w:val="center"/>
              <w:textAlignment w:val="center"/>
              <w:rPr>
                <w:rFonts w:ascii="仿宋" w:hAnsi="仿宋" w:eastAsia="仿宋" w:cs="仿宋"/>
                <w:color w:val="auto"/>
                <w:kern w:val="0"/>
                <w:szCs w:val="21"/>
                <w:highlight w:val="none"/>
                <w:lang w:bidi="ar"/>
              </w:rPr>
            </w:pPr>
          </w:p>
        </w:tc>
      </w:tr>
      <w:tr w14:paraId="62C064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6" w:hRule="atLeast"/>
          <w:jc w:val="center"/>
        </w:trPr>
        <w:tc>
          <w:tcPr>
            <w:tcW w:w="567" w:type="dxa"/>
            <w:vMerge w:val="continue"/>
            <w:tcBorders>
              <w:top w:val="single" w:color="000000" w:sz="4" w:space="0"/>
              <w:left w:val="single" w:color="000000" w:sz="4" w:space="0"/>
              <w:bottom w:val="single" w:color="000000" w:sz="4" w:space="0"/>
              <w:right w:val="single" w:color="000000" w:sz="4" w:space="0"/>
            </w:tcBorders>
            <w:noWrap w:val="0"/>
            <w:vAlign w:val="center"/>
          </w:tcPr>
          <w:p w14:paraId="3D0C1BC2">
            <w:pPr>
              <w:widowControl/>
              <w:spacing w:beforeAutospacing="1" w:afterAutospacing="1"/>
              <w:jc w:val="left"/>
              <w:rPr>
                <w:rFonts w:ascii="仿宋" w:hAnsi="仿宋" w:eastAsia="仿宋" w:cs="仿宋"/>
                <w:color w:val="auto"/>
                <w:szCs w:val="21"/>
                <w:highlight w:val="none"/>
              </w:rPr>
            </w:pPr>
          </w:p>
        </w:tc>
        <w:tc>
          <w:tcPr>
            <w:tcW w:w="1418" w:type="dxa"/>
            <w:vMerge w:val="continue"/>
            <w:tcBorders>
              <w:top w:val="single" w:color="000000" w:sz="4" w:space="0"/>
              <w:left w:val="single" w:color="000000" w:sz="4" w:space="0"/>
              <w:bottom w:val="single" w:color="000000" w:sz="4" w:space="0"/>
              <w:right w:val="single" w:color="000000" w:sz="4" w:space="0"/>
            </w:tcBorders>
            <w:noWrap w:val="0"/>
            <w:vAlign w:val="center"/>
          </w:tcPr>
          <w:p w14:paraId="0B39AEA6">
            <w:pPr>
              <w:widowControl/>
              <w:spacing w:beforeAutospacing="1" w:afterAutospacing="1"/>
              <w:jc w:val="left"/>
              <w:rPr>
                <w:rFonts w:ascii="仿宋" w:hAnsi="仿宋" w:eastAsia="仿宋"/>
                <w:color w:val="auto"/>
                <w:kern w:val="0"/>
                <w:szCs w:val="21"/>
                <w:highlight w:val="none"/>
              </w:rPr>
            </w:pPr>
          </w:p>
        </w:tc>
        <w:tc>
          <w:tcPr>
            <w:tcW w:w="2981" w:type="dxa"/>
            <w:gridSpan w:val="2"/>
            <w:tcBorders>
              <w:top w:val="single" w:color="000000" w:sz="4" w:space="0"/>
              <w:left w:val="single" w:color="000000" w:sz="4" w:space="0"/>
              <w:bottom w:val="single" w:color="000000" w:sz="4" w:space="0"/>
              <w:right w:val="single" w:color="000000" w:sz="4" w:space="0"/>
            </w:tcBorders>
            <w:noWrap w:val="0"/>
            <w:vAlign w:val="center"/>
          </w:tcPr>
          <w:p w14:paraId="03BE04AF">
            <w:pPr>
              <w:widowControl/>
              <w:jc w:val="center"/>
              <w:textAlignment w:val="center"/>
              <w:rPr>
                <w:rFonts w:ascii="仿宋" w:hAnsi="仿宋" w:eastAsia="仿宋" w:cs="仿宋"/>
                <w:color w:val="auto"/>
                <w:szCs w:val="21"/>
                <w:highlight w:val="none"/>
              </w:rPr>
            </w:pPr>
            <w:r>
              <w:rPr>
                <w:rFonts w:hint="eastAsia" w:ascii="仿宋" w:hAnsi="仿宋" w:eastAsia="仿宋" w:cs="仿宋"/>
                <w:color w:val="auto"/>
                <w:szCs w:val="21"/>
                <w:highlight w:val="none"/>
              </w:rPr>
              <w:t>智能止付（警情统计、智能止付、接警接口管理、智能止付、案件与警情单关联、止付资金流表、止付资金流图、止付冻结报告）</w:t>
            </w:r>
          </w:p>
        </w:tc>
        <w:tc>
          <w:tcPr>
            <w:tcW w:w="1134" w:type="dxa"/>
            <w:tcBorders>
              <w:top w:val="single" w:color="000000" w:sz="4" w:space="0"/>
              <w:left w:val="single" w:color="000000" w:sz="4" w:space="0"/>
              <w:bottom w:val="single" w:color="auto" w:sz="4" w:space="0"/>
              <w:right w:val="single" w:color="000000" w:sz="4" w:space="0"/>
            </w:tcBorders>
            <w:noWrap w:val="0"/>
            <w:vAlign w:val="center"/>
          </w:tcPr>
          <w:p w14:paraId="277207BF">
            <w:pPr>
              <w:jc w:val="center"/>
              <w:textAlignment w:val="center"/>
              <w:rPr>
                <w:rFonts w:ascii="仿宋" w:hAnsi="仿宋" w:eastAsia="仿宋" w:cs="仿宋"/>
                <w:color w:val="auto"/>
                <w:kern w:val="0"/>
                <w:szCs w:val="21"/>
                <w:highlight w:val="none"/>
                <w:lang w:bidi="ar"/>
              </w:rPr>
            </w:pPr>
            <w:r>
              <w:rPr>
                <w:rFonts w:hint="eastAsia" w:ascii="仿宋" w:hAnsi="仿宋" w:eastAsia="仿宋" w:cs="仿宋"/>
                <w:color w:val="auto"/>
                <w:kern w:val="0"/>
                <w:szCs w:val="21"/>
                <w:highlight w:val="none"/>
                <w:lang w:bidi="ar"/>
              </w:rPr>
              <w:t>C类报告</w:t>
            </w:r>
          </w:p>
        </w:tc>
        <w:tc>
          <w:tcPr>
            <w:tcW w:w="733" w:type="dxa"/>
            <w:tcBorders>
              <w:top w:val="single" w:color="000000" w:sz="4" w:space="0"/>
              <w:left w:val="single" w:color="000000" w:sz="4" w:space="0"/>
              <w:bottom w:val="single" w:color="auto" w:sz="4" w:space="0"/>
              <w:right w:val="single" w:color="000000" w:sz="4" w:space="0"/>
            </w:tcBorders>
            <w:noWrap w:val="0"/>
            <w:vAlign w:val="center"/>
          </w:tcPr>
          <w:p w14:paraId="1377EAD8">
            <w:pPr>
              <w:jc w:val="center"/>
              <w:rPr>
                <w:color w:val="auto"/>
                <w:highlight w:val="none"/>
              </w:rPr>
            </w:pPr>
            <w:r>
              <w:rPr>
                <w:rFonts w:hint="eastAsia" w:ascii="仿宋" w:hAnsi="仿宋" w:eastAsia="仿宋" w:cs="仿宋"/>
                <w:b/>
                <w:bCs/>
                <w:color w:val="auto"/>
                <w:kern w:val="0"/>
                <w:szCs w:val="21"/>
                <w:highlight w:val="none"/>
                <w:lang w:bidi="ar"/>
              </w:rPr>
              <w:t>份</w:t>
            </w:r>
          </w:p>
        </w:tc>
        <w:tc>
          <w:tcPr>
            <w:tcW w:w="867" w:type="dxa"/>
            <w:tcBorders>
              <w:top w:val="single" w:color="000000" w:sz="4" w:space="0"/>
              <w:left w:val="single" w:color="000000" w:sz="4" w:space="0"/>
              <w:bottom w:val="single" w:color="auto" w:sz="4" w:space="0"/>
              <w:right w:val="single" w:color="000000" w:sz="4" w:space="0"/>
            </w:tcBorders>
            <w:noWrap w:val="0"/>
            <w:vAlign w:val="center"/>
          </w:tcPr>
          <w:p w14:paraId="1ABE8B8E">
            <w:pPr>
              <w:jc w:val="center"/>
              <w:textAlignment w:val="center"/>
              <w:rPr>
                <w:rFonts w:hint="eastAsia" w:ascii="仿宋" w:hAnsi="仿宋" w:eastAsia="仿宋" w:cs="仿宋"/>
                <w:b/>
                <w:bCs/>
                <w:color w:val="auto"/>
                <w:szCs w:val="21"/>
                <w:highlight w:val="none"/>
                <w:lang w:eastAsia="zh-CN"/>
              </w:rPr>
            </w:pPr>
            <w:r>
              <w:rPr>
                <w:rFonts w:hint="eastAsia" w:ascii="仿宋" w:hAnsi="仿宋" w:eastAsia="仿宋" w:cs="仿宋"/>
                <w:b/>
                <w:bCs/>
                <w:color w:val="auto"/>
                <w:kern w:val="0"/>
                <w:szCs w:val="21"/>
                <w:highlight w:val="none"/>
                <w:lang w:val="en-US" w:eastAsia="zh-CN" w:bidi="ar"/>
              </w:rPr>
              <w:t>2</w:t>
            </w:r>
          </w:p>
        </w:tc>
        <w:tc>
          <w:tcPr>
            <w:tcW w:w="709" w:type="dxa"/>
            <w:tcBorders>
              <w:top w:val="single" w:color="000000" w:sz="4" w:space="0"/>
              <w:left w:val="single" w:color="000000" w:sz="4" w:space="0"/>
              <w:bottom w:val="single" w:color="auto" w:sz="4" w:space="0"/>
              <w:right w:val="single" w:color="000000" w:sz="4" w:space="0"/>
            </w:tcBorders>
            <w:noWrap w:val="0"/>
            <w:vAlign w:val="center"/>
          </w:tcPr>
          <w:p w14:paraId="7F121421">
            <w:pPr>
              <w:jc w:val="center"/>
              <w:textAlignment w:val="center"/>
              <w:rPr>
                <w:rFonts w:ascii="仿宋" w:hAnsi="仿宋" w:eastAsia="仿宋" w:cs="仿宋"/>
                <w:color w:val="auto"/>
                <w:kern w:val="0"/>
                <w:szCs w:val="21"/>
                <w:highlight w:val="none"/>
                <w:lang w:bidi="ar"/>
              </w:rPr>
            </w:pPr>
          </w:p>
        </w:tc>
        <w:tc>
          <w:tcPr>
            <w:tcW w:w="892" w:type="dxa"/>
            <w:tcBorders>
              <w:top w:val="single" w:color="000000" w:sz="4" w:space="0"/>
              <w:left w:val="single" w:color="000000" w:sz="4" w:space="0"/>
              <w:bottom w:val="single" w:color="auto" w:sz="4" w:space="0"/>
              <w:right w:val="single" w:color="000000" w:sz="4" w:space="0"/>
            </w:tcBorders>
            <w:noWrap w:val="0"/>
            <w:vAlign w:val="center"/>
          </w:tcPr>
          <w:p w14:paraId="0130A279">
            <w:pPr>
              <w:jc w:val="center"/>
              <w:textAlignment w:val="center"/>
              <w:rPr>
                <w:rFonts w:ascii="仿宋" w:hAnsi="仿宋" w:eastAsia="仿宋" w:cs="仿宋"/>
                <w:color w:val="auto"/>
                <w:kern w:val="0"/>
                <w:szCs w:val="21"/>
                <w:highlight w:val="none"/>
                <w:lang w:bidi="ar"/>
              </w:rPr>
            </w:pPr>
          </w:p>
        </w:tc>
        <w:tc>
          <w:tcPr>
            <w:tcW w:w="992" w:type="dxa"/>
            <w:tcBorders>
              <w:top w:val="single" w:color="000000" w:sz="4" w:space="0"/>
              <w:left w:val="single" w:color="000000" w:sz="4" w:space="0"/>
              <w:bottom w:val="single" w:color="auto" w:sz="4" w:space="0"/>
              <w:right w:val="single" w:color="000000" w:sz="4" w:space="0"/>
            </w:tcBorders>
            <w:noWrap w:val="0"/>
            <w:vAlign w:val="center"/>
          </w:tcPr>
          <w:p w14:paraId="36920B5D">
            <w:pPr>
              <w:jc w:val="center"/>
              <w:textAlignment w:val="center"/>
              <w:rPr>
                <w:rFonts w:ascii="仿宋" w:hAnsi="仿宋" w:eastAsia="仿宋" w:cs="仿宋"/>
                <w:color w:val="auto"/>
                <w:kern w:val="0"/>
                <w:szCs w:val="21"/>
                <w:highlight w:val="none"/>
                <w:lang w:bidi="ar"/>
              </w:rPr>
            </w:pPr>
          </w:p>
        </w:tc>
      </w:tr>
      <w:tr w14:paraId="1FC551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6" w:hRule="atLeast"/>
          <w:jc w:val="center"/>
        </w:trPr>
        <w:tc>
          <w:tcPr>
            <w:tcW w:w="567" w:type="dxa"/>
            <w:vMerge w:val="continue"/>
            <w:tcBorders>
              <w:top w:val="single" w:color="000000" w:sz="4" w:space="0"/>
              <w:left w:val="single" w:color="000000" w:sz="4" w:space="0"/>
              <w:bottom w:val="single" w:color="000000" w:sz="4" w:space="0"/>
              <w:right w:val="single" w:color="000000" w:sz="4" w:space="0"/>
            </w:tcBorders>
            <w:noWrap w:val="0"/>
            <w:vAlign w:val="center"/>
          </w:tcPr>
          <w:p w14:paraId="443AF549">
            <w:pPr>
              <w:widowControl/>
              <w:spacing w:beforeAutospacing="1" w:afterAutospacing="1"/>
              <w:jc w:val="left"/>
              <w:rPr>
                <w:rFonts w:ascii="仿宋" w:hAnsi="仿宋" w:eastAsia="仿宋" w:cs="仿宋"/>
                <w:color w:val="auto"/>
                <w:szCs w:val="21"/>
                <w:highlight w:val="none"/>
              </w:rPr>
            </w:pPr>
          </w:p>
        </w:tc>
        <w:tc>
          <w:tcPr>
            <w:tcW w:w="1418" w:type="dxa"/>
            <w:vMerge w:val="continue"/>
            <w:tcBorders>
              <w:top w:val="single" w:color="000000" w:sz="4" w:space="0"/>
              <w:left w:val="single" w:color="000000" w:sz="4" w:space="0"/>
              <w:bottom w:val="single" w:color="000000" w:sz="4" w:space="0"/>
              <w:right w:val="single" w:color="000000" w:sz="4" w:space="0"/>
            </w:tcBorders>
            <w:noWrap w:val="0"/>
            <w:vAlign w:val="center"/>
          </w:tcPr>
          <w:p w14:paraId="6ADB9E48">
            <w:pPr>
              <w:widowControl/>
              <w:spacing w:beforeAutospacing="1" w:afterAutospacing="1"/>
              <w:jc w:val="left"/>
              <w:rPr>
                <w:rFonts w:ascii="仿宋" w:hAnsi="仿宋" w:eastAsia="仿宋"/>
                <w:color w:val="auto"/>
                <w:kern w:val="0"/>
                <w:szCs w:val="21"/>
                <w:highlight w:val="none"/>
              </w:rPr>
            </w:pPr>
          </w:p>
        </w:tc>
        <w:tc>
          <w:tcPr>
            <w:tcW w:w="2981" w:type="dxa"/>
            <w:gridSpan w:val="2"/>
            <w:tcBorders>
              <w:top w:val="single" w:color="000000" w:sz="4" w:space="0"/>
              <w:left w:val="single" w:color="000000" w:sz="4" w:space="0"/>
              <w:bottom w:val="single" w:color="000000" w:sz="4" w:space="0"/>
              <w:right w:val="single" w:color="000000" w:sz="4" w:space="0"/>
            </w:tcBorders>
            <w:noWrap w:val="0"/>
            <w:vAlign w:val="center"/>
          </w:tcPr>
          <w:p w14:paraId="410869A5">
            <w:pPr>
              <w:widowControl/>
              <w:spacing w:beforeAutospacing="1" w:afterAutospacing="1"/>
              <w:jc w:val="left"/>
              <w:rPr>
                <w:rFonts w:ascii="仿宋" w:hAnsi="仿宋" w:eastAsia="仿宋" w:cs="仿宋"/>
                <w:color w:val="auto"/>
                <w:szCs w:val="21"/>
                <w:highlight w:val="none"/>
              </w:rPr>
            </w:pPr>
            <w:r>
              <w:rPr>
                <w:rFonts w:hint="eastAsia" w:ascii="仿宋" w:hAnsi="仿宋" w:eastAsia="仿宋" w:cs="仿宋"/>
                <w:color w:val="auto"/>
                <w:kern w:val="0"/>
                <w:szCs w:val="21"/>
                <w:highlight w:val="none"/>
                <w:lang w:bidi="ar"/>
              </w:rPr>
              <w:t>保护性止付（资金预警全量首轮保护性止付自动提交、资金预警全量首轮保护性止付自动审核）</w:t>
            </w:r>
          </w:p>
        </w:tc>
        <w:tc>
          <w:tcPr>
            <w:tcW w:w="1134" w:type="dxa"/>
            <w:tcBorders>
              <w:top w:val="single" w:color="auto" w:sz="4" w:space="0"/>
              <w:left w:val="single" w:color="000000" w:sz="4" w:space="0"/>
              <w:bottom w:val="single" w:color="000000" w:sz="4" w:space="0"/>
              <w:right w:val="single" w:color="000000" w:sz="4" w:space="0"/>
            </w:tcBorders>
            <w:noWrap w:val="0"/>
            <w:vAlign w:val="center"/>
          </w:tcPr>
          <w:p w14:paraId="3AC3B710">
            <w:pPr>
              <w:jc w:val="center"/>
              <w:textAlignment w:val="center"/>
              <w:rPr>
                <w:rFonts w:ascii="仿宋" w:hAnsi="仿宋" w:eastAsia="仿宋" w:cs="仿宋"/>
                <w:color w:val="auto"/>
                <w:kern w:val="0"/>
                <w:szCs w:val="21"/>
                <w:highlight w:val="none"/>
                <w:lang w:bidi="ar"/>
              </w:rPr>
            </w:pPr>
            <w:r>
              <w:rPr>
                <w:rFonts w:hint="eastAsia" w:ascii="仿宋" w:hAnsi="仿宋" w:eastAsia="仿宋" w:cs="仿宋"/>
                <w:color w:val="auto"/>
                <w:kern w:val="0"/>
                <w:szCs w:val="21"/>
                <w:highlight w:val="none"/>
                <w:lang w:bidi="ar"/>
              </w:rPr>
              <w:t>C类报告</w:t>
            </w:r>
          </w:p>
        </w:tc>
        <w:tc>
          <w:tcPr>
            <w:tcW w:w="733" w:type="dxa"/>
            <w:tcBorders>
              <w:top w:val="single" w:color="auto" w:sz="4" w:space="0"/>
              <w:left w:val="single" w:color="000000" w:sz="4" w:space="0"/>
              <w:bottom w:val="single" w:color="000000" w:sz="4" w:space="0"/>
              <w:right w:val="single" w:color="000000" w:sz="4" w:space="0"/>
            </w:tcBorders>
            <w:noWrap w:val="0"/>
            <w:vAlign w:val="center"/>
          </w:tcPr>
          <w:p w14:paraId="0BE6F80A">
            <w:pPr>
              <w:jc w:val="center"/>
              <w:rPr>
                <w:color w:val="auto"/>
                <w:highlight w:val="none"/>
              </w:rPr>
            </w:pPr>
            <w:r>
              <w:rPr>
                <w:rFonts w:hint="eastAsia" w:ascii="仿宋" w:hAnsi="仿宋" w:eastAsia="仿宋" w:cs="仿宋"/>
                <w:b/>
                <w:bCs/>
                <w:color w:val="auto"/>
                <w:kern w:val="0"/>
                <w:szCs w:val="21"/>
                <w:highlight w:val="none"/>
                <w:lang w:bidi="ar"/>
              </w:rPr>
              <w:t>份</w:t>
            </w:r>
          </w:p>
        </w:tc>
        <w:tc>
          <w:tcPr>
            <w:tcW w:w="867" w:type="dxa"/>
            <w:tcBorders>
              <w:top w:val="single" w:color="auto" w:sz="4" w:space="0"/>
              <w:left w:val="single" w:color="000000" w:sz="4" w:space="0"/>
              <w:bottom w:val="single" w:color="000000" w:sz="4" w:space="0"/>
              <w:right w:val="single" w:color="000000" w:sz="4" w:space="0"/>
            </w:tcBorders>
            <w:noWrap w:val="0"/>
            <w:vAlign w:val="center"/>
          </w:tcPr>
          <w:p w14:paraId="53A53C0C">
            <w:pPr>
              <w:jc w:val="center"/>
              <w:textAlignment w:val="center"/>
              <w:rPr>
                <w:rFonts w:hint="eastAsia" w:ascii="仿宋" w:hAnsi="仿宋" w:eastAsia="仿宋" w:cs="仿宋"/>
                <w:b/>
                <w:bCs/>
                <w:color w:val="auto"/>
                <w:kern w:val="0"/>
                <w:szCs w:val="21"/>
                <w:highlight w:val="none"/>
                <w:lang w:eastAsia="zh-CN" w:bidi="ar"/>
              </w:rPr>
            </w:pPr>
            <w:r>
              <w:rPr>
                <w:rFonts w:hint="eastAsia" w:ascii="仿宋" w:hAnsi="仿宋" w:eastAsia="仿宋" w:cs="仿宋"/>
                <w:b/>
                <w:bCs/>
                <w:color w:val="auto"/>
                <w:kern w:val="0"/>
                <w:szCs w:val="21"/>
                <w:highlight w:val="none"/>
                <w:lang w:val="en-US" w:eastAsia="zh-CN" w:bidi="ar"/>
              </w:rPr>
              <w:t>5</w:t>
            </w:r>
          </w:p>
        </w:tc>
        <w:tc>
          <w:tcPr>
            <w:tcW w:w="709" w:type="dxa"/>
            <w:tcBorders>
              <w:top w:val="single" w:color="auto" w:sz="4" w:space="0"/>
              <w:left w:val="single" w:color="000000" w:sz="4" w:space="0"/>
              <w:bottom w:val="single" w:color="000000" w:sz="4" w:space="0"/>
              <w:right w:val="single" w:color="000000" w:sz="4" w:space="0"/>
            </w:tcBorders>
            <w:noWrap w:val="0"/>
            <w:vAlign w:val="center"/>
          </w:tcPr>
          <w:p w14:paraId="63DACDA0">
            <w:pPr>
              <w:jc w:val="center"/>
              <w:textAlignment w:val="center"/>
              <w:rPr>
                <w:rFonts w:ascii="仿宋" w:hAnsi="仿宋" w:eastAsia="仿宋" w:cs="仿宋"/>
                <w:color w:val="auto"/>
                <w:kern w:val="0"/>
                <w:szCs w:val="21"/>
                <w:highlight w:val="none"/>
                <w:lang w:bidi="ar"/>
              </w:rPr>
            </w:pPr>
          </w:p>
        </w:tc>
        <w:tc>
          <w:tcPr>
            <w:tcW w:w="892" w:type="dxa"/>
            <w:tcBorders>
              <w:top w:val="single" w:color="auto" w:sz="4" w:space="0"/>
              <w:left w:val="single" w:color="000000" w:sz="4" w:space="0"/>
              <w:bottom w:val="single" w:color="000000" w:sz="4" w:space="0"/>
              <w:right w:val="single" w:color="000000" w:sz="4" w:space="0"/>
            </w:tcBorders>
            <w:noWrap w:val="0"/>
            <w:vAlign w:val="center"/>
          </w:tcPr>
          <w:p w14:paraId="366D71EA">
            <w:pPr>
              <w:jc w:val="center"/>
              <w:textAlignment w:val="center"/>
              <w:rPr>
                <w:rFonts w:ascii="仿宋" w:hAnsi="仿宋" w:eastAsia="仿宋" w:cs="仿宋"/>
                <w:color w:val="auto"/>
                <w:kern w:val="0"/>
                <w:szCs w:val="21"/>
                <w:highlight w:val="none"/>
                <w:lang w:bidi="ar"/>
              </w:rPr>
            </w:pPr>
          </w:p>
        </w:tc>
        <w:tc>
          <w:tcPr>
            <w:tcW w:w="992" w:type="dxa"/>
            <w:tcBorders>
              <w:top w:val="single" w:color="auto" w:sz="4" w:space="0"/>
              <w:left w:val="single" w:color="000000" w:sz="4" w:space="0"/>
              <w:bottom w:val="single" w:color="000000" w:sz="4" w:space="0"/>
              <w:right w:val="single" w:color="000000" w:sz="4" w:space="0"/>
            </w:tcBorders>
            <w:noWrap w:val="0"/>
            <w:vAlign w:val="center"/>
          </w:tcPr>
          <w:p w14:paraId="3AA50585">
            <w:pPr>
              <w:jc w:val="center"/>
              <w:textAlignment w:val="center"/>
              <w:rPr>
                <w:rFonts w:ascii="仿宋" w:hAnsi="仿宋" w:eastAsia="仿宋" w:cs="仿宋"/>
                <w:color w:val="auto"/>
                <w:kern w:val="0"/>
                <w:szCs w:val="21"/>
                <w:highlight w:val="none"/>
                <w:lang w:bidi="ar"/>
              </w:rPr>
            </w:pPr>
          </w:p>
        </w:tc>
      </w:tr>
      <w:tr w14:paraId="523942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5" w:hRule="atLeast"/>
          <w:jc w:val="center"/>
        </w:trPr>
        <w:tc>
          <w:tcPr>
            <w:tcW w:w="567" w:type="dxa"/>
            <w:tcBorders>
              <w:top w:val="single" w:color="000000" w:sz="4" w:space="0"/>
              <w:left w:val="single" w:color="000000" w:sz="4" w:space="0"/>
              <w:bottom w:val="single" w:color="000000" w:sz="4" w:space="0"/>
              <w:right w:val="single" w:color="000000" w:sz="4" w:space="0"/>
            </w:tcBorders>
            <w:noWrap w:val="0"/>
            <w:vAlign w:val="center"/>
          </w:tcPr>
          <w:p w14:paraId="044D4F65">
            <w:pPr>
              <w:widowControl/>
              <w:jc w:val="center"/>
              <w:textAlignment w:val="center"/>
              <w:rPr>
                <w:rFonts w:ascii="仿宋" w:hAnsi="仿宋" w:eastAsia="仿宋" w:cs="仿宋"/>
                <w:color w:val="auto"/>
                <w:szCs w:val="21"/>
                <w:highlight w:val="none"/>
              </w:rPr>
            </w:pPr>
            <w:r>
              <w:rPr>
                <w:rFonts w:ascii="仿宋" w:hAnsi="仿宋" w:eastAsia="仿宋" w:cs="仿宋"/>
                <w:color w:val="auto"/>
                <w:szCs w:val="21"/>
                <w:highlight w:val="none"/>
              </w:rPr>
              <w:t>4</w:t>
            </w:r>
          </w:p>
        </w:tc>
        <w:tc>
          <w:tcPr>
            <w:tcW w:w="1418" w:type="dxa"/>
            <w:tcBorders>
              <w:top w:val="single" w:color="000000" w:sz="4" w:space="0"/>
              <w:left w:val="single" w:color="000000" w:sz="4" w:space="0"/>
              <w:bottom w:val="single" w:color="000000" w:sz="4" w:space="0"/>
              <w:right w:val="single" w:color="000000" w:sz="4" w:space="0"/>
            </w:tcBorders>
            <w:noWrap w:val="0"/>
            <w:vAlign w:val="center"/>
          </w:tcPr>
          <w:p w14:paraId="753BFD8C">
            <w:pPr>
              <w:widowControl/>
              <w:jc w:val="center"/>
              <w:textAlignment w:val="center"/>
              <w:rPr>
                <w:rFonts w:ascii="仿宋" w:hAnsi="仿宋" w:eastAsia="仿宋" w:cs="仿宋"/>
                <w:color w:val="auto"/>
                <w:szCs w:val="21"/>
                <w:highlight w:val="none"/>
              </w:rPr>
            </w:pPr>
            <w:r>
              <w:rPr>
                <w:rFonts w:hint="eastAsia" w:ascii="仿宋" w:hAnsi="仿宋" w:eastAsia="仿宋" w:cs="仿宋"/>
                <w:color w:val="auto"/>
                <w:kern w:val="0"/>
                <w:szCs w:val="21"/>
                <w:highlight w:val="none"/>
                <w:lang w:bidi="ar"/>
              </w:rPr>
              <w:t>涉网诈骗预感探测数据服务</w:t>
            </w:r>
          </w:p>
        </w:tc>
        <w:tc>
          <w:tcPr>
            <w:tcW w:w="2981" w:type="dxa"/>
            <w:gridSpan w:val="2"/>
            <w:tcBorders>
              <w:top w:val="single" w:color="000000" w:sz="4" w:space="0"/>
              <w:left w:val="single" w:color="000000" w:sz="4" w:space="0"/>
              <w:bottom w:val="single" w:color="000000" w:sz="4" w:space="0"/>
              <w:right w:val="single" w:color="000000" w:sz="4" w:space="0"/>
            </w:tcBorders>
            <w:noWrap w:val="0"/>
            <w:vAlign w:val="center"/>
          </w:tcPr>
          <w:p w14:paraId="40DC9B4E">
            <w:pPr>
              <w:widowControl/>
              <w:jc w:val="center"/>
              <w:textAlignment w:val="center"/>
              <w:rPr>
                <w:rFonts w:ascii="仿宋" w:hAnsi="仿宋" w:eastAsia="仿宋" w:cs="仿宋"/>
                <w:color w:val="auto"/>
                <w:szCs w:val="21"/>
                <w:highlight w:val="none"/>
              </w:rPr>
            </w:pPr>
            <w:r>
              <w:rPr>
                <w:rFonts w:hint="eastAsia" w:ascii="仿宋" w:hAnsi="仿宋" w:eastAsia="仿宋" w:cs="仿宋"/>
                <w:color w:val="auto"/>
                <w:szCs w:val="21"/>
                <w:highlight w:val="none"/>
              </w:rPr>
              <w:t>服务期内提供</w:t>
            </w:r>
            <w:r>
              <w:rPr>
                <w:rFonts w:hint="eastAsia" w:ascii="仿宋" w:hAnsi="仿宋" w:eastAsia="仿宋" w:cs="仿宋"/>
                <w:color w:val="auto"/>
                <w:kern w:val="0"/>
                <w:szCs w:val="21"/>
                <w:highlight w:val="none"/>
                <w:lang w:bidi="ar"/>
              </w:rPr>
              <w:t>涉网诈骗预感探测数据</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14:paraId="175EFBAF">
            <w:pPr>
              <w:widowControl/>
              <w:jc w:val="center"/>
              <w:textAlignment w:val="center"/>
              <w:rPr>
                <w:rFonts w:ascii="仿宋" w:hAnsi="仿宋" w:eastAsia="仿宋" w:cs="仿宋"/>
                <w:color w:val="auto"/>
                <w:szCs w:val="21"/>
                <w:highlight w:val="none"/>
              </w:rPr>
            </w:pPr>
            <w:r>
              <w:rPr>
                <w:rFonts w:hint="eastAsia" w:ascii="仿宋" w:hAnsi="仿宋" w:eastAsia="仿宋" w:cs="仿宋"/>
                <w:color w:val="auto"/>
                <w:szCs w:val="21"/>
                <w:highlight w:val="none"/>
              </w:rPr>
              <w:t>/</w:t>
            </w:r>
          </w:p>
        </w:tc>
        <w:tc>
          <w:tcPr>
            <w:tcW w:w="733" w:type="dxa"/>
            <w:tcBorders>
              <w:top w:val="single" w:color="000000" w:sz="4" w:space="0"/>
              <w:left w:val="single" w:color="000000" w:sz="4" w:space="0"/>
              <w:bottom w:val="single" w:color="000000" w:sz="4" w:space="0"/>
              <w:right w:val="single" w:color="000000" w:sz="4" w:space="0"/>
            </w:tcBorders>
            <w:noWrap w:val="0"/>
            <w:vAlign w:val="center"/>
          </w:tcPr>
          <w:p w14:paraId="0F01C824">
            <w:pPr>
              <w:jc w:val="center"/>
              <w:rPr>
                <w:color w:val="auto"/>
                <w:highlight w:val="none"/>
              </w:rPr>
            </w:pPr>
            <w:r>
              <w:rPr>
                <w:rFonts w:hint="eastAsia" w:ascii="仿宋" w:hAnsi="仿宋" w:eastAsia="仿宋" w:cs="仿宋"/>
                <w:b/>
                <w:bCs/>
                <w:color w:val="auto"/>
                <w:kern w:val="0"/>
                <w:szCs w:val="21"/>
                <w:highlight w:val="none"/>
                <w:lang w:bidi="ar"/>
              </w:rPr>
              <w:t>条</w:t>
            </w:r>
          </w:p>
        </w:tc>
        <w:tc>
          <w:tcPr>
            <w:tcW w:w="867" w:type="dxa"/>
            <w:tcBorders>
              <w:top w:val="single" w:color="000000" w:sz="4" w:space="0"/>
              <w:left w:val="single" w:color="000000" w:sz="4" w:space="0"/>
              <w:bottom w:val="single" w:color="000000" w:sz="4" w:space="0"/>
              <w:right w:val="single" w:color="000000" w:sz="4" w:space="0"/>
            </w:tcBorders>
            <w:noWrap w:val="0"/>
            <w:vAlign w:val="center"/>
          </w:tcPr>
          <w:p w14:paraId="282B73E1">
            <w:pPr>
              <w:widowControl/>
              <w:jc w:val="center"/>
              <w:textAlignment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lang w:val="en-US" w:eastAsia="zh-CN"/>
              </w:rPr>
              <w:t>38</w:t>
            </w:r>
            <w:r>
              <w:rPr>
                <w:rFonts w:hint="eastAsia" w:ascii="仿宋" w:hAnsi="仿宋" w:eastAsia="仿宋" w:cs="仿宋"/>
                <w:b/>
                <w:bCs/>
                <w:color w:val="auto"/>
                <w:szCs w:val="21"/>
                <w:highlight w:val="none"/>
              </w:rPr>
              <w:t>0</w:t>
            </w:r>
            <w:r>
              <w:rPr>
                <w:rFonts w:ascii="仿宋" w:hAnsi="仿宋" w:eastAsia="仿宋" w:cs="仿宋"/>
                <w:b/>
                <w:bCs/>
                <w:color w:val="auto"/>
                <w:szCs w:val="21"/>
                <w:highlight w:val="none"/>
              </w:rPr>
              <w:t>000</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14:paraId="281A60FC">
            <w:pPr>
              <w:widowControl/>
              <w:jc w:val="center"/>
              <w:textAlignment w:val="center"/>
              <w:rPr>
                <w:rFonts w:ascii="仿宋" w:hAnsi="仿宋" w:eastAsia="仿宋" w:cs="仿宋"/>
                <w:color w:val="auto"/>
                <w:szCs w:val="21"/>
                <w:highlight w:val="none"/>
              </w:rPr>
            </w:pPr>
          </w:p>
        </w:tc>
        <w:tc>
          <w:tcPr>
            <w:tcW w:w="892" w:type="dxa"/>
            <w:tcBorders>
              <w:top w:val="single" w:color="000000" w:sz="4" w:space="0"/>
              <w:left w:val="single" w:color="000000" w:sz="4" w:space="0"/>
              <w:bottom w:val="single" w:color="000000" w:sz="4" w:space="0"/>
              <w:right w:val="single" w:color="000000" w:sz="4" w:space="0"/>
            </w:tcBorders>
            <w:noWrap w:val="0"/>
            <w:vAlign w:val="center"/>
          </w:tcPr>
          <w:p w14:paraId="0027F933">
            <w:pPr>
              <w:widowControl/>
              <w:jc w:val="center"/>
              <w:textAlignment w:val="center"/>
              <w:rPr>
                <w:rFonts w:ascii="仿宋" w:hAnsi="仿宋" w:eastAsia="仿宋" w:cs="仿宋"/>
                <w:color w:val="auto"/>
                <w:szCs w:val="21"/>
                <w:highlight w:val="none"/>
              </w:rPr>
            </w:pPr>
          </w:p>
        </w:tc>
        <w:tc>
          <w:tcPr>
            <w:tcW w:w="992" w:type="dxa"/>
            <w:tcBorders>
              <w:top w:val="single" w:color="000000" w:sz="4" w:space="0"/>
              <w:left w:val="single" w:color="000000" w:sz="4" w:space="0"/>
              <w:bottom w:val="single" w:color="000000" w:sz="4" w:space="0"/>
              <w:right w:val="single" w:color="000000" w:sz="4" w:space="0"/>
            </w:tcBorders>
            <w:noWrap w:val="0"/>
            <w:vAlign w:val="center"/>
          </w:tcPr>
          <w:p w14:paraId="517CC2AB">
            <w:pPr>
              <w:widowControl/>
              <w:jc w:val="center"/>
              <w:textAlignment w:val="center"/>
              <w:rPr>
                <w:rFonts w:ascii="仿宋" w:hAnsi="仿宋" w:eastAsia="仿宋" w:cs="仿宋"/>
                <w:color w:val="auto"/>
                <w:szCs w:val="21"/>
                <w:highlight w:val="none"/>
              </w:rPr>
            </w:pPr>
          </w:p>
        </w:tc>
      </w:tr>
      <w:tr w14:paraId="6B0798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96" w:hRule="atLeast"/>
          <w:jc w:val="center"/>
        </w:trPr>
        <w:tc>
          <w:tcPr>
            <w:tcW w:w="567" w:type="dxa"/>
            <w:tcBorders>
              <w:top w:val="single" w:color="000000" w:sz="4" w:space="0"/>
              <w:left w:val="single" w:color="000000" w:sz="4" w:space="0"/>
              <w:bottom w:val="single" w:color="000000" w:sz="4" w:space="0"/>
              <w:right w:val="single" w:color="000000" w:sz="4" w:space="0"/>
            </w:tcBorders>
            <w:noWrap w:val="0"/>
            <w:vAlign w:val="center"/>
          </w:tcPr>
          <w:p w14:paraId="76AB6C65">
            <w:pPr>
              <w:widowControl/>
              <w:jc w:val="center"/>
              <w:textAlignment w:val="center"/>
              <w:rPr>
                <w:rFonts w:ascii="仿宋" w:hAnsi="仿宋" w:eastAsia="仿宋" w:cs="仿宋"/>
                <w:color w:val="auto"/>
                <w:szCs w:val="21"/>
                <w:highlight w:val="none"/>
              </w:rPr>
            </w:pPr>
            <w:r>
              <w:rPr>
                <w:rFonts w:ascii="仿宋" w:hAnsi="仿宋" w:eastAsia="仿宋" w:cs="仿宋"/>
                <w:color w:val="auto"/>
                <w:szCs w:val="21"/>
                <w:highlight w:val="none"/>
              </w:rPr>
              <w:t>5</w:t>
            </w:r>
          </w:p>
        </w:tc>
        <w:tc>
          <w:tcPr>
            <w:tcW w:w="1418" w:type="dxa"/>
            <w:tcBorders>
              <w:top w:val="single" w:color="000000" w:sz="4" w:space="0"/>
              <w:left w:val="single" w:color="000000" w:sz="4" w:space="0"/>
              <w:bottom w:val="single" w:color="000000" w:sz="4" w:space="0"/>
              <w:right w:val="single" w:color="000000" w:sz="4" w:space="0"/>
            </w:tcBorders>
            <w:noWrap w:val="0"/>
            <w:vAlign w:val="center"/>
          </w:tcPr>
          <w:p w14:paraId="2E77FBF6">
            <w:pPr>
              <w:widowControl/>
              <w:jc w:val="center"/>
              <w:textAlignment w:val="center"/>
              <w:rPr>
                <w:rFonts w:ascii="仿宋" w:hAnsi="仿宋" w:eastAsia="仿宋" w:cs="仿宋"/>
                <w:color w:val="auto"/>
                <w:kern w:val="0"/>
                <w:szCs w:val="21"/>
                <w:highlight w:val="none"/>
                <w:lang w:bidi="ar"/>
              </w:rPr>
            </w:pPr>
            <w:r>
              <w:rPr>
                <w:rFonts w:hint="eastAsia" w:ascii="仿宋" w:hAnsi="仿宋" w:eastAsia="仿宋" w:cs="仿宋"/>
                <w:color w:val="auto"/>
                <w:kern w:val="0"/>
                <w:szCs w:val="21"/>
                <w:highlight w:val="none"/>
                <w:lang w:bidi="ar"/>
              </w:rPr>
              <w:t>涉网新型案件行为分析服务</w:t>
            </w:r>
          </w:p>
        </w:tc>
        <w:tc>
          <w:tcPr>
            <w:tcW w:w="2981" w:type="dxa"/>
            <w:gridSpan w:val="2"/>
            <w:tcBorders>
              <w:top w:val="single" w:color="000000" w:sz="4" w:space="0"/>
              <w:left w:val="single" w:color="000000" w:sz="4" w:space="0"/>
              <w:bottom w:val="single" w:color="000000" w:sz="4" w:space="0"/>
              <w:right w:val="single" w:color="000000" w:sz="4" w:space="0"/>
            </w:tcBorders>
            <w:noWrap w:val="0"/>
            <w:vAlign w:val="center"/>
          </w:tcPr>
          <w:p w14:paraId="2ABDB2E6">
            <w:pPr>
              <w:widowControl/>
              <w:jc w:val="center"/>
              <w:textAlignment w:val="center"/>
              <w:rPr>
                <w:rFonts w:ascii="仿宋" w:hAnsi="仿宋" w:eastAsia="仿宋" w:cs="仿宋"/>
                <w:color w:val="auto"/>
                <w:szCs w:val="21"/>
                <w:highlight w:val="none"/>
              </w:rPr>
            </w:pPr>
            <w:r>
              <w:rPr>
                <w:rFonts w:hint="eastAsia" w:ascii="仿宋" w:hAnsi="仿宋" w:eastAsia="仿宋" w:cs="仿宋"/>
                <w:color w:val="auto"/>
                <w:szCs w:val="21"/>
                <w:highlight w:val="none"/>
              </w:rPr>
              <w:t>服务期内提供</w:t>
            </w:r>
            <w:r>
              <w:rPr>
                <w:rFonts w:hint="eastAsia" w:ascii="仿宋" w:hAnsi="仿宋" w:eastAsia="仿宋" w:cs="仿宋"/>
                <w:color w:val="auto"/>
                <w:szCs w:val="21"/>
                <w:highlight w:val="none"/>
              </w:rPr>
              <w:t>不少于</w:t>
            </w:r>
            <w:r>
              <w:rPr>
                <w:rFonts w:hint="eastAsia" w:ascii="仿宋" w:hAnsi="仿宋" w:eastAsia="仿宋" w:cs="仿宋"/>
                <w:color w:val="auto"/>
                <w:szCs w:val="21"/>
                <w:highlight w:val="none"/>
                <w:lang w:val="en-US" w:eastAsia="zh-CN"/>
              </w:rPr>
              <w:t>1</w:t>
            </w:r>
            <w:r>
              <w:rPr>
                <w:rFonts w:hint="eastAsia" w:ascii="仿宋" w:hAnsi="仿宋" w:eastAsia="仿宋" w:cs="仿宋"/>
                <w:color w:val="auto"/>
                <w:szCs w:val="21"/>
                <w:highlight w:val="none"/>
              </w:rPr>
              <w:t>0次</w:t>
            </w:r>
            <w:r>
              <w:rPr>
                <w:rFonts w:hint="eastAsia" w:ascii="仿宋" w:hAnsi="仿宋" w:eastAsia="仿宋" w:cs="仿宋"/>
                <w:color w:val="auto"/>
                <w:szCs w:val="21"/>
                <w:highlight w:val="none"/>
              </w:rPr>
              <w:t>涉诈设备大数据辅助分析和涉网新型行为分析服务，</w:t>
            </w:r>
            <w:r>
              <w:rPr>
                <w:rFonts w:hint="eastAsia" w:ascii="仿宋" w:hAnsi="仿宋" w:eastAsia="仿宋" w:cs="仿宋"/>
                <w:color w:val="auto"/>
                <w:szCs w:val="21"/>
                <w:highlight w:val="none"/>
              </w:rPr>
              <w:t>输出分析报告</w:t>
            </w:r>
            <w:r>
              <w:rPr>
                <w:rFonts w:hint="eastAsia" w:ascii="仿宋" w:hAnsi="仿宋" w:eastAsia="仿宋" w:cs="仿宋"/>
                <w:color w:val="auto"/>
                <w:szCs w:val="21"/>
                <w:highlight w:val="none"/>
                <w:lang w:val="en-US" w:eastAsia="zh-CN"/>
              </w:rPr>
              <w:t>18</w:t>
            </w:r>
            <w:r>
              <w:rPr>
                <w:rFonts w:hint="eastAsia" w:ascii="仿宋" w:hAnsi="仿宋" w:eastAsia="仿宋" w:cs="仿宋"/>
                <w:color w:val="auto"/>
                <w:szCs w:val="21"/>
                <w:highlight w:val="none"/>
              </w:rPr>
              <w:t>份</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14:paraId="75014EF2">
            <w:pPr>
              <w:widowControl/>
              <w:jc w:val="center"/>
              <w:textAlignment w:val="center"/>
              <w:rPr>
                <w:rFonts w:ascii="仿宋" w:hAnsi="仿宋" w:eastAsia="仿宋" w:cs="仿宋"/>
                <w:color w:val="auto"/>
                <w:kern w:val="0"/>
                <w:szCs w:val="21"/>
                <w:highlight w:val="none"/>
                <w:lang w:bidi="ar"/>
              </w:rPr>
            </w:pPr>
            <w:r>
              <w:rPr>
                <w:rFonts w:hint="eastAsia" w:ascii="仿宋" w:hAnsi="仿宋" w:eastAsia="仿宋" w:cs="仿宋"/>
                <w:color w:val="auto"/>
                <w:kern w:val="0"/>
                <w:szCs w:val="21"/>
                <w:highlight w:val="none"/>
                <w:lang w:bidi="ar"/>
              </w:rPr>
              <w:t>C类报告</w:t>
            </w:r>
          </w:p>
        </w:tc>
        <w:tc>
          <w:tcPr>
            <w:tcW w:w="733" w:type="dxa"/>
            <w:tcBorders>
              <w:top w:val="single" w:color="000000" w:sz="4" w:space="0"/>
              <w:left w:val="single" w:color="000000" w:sz="4" w:space="0"/>
              <w:bottom w:val="single" w:color="000000" w:sz="4" w:space="0"/>
              <w:right w:val="single" w:color="000000" w:sz="4" w:space="0"/>
            </w:tcBorders>
            <w:noWrap w:val="0"/>
            <w:vAlign w:val="center"/>
          </w:tcPr>
          <w:p w14:paraId="6D5AF1E3">
            <w:pPr>
              <w:jc w:val="center"/>
              <w:rPr>
                <w:color w:val="auto"/>
                <w:highlight w:val="none"/>
              </w:rPr>
            </w:pPr>
            <w:r>
              <w:rPr>
                <w:rFonts w:hint="eastAsia" w:ascii="仿宋" w:hAnsi="仿宋" w:eastAsia="仿宋" w:cs="仿宋"/>
                <w:b/>
                <w:bCs/>
                <w:color w:val="auto"/>
                <w:kern w:val="0"/>
                <w:szCs w:val="21"/>
                <w:highlight w:val="none"/>
                <w:lang w:bidi="ar"/>
              </w:rPr>
              <w:t>份</w:t>
            </w:r>
          </w:p>
        </w:tc>
        <w:tc>
          <w:tcPr>
            <w:tcW w:w="867" w:type="dxa"/>
            <w:tcBorders>
              <w:top w:val="single" w:color="000000" w:sz="4" w:space="0"/>
              <w:left w:val="single" w:color="000000" w:sz="4" w:space="0"/>
              <w:bottom w:val="single" w:color="000000" w:sz="4" w:space="0"/>
              <w:right w:val="single" w:color="000000" w:sz="4" w:space="0"/>
            </w:tcBorders>
            <w:noWrap w:val="0"/>
            <w:vAlign w:val="center"/>
          </w:tcPr>
          <w:p w14:paraId="262328CD">
            <w:pPr>
              <w:widowControl/>
              <w:jc w:val="center"/>
              <w:textAlignment w:val="center"/>
              <w:rPr>
                <w:rFonts w:hint="default" w:ascii="仿宋" w:hAnsi="仿宋" w:eastAsia="仿宋" w:cs="仿宋"/>
                <w:b/>
                <w:bCs/>
                <w:color w:val="auto"/>
                <w:szCs w:val="21"/>
                <w:highlight w:val="none"/>
                <w:lang w:val="en-US" w:eastAsia="zh-CN"/>
              </w:rPr>
            </w:pPr>
            <w:r>
              <w:rPr>
                <w:rFonts w:hint="eastAsia" w:ascii="仿宋" w:hAnsi="仿宋" w:eastAsia="仿宋" w:cs="仿宋"/>
                <w:b/>
                <w:bCs/>
                <w:color w:val="auto"/>
                <w:kern w:val="0"/>
                <w:szCs w:val="21"/>
                <w:highlight w:val="none"/>
                <w:lang w:val="en-US" w:eastAsia="zh-CN" w:bidi="ar"/>
              </w:rPr>
              <w:t>18</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14:paraId="08CAA55F">
            <w:pPr>
              <w:widowControl/>
              <w:jc w:val="center"/>
              <w:textAlignment w:val="center"/>
              <w:rPr>
                <w:rFonts w:ascii="仿宋" w:hAnsi="仿宋" w:eastAsia="仿宋" w:cs="仿宋"/>
                <w:color w:val="auto"/>
                <w:kern w:val="0"/>
                <w:szCs w:val="21"/>
                <w:highlight w:val="none"/>
                <w:lang w:bidi="ar"/>
              </w:rPr>
            </w:pPr>
          </w:p>
        </w:tc>
        <w:tc>
          <w:tcPr>
            <w:tcW w:w="892" w:type="dxa"/>
            <w:tcBorders>
              <w:top w:val="single" w:color="000000" w:sz="4" w:space="0"/>
              <w:left w:val="single" w:color="000000" w:sz="4" w:space="0"/>
              <w:bottom w:val="single" w:color="000000" w:sz="4" w:space="0"/>
              <w:right w:val="single" w:color="000000" w:sz="4" w:space="0"/>
            </w:tcBorders>
            <w:noWrap w:val="0"/>
            <w:vAlign w:val="center"/>
          </w:tcPr>
          <w:p w14:paraId="30493676">
            <w:pPr>
              <w:widowControl/>
              <w:jc w:val="center"/>
              <w:textAlignment w:val="center"/>
              <w:rPr>
                <w:rFonts w:ascii="仿宋" w:hAnsi="仿宋" w:eastAsia="仿宋" w:cs="仿宋"/>
                <w:color w:val="auto"/>
                <w:kern w:val="0"/>
                <w:szCs w:val="21"/>
                <w:highlight w:val="none"/>
                <w:lang w:bidi="ar"/>
              </w:rPr>
            </w:pPr>
          </w:p>
        </w:tc>
        <w:tc>
          <w:tcPr>
            <w:tcW w:w="992" w:type="dxa"/>
            <w:tcBorders>
              <w:top w:val="single" w:color="000000" w:sz="4" w:space="0"/>
              <w:left w:val="single" w:color="000000" w:sz="4" w:space="0"/>
              <w:bottom w:val="single" w:color="000000" w:sz="4" w:space="0"/>
              <w:right w:val="single" w:color="000000" w:sz="4" w:space="0"/>
            </w:tcBorders>
            <w:noWrap w:val="0"/>
            <w:vAlign w:val="center"/>
          </w:tcPr>
          <w:p w14:paraId="745542AD">
            <w:pPr>
              <w:widowControl/>
              <w:jc w:val="center"/>
              <w:textAlignment w:val="center"/>
              <w:rPr>
                <w:rFonts w:ascii="仿宋" w:hAnsi="仿宋" w:eastAsia="仿宋" w:cs="仿宋"/>
                <w:color w:val="auto"/>
                <w:kern w:val="0"/>
                <w:szCs w:val="21"/>
                <w:highlight w:val="none"/>
                <w:lang w:bidi="ar"/>
              </w:rPr>
            </w:pPr>
          </w:p>
        </w:tc>
      </w:tr>
      <w:tr w14:paraId="339304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0" w:hRule="atLeast"/>
          <w:jc w:val="center"/>
        </w:trPr>
        <w:tc>
          <w:tcPr>
            <w:tcW w:w="567" w:type="dxa"/>
            <w:vMerge w:val="restart"/>
            <w:tcBorders>
              <w:top w:val="single" w:color="000000" w:sz="4" w:space="0"/>
              <w:left w:val="single" w:color="000000" w:sz="4" w:space="0"/>
              <w:bottom w:val="single" w:color="000000" w:sz="4" w:space="0"/>
              <w:right w:val="single" w:color="000000" w:sz="4" w:space="0"/>
            </w:tcBorders>
            <w:noWrap w:val="0"/>
            <w:vAlign w:val="center"/>
          </w:tcPr>
          <w:p w14:paraId="434A6DD8">
            <w:pPr>
              <w:widowControl/>
              <w:jc w:val="center"/>
              <w:textAlignment w:val="center"/>
              <w:rPr>
                <w:rFonts w:ascii="仿宋" w:hAnsi="仿宋" w:eastAsia="仿宋" w:cs="仿宋"/>
                <w:color w:val="auto"/>
                <w:szCs w:val="21"/>
                <w:highlight w:val="none"/>
              </w:rPr>
            </w:pPr>
            <w:r>
              <w:rPr>
                <w:rFonts w:ascii="仿宋" w:hAnsi="仿宋" w:eastAsia="仿宋" w:cs="仿宋"/>
                <w:color w:val="auto"/>
                <w:szCs w:val="21"/>
                <w:highlight w:val="none"/>
              </w:rPr>
              <w:t>6</w:t>
            </w:r>
          </w:p>
        </w:tc>
        <w:tc>
          <w:tcPr>
            <w:tcW w:w="1418" w:type="dxa"/>
            <w:vMerge w:val="restart"/>
            <w:tcBorders>
              <w:top w:val="single" w:color="000000" w:sz="4" w:space="0"/>
              <w:left w:val="single" w:color="000000" w:sz="4" w:space="0"/>
              <w:bottom w:val="single" w:color="000000" w:sz="4" w:space="0"/>
              <w:right w:val="single" w:color="000000" w:sz="4" w:space="0"/>
            </w:tcBorders>
            <w:noWrap w:val="0"/>
            <w:vAlign w:val="center"/>
          </w:tcPr>
          <w:p w14:paraId="6F3CE83D">
            <w:pPr>
              <w:widowControl/>
              <w:jc w:val="center"/>
              <w:textAlignment w:val="center"/>
              <w:rPr>
                <w:rFonts w:ascii="仿宋" w:hAnsi="仿宋" w:eastAsia="仿宋" w:cs="仿宋"/>
                <w:color w:val="auto"/>
                <w:kern w:val="0"/>
                <w:szCs w:val="21"/>
                <w:highlight w:val="none"/>
                <w:lang w:bidi="ar"/>
              </w:rPr>
            </w:pPr>
            <w:r>
              <w:rPr>
                <w:rFonts w:hint="eastAsia" w:ascii="仿宋" w:hAnsi="仿宋" w:eastAsia="仿宋" w:cs="仿宋"/>
                <w:color w:val="auto"/>
                <w:kern w:val="0"/>
                <w:szCs w:val="21"/>
                <w:highlight w:val="none"/>
                <w:lang w:bidi="ar"/>
              </w:rPr>
              <w:t>新型涉网案件智勘联侦分析服务</w:t>
            </w:r>
          </w:p>
        </w:tc>
        <w:tc>
          <w:tcPr>
            <w:tcW w:w="2981" w:type="dxa"/>
            <w:gridSpan w:val="2"/>
            <w:tcBorders>
              <w:top w:val="single" w:color="000000" w:sz="4" w:space="0"/>
              <w:left w:val="single" w:color="000000" w:sz="4" w:space="0"/>
              <w:bottom w:val="single" w:color="000000" w:sz="4" w:space="0"/>
              <w:right w:val="single" w:color="000000" w:sz="4" w:space="0"/>
            </w:tcBorders>
            <w:noWrap w:val="0"/>
            <w:vAlign w:val="center"/>
          </w:tcPr>
          <w:p w14:paraId="4A4AA3F2">
            <w:pPr>
              <w:widowControl/>
              <w:jc w:val="center"/>
              <w:textAlignment w:val="center"/>
              <w:rPr>
                <w:rFonts w:ascii="仿宋" w:hAnsi="仿宋" w:eastAsia="仿宋" w:cs="仿宋"/>
                <w:color w:val="auto"/>
                <w:szCs w:val="21"/>
                <w:highlight w:val="none"/>
              </w:rPr>
            </w:pPr>
            <w:r>
              <w:rPr>
                <w:rFonts w:hint="eastAsia" w:ascii="仿宋" w:hAnsi="仿宋" w:eastAsia="仿宋" w:cs="仿宋"/>
                <w:color w:val="auto"/>
                <w:kern w:val="0"/>
                <w:szCs w:val="21"/>
                <w:highlight w:val="none"/>
                <w:lang w:bidi="ar"/>
              </w:rPr>
              <w:t>提供取证数据深度智能分析、研判支撑等服务，</w:t>
            </w:r>
            <w:r>
              <w:rPr>
                <w:rFonts w:hint="eastAsia" w:ascii="仿宋" w:hAnsi="仿宋" w:eastAsia="仿宋" w:cs="仿宋"/>
                <w:color w:val="auto"/>
                <w:kern w:val="0"/>
                <w:szCs w:val="21"/>
                <w:highlight w:val="none"/>
                <w:lang w:bidi="ar"/>
              </w:rPr>
              <w:t>提供不少于</w:t>
            </w:r>
            <w:r>
              <w:rPr>
                <w:rFonts w:hint="eastAsia" w:ascii="仿宋" w:hAnsi="仿宋" w:eastAsia="仿宋" w:cs="仿宋"/>
                <w:color w:val="auto"/>
                <w:kern w:val="0"/>
                <w:szCs w:val="21"/>
                <w:highlight w:val="none"/>
                <w:lang w:val="en-US" w:eastAsia="zh-CN" w:bidi="ar"/>
              </w:rPr>
              <w:t>6</w:t>
            </w:r>
            <w:r>
              <w:rPr>
                <w:rFonts w:hint="eastAsia" w:ascii="仿宋" w:hAnsi="仿宋" w:eastAsia="仿宋" w:cs="仿宋"/>
                <w:color w:val="auto"/>
                <w:kern w:val="0"/>
                <w:szCs w:val="21"/>
                <w:highlight w:val="none"/>
                <w:lang w:bidi="ar"/>
              </w:rPr>
              <w:t>个案件服务，输出分析报告</w:t>
            </w:r>
            <w:r>
              <w:rPr>
                <w:rFonts w:hint="eastAsia" w:ascii="仿宋" w:hAnsi="仿宋" w:eastAsia="仿宋" w:cs="仿宋"/>
                <w:color w:val="auto"/>
                <w:kern w:val="0"/>
                <w:szCs w:val="21"/>
                <w:highlight w:val="none"/>
                <w:lang w:val="en-US" w:eastAsia="zh-CN" w:bidi="ar"/>
              </w:rPr>
              <w:t>9</w:t>
            </w:r>
            <w:r>
              <w:rPr>
                <w:rFonts w:hint="eastAsia" w:ascii="仿宋" w:hAnsi="仿宋" w:eastAsia="仿宋" w:cs="仿宋"/>
                <w:color w:val="auto"/>
                <w:kern w:val="0"/>
                <w:szCs w:val="21"/>
                <w:highlight w:val="none"/>
                <w:lang w:bidi="ar"/>
              </w:rPr>
              <w:t>份</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14:paraId="6C907B08">
            <w:pPr>
              <w:widowControl/>
              <w:jc w:val="center"/>
              <w:textAlignment w:val="center"/>
              <w:rPr>
                <w:rFonts w:ascii="仿宋" w:hAnsi="仿宋" w:eastAsia="仿宋" w:cs="仿宋"/>
                <w:color w:val="auto"/>
                <w:kern w:val="0"/>
                <w:szCs w:val="21"/>
                <w:highlight w:val="none"/>
                <w:lang w:bidi="ar"/>
              </w:rPr>
            </w:pPr>
            <w:r>
              <w:rPr>
                <w:rFonts w:hint="eastAsia" w:ascii="仿宋" w:hAnsi="仿宋" w:eastAsia="仿宋" w:cs="仿宋"/>
                <w:color w:val="auto"/>
                <w:kern w:val="0"/>
                <w:szCs w:val="21"/>
                <w:highlight w:val="none"/>
                <w:lang w:bidi="ar"/>
              </w:rPr>
              <w:t>C类报告</w:t>
            </w:r>
          </w:p>
        </w:tc>
        <w:tc>
          <w:tcPr>
            <w:tcW w:w="733" w:type="dxa"/>
            <w:tcBorders>
              <w:top w:val="single" w:color="000000" w:sz="4" w:space="0"/>
              <w:left w:val="single" w:color="000000" w:sz="4" w:space="0"/>
              <w:bottom w:val="single" w:color="000000" w:sz="4" w:space="0"/>
              <w:right w:val="single" w:color="000000" w:sz="4" w:space="0"/>
            </w:tcBorders>
            <w:noWrap w:val="0"/>
            <w:vAlign w:val="center"/>
          </w:tcPr>
          <w:p w14:paraId="3218B1E5">
            <w:pPr>
              <w:jc w:val="center"/>
              <w:rPr>
                <w:color w:val="auto"/>
                <w:highlight w:val="none"/>
              </w:rPr>
            </w:pPr>
            <w:r>
              <w:rPr>
                <w:rFonts w:hint="eastAsia" w:ascii="仿宋" w:hAnsi="仿宋" w:eastAsia="仿宋" w:cs="仿宋"/>
                <w:b/>
                <w:bCs/>
                <w:color w:val="auto"/>
                <w:kern w:val="0"/>
                <w:szCs w:val="21"/>
                <w:highlight w:val="none"/>
                <w:lang w:bidi="ar"/>
              </w:rPr>
              <w:t>份</w:t>
            </w:r>
          </w:p>
        </w:tc>
        <w:tc>
          <w:tcPr>
            <w:tcW w:w="867" w:type="dxa"/>
            <w:tcBorders>
              <w:top w:val="single" w:color="000000" w:sz="4" w:space="0"/>
              <w:left w:val="single" w:color="000000" w:sz="4" w:space="0"/>
              <w:bottom w:val="single" w:color="000000" w:sz="4" w:space="0"/>
              <w:right w:val="single" w:color="000000" w:sz="4" w:space="0"/>
            </w:tcBorders>
            <w:noWrap w:val="0"/>
            <w:vAlign w:val="center"/>
          </w:tcPr>
          <w:p w14:paraId="652F13DC">
            <w:pPr>
              <w:widowControl/>
              <w:jc w:val="center"/>
              <w:textAlignment w:val="center"/>
              <w:rPr>
                <w:rFonts w:hint="eastAsia" w:ascii="仿宋" w:hAnsi="仿宋" w:eastAsia="仿宋" w:cs="仿宋"/>
                <w:b/>
                <w:bCs/>
                <w:color w:val="auto"/>
                <w:szCs w:val="21"/>
                <w:highlight w:val="none"/>
                <w:lang w:eastAsia="zh-CN"/>
              </w:rPr>
            </w:pPr>
            <w:r>
              <w:rPr>
                <w:rFonts w:hint="eastAsia" w:ascii="仿宋" w:hAnsi="仿宋" w:eastAsia="仿宋" w:cs="仿宋"/>
                <w:b/>
                <w:bCs/>
                <w:color w:val="auto"/>
                <w:kern w:val="0"/>
                <w:szCs w:val="21"/>
                <w:highlight w:val="none"/>
                <w:lang w:val="en-US" w:eastAsia="zh-CN" w:bidi="ar"/>
              </w:rPr>
              <w:t>9</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14:paraId="7C7A3F06">
            <w:pPr>
              <w:widowControl/>
              <w:jc w:val="center"/>
              <w:textAlignment w:val="center"/>
              <w:rPr>
                <w:rFonts w:ascii="仿宋" w:hAnsi="仿宋" w:eastAsia="仿宋" w:cs="仿宋"/>
                <w:color w:val="auto"/>
                <w:kern w:val="0"/>
                <w:szCs w:val="21"/>
                <w:highlight w:val="none"/>
                <w:lang w:bidi="ar"/>
              </w:rPr>
            </w:pPr>
          </w:p>
        </w:tc>
        <w:tc>
          <w:tcPr>
            <w:tcW w:w="892" w:type="dxa"/>
            <w:tcBorders>
              <w:top w:val="single" w:color="000000" w:sz="4" w:space="0"/>
              <w:left w:val="single" w:color="000000" w:sz="4" w:space="0"/>
              <w:bottom w:val="single" w:color="000000" w:sz="4" w:space="0"/>
              <w:right w:val="single" w:color="000000" w:sz="4" w:space="0"/>
            </w:tcBorders>
            <w:noWrap w:val="0"/>
            <w:vAlign w:val="center"/>
          </w:tcPr>
          <w:p w14:paraId="3C8B93A3">
            <w:pPr>
              <w:widowControl/>
              <w:jc w:val="center"/>
              <w:textAlignment w:val="center"/>
              <w:rPr>
                <w:rFonts w:ascii="仿宋" w:hAnsi="仿宋" w:eastAsia="仿宋" w:cs="仿宋"/>
                <w:color w:val="auto"/>
                <w:kern w:val="0"/>
                <w:szCs w:val="21"/>
                <w:highlight w:val="none"/>
                <w:lang w:bidi="ar"/>
              </w:rPr>
            </w:pPr>
          </w:p>
        </w:tc>
        <w:tc>
          <w:tcPr>
            <w:tcW w:w="992" w:type="dxa"/>
            <w:tcBorders>
              <w:top w:val="single" w:color="000000" w:sz="4" w:space="0"/>
              <w:left w:val="single" w:color="000000" w:sz="4" w:space="0"/>
              <w:bottom w:val="single" w:color="000000" w:sz="4" w:space="0"/>
              <w:right w:val="single" w:color="000000" w:sz="4" w:space="0"/>
            </w:tcBorders>
            <w:noWrap w:val="0"/>
            <w:vAlign w:val="center"/>
          </w:tcPr>
          <w:p w14:paraId="2F20F2DF">
            <w:pPr>
              <w:widowControl/>
              <w:jc w:val="center"/>
              <w:textAlignment w:val="center"/>
              <w:rPr>
                <w:rFonts w:ascii="仿宋" w:hAnsi="仿宋" w:eastAsia="仿宋" w:cs="仿宋"/>
                <w:color w:val="auto"/>
                <w:kern w:val="0"/>
                <w:szCs w:val="21"/>
                <w:highlight w:val="none"/>
                <w:lang w:bidi="ar"/>
              </w:rPr>
            </w:pPr>
          </w:p>
        </w:tc>
      </w:tr>
      <w:tr w14:paraId="4637F4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630" w:hRule="atLeast"/>
          <w:jc w:val="center"/>
        </w:trPr>
        <w:tc>
          <w:tcPr>
            <w:tcW w:w="567" w:type="dxa"/>
            <w:vMerge w:val="continue"/>
            <w:tcBorders>
              <w:top w:val="single" w:color="000000" w:sz="4" w:space="0"/>
              <w:left w:val="single" w:color="000000" w:sz="4" w:space="0"/>
              <w:bottom w:val="single" w:color="000000" w:sz="4" w:space="0"/>
              <w:right w:val="single" w:color="000000" w:sz="4" w:space="0"/>
            </w:tcBorders>
            <w:noWrap w:val="0"/>
            <w:vAlign w:val="center"/>
          </w:tcPr>
          <w:p w14:paraId="2DD327F8">
            <w:pPr>
              <w:widowControl/>
              <w:spacing w:beforeAutospacing="1" w:afterAutospacing="1"/>
              <w:jc w:val="left"/>
              <w:rPr>
                <w:rFonts w:ascii="仿宋" w:hAnsi="仿宋" w:eastAsia="仿宋" w:cs="仿宋"/>
                <w:color w:val="auto"/>
                <w:szCs w:val="21"/>
                <w:highlight w:val="none"/>
              </w:rPr>
            </w:pPr>
          </w:p>
        </w:tc>
        <w:tc>
          <w:tcPr>
            <w:tcW w:w="1418" w:type="dxa"/>
            <w:vMerge w:val="continue"/>
            <w:tcBorders>
              <w:top w:val="single" w:color="000000" w:sz="4" w:space="0"/>
              <w:left w:val="single" w:color="000000" w:sz="4" w:space="0"/>
              <w:bottom w:val="single" w:color="000000" w:sz="4" w:space="0"/>
              <w:right w:val="single" w:color="000000" w:sz="4" w:space="0"/>
            </w:tcBorders>
            <w:noWrap w:val="0"/>
            <w:vAlign w:val="top"/>
          </w:tcPr>
          <w:p w14:paraId="51457AA0">
            <w:pPr>
              <w:widowControl/>
              <w:spacing w:beforeAutospacing="1" w:afterAutospacing="1"/>
              <w:jc w:val="left"/>
              <w:rPr>
                <w:rFonts w:ascii="仿宋" w:hAnsi="仿宋" w:eastAsia="仿宋" w:cs="仿宋"/>
                <w:color w:val="auto"/>
                <w:kern w:val="0"/>
                <w:szCs w:val="21"/>
                <w:highlight w:val="none"/>
                <w:lang w:bidi="ar"/>
              </w:rPr>
            </w:pPr>
          </w:p>
        </w:tc>
        <w:tc>
          <w:tcPr>
            <w:tcW w:w="2981" w:type="dxa"/>
            <w:gridSpan w:val="2"/>
            <w:tcBorders>
              <w:top w:val="single" w:color="000000" w:sz="4" w:space="0"/>
              <w:left w:val="single" w:color="000000" w:sz="4" w:space="0"/>
              <w:bottom w:val="single" w:color="000000" w:sz="4" w:space="0"/>
              <w:right w:val="single" w:color="000000" w:sz="4" w:space="0"/>
            </w:tcBorders>
            <w:noWrap w:val="0"/>
            <w:vAlign w:val="center"/>
          </w:tcPr>
          <w:p w14:paraId="77254368">
            <w:pPr>
              <w:widowControl/>
              <w:jc w:val="center"/>
              <w:textAlignment w:val="center"/>
              <w:rPr>
                <w:rFonts w:ascii="仿宋" w:hAnsi="仿宋" w:eastAsia="仿宋" w:cs="仿宋"/>
                <w:color w:val="auto"/>
                <w:szCs w:val="21"/>
                <w:highlight w:val="none"/>
              </w:rPr>
            </w:pPr>
            <w:r>
              <w:rPr>
                <w:rFonts w:hint="eastAsia" w:ascii="仿宋" w:hAnsi="仿宋" w:eastAsia="仿宋" w:cs="仿宋"/>
                <w:color w:val="auto"/>
                <w:kern w:val="0"/>
                <w:szCs w:val="21"/>
                <w:highlight w:val="none"/>
                <w:lang w:bidi="ar"/>
              </w:rPr>
              <w:t>提供涉案数据推送、数据信息查询等服务，</w:t>
            </w:r>
            <w:r>
              <w:rPr>
                <w:rFonts w:hint="eastAsia" w:ascii="仿宋" w:hAnsi="仿宋" w:eastAsia="仿宋" w:cs="仿宋"/>
                <w:color w:val="auto"/>
                <w:kern w:val="0"/>
                <w:szCs w:val="21"/>
                <w:highlight w:val="none"/>
                <w:lang w:bidi="ar"/>
              </w:rPr>
              <w:t>提供不少于5个案件服务，输出分析报告</w:t>
            </w:r>
            <w:r>
              <w:rPr>
                <w:rFonts w:hint="eastAsia" w:ascii="仿宋" w:hAnsi="仿宋" w:eastAsia="仿宋" w:cs="仿宋"/>
                <w:color w:val="auto"/>
                <w:kern w:val="0"/>
                <w:szCs w:val="21"/>
                <w:highlight w:val="none"/>
                <w:lang w:val="en-US" w:eastAsia="zh-CN" w:bidi="ar"/>
              </w:rPr>
              <w:t>8</w:t>
            </w:r>
            <w:r>
              <w:rPr>
                <w:rFonts w:hint="eastAsia" w:ascii="仿宋" w:hAnsi="仿宋" w:eastAsia="仿宋" w:cs="仿宋"/>
                <w:color w:val="auto"/>
                <w:kern w:val="0"/>
                <w:szCs w:val="21"/>
                <w:highlight w:val="none"/>
                <w:lang w:bidi="ar"/>
              </w:rPr>
              <w:t>份</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14:paraId="1E3785BC">
            <w:pPr>
              <w:widowControl/>
              <w:jc w:val="center"/>
              <w:textAlignment w:val="center"/>
              <w:rPr>
                <w:rFonts w:ascii="仿宋" w:hAnsi="仿宋" w:eastAsia="仿宋" w:cs="仿宋"/>
                <w:color w:val="auto"/>
                <w:kern w:val="0"/>
                <w:szCs w:val="21"/>
                <w:highlight w:val="none"/>
                <w:lang w:bidi="ar"/>
              </w:rPr>
            </w:pPr>
            <w:r>
              <w:rPr>
                <w:rFonts w:hint="eastAsia" w:ascii="仿宋" w:hAnsi="仿宋" w:eastAsia="仿宋" w:cs="仿宋"/>
                <w:color w:val="auto"/>
                <w:kern w:val="0"/>
                <w:szCs w:val="21"/>
                <w:highlight w:val="none"/>
                <w:lang w:bidi="ar"/>
              </w:rPr>
              <w:t>C类报告</w:t>
            </w:r>
          </w:p>
        </w:tc>
        <w:tc>
          <w:tcPr>
            <w:tcW w:w="733" w:type="dxa"/>
            <w:tcBorders>
              <w:top w:val="single" w:color="000000" w:sz="4" w:space="0"/>
              <w:left w:val="single" w:color="000000" w:sz="4" w:space="0"/>
              <w:bottom w:val="single" w:color="000000" w:sz="4" w:space="0"/>
              <w:right w:val="single" w:color="000000" w:sz="4" w:space="0"/>
            </w:tcBorders>
            <w:noWrap w:val="0"/>
            <w:vAlign w:val="center"/>
          </w:tcPr>
          <w:p w14:paraId="502D8798">
            <w:pPr>
              <w:jc w:val="center"/>
              <w:rPr>
                <w:color w:val="auto"/>
                <w:highlight w:val="none"/>
              </w:rPr>
            </w:pPr>
            <w:r>
              <w:rPr>
                <w:rFonts w:hint="eastAsia" w:ascii="仿宋" w:hAnsi="仿宋" w:eastAsia="仿宋" w:cs="仿宋"/>
                <w:b/>
                <w:bCs/>
                <w:color w:val="auto"/>
                <w:kern w:val="0"/>
                <w:szCs w:val="21"/>
                <w:highlight w:val="none"/>
                <w:lang w:bidi="ar"/>
              </w:rPr>
              <w:t>份</w:t>
            </w:r>
          </w:p>
        </w:tc>
        <w:tc>
          <w:tcPr>
            <w:tcW w:w="867" w:type="dxa"/>
            <w:tcBorders>
              <w:top w:val="single" w:color="000000" w:sz="4" w:space="0"/>
              <w:left w:val="single" w:color="000000" w:sz="4" w:space="0"/>
              <w:bottom w:val="single" w:color="000000" w:sz="4" w:space="0"/>
              <w:right w:val="single" w:color="000000" w:sz="4" w:space="0"/>
            </w:tcBorders>
            <w:noWrap w:val="0"/>
            <w:vAlign w:val="center"/>
          </w:tcPr>
          <w:p w14:paraId="0246666A">
            <w:pPr>
              <w:widowControl/>
              <w:jc w:val="center"/>
              <w:textAlignment w:val="center"/>
              <w:rPr>
                <w:rFonts w:hint="default" w:ascii="仿宋" w:hAnsi="仿宋" w:eastAsia="仿宋" w:cs="仿宋"/>
                <w:b/>
                <w:bCs/>
                <w:color w:val="auto"/>
                <w:szCs w:val="21"/>
                <w:highlight w:val="none"/>
                <w:lang w:val="en-US" w:eastAsia="zh-CN"/>
              </w:rPr>
            </w:pPr>
            <w:r>
              <w:rPr>
                <w:rFonts w:hint="eastAsia" w:ascii="仿宋" w:hAnsi="仿宋" w:eastAsia="仿宋" w:cs="仿宋"/>
                <w:b/>
                <w:bCs/>
                <w:color w:val="auto"/>
                <w:szCs w:val="21"/>
                <w:highlight w:val="none"/>
                <w:lang w:val="en-US" w:eastAsia="zh-CN"/>
              </w:rPr>
              <w:t>8</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14:paraId="3F7E0990">
            <w:pPr>
              <w:widowControl/>
              <w:jc w:val="center"/>
              <w:textAlignment w:val="center"/>
              <w:rPr>
                <w:rFonts w:ascii="仿宋" w:hAnsi="仿宋" w:eastAsia="仿宋" w:cs="仿宋"/>
                <w:color w:val="auto"/>
                <w:kern w:val="0"/>
                <w:szCs w:val="21"/>
                <w:highlight w:val="none"/>
                <w:lang w:bidi="ar"/>
              </w:rPr>
            </w:pPr>
          </w:p>
        </w:tc>
        <w:tc>
          <w:tcPr>
            <w:tcW w:w="892" w:type="dxa"/>
            <w:tcBorders>
              <w:top w:val="single" w:color="000000" w:sz="4" w:space="0"/>
              <w:left w:val="single" w:color="000000" w:sz="4" w:space="0"/>
              <w:bottom w:val="single" w:color="000000" w:sz="4" w:space="0"/>
              <w:right w:val="single" w:color="000000" w:sz="4" w:space="0"/>
            </w:tcBorders>
            <w:noWrap w:val="0"/>
            <w:vAlign w:val="center"/>
          </w:tcPr>
          <w:p w14:paraId="744FF87C">
            <w:pPr>
              <w:widowControl/>
              <w:jc w:val="center"/>
              <w:textAlignment w:val="center"/>
              <w:rPr>
                <w:rFonts w:ascii="仿宋" w:hAnsi="仿宋" w:eastAsia="仿宋" w:cs="仿宋"/>
                <w:color w:val="auto"/>
                <w:kern w:val="0"/>
                <w:szCs w:val="21"/>
                <w:highlight w:val="none"/>
                <w:lang w:bidi="ar"/>
              </w:rPr>
            </w:pPr>
          </w:p>
        </w:tc>
        <w:tc>
          <w:tcPr>
            <w:tcW w:w="992" w:type="dxa"/>
            <w:tcBorders>
              <w:top w:val="single" w:color="000000" w:sz="4" w:space="0"/>
              <w:left w:val="single" w:color="000000" w:sz="4" w:space="0"/>
              <w:bottom w:val="single" w:color="000000" w:sz="4" w:space="0"/>
              <w:right w:val="single" w:color="000000" w:sz="4" w:space="0"/>
            </w:tcBorders>
            <w:noWrap w:val="0"/>
            <w:vAlign w:val="center"/>
          </w:tcPr>
          <w:p w14:paraId="56837D8E">
            <w:pPr>
              <w:widowControl/>
              <w:jc w:val="center"/>
              <w:textAlignment w:val="center"/>
              <w:rPr>
                <w:rFonts w:ascii="仿宋" w:hAnsi="仿宋" w:eastAsia="仿宋" w:cs="仿宋"/>
                <w:color w:val="auto"/>
                <w:kern w:val="0"/>
                <w:szCs w:val="21"/>
                <w:highlight w:val="none"/>
                <w:lang w:bidi="ar"/>
              </w:rPr>
            </w:pPr>
          </w:p>
        </w:tc>
      </w:tr>
      <w:tr w14:paraId="676224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68" w:hRule="atLeast"/>
          <w:jc w:val="center"/>
        </w:trPr>
        <w:tc>
          <w:tcPr>
            <w:tcW w:w="4927" w:type="dxa"/>
            <w:gridSpan w:val="3"/>
            <w:tcBorders>
              <w:top w:val="single" w:color="000000" w:sz="4" w:space="0"/>
              <w:left w:val="single" w:color="000000" w:sz="4" w:space="0"/>
              <w:bottom w:val="single" w:color="000000" w:sz="4" w:space="0"/>
              <w:right w:val="single" w:color="000000" w:sz="4" w:space="0"/>
            </w:tcBorders>
            <w:noWrap w:val="0"/>
            <w:vAlign w:val="center"/>
          </w:tcPr>
          <w:p w14:paraId="1A0B8AB9">
            <w:pPr>
              <w:snapToGrid w:val="0"/>
              <w:spacing w:line="360" w:lineRule="auto"/>
              <w:jc w:val="center"/>
              <w:rPr>
                <w:rFonts w:ascii="仿宋" w:hAnsi="仿宋" w:eastAsia="仿宋" w:cs="仿宋"/>
                <w:b/>
                <w:color w:val="auto"/>
                <w:kern w:val="0"/>
                <w:szCs w:val="21"/>
                <w:highlight w:val="none"/>
              </w:rPr>
            </w:pPr>
            <w:r>
              <w:rPr>
                <w:rFonts w:hint="eastAsia" w:ascii="仿宋" w:hAnsi="仿宋" w:eastAsia="仿宋" w:cs="仿宋"/>
                <w:b/>
                <w:color w:val="auto"/>
                <w:kern w:val="0"/>
                <w:szCs w:val="21"/>
                <w:highlight w:val="none"/>
              </w:rPr>
              <w:t>合同总价（小写）人民币</w:t>
            </w:r>
          </w:p>
        </w:tc>
        <w:tc>
          <w:tcPr>
            <w:tcW w:w="5366" w:type="dxa"/>
            <w:gridSpan w:val="7"/>
            <w:tcBorders>
              <w:top w:val="single" w:color="000000" w:sz="4" w:space="0"/>
              <w:left w:val="single" w:color="000000" w:sz="4" w:space="0"/>
              <w:bottom w:val="single" w:color="000000" w:sz="4" w:space="0"/>
              <w:right w:val="single" w:color="000000" w:sz="4" w:space="0"/>
            </w:tcBorders>
            <w:noWrap w:val="0"/>
            <w:vAlign w:val="center"/>
          </w:tcPr>
          <w:p w14:paraId="19693401">
            <w:pPr>
              <w:jc w:val="center"/>
              <w:textAlignment w:val="center"/>
              <w:rPr>
                <w:rFonts w:ascii="仿宋" w:hAnsi="仿宋" w:eastAsia="仿宋" w:cs="仿宋"/>
                <w:b/>
                <w:bCs/>
                <w:color w:val="auto"/>
                <w:kern w:val="0"/>
                <w:szCs w:val="21"/>
                <w:highlight w:val="none"/>
                <w:lang w:bidi="ar"/>
              </w:rPr>
            </w:pPr>
          </w:p>
        </w:tc>
      </w:tr>
      <w:tr w14:paraId="64E8B7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68" w:hRule="atLeast"/>
          <w:jc w:val="center"/>
        </w:trPr>
        <w:tc>
          <w:tcPr>
            <w:tcW w:w="4927" w:type="dxa"/>
            <w:gridSpan w:val="3"/>
            <w:tcBorders>
              <w:top w:val="single" w:color="000000" w:sz="4" w:space="0"/>
              <w:left w:val="single" w:color="000000" w:sz="4" w:space="0"/>
              <w:bottom w:val="single" w:color="000000" w:sz="4" w:space="0"/>
              <w:right w:val="single" w:color="000000" w:sz="4" w:space="0"/>
            </w:tcBorders>
            <w:noWrap w:val="0"/>
            <w:vAlign w:val="center"/>
          </w:tcPr>
          <w:p w14:paraId="2497C26A">
            <w:pPr>
              <w:snapToGrid w:val="0"/>
              <w:spacing w:line="360" w:lineRule="auto"/>
              <w:jc w:val="center"/>
              <w:rPr>
                <w:rFonts w:ascii="仿宋" w:hAnsi="仿宋" w:eastAsia="仿宋" w:cs="仿宋"/>
                <w:b/>
                <w:color w:val="auto"/>
                <w:kern w:val="0"/>
                <w:szCs w:val="21"/>
                <w:highlight w:val="none"/>
              </w:rPr>
            </w:pPr>
            <w:r>
              <w:rPr>
                <w:rFonts w:hint="eastAsia" w:ascii="仿宋" w:hAnsi="仿宋" w:eastAsia="仿宋" w:cs="仿宋"/>
                <w:b/>
                <w:color w:val="auto"/>
                <w:kern w:val="0"/>
                <w:szCs w:val="21"/>
                <w:highlight w:val="none"/>
              </w:rPr>
              <w:t>合同总价（大写）人民币</w:t>
            </w:r>
          </w:p>
        </w:tc>
        <w:tc>
          <w:tcPr>
            <w:tcW w:w="5366" w:type="dxa"/>
            <w:gridSpan w:val="7"/>
            <w:tcBorders>
              <w:top w:val="single" w:color="000000" w:sz="4" w:space="0"/>
              <w:left w:val="single" w:color="000000" w:sz="4" w:space="0"/>
              <w:bottom w:val="single" w:color="000000" w:sz="4" w:space="0"/>
              <w:right w:val="single" w:color="000000" w:sz="4" w:space="0"/>
            </w:tcBorders>
            <w:noWrap w:val="0"/>
            <w:vAlign w:val="center"/>
          </w:tcPr>
          <w:p w14:paraId="3460B534">
            <w:pPr>
              <w:jc w:val="center"/>
              <w:textAlignment w:val="center"/>
              <w:rPr>
                <w:rFonts w:ascii="仿宋" w:hAnsi="仿宋" w:eastAsia="仿宋" w:cs="仿宋"/>
                <w:b/>
                <w:bCs/>
                <w:color w:val="auto"/>
                <w:kern w:val="0"/>
                <w:szCs w:val="21"/>
                <w:highlight w:val="none"/>
                <w:lang w:bidi="ar"/>
              </w:rPr>
            </w:pPr>
          </w:p>
        </w:tc>
      </w:tr>
      <w:tr w14:paraId="64DF75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93" w:hRule="atLeast"/>
          <w:jc w:val="center"/>
        </w:trPr>
        <w:tc>
          <w:tcPr>
            <w:tcW w:w="10293" w:type="dxa"/>
            <w:gridSpan w:val="10"/>
            <w:tcBorders>
              <w:top w:val="single" w:color="000000" w:sz="4" w:space="0"/>
              <w:left w:val="single" w:color="000000" w:sz="4" w:space="0"/>
              <w:bottom w:val="single" w:color="000000" w:sz="4" w:space="0"/>
              <w:right w:val="single" w:color="000000" w:sz="4" w:space="0"/>
            </w:tcBorders>
            <w:noWrap w:val="0"/>
            <w:vAlign w:val="center"/>
          </w:tcPr>
          <w:p w14:paraId="4C637BB7">
            <w:pPr>
              <w:spacing w:line="360" w:lineRule="auto"/>
              <w:jc w:val="center"/>
              <w:textAlignment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备注：其中中小企业合同金额为</w:t>
            </w:r>
            <w:r>
              <w:rPr>
                <w:rFonts w:hint="eastAsia" w:ascii="仿宋" w:hAnsi="仿宋" w:eastAsia="仿宋" w:cs="仿宋"/>
                <w:color w:val="auto"/>
                <w:kern w:val="0"/>
                <w:szCs w:val="21"/>
                <w:highlight w:val="none"/>
                <w:u w:val="single"/>
              </w:rPr>
              <w:t xml:space="preserve">   </w:t>
            </w:r>
            <w:r>
              <w:rPr>
                <w:rFonts w:ascii="仿宋" w:hAnsi="仿宋" w:eastAsia="仿宋" w:cs="仿宋"/>
                <w:color w:val="auto"/>
                <w:kern w:val="0"/>
                <w:szCs w:val="21"/>
                <w:highlight w:val="none"/>
                <w:u w:val="single"/>
              </w:rPr>
              <w:t xml:space="preserve"> </w:t>
            </w:r>
            <w:r>
              <w:rPr>
                <w:rFonts w:hint="eastAsia" w:ascii="仿宋" w:hAnsi="仿宋" w:eastAsia="仿宋" w:cs="仿宋"/>
                <w:color w:val="auto"/>
                <w:kern w:val="0"/>
                <w:szCs w:val="21"/>
                <w:highlight w:val="none"/>
                <w:u w:val="single"/>
              </w:rPr>
              <w:t xml:space="preserve">    </w:t>
            </w:r>
            <w:r>
              <w:rPr>
                <w:rFonts w:hint="eastAsia" w:ascii="仿宋" w:hAnsi="仿宋" w:eastAsia="仿宋" w:cs="仿宋"/>
                <w:color w:val="auto"/>
                <w:kern w:val="0"/>
                <w:szCs w:val="21"/>
                <w:highlight w:val="none"/>
              </w:rPr>
              <w:t>元，占合同总价的</w:t>
            </w:r>
            <w:r>
              <w:rPr>
                <w:rFonts w:hint="eastAsia" w:ascii="仿宋" w:hAnsi="仿宋" w:eastAsia="仿宋" w:cs="仿宋"/>
                <w:color w:val="auto"/>
                <w:kern w:val="0"/>
                <w:szCs w:val="21"/>
                <w:highlight w:val="none"/>
                <w:u w:val="single"/>
              </w:rPr>
              <w:t xml:space="preserve">  </w:t>
            </w:r>
            <w:r>
              <w:rPr>
                <w:rFonts w:ascii="仿宋" w:hAnsi="仿宋" w:eastAsia="仿宋" w:cs="仿宋"/>
                <w:color w:val="auto"/>
                <w:kern w:val="0"/>
                <w:szCs w:val="21"/>
                <w:highlight w:val="none"/>
                <w:u w:val="single"/>
              </w:rPr>
              <w:t xml:space="preserve">  </w:t>
            </w:r>
            <w:r>
              <w:rPr>
                <w:rFonts w:hint="eastAsia" w:ascii="仿宋" w:hAnsi="仿宋" w:eastAsia="仿宋" w:cs="仿宋"/>
                <w:color w:val="auto"/>
                <w:kern w:val="0"/>
                <w:szCs w:val="21"/>
                <w:highlight w:val="none"/>
                <w:u w:val="single"/>
              </w:rPr>
              <w:t xml:space="preserve">   </w:t>
            </w:r>
            <w:r>
              <w:rPr>
                <w:rFonts w:hint="eastAsia" w:ascii="仿宋" w:hAnsi="仿宋" w:eastAsia="仿宋" w:cs="仿宋"/>
                <w:color w:val="auto"/>
                <w:kern w:val="0"/>
                <w:szCs w:val="21"/>
                <w:highlight w:val="none"/>
              </w:rPr>
              <w:t>%；</w:t>
            </w:r>
          </w:p>
          <w:p w14:paraId="6D319A3D">
            <w:pPr>
              <w:spacing w:line="360" w:lineRule="auto"/>
              <w:jc w:val="center"/>
              <w:textAlignment w:val="center"/>
              <w:rPr>
                <w:rFonts w:ascii="仿宋" w:hAnsi="仿宋" w:eastAsia="仿宋" w:cs="仿宋"/>
                <w:b/>
                <w:bCs/>
                <w:color w:val="auto"/>
                <w:kern w:val="0"/>
                <w:szCs w:val="21"/>
                <w:highlight w:val="none"/>
                <w:lang w:bidi="ar"/>
              </w:rPr>
            </w:pPr>
            <w:r>
              <w:rPr>
                <w:rFonts w:hint="eastAsia" w:ascii="仿宋" w:hAnsi="仿宋" w:eastAsia="仿宋" w:cs="仿宋"/>
                <w:color w:val="auto"/>
                <w:kern w:val="0"/>
                <w:szCs w:val="21"/>
                <w:highlight w:val="none"/>
              </w:rPr>
              <w:t>小微企业合同金额为</w:t>
            </w:r>
            <w:r>
              <w:rPr>
                <w:rFonts w:hint="eastAsia" w:ascii="仿宋" w:hAnsi="仿宋" w:eastAsia="仿宋" w:cs="仿宋"/>
                <w:color w:val="auto"/>
                <w:kern w:val="0"/>
                <w:szCs w:val="21"/>
                <w:highlight w:val="none"/>
                <w:u w:val="single"/>
              </w:rPr>
              <w:t xml:space="preserve">    </w:t>
            </w:r>
            <w:r>
              <w:rPr>
                <w:rFonts w:ascii="仿宋" w:hAnsi="仿宋" w:eastAsia="仿宋" w:cs="仿宋"/>
                <w:color w:val="auto"/>
                <w:kern w:val="0"/>
                <w:szCs w:val="21"/>
                <w:highlight w:val="none"/>
                <w:u w:val="single"/>
              </w:rPr>
              <w:t xml:space="preserve"> </w:t>
            </w:r>
            <w:r>
              <w:rPr>
                <w:rFonts w:hint="eastAsia" w:ascii="仿宋" w:hAnsi="仿宋" w:eastAsia="仿宋" w:cs="仿宋"/>
                <w:color w:val="auto"/>
                <w:kern w:val="0"/>
                <w:szCs w:val="21"/>
                <w:highlight w:val="none"/>
                <w:u w:val="single"/>
              </w:rPr>
              <w:t xml:space="preserve">   </w:t>
            </w:r>
            <w:r>
              <w:rPr>
                <w:rFonts w:hint="eastAsia" w:ascii="仿宋" w:hAnsi="仿宋" w:eastAsia="仿宋" w:cs="仿宋"/>
                <w:color w:val="auto"/>
                <w:kern w:val="0"/>
                <w:szCs w:val="21"/>
                <w:highlight w:val="none"/>
              </w:rPr>
              <w:t>元，占合同总价的</w:t>
            </w:r>
            <w:r>
              <w:rPr>
                <w:rFonts w:hint="eastAsia" w:ascii="仿宋" w:hAnsi="仿宋" w:eastAsia="仿宋" w:cs="仿宋"/>
                <w:color w:val="auto"/>
                <w:kern w:val="0"/>
                <w:szCs w:val="21"/>
                <w:highlight w:val="none"/>
                <w:u w:val="single"/>
              </w:rPr>
              <w:t xml:space="preserve">   </w:t>
            </w:r>
            <w:r>
              <w:rPr>
                <w:rFonts w:ascii="仿宋" w:hAnsi="仿宋" w:eastAsia="仿宋" w:cs="仿宋"/>
                <w:color w:val="auto"/>
                <w:kern w:val="0"/>
                <w:szCs w:val="21"/>
                <w:highlight w:val="none"/>
                <w:u w:val="single"/>
              </w:rPr>
              <w:t xml:space="preserve">   </w:t>
            </w:r>
            <w:r>
              <w:rPr>
                <w:rFonts w:hint="eastAsia" w:ascii="仿宋" w:hAnsi="仿宋" w:eastAsia="仿宋" w:cs="仿宋"/>
                <w:color w:val="auto"/>
                <w:kern w:val="0"/>
                <w:szCs w:val="21"/>
                <w:highlight w:val="none"/>
                <w:u w:val="single"/>
              </w:rPr>
              <w:t xml:space="preserve">  </w:t>
            </w:r>
            <w:r>
              <w:rPr>
                <w:rFonts w:hint="eastAsia" w:ascii="仿宋" w:hAnsi="仿宋" w:eastAsia="仿宋" w:cs="仿宋"/>
                <w:color w:val="auto"/>
                <w:kern w:val="0"/>
                <w:szCs w:val="21"/>
                <w:highlight w:val="none"/>
              </w:rPr>
              <w:t>%。</w:t>
            </w:r>
          </w:p>
        </w:tc>
      </w:tr>
    </w:tbl>
    <w:p w14:paraId="2A59E751">
      <w:pPr>
        <w:rPr>
          <w:rFonts w:hint="eastAsia"/>
          <w:color w:val="auto"/>
          <w:highlight w:val="none"/>
        </w:rPr>
      </w:pPr>
    </w:p>
    <w:p w14:paraId="71B9725F">
      <w:pPr>
        <w:rPr>
          <w:rFonts w:hint="eastAsia"/>
          <w:color w:val="auto"/>
          <w:highlight w:val="none"/>
        </w:rPr>
      </w:pPr>
    </w:p>
    <w:p w14:paraId="1E9744E0">
      <w:pPr>
        <w:rPr>
          <w:rFonts w:hint="eastAsia"/>
          <w:color w:val="auto"/>
          <w:highlight w:val="none"/>
        </w:rPr>
      </w:pPr>
    </w:p>
    <w:p w14:paraId="587F1115">
      <w:pPr>
        <w:keepNext w:val="0"/>
        <w:keepLines w:val="0"/>
        <w:pageBreakBefore w:val="0"/>
        <w:kinsoku/>
        <w:wordWrap/>
        <w:topLinePunct w:val="0"/>
        <w:bidi w:val="0"/>
        <w:snapToGrid/>
        <w:spacing w:line="360" w:lineRule="auto"/>
        <w:ind w:firstLine="422" w:firstLineChars="200"/>
        <w:outlineLvl w:val="0"/>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附件二：项目服务人员清单</w:t>
      </w:r>
    </w:p>
    <w:tbl>
      <w:tblPr>
        <w:tblStyle w:val="8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76"/>
        <w:gridCol w:w="1018"/>
        <w:gridCol w:w="1174"/>
        <w:gridCol w:w="1276"/>
        <w:gridCol w:w="1426"/>
        <w:gridCol w:w="1276"/>
        <w:gridCol w:w="1272"/>
        <w:gridCol w:w="1268"/>
      </w:tblGrid>
      <w:tr w14:paraId="65600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310" w:type="pct"/>
            <w:tcBorders>
              <w:top w:val="single" w:color="auto" w:sz="4" w:space="0"/>
              <w:left w:val="single" w:color="auto" w:sz="4" w:space="0"/>
              <w:bottom w:val="single" w:color="auto" w:sz="4" w:space="0"/>
              <w:right w:val="single" w:color="auto" w:sz="4" w:space="0"/>
            </w:tcBorders>
            <w:noWrap w:val="0"/>
            <w:vAlign w:val="center"/>
          </w:tcPr>
          <w:p w14:paraId="59F31F1C">
            <w:pPr>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序号</w:t>
            </w:r>
          </w:p>
        </w:tc>
        <w:tc>
          <w:tcPr>
            <w:tcW w:w="548" w:type="pct"/>
            <w:tcBorders>
              <w:top w:val="single" w:color="auto" w:sz="4" w:space="0"/>
              <w:left w:val="single" w:color="auto" w:sz="4" w:space="0"/>
              <w:bottom w:val="single" w:color="auto" w:sz="4" w:space="0"/>
              <w:right w:val="single" w:color="auto" w:sz="4" w:space="0"/>
            </w:tcBorders>
            <w:noWrap w:val="0"/>
            <w:vAlign w:val="center"/>
          </w:tcPr>
          <w:p w14:paraId="4B3121AE">
            <w:pPr>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姓名</w:t>
            </w:r>
          </w:p>
        </w:tc>
        <w:tc>
          <w:tcPr>
            <w:tcW w:w="632" w:type="pct"/>
            <w:tcBorders>
              <w:top w:val="single" w:color="auto" w:sz="4" w:space="0"/>
              <w:left w:val="single" w:color="auto" w:sz="4" w:space="0"/>
              <w:bottom w:val="single" w:color="auto" w:sz="4" w:space="0"/>
              <w:right w:val="single" w:color="auto" w:sz="4" w:space="0"/>
            </w:tcBorders>
            <w:noWrap w:val="0"/>
            <w:vAlign w:val="center"/>
          </w:tcPr>
          <w:p w14:paraId="79D38D44">
            <w:pPr>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联系方式</w:t>
            </w:r>
          </w:p>
        </w:tc>
        <w:tc>
          <w:tcPr>
            <w:tcW w:w="687" w:type="pct"/>
            <w:tcBorders>
              <w:top w:val="single" w:color="auto" w:sz="4" w:space="0"/>
              <w:left w:val="single" w:color="auto" w:sz="4" w:space="0"/>
              <w:bottom w:val="single" w:color="auto" w:sz="4" w:space="0"/>
              <w:right w:val="single" w:color="auto" w:sz="4" w:space="0"/>
            </w:tcBorders>
            <w:noWrap w:val="0"/>
            <w:vAlign w:val="center"/>
          </w:tcPr>
          <w:p w14:paraId="0282932B">
            <w:pPr>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身份证号码</w:t>
            </w:r>
          </w:p>
        </w:tc>
        <w:tc>
          <w:tcPr>
            <w:tcW w:w="768" w:type="pct"/>
            <w:tcBorders>
              <w:top w:val="single" w:color="auto" w:sz="4" w:space="0"/>
              <w:left w:val="single" w:color="auto" w:sz="4" w:space="0"/>
              <w:bottom w:val="single" w:color="auto" w:sz="4" w:space="0"/>
              <w:right w:val="single" w:color="auto" w:sz="4" w:space="0"/>
            </w:tcBorders>
            <w:noWrap w:val="0"/>
            <w:vAlign w:val="center"/>
          </w:tcPr>
          <w:p w14:paraId="22346DB1">
            <w:pPr>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本项目承担的岗位</w:t>
            </w:r>
          </w:p>
        </w:tc>
        <w:tc>
          <w:tcPr>
            <w:tcW w:w="687" w:type="pct"/>
            <w:tcBorders>
              <w:top w:val="single" w:color="auto" w:sz="4" w:space="0"/>
              <w:left w:val="single" w:color="auto" w:sz="4" w:space="0"/>
              <w:bottom w:val="single" w:color="auto" w:sz="4" w:space="0"/>
              <w:right w:val="single" w:color="auto" w:sz="4" w:space="0"/>
            </w:tcBorders>
            <w:noWrap w:val="0"/>
            <w:vAlign w:val="center"/>
          </w:tcPr>
          <w:p w14:paraId="2629B052">
            <w:pPr>
              <w:tabs>
                <w:tab w:val="left" w:pos="449"/>
              </w:tabs>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人员资历</w:t>
            </w:r>
          </w:p>
        </w:tc>
        <w:tc>
          <w:tcPr>
            <w:tcW w:w="685" w:type="pct"/>
            <w:tcBorders>
              <w:top w:val="single" w:color="auto" w:sz="4" w:space="0"/>
              <w:left w:val="single" w:color="auto" w:sz="4" w:space="0"/>
              <w:bottom w:val="single" w:color="auto" w:sz="4" w:space="0"/>
              <w:right w:val="single" w:color="auto" w:sz="4" w:space="0"/>
            </w:tcBorders>
            <w:noWrap w:val="0"/>
            <w:vAlign w:val="center"/>
          </w:tcPr>
          <w:p w14:paraId="10F29FCC">
            <w:pPr>
              <w:tabs>
                <w:tab w:val="left" w:pos="449"/>
              </w:tabs>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人员资质证书</w:t>
            </w:r>
          </w:p>
        </w:tc>
        <w:tc>
          <w:tcPr>
            <w:tcW w:w="683" w:type="pct"/>
            <w:tcBorders>
              <w:top w:val="single" w:color="auto" w:sz="4" w:space="0"/>
              <w:left w:val="single" w:color="auto" w:sz="4" w:space="0"/>
              <w:bottom w:val="single" w:color="auto" w:sz="4" w:space="0"/>
              <w:right w:val="single" w:color="auto" w:sz="4" w:space="0"/>
            </w:tcBorders>
            <w:noWrap w:val="0"/>
            <w:vAlign w:val="center"/>
          </w:tcPr>
          <w:p w14:paraId="5827E1DF">
            <w:pPr>
              <w:tabs>
                <w:tab w:val="left" w:pos="449"/>
              </w:tabs>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备注</w:t>
            </w:r>
          </w:p>
        </w:tc>
      </w:tr>
      <w:tr w14:paraId="01A39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jc w:val="center"/>
        </w:trPr>
        <w:tc>
          <w:tcPr>
            <w:tcW w:w="310" w:type="pct"/>
            <w:tcBorders>
              <w:top w:val="single" w:color="auto" w:sz="4" w:space="0"/>
              <w:left w:val="single" w:color="auto" w:sz="4" w:space="0"/>
              <w:bottom w:val="single" w:color="auto" w:sz="4" w:space="0"/>
              <w:right w:val="single" w:color="auto" w:sz="4" w:space="0"/>
            </w:tcBorders>
            <w:noWrap w:val="0"/>
            <w:vAlign w:val="center"/>
          </w:tcPr>
          <w:p w14:paraId="383AD7D4">
            <w:pPr>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1</w:t>
            </w:r>
          </w:p>
        </w:tc>
        <w:tc>
          <w:tcPr>
            <w:tcW w:w="548" w:type="pct"/>
            <w:tcBorders>
              <w:top w:val="single" w:color="auto" w:sz="4" w:space="0"/>
              <w:left w:val="single" w:color="auto" w:sz="4" w:space="0"/>
              <w:bottom w:val="single" w:color="auto" w:sz="4" w:space="0"/>
              <w:right w:val="single" w:color="auto" w:sz="4" w:space="0"/>
            </w:tcBorders>
            <w:noWrap w:val="0"/>
            <w:vAlign w:val="center"/>
          </w:tcPr>
          <w:p w14:paraId="17A627AA">
            <w:pPr>
              <w:jc w:val="center"/>
              <w:rPr>
                <w:rFonts w:hint="eastAsia" w:ascii="仿宋" w:hAnsi="仿宋" w:eastAsia="仿宋" w:cs="仿宋"/>
                <w:color w:val="auto"/>
                <w:szCs w:val="21"/>
                <w:highlight w:val="none"/>
              </w:rPr>
            </w:pPr>
          </w:p>
        </w:tc>
        <w:tc>
          <w:tcPr>
            <w:tcW w:w="632" w:type="pct"/>
            <w:tcBorders>
              <w:top w:val="single" w:color="auto" w:sz="4" w:space="0"/>
              <w:left w:val="single" w:color="auto" w:sz="4" w:space="0"/>
              <w:bottom w:val="single" w:color="auto" w:sz="4" w:space="0"/>
              <w:right w:val="single" w:color="auto" w:sz="4" w:space="0"/>
            </w:tcBorders>
            <w:noWrap w:val="0"/>
            <w:vAlign w:val="center"/>
          </w:tcPr>
          <w:p w14:paraId="2BF5CF1B">
            <w:pPr>
              <w:jc w:val="center"/>
              <w:rPr>
                <w:rFonts w:hint="eastAsia" w:ascii="仿宋" w:hAnsi="仿宋" w:eastAsia="仿宋" w:cs="仿宋"/>
                <w:color w:val="auto"/>
                <w:szCs w:val="21"/>
                <w:highlight w:val="none"/>
              </w:rPr>
            </w:pPr>
          </w:p>
        </w:tc>
        <w:tc>
          <w:tcPr>
            <w:tcW w:w="687" w:type="pct"/>
            <w:tcBorders>
              <w:top w:val="single" w:color="auto" w:sz="4" w:space="0"/>
              <w:left w:val="single" w:color="auto" w:sz="4" w:space="0"/>
              <w:bottom w:val="single" w:color="auto" w:sz="4" w:space="0"/>
              <w:right w:val="single" w:color="auto" w:sz="4" w:space="0"/>
            </w:tcBorders>
            <w:noWrap w:val="0"/>
            <w:vAlign w:val="center"/>
          </w:tcPr>
          <w:p w14:paraId="11FDEBAF">
            <w:pPr>
              <w:jc w:val="center"/>
              <w:rPr>
                <w:rFonts w:hint="eastAsia" w:ascii="仿宋" w:hAnsi="仿宋" w:eastAsia="仿宋" w:cs="仿宋"/>
                <w:color w:val="auto"/>
                <w:szCs w:val="21"/>
                <w:highlight w:val="none"/>
              </w:rPr>
            </w:pPr>
          </w:p>
        </w:tc>
        <w:tc>
          <w:tcPr>
            <w:tcW w:w="768" w:type="pct"/>
            <w:tcBorders>
              <w:top w:val="single" w:color="auto" w:sz="4" w:space="0"/>
              <w:left w:val="single" w:color="auto" w:sz="4" w:space="0"/>
              <w:bottom w:val="single" w:color="auto" w:sz="4" w:space="0"/>
              <w:right w:val="single" w:color="auto" w:sz="4" w:space="0"/>
            </w:tcBorders>
            <w:noWrap w:val="0"/>
            <w:vAlign w:val="center"/>
          </w:tcPr>
          <w:p w14:paraId="6D58DA1C">
            <w:pPr>
              <w:jc w:val="center"/>
              <w:rPr>
                <w:rFonts w:hint="eastAsia" w:ascii="仿宋" w:hAnsi="仿宋" w:eastAsia="仿宋" w:cs="仿宋"/>
                <w:color w:val="auto"/>
                <w:szCs w:val="21"/>
                <w:highlight w:val="none"/>
              </w:rPr>
            </w:pPr>
          </w:p>
        </w:tc>
        <w:tc>
          <w:tcPr>
            <w:tcW w:w="687" w:type="pct"/>
            <w:tcBorders>
              <w:top w:val="single" w:color="auto" w:sz="4" w:space="0"/>
              <w:left w:val="single" w:color="auto" w:sz="4" w:space="0"/>
              <w:bottom w:val="single" w:color="auto" w:sz="4" w:space="0"/>
              <w:right w:val="single" w:color="auto" w:sz="4" w:space="0"/>
            </w:tcBorders>
            <w:noWrap w:val="0"/>
            <w:vAlign w:val="top"/>
          </w:tcPr>
          <w:p w14:paraId="666B8D40">
            <w:pPr>
              <w:jc w:val="center"/>
              <w:rPr>
                <w:rFonts w:hint="eastAsia" w:ascii="仿宋" w:hAnsi="仿宋" w:eastAsia="仿宋" w:cs="仿宋"/>
                <w:color w:val="auto"/>
                <w:szCs w:val="21"/>
                <w:highlight w:val="none"/>
              </w:rPr>
            </w:pPr>
          </w:p>
        </w:tc>
        <w:tc>
          <w:tcPr>
            <w:tcW w:w="685" w:type="pct"/>
            <w:tcBorders>
              <w:top w:val="single" w:color="auto" w:sz="4" w:space="0"/>
              <w:left w:val="single" w:color="auto" w:sz="4" w:space="0"/>
              <w:bottom w:val="single" w:color="auto" w:sz="4" w:space="0"/>
              <w:right w:val="single" w:color="auto" w:sz="4" w:space="0"/>
            </w:tcBorders>
            <w:noWrap w:val="0"/>
            <w:vAlign w:val="center"/>
          </w:tcPr>
          <w:p w14:paraId="5B865A1F">
            <w:pPr>
              <w:jc w:val="center"/>
              <w:rPr>
                <w:rFonts w:hint="eastAsia" w:ascii="仿宋" w:hAnsi="仿宋" w:eastAsia="仿宋" w:cs="仿宋"/>
                <w:color w:val="auto"/>
                <w:szCs w:val="21"/>
                <w:highlight w:val="none"/>
              </w:rPr>
            </w:pPr>
          </w:p>
        </w:tc>
        <w:tc>
          <w:tcPr>
            <w:tcW w:w="683" w:type="pct"/>
            <w:tcBorders>
              <w:top w:val="single" w:color="auto" w:sz="4" w:space="0"/>
              <w:left w:val="single" w:color="auto" w:sz="4" w:space="0"/>
              <w:bottom w:val="single" w:color="auto" w:sz="4" w:space="0"/>
              <w:right w:val="single" w:color="auto" w:sz="4" w:space="0"/>
            </w:tcBorders>
            <w:noWrap w:val="0"/>
            <w:vAlign w:val="top"/>
          </w:tcPr>
          <w:p w14:paraId="1D886B83">
            <w:pPr>
              <w:jc w:val="center"/>
              <w:rPr>
                <w:rFonts w:hint="eastAsia" w:ascii="仿宋" w:hAnsi="仿宋" w:eastAsia="仿宋" w:cs="仿宋"/>
                <w:color w:val="auto"/>
                <w:szCs w:val="21"/>
                <w:highlight w:val="none"/>
              </w:rPr>
            </w:pPr>
          </w:p>
        </w:tc>
      </w:tr>
      <w:tr w14:paraId="69A971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jc w:val="center"/>
        </w:trPr>
        <w:tc>
          <w:tcPr>
            <w:tcW w:w="310" w:type="pct"/>
            <w:tcBorders>
              <w:top w:val="single" w:color="auto" w:sz="4" w:space="0"/>
              <w:left w:val="single" w:color="auto" w:sz="4" w:space="0"/>
              <w:bottom w:val="single" w:color="auto" w:sz="4" w:space="0"/>
              <w:right w:val="single" w:color="auto" w:sz="4" w:space="0"/>
            </w:tcBorders>
            <w:noWrap w:val="0"/>
            <w:vAlign w:val="center"/>
          </w:tcPr>
          <w:p w14:paraId="25A53729">
            <w:pPr>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2</w:t>
            </w:r>
          </w:p>
        </w:tc>
        <w:tc>
          <w:tcPr>
            <w:tcW w:w="548" w:type="pct"/>
            <w:tcBorders>
              <w:top w:val="single" w:color="auto" w:sz="4" w:space="0"/>
              <w:left w:val="single" w:color="auto" w:sz="4" w:space="0"/>
              <w:bottom w:val="single" w:color="auto" w:sz="4" w:space="0"/>
              <w:right w:val="single" w:color="auto" w:sz="4" w:space="0"/>
            </w:tcBorders>
            <w:noWrap w:val="0"/>
            <w:vAlign w:val="center"/>
          </w:tcPr>
          <w:p w14:paraId="6CADBB1A">
            <w:pPr>
              <w:jc w:val="center"/>
              <w:rPr>
                <w:rFonts w:hint="eastAsia" w:ascii="仿宋" w:hAnsi="仿宋" w:eastAsia="仿宋" w:cs="仿宋"/>
                <w:color w:val="auto"/>
                <w:szCs w:val="21"/>
                <w:highlight w:val="none"/>
              </w:rPr>
            </w:pPr>
          </w:p>
        </w:tc>
        <w:tc>
          <w:tcPr>
            <w:tcW w:w="632" w:type="pct"/>
            <w:tcBorders>
              <w:top w:val="single" w:color="auto" w:sz="4" w:space="0"/>
              <w:left w:val="single" w:color="auto" w:sz="4" w:space="0"/>
              <w:bottom w:val="single" w:color="auto" w:sz="4" w:space="0"/>
              <w:right w:val="single" w:color="auto" w:sz="4" w:space="0"/>
            </w:tcBorders>
            <w:noWrap w:val="0"/>
            <w:vAlign w:val="center"/>
          </w:tcPr>
          <w:p w14:paraId="53AF3EE1">
            <w:pPr>
              <w:jc w:val="center"/>
              <w:rPr>
                <w:rFonts w:hint="eastAsia" w:ascii="仿宋" w:hAnsi="仿宋" w:eastAsia="仿宋" w:cs="仿宋"/>
                <w:color w:val="auto"/>
                <w:szCs w:val="21"/>
                <w:highlight w:val="none"/>
              </w:rPr>
            </w:pPr>
          </w:p>
        </w:tc>
        <w:tc>
          <w:tcPr>
            <w:tcW w:w="687" w:type="pct"/>
            <w:tcBorders>
              <w:top w:val="single" w:color="auto" w:sz="4" w:space="0"/>
              <w:left w:val="single" w:color="auto" w:sz="4" w:space="0"/>
              <w:bottom w:val="single" w:color="auto" w:sz="4" w:space="0"/>
              <w:right w:val="single" w:color="auto" w:sz="4" w:space="0"/>
            </w:tcBorders>
            <w:noWrap w:val="0"/>
            <w:vAlign w:val="center"/>
          </w:tcPr>
          <w:p w14:paraId="3E50F51B">
            <w:pPr>
              <w:jc w:val="center"/>
              <w:rPr>
                <w:rFonts w:hint="eastAsia" w:ascii="仿宋" w:hAnsi="仿宋" w:eastAsia="仿宋" w:cs="仿宋"/>
                <w:color w:val="auto"/>
                <w:kern w:val="0"/>
                <w:szCs w:val="21"/>
                <w:highlight w:val="none"/>
              </w:rPr>
            </w:pPr>
          </w:p>
        </w:tc>
        <w:tc>
          <w:tcPr>
            <w:tcW w:w="768" w:type="pct"/>
            <w:tcBorders>
              <w:top w:val="single" w:color="auto" w:sz="4" w:space="0"/>
              <w:left w:val="single" w:color="auto" w:sz="4" w:space="0"/>
              <w:bottom w:val="single" w:color="auto" w:sz="4" w:space="0"/>
              <w:right w:val="single" w:color="auto" w:sz="4" w:space="0"/>
            </w:tcBorders>
            <w:noWrap w:val="0"/>
            <w:vAlign w:val="center"/>
          </w:tcPr>
          <w:p w14:paraId="6F08644E">
            <w:pPr>
              <w:jc w:val="center"/>
              <w:rPr>
                <w:rFonts w:hint="eastAsia" w:ascii="仿宋" w:hAnsi="仿宋" w:eastAsia="仿宋" w:cs="仿宋"/>
                <w:color w:val="auto"/>
                <w:kern w:val="0"/>
                <w:szCs w:val="21"/>
                <w:highlight w:val="none"/>
              </w:rPr>
            </w:pPr>
          </w:p>
        </w:tc>
        <w:tc>
          <w:tcPr>
            <w:tcW w:w="687" w:type="pct"/>
            <w:tcBorders>
              <w:top w:val="single" w:color="auto" w:sz="4" w:space="0"/>
              <w:left w:val="single" w:color="auto" w:sz="4" w:space="0"/>
              <w:bottom w:val="single" w:color="auto" w:sz="4" w:space="0"/>
              <w:right w:val="single" w:color="auto" w:sz="4" w:space="0"/>
            </w:tcBorders>
            <w:noWrap w:val="0"/>
            <w:vAlign w:val="top"/>
          </w:tcPr>
          <w:p w14:paraId="133C95B0">
            <w:pPr>
              <w:jc w:val="center"/>
              <w:rPr>
                <w:rFonts w:hint="eastAsia" w:ascii="仿宋" w:hAnsi="仿宋" w:eastAsia="仿宋" w:cs="仿宋"/>
                <w:color w:val="auto"/>
                <w:kern w:val="0"/>
                <w:szCs w:val="21"/>
                <w:highlight w:val="none"/>
              </w:rPr>
            </w:pPr>
          </w:p>
        </w:tc>
        <w:tc>
          <w:tcPr>
            <w:tcW w:w="685" w:type="pct"/>
            <w:tcBorders>
              <w:top w:val="single" w:color="auto" w:sz="4" w:space="0"/>
              <w:left w:val="single" w:color="auto" w:sz="4" w:space="0"/>
              <w:bottom w:val="single" w:color="auto" w:sz="4" w:space="0"/>
              <w:right w:val="single" w:color="auto" w:sz="4" w:space="0"/>
            </w:tcBorders>
            <w:noWrap w:val="0"/>
            <w:vAlign w:val="center"/>
          </w:tcPr>
          <w:p w14:paraId="7D508AA0">
            <w:pPr>
              <w:jc w:val="center"/>
              <w:rPr>
                <w:rFonts w:hint="eastAsia" w:ascii="仿宋" w:hAnsi="仿宋" w:eastAsia="仿宋" w:cs="仿宋"/>
                <w:color w:val="auto"/>
                <w:kern w:val="0"/>
                <w:szCs w:val="21"/>
                <w:highlight w:val="none"/>
              </w:rPr>
            </w:pPr>
          </w:p>
        </w:tc>
        <w:tc>
          <w:tcPr>
            <w:tcW w:w="683" w:type="pct"/>
            <w:tcBorders>
              <w:top w:val="single" w:color="auto" w:sz="4" w:space="0"/>
              <w:left w:val="single" w:color="auto" w:sz="4" w:space="0"/>
              <w:bottom w:val="single" w:color="auto" w:sz="4" w:space="0"/>
              <w:right w:val="single" w:color="auto" w:sz="4" w:space="0"/>
            </w:tcBorders>
            <w:noWrap w:val="0"/>
            <w:vAlign w:val="top"/>
          </w:tcPr>
          <w:p w14:paraId="5F1CB932">
            <w:pPr>
              <w:jc w:val="center"/>
              <w:rPr>
                <w:rFonts w:hint="eastAsia" w:ascii="仿宋" w:hAnsi="仿宋" w:eastAsia="仿宋" w:cs="仿宋"/>
                <w:color w:val="auto"/>
                <w:kern w:val="0"/>
                <w:szCs w:val="21"/>
                <w:highlight w:val="none"/>
              </w:rPr>
            </w:pPr>
          </w:p>
        </w:tc>
      </w:tr>
      <w:tr w14:paraId="6F263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jc w:val="center"/>
        </w:trPr>
        <w:tc>
          <w:tcPr>
            <w:tcW w:w="310" w:type="pct"/>
            <w:tcBorders>
              <w:top w:val="single" w:color="auto" w:sz="4" w:space="0"/>
              <w:left w:val="single" w:color="auto" w:sz="4" w:space="0"/>
              <w:bottom w:val="single" w:color="auto" w:sz="4" w:space="0"/>
              <w:right w:val="single" w:color="auto" w:sz="4" w:space="0"/>
            </w:tcBorders>
            <w:noWrap w:val="0"/>
            <w:vAlign w:val="center"/>
          </w:tcPr>
          <w:p w14:paraId="75BB4C4F">
            <w:pPr>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3</w:t>
            </w:r>
          </w:p>
        </w:tc>
        <w:tc>
          <w:tcPr>
            <w:tcW w:w="548" w:type="pct"/>
            <w:tcBorders>
              <w:top w:val="single" w:color="auto" w:sz="4" w:space="0"/>
              <w:left w:val="single" w:color="auto" w:sz="4" w:space="0"/>
              <w:bottom w:val="single" w:color="auto" w:sz="4" w:space="0"/>
              <w:right w:val="single" w:color="auto" w:sz="4" w:space="0"/>
            </w:tcBorders>
            <w:noWrap w:val="0"/>
            <w:vAlign w:val="center"/>
          </w:tcPr>
          <w:p w14:paraId="7EAB760C">
            <w:pPr>
              <w:jc w:val="center"/>
              <w:rPr>
                <w:rFonts w:hint="eastAsia" w:ascii="仿宋" w:hAnsi="仿宋" w:eastAsia="仿宋" w:cs="仿宋"/>
                <w:color w:val="auto"/>
                <w:szCs w:val="21"/>
                <w:highlight w:val="none"/>
              </w:rPr>
            </w:pPr>
          </w:p>
        </w:tc>
        <w:tc>
          <w:tcPr>
            <w:tcW w:w="632" w:type="pct"/>
            <w:tcBorders>
              <w:top w:val="single" w:color="auto" w:sz="4" w:space="0"/>
              <w:left w:val="single" w:color="auto" w:sz="4" w:space="0"/>
              <w:bottom w:val="single" w:color="auto" w:sz="4" w:space="0"/>
              <w:right w:val="single" w:color="auto" w:sz="4" w:space="0"/>
            </w:tcBorders>
            <w:noWrap w:val="0"/>
            <w:vAlign w:val="center"/>
          </w:tcPr>
          <w:p w14:paraId="265FB64E">
            <w:pPr>
              <w:jc w:val="center"/>
              <w:rPr>
                <w:rFonts w:hint="eastAsia" w:ascii="仿宋" w:hAnsi="仿宋" w:eastAsia="仿宋" w:cs="仿宋"/>
                <w:color w:val="auto"/>
                <w:szCs w:val="21"/>
                <w:highlight w:val="none"/>
              </w:rPr>
            </w:pPr>
          </w:p>
        </w:tc>
        <w:tc>
          <w:tcPr>
            <w:tcW w:w="687" w:type="pct"/>
            <w:tcBorders>
              <w:top w:val="single" w:color="auto" w:sz="4" w:space="0"/>
              <w:left w:val="single" w:color="auto" w:sz="4" w:space="0"/>
              <w:bottom w:val="single" w:color="auto" w:sz="4" w:space="0"/>
              <w:right w:val="single" w:color="auto" w:sz="4" w:space="0"/>
            </w:tcBorders>
            <w:noWrap w:val="0"/>
            <w:vAlign w:val="center"/>
          </w:tcPr>
          <w:p w14:paraId="0BA11A7C">
            <w:pPr>
              <w:jc w:val="center"/>
              <w:rPr>
                <w:rFonts w:hint="eastAsia" w:ascii="仿宋" w:hAnsi="仿宋" w:eastAsia="仿宋" w:cs="仿宋"/>
                <w:color w:val="auto"/>
                <w:kern w:val="0"/>
                <w:szCs w:val="21"/>
                <w:highlight w:val="none"/>
              </w:rPr>
            </w:pPr>
          </w:p>
        </w:tc>
        <w:tc>
          <w:tcPr>
            <w:tcW w:w="768" w:type="pct"/>
            <w:tcBorders>
              <w:top w:val="single" w:color="auto" w:sz="4" w:space="0"/>
              <w:left w:val="single" w:color="auto" w:sz="4" w:space="0"/>
              <w:bottom w:val="single" w:color="auto" w:sz="4" w:space="0"/>
              <w:right w:val="single" w:color="auto" w:sz="4" w:space="0"/>
            </w:tcBorders>
            <w:noWrap w:val="0"/>
            <w:vAlign w:val="center"/>
          </w:tcPr>
          <w:p w14:paraId="1A319478">
            <w:pPr>
              <w:jc w:val="center"/>
              <w:rPr>
                <w:rFonts w:hint="eastAsia" w:ascii="仿宋" w:hAnsi="仿宋" w:eastAsia="仿宋" w:cs="仿宋"/>
                <w:color w:val="auto"/>
                <w:kern w:val="0"/>
                <w:szCs w:val="21"/>
                <w:highlight w:val="none"/>
              </w:rPr>
            </w:pPr>
          </w:p>
        </w:tc>
        <w:tc>
          <w:tcPr>
            <w:tcW w:w="687" w:type="pct"/>
            <w:tcBorders>
              <w:top w:val="single" w:color="auto" w:sz="4" w:space="0"/>
              <w:left w:val="single" w:color="auto" w:sz="4" w:space="0"/>
              <w:bottom w:val="single" w:color="auto" w:sz="4" w:space="0"/>
              <w:right w:val="single" w:color="auto" w:sz="4" w:space="0"/>
            </w:tcBorders>
            <w:noWrap w:val="0"/>
            <w:vAlign w:val="top"/>
          </w:tcPr>
          <w:p w14:paraId="0ABC6021">
            <w:pPr>
              <w:jc w:val="center"/>
              <w:rPr>
                <w:rFonts w:hint="eastAsia" w:ascii="仿宋" w:hAnsi="仿宋" w:eastAsia="仿宋" w:cs="仿宋"/>
                <w:color w:val="auto"/>
                <w:kern w:val="0"/>
                <w:szCs w:val="21"/>
                <w:highlight w:val="none"/>
              </w:rPr>
            </w:pPr>
          </w:p>
        </w:tc>
        <w:tc>
          <w:tcPr>
            <w:tcW w:w="685" w:type="pct"/>
            <w:tcBorders>
              <w:top w:val="single" w:color="auto" w:sz="4" w:space="0"/>
              <w:left w:val="single" w:color="auto" w:sz="4" w:space="0"/>
              <w:bottom w:val="single" w:color="auto" w:sz="4" w:space="0"/>
              <w:right w:val="single" w:color="auto" w:sz="4" w:space="0"/>
            </w:tcBorders>
            <w:noWrap w:val="0"/>
            <w:vAlign w:val="center"/>
          </w:tcPr>
          <w:p w14:paraId="7F6A5C3A">
            <w:pPr>
              <w:jc w:val="center"/>
              <w:rPr>
                <w:rFonts w:hint="eastAsia" w:ascii="仿宋" w:hAnsi="仿宋" w:eastAsia="仿宋" w:cs="仿宋"/>
                <w:color w:val="auto"/>
                <w:kern w:val="0"/>
                <w:szCs w:val="21"/>
                <w:highlight w:val="none"/>
              </w:rPr>
            </w:pPr>
          </w:p>
        </w:tc>
        <w:tc>
          <w:tcPr>
            <w:tcW w:w="683" w:type="pct"/>
            <w:tcBorders>
              <w:top w:val="single" w:color="auto" w:sz="4" w:space="0"/>
              <w:left w:val="single" w:color="auto" w:sz="4" w:space="0"/>
              <w:bottom w:val="single" w:color="auto" w:sz="4" w:space="0"/>
              <w:right w:val="single" w:color="auto" w:sz="4" w:space="0"/>
            </w:tcBorders>
            <w:noWrap w:val="0"/>
            <w:vAlign w:val="top"/>
          </w:tcPr>
          <w:p w14:paraId="243B80FC">
            <w:pPr>
              <w:jc w:val="center"/>
              <w:rPr>
                <w:rFonts w:hint="eastAsia" w:ascii="仿宋" w:hAnsi="仿宋" w:eastAsia="仿宋" w:cs="仿宋"/>
                <w:color w:val="auto"/>
                <w:kern w:val="0"/>
                <w:szCs w:val="21"/>
                <w:highlight w:val="none"/>
              </w:rPr>
            </w:pPr>
          </w:p>
        </w:tc>
      </w:tr>
      <w:tr w14:paraId="2BBD73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jc w:val="center"/>
        </w:trPr>
        <w:tc>
          <w:tcPr>
            <w:tcW w:w="310" w:type="pct"/>
            <w:tcBorders>
              <w:top w:val="single" w:color="auto" w:sz="4" w:space="0"/>
              <w:left w:val="single" w:color="auto" w:sz="4" w:space="0"/>
              <w:bottom w:val="single" w:color="auto" w:sz="4" w:space="0"/>
              <w:right w:val="single" w:color="auto" w:sz="4" w:space="0"/>
            </w:tcBorders>
            <w:noWrap w:val="0"/>
            <w:vAlign w:val="center"/>
          </w:tcPr>
          <w:p w14:paraId="12F7D946">
            <w:pPr>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4</w:t>
            </w:r>
          </w:p>
        </w:tc>
        <w:tc>
          <w:tcPr>
            <w:tcW w:w="548" w:type="pct"/>
            <w:tcBorders>
              <w:top w:val="single" w:color="auto" w:sz="4" w:space="0"/>
              <w:left w:val="single" w:color="auto" w:sz="4" w:space="0"/>
              <w:bottom w:val="single" w:color="auto" w:sz="4" w:space="0"/>
              <w:right w:val="single" w:color="auto" w:sz="4" w:space="0"/>
            </w:tcBorders>
            <w:noWrap w:val="0"/>
            <w:vAlign w:val="center"/>
          </w:tcPr>
          <w:p w14:paraId="45C999FE">
            <w:pPr>
              <w:jc w:val="center"/>
              <w:rPr>
                <w:rFonts w:hint="eastAsia" w:ascii="仿宋" w:hAnsi="仿宋" w:eastAsia="仿宋" w:cs="仿宋"/>
                <w:color w:val="auto"/>
                <w:szCs w:val="21"/>
                <w:highlight w:val="none"/>
              </w:rPr>
            </w:pPr>
          </w:p>
        </w:tc>
        <w:tc>
          <w:tcPr>
            <w:tcW w:w="632" w:type="pct"/>
            <w:tcBorders>
              <w:top w:val="single" w:color="auto" w:sz="4" w:space="0"/>
              <w:left w:val="single" w:color="auto" w:sz="4" w:space="0"/>
              <w:bottom w:val="single" w:color="auto" w:sz="4" w:space="0"/>
              <w:right w:val="single" w:color="auto" w:sz="4" w:space="0"/>
            </w:tcBorders>
            <w:noWrap w:val="0"/>
            <w:vAlign w:val="center"/>
          </w:tcPr>
          <w:p w14:paraId="19E059E8">
            <w:pPr>
              <w:jc w:val="center"/>
              <w:rPr>
                <w:rFonts w:hint="eastAsia" w:ascii="仿宋" w:hAnsi="仿宋" w:eastAsia="仿宋" w:cs="仿宋"/>
                <w:color w:val="auto"/>
                <w:szCs w:val="21"/>
                <w:highlight w:val="none"/>
              </w:rPr>
            </w:pPr>
          </w:p>
        </w:tc>
        <w:tc>
          <w:tcPr>
            <w:tcW w:w="687" w:type="pct"/>
            <w:tcBorders>
              <w:top w:val="single" w:color="auto" w:sz="4" w:space="0"/>
              <w:left w:val="single" w:color="auto" w:sz="4" w:space="0"/>
              <w:bottom w:val="single" w:color="auto" w:sz="4" w:space="0"/>
              <w:right w:val="single" w:color="auto" w:sz="4" w:space="0"/>
            </w:tcBorders>
            <w:noWrap w:val="0"/>
            <w:vAlign w:val="center"/>
          </w:tcPr>
          <w:p w14:paraId="1E0B5D6D">
            <w:pPr>
              <w:jc w:val="center"/>
              <w:rPr>
                <w:rFonts w:hint="eastAsia" w:ascii="仿宋" w:hAnsi="仿宋" w:eastAsia="仿宋" w:cs="仿宋"/>
                <w:color w:val="auto"/>
                <w:kern w:val="0"/>
                <w:szCs w:val="21"/>
                <w:highlight w:val="none"/>
              </w:rPr>
            </w:pPr>
          </w:p>
        </w:tc>
        <w:tc>
          <w:tcPr>
            <w:tcW w:w="768" w:type="pct"/>
            <w:tcBorders>
              <w:top w:val="single" w:color="auto" w:sz="4" w:space="0"/>
              <w:left w:val="single" w:color="auto" w:sz="4" w:space="0"/>
              <w:bottom w:val="single" w:color="auto" w:sz="4" w:space="0"/>
              <w:right w:val="single" w:color="auto" w:sz="4" w:space="0"/>
            </w:tcBorders>
            <w:noWrap w:val="0"/>
            <w:vAlign w:val="center"/>
          </w:tcPr>
          <w:p w14:paraId="7ADA0BEB">
            <w:pPr>
              <w:jc w:val="center"/>
              <w:rPr>
                <w:rFonts w:hint="eastAsia" w:ascii="仿宋" w:hAnsi="仿宋" w:eastAsia="仿宋" w:cs="仿宋"/>
                <w:color w:val="auto"/>
                <w:kern w:val="0"/>
                <w:szCs w:val="21"/>
                <w:highlight w:val="none"/>
              </w:rPr>
            </w:pPr>
          </w:p>
        </w:tc>
        <w:tc>
          <w:tcPr>
            <w:tcW w:w="687" w:type="pct"/>
            <w:tcBorders>
              <w:top w:val="single" w:color="auto" w:sz="4" w:space="0"/>
              <w:left w:val="single" w:color="auto" w:sz="4" w:space="0"/>
              <w:bottom w:val="single" w:color="auto" w:sz="4" w:space="0"/>
              <w:right w:val="single" w:color="auto" w:sz="4" w:space="0"/>
            </w:tcBorders>
            <w:noWrap w:val="0"/>
            <w:vAlign w:val="top"/>
          </w:tcPr>
          <w:p w14:paraId="56A1DE68">
            <w:pPr>
              <w:jc w:val="center"/>
              <w:rPr>
                <w:rFonts w:hint="eastAsia" w:ascii="仿宋" w:hAnsi="仿宋" w:eastAsia="仿宋" w:cs="仿宋"/>
                <w:color w:val="auto"/>
                <w:kern w:val="0"/>
                <w:szCs w:val="21"/>
                <w:highlight w:val="none"/>
              </w:rPr>
            </w:pPr>
          </w:p>
        </w:tc>
        <w:tc>
          <w:tcPr>
            <w:tcW w:w="685" w:type="pct"/>
            <w:tcBorders>
              <w:top w:val="single" w:color="auto" w:sz="4" w:space="0"/>
              <w:left w:val="single" w:color="auto" w:sz="4" w:space="0"/>
              <w:bottom w:val="single" w:color="auto" w:sz="4" w:space="0"/>
              <w:right w:val="single" w:color="auto" w:sz="4" w:space="0"/>
            </w:tcBorders>
            <w:noWrap w:val="0"/>
            <w:vAlign w:val="center"/>
          </w:tcPr>
          <w:p w14:paraId="22E15C4B">
            <w:pPr>
              <w:jc w:val="center"/>
              <w:rPr>
                <w:rFonts w:hint="eastAsia" w:ascii="仿宋" w:hAnsi="仿宋" w:eastAsia="仿宋" w:cs="仿宋"/>
                <w:color w:val="auto"/>
                <w:kern w:val="0"/>
                <w:szCs w:val="21"/>
                <w:highlight w:val="none"/>
              </w:rPr>
            </w:pPr>
          </w:p>
        </w:tc>
        <w:tc>
          <w:tcPr>
            <w:tcW w:w="683" w:type="pct"/>
            <w:tcBorders>
              <w:top w:val="single" w:color="auto" w:sz="4" w:space="0"/>
              <w:left w:val="single" w:color="auto" w:sz="4" w:space="0"/>
              <w:bottom w:val="single" w:color="auto" w:sz="4" w:space="0"/>
              <w:right w:val="single" w:color="auto" w:sz="4" w:space="0"/>
            </w:tcBorders>
            <w:noWrap w:val="0"/>
            <w:vAlign w:val="top"/>
          </w:tcPr>
          <w:p w14:paraId="6E6083EF">
            <w:pPr>
              <w:jc w:val="center"/>
              <w:rPr>
                <w:rFonts w:hint="eastAsia" w:ascii="仿宋" w:hAnsi="仿宋" w:eastAsia="仿宋" w:cs="仿宋"/>
                <w:color w:val="auto"/>
                <w:kern w:val="0"/>
                <w:szCs w:val="21"/>
                <w:highlight w:val="none"/>
              </w:rPr>
            </w:pPr>
          </w:p>
        </w:tc>
      </w:tr>
      <w:tr w14:paraId="4CF93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jc w:val="center"/>
        </w:trPr>
        <w:tc>
          <w:tcPr>
            <w:tcW w:w="310" w:type="pct"/>
            <w:tcBorders>
              <w:top w:val="single" w:color="auto" w:sz="4" w:space="0"/>
              <w:left w:val="single" w:color="auto" w:sz="4" w:space="0"/>
              <w:bottom w:val="single" w:color="auto" w:sz="4" w:space="0"/>
              <w:right w:val="single" w:color="auto" w:sz="4" w:space="0"/>
            </w:tcBorders>
            <w:noWrap w:val="0"/>
            <w:vAlign w:val="center"/>
          </w:tcPr>
          <w:p w14:paraId="001ECB64">
            <w:pPr>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5</w:t>
            </w:r>
          </w:p>
        </w:tc>
        <w:tc>
          <w:tcPr>
            <w:tcW w:w="548" w:type="pct"/>
            <w:tcBorders>
              <w:top w:val="single" w:color="auto" w:sz="4" w:space="0"/>
              <w:left w:val="single" w:color="auto" w:sz="4" w:space="0"/>
              <w:bottom w:val="single" w:color="auto" w:sz="4" w:space="0"/>
              <w:right w:val="single" w:color="auto" w:sz="4" w:space="0"/>
            </w:tcBorders>
            <w:noWrap w:val="0"/>
            <w:vAlign w:val="center"/>
          </w:tcPr>
          <w:p w14:paraId="7635C983">
            <w:pPr>
              <w:jc w:val="center"/>
              <w:rPr>
                <w:rFonts w:hint="eastAsia" w:ascii="仿宋" w:hAnsi="仿宋" w:eastAsia="仿宋" w:cs="仿宋"/>
                <w:color w:val="auto"/>
                <w:szCs w:val="21"/>
                <w:highlight w:val="none"/>
              </w:rPr>
            </w:pPr>
          </w:p>
        </w:tc>
        <w:tc>
          <w:tcPr>
            <w:tcW w:w="632" w:type="pct"/>
            <w:tcBorders>
              <w:top w:val="single" w:color="auto" w:sz="4" w:space="0"/>
              <w:left w:val="single" w:color="auto" w:sz="4" w:space="0"/>
              <w:bottom w:val="single" w:color="auto" w:sz="4" w:space="0"/>
              <w:right w:val="single" w:color="auto" w:sz="4" w:space="0"/>
            </w:tcBorders>
            <w:noWrap w:val="0"/>
            <w:vAlign w:val="center"/>
          </w:tcPr>
          <w:p w14:paraId="539C0830">
            <w:pPr>
              <w:jc w:val="center"/>
              <w:rPr>
                <w:rFonts w:hint="eastAsia" w:ascii="仿宋" w:hAnsi="仿宋" w:eastAsia="仿宋" w:cs="仿宋"/>
                <w:color w:val="auto"/>
                <w:szCs w:val="21"/>
                <w:highlight w:val="none"/>
              </w:rPr>
            </w:pPr>
          </w:p>
        </w:tc>
        <w:tc>
          <w:tcPr>
            <w:tcW w:w="687" w:type="pct"/>
            <w:tcBorders>
              <w:top w:val="single" w:color="auto" w:sz="4" w:space="0"/>
              <w:left w:val="single" w:color="auto" w:sz="4" w:space="0"/>
              <w:bottom w:val="single" w:color="auto" w:sz="4" w:space="0"/>
              <w:right w:val="single" w:color="auto" w:sz="4" w:space="0"/>
            </w:tcBorders>
            <w:noWrap w:val="0"/>
            <w:vAlign w:val="center"/>
          </w:tcPr>
          <w:p w14:paraId="59898E3D">
            <w:pPr>
              <w:jc w:val="center"/>
              <w:rPr>
                <w:rFonts w:hint="eastAsia" w:ascii="仿宋" w:hAnsi="仿宋" w:eastAsia="仿宋" w:cs="仿宋"/>
                <w:color w:val="auto"/>
                <w:kern w:val="0"/>
                <w:szCs w:val="21"/>
                <w:highlight w:val="none"/>
              </w:rPr>
            </w:pPr>
          </w:p>
        </w:tc>
        <w:tc>
          <w:tcPr>
            <w:tcW w:w="768" w:type="pct"/>
            <w:tcBorders>
              <w:top w:val="single" w:color="auto" w:sz="4" w:space="0"/>
              <w:left w:val="single" w:color="auto" w:sz="4" w:space="0"/>
              <w:bottom w:val="single" w:color="auto" w:sz="4" w:space="0"/>
              <w:right w:val="single" w:color="auto" w:sz="4" w:space="0"/>
            </w:tcBorders>
            <w:noWrap w:val="0"/>
            <w:vAlign w:val="center"/>
          </w:tcPr>
          <w:p w14:paraId="4387EAA1">
            <w:pPr>
              <w:jc w:val="center"/>
              <w:rPr>
                <w:rFonts w:hint="eastAsia" w:ascii="仿宋" w:hAnsi="仿宋" w:eastAsia="仿宋" w:cs="仿宋"/>
                <w:color w:val="auto"/>
                <w:kern w:val="0"/>
                <w:szCs w:val="21"/>
                <w:highlight w:val="none"/>
              </w:rPr>
            </w:pPr>
          </w:p>
        </w:tc>
        <w:tc>
          <w:tcPr>
            <w:tcW w:w="687" w:type="pct"/>
            <w:tcBorders>
              <w:top w:val="single" w:color="auto" w:sz="4" w:space="0"/>
              <w:left w:val="single" w:color="auto" w:sz="4" w:space="0"/>
              <w:bottom w:val="single" w:color="auto" w:sz="4" w:space="0"/>
              <w:right w:val="single" w:color="auto" w:sz="4" w:space="0"/>
            </w:tcBorders>
            <w:noWrap w:val="0"/>
            <w:vAlign w:val="top"/>
          </w:tcPr>
          <w:p w14:paraId="61D65D0D">
            <w:pPr>
              <w:jc w:val="center"/>
              <w:rPr>
                <w:rFonts w:hint="eastAsia" w:ascii="仿宋" w:hAnsi="仿宋" w:eastAsia="仿宋" w:cs="仿宋"/>
                <w:color w:val="auto"/>
                <w:kern w:val="0"/>
                <w:szCs w:val="21"/>
                <w:highlight w:val="none"/>
              </w:rPr>
            </w:pPr>
          </w:p>
        </w:tc>
        <w:tc>
          <w:tcPr>
            <w:tcW w:w="685" w:type="pct"/>
            <w:tcBorders>
              <w:top w:val="single" w:color="auto" w:sz="4" w:space="0"/>
              <w:left w:val="single" w:color="auto" w:sz="4" w:space="0"/>
              <w:bottom w:val="single" w:color="auto" w:sz="4" w:space="0"/>
              <w:right w:val="single" w:color="auto" w:sz="4" w:space="0"/>
            </w:tcBorders>
            <w:noWrap w:val="0"/>
            <w:vAlign w:val="center"/>
          </w:tcPr>
          <w:p w14:paraId="19371EAD">
            <w:pPr>
              <w:jc w:val="center"/>
              <w:rPr>
                <w:rFonts w:hint="eastAsia" w:ascii="仿宋" w:hAnsi="仿宋" w:eastAsia="仿宋" w:cs="仿宋"/>
                <w:color w:val="auto"/>
                <w:kern w:val="0"/>
                <w:szCs w:val="21"/>
                <w:highlight w:val="none"/>
              </w:rPr>
            </w:pPr>
          </w:p>
        </w:tc>
        <w:tc>
          <w:tcPr>
            <w:tcW w:w="683" w:type="pct"/>
            <w:tcBorders>
              <w:top w:val="single" w:color="auto" w:sz="4" w:space="0"/>
              <w:left w:val="single" w:color="auto" w:sz="4" w:space="0"/>
              <w:bottom w:val="single" w:color="auto" w:sz="4" w:space="0"/>
              <w:right w:val="single" w:color="auto" w:sz="4" w:space="0"/>
            </w:tcBorders>
            <w:noWrap w:val="0"/>
            <w:vAlign w:val="top"/>
          </w:tcPr>
          <w:p w14:paraId="4AD8A1C9">
            <w:pPr>
              <w:jc w:val="center"/>
              <w:rPr>
                <w:rFonts w:hint="eastAsia" w:ascii="仿宋" w:hAnsi="仿宋" w:eastAsia="仿宋" w:cs="仿宋"/>
                <w:color w:val="auto"/>
                <w:kern w:val="0"/>
                <w:szCs w:val="21"/>
                <w:highlight w:val="none"/>
              </w:rPr>
            </w:pPr>
          </w:p>
        </w:tc>
      </w:tr>
      <w:tr w14:paraId="25AC7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jc w:val="center"/>
        </w:trPr>
        <w:tc>
          <w:tcPr>
            <w:tcW w:w="310" w:type="pct"/>
            <w:tcBorders>
              <w:top w:val="single" w:color="auto" w:sz="4" w:space="0"/>
              <w:left w:val="single" w:color="auto" w:sz="4" w:space="0"/>
              <w:bottom w:val="single" w:color="auto" w:sz="4" w:space="0"/>
              <w:right w:val="single" w:color="auto" w:sz="4" w:space="0"/>
            </w:tcBorders>
            <w:noWrap w:val="0"/>
            <w:vAlign w:val="center"/>
          </w:tcPr>
          <w:p w14:paraId="2FFD147E">
            <w:pPr>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6</w:t>
            </w:r>
          </w:p>
        </w:tc>
        <w:tc>
          <w:tcPr>
            <w:tcW w:w="548" w:type="pct"/>
            <w:tcBorders>
              <w:top w:val="single" w:color="auto" w:sz="4" w:space="0"/>
              <w:left w:val="single" w:color="auto" w:sz="4" w:space="0"/>
              <w:bottom w:val="single" w:color="auto" w:sz="4" w:space="0"/>
              <w:right w:val="single" w:color="auto" w:sz="4" w:space="0"/>
            </w:tcBorders>
            <w:noWrap w:val="0"/>
            <w:vAlign w:val="center"/>
          </w:tcPr>
          <w:p w14:paraId="3FB41C07">
            <w:pPr>
              <w:jc w:val="center"/>
              <w:rPr>
                <w:rFonts w:hint="eastAsia" w:ascii="仿宋" w:hAnsi="仿宋" w:eastAsia="仿宋" w:cs="仿宋"/>
                <w:color w:val="auto"/>
                <w:szCs w:val="21"/>
                <w:highlight w:val="none"/>
              </w:rPr>
            </w:pPr>
          </w:p>
        </w:tc>
        <w:tc>
          <w:tcPr>
            <w:tcW w:w="632" w:type="pct"/>
            <w:tcBorders>
              <w:top w:val="single" w:color="auto" w:sz="4" w:space="0"/>
              <w:left w:val="single" w:color="auto" w:sz="4" w:space="0"/>
              <w:bottom w:val="single" w:color="auto" w:sz="4" w:space="0"/>
              <w:right w:val="single" w:color="auto" w:sz="4" w:space="0"/>
            </w:tcBorders>
            <w:noWrap w:val="0"/>
            <w:vAlign w:val="center"/>
          </w:tcPr>
          <w:p w14:paraId="678CC8CD">
            <w:pPr>
              <w:jc w:val="center"/>
              <w:rPr>
                <w:rFonts w:hint="eastAsia" w:ascii="仿宋" w:hAnsi="仿宋" w:eastAsia="仿宋" w:cs="仿宋"/>
                <w:color w:val="auto"/>
                <w:szCs w:val="21"/>
                <w:highlight w:val="none"/>
              </w:rPr>
            </w:pPr>
          </w:p>
        </w:tc>
        <w:tc>
          <w:tcPr>
            <w:tcW w:w="687" w:type="pct"/>
            <w:tcBorders>
              <w:top w:val="single" w:color="auto" w:sz="4" w:space="0"/>
              <w:left w:val="single" w:color="auto" w:sz="4" w:space="0"/>
              <w:bottom w:val="single" w:color="auto" w:sz="4" w:space="0"/>
              <w:right w:val="single" w:color="auto" w:sz="4" w:space="0"/>
            </w:tcBorders>
            <w:noWrap w:val="0"/>
            <w:vAlign w:val="center"/>
          </w:tcPr>
          <w:p w14:paraId="163776C4">
            <w:pPr>
              <w:jc w:val="center"/>
              <w:rPr>
                <w:rFonts w:hint="eastAsia" w:ascii="仿宋" w:hAnsi="仿宋" w:eastAsia="仿宋" w:cs="仿宋"/>
                <w:color w:val="auto"/>
                <w:kern w:val="0"/>
                <w:szCs w:val="21"/>
                <w:highlight w:val="none"/>
              </w:rPr>
            </w:pPr>
          </w:p>
        </w:tc>
        <w:tc>
          <w:tcPr>
            <w:tcW w:w="768" w:type="pct"/>
            <w:tcBorders>
              <w:top w:val="single" w:color="auto" w:sz="4" w:space="0"/>
              <w:left w:val="single" w:color="auto" w:sz="4" w:space="0"/>
              <w:bottom w:val="single" w:color="auto" w:sz="4" w:space="0"/>
              <w:right w:val="single" w:color="auto" w:sz="4" w:space="0"/>
            </w:tcBorders>
            <w:noWrap w:val="0"/>
            <w:vAlign w:val="center"/>
          </w:tcPr>
          <w:p w14:paraId="2419E514">
            <w:pPr>
              <w:jc w:val="center"/>
              <w:rPr>
                <w:rFonts w:hint="eastAsia" w:ascii="仿宋" w:hAnsi="仿宋" w:eastAsia="仿宋" w:cs="仿宋"/>
                <w:color w:val="auto"/>
                <w:kern w:val="0"/>
                <w:szCs w:val="21"/>
                <w:highlight w:val="none"/>
              </w:rPr>
            </w:pPr>
          </w:p>
        </w:tc>
        <w:tc>
          <w:tcPr>
            <w:tcW w:w="687" w:type="pct"/>
            <w:tcBorders>
              <w:top w:val="single" w:color="auto" w:sz="4" w:space="0"/>
              <w:left w:val="single" w:color="auto" w:sz="4" w:space="0"/>
              <w:bottom w:val="single" w:color="auto" w:sz="4" w:space="0"/>
              <w:right w:val="single" w:color="auto" w:sz="4" w:space="0"/>
            </w:tcBorders>
            <w:noWrap w:val="0"/>
            <w:vAlign w:val="top"/>
          </w:tcPr>
          <w:p w14:paraId="1FC95E87">
            <w:pPr>
              <w:jc w:val="center"/>
              <w:rPr>
                <w:rFonts w:hint="eastAsia" w:ascii="仿宋" w:hAnsi="仿宋" w:eastAsia="仿宋" w:cs="仿宋"/>
                <w:color w:val="auto"/>
                <w:kern w:val="0"/>
                <w:szCs w:val="21"/>
                <w:highlight w:val="none"/>
              </w:rPr>
            </w:pPr>
          </w:p>
        </w:tc>
        <w:tc>
          <w:tcPr>
            <w:tcW w:w="685" w:type="pct"/>
            <w:tcBorders>
              <w:top w:val="single" w:color="auto" w:sz="4" w:space="0"/>
              <w:left w:val="single" w:color="auto" w:sz="4" w:space="0"/>
              <w:bottom w:val="single" w:color="auto" w:sz="4" w:space="0"/>
              <w:right w:val="single" w:color="auto" w:sz="4" w:space="0"/>
            </w:tcBorders>
            <w:noWrap w:val="0"/>
            <w:vAlign w:val="center"/>
          </w:tcPr>
          <w:p w14:paraId="4A6C3A57">
            <w:pPr>
              <w:jc w:val="center"/>
              <w:rPr>
                <w:rFonts w:hint="eastAsia" w:ascii="仿宋" w:hAnsi="仿宋" w:eastAsia="仿宋" w:cs="仿宋"/>
                <w:color w:val="auto"/>
                <w:kern w:val="0"/>
                <w:szCs w:val="21"/>
                <w:highlight w:val="none"/>
              </w:rPr>
            </w:pPr>
          </w:p>
        </w:tc>
        <w:tc>
          <w:tcPr>
            <w:tcW w:w="683" w:type="pct"/>
            <w:tcBorders>
              <w:top w:val="single" w:color="auto" w:sz="4" w:space="0"/>
              <w:left w:val="single" w:color="auto" w:sz="4" w:space="0"/>
              <w:bottom w:val="single" w:color="auto" w:sz="4" w:space="0"/>
              <w:right w:val="single" w:color="auto" w:sz="4" w:space="0"/>
            </w:tcBorders>
            <w:noWrap w:val="0"/>
            <w:vAlign w:val="top"/>
          </w:tcPr>
          <w:p w14:paraId="10EAC6D3">
            <w:pPr>
              <w:jc w:val="center"/>
              <w:rPr>
                <w:rFonts w:hint="eastAsia" w:ascii="仿宋" w:hAnsi="仿宋" w:eastAsia="仿宋" w:cs="仿宋"/>
                <w:color w:val="auto"/>
                <w:kern w:val="0"/>
                <w:szCs w:val="21"/>
                <w:highlight w:val="none"/>
              </w:rPr>
            </w:pPr>
          </w:p>
        </w:tc>
      </w:tr>
      <w:tr w14:paraId="54F91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jc w:val="center"/>
        </w:trPr>
        <w:tc>
          <w:tcPr>
            <w:tcW w:w="310" w:type="pct"/>
            <w:tcBorders>
              <w:top w:val="single" w:color="auto" w:sz="4" w:space="0"/>
              <w:left w:val="single" w:color="auto" w:sz="4" w:space="0"/>
              <w:bottom w:val="single" w:color="auto" w:sz="4" w:space="0"/>
              <w:right w:val="single" w:color="auto" w:sz="4" w:space="0"/>
            </w:tcBorders>
            <w:noWrap w:val="0"/>
            <w:vAlign w:val="center"/>
          </w:tcPr>
          <w:p w14:paraId="2449D192">
            <w:pPr>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7</w:t>
            </w:r>
          </w:p>
        </w:tc>
        <w:tc>
          <w:tcPr>
            <w:tcW w:w="548" w:type="pct"/>
            <w:tcBorders>
              <w:top w:val="single" w:color="auto" w:sz="4" w:space="0"/>
              <w:left w:val="single" w:color="auto" w:sz="4" w:space="0"/>
              <w:bottom w:val="single" w:color="auto" w:sz="4" w:space="0"/>
              <w:right w:val="single" w:color="auto" w:sz="4" w:space="0"/>
            </w:tcBorders>
            <w:noWrap w:val="0"/>
            <w:vAlign w:val="center"/>
          </w:tcPr>
          <w:p w14:paraId="413625C1">
            <w:pPr>
              <w:jc w:val="center"/>
              <w:rPr>
                <w:rFonts w:hint="eastAsia" w:ascii="仿宋" w:hAnsi="仿宋" w:eastAsia="仿宋" w:cs="仿宋"/>
                <w:color w:val="auto"/>
                <w:szCs w:val="21"/>
                <w:highlight w:val="none"/>
              </w:rPr>
            </w:pPr>
          </w:p>
        </w:tc>
        <w:tc>
          <w:tcPr>
            <w:tcW w:w="632" w:type="pct"/>
            <w:tcBorders>
              <w:top w:val="single" w:color="auto" w:sz="4" w:space="0"/>
              <w:left w:val="single" w:color="auto" w:sz="4" w:space="0"/>
              <w:bottom w:val="single" w:color="auto" w:sz="4" w:space="0"/>
              <w:right w:val="single" w:color="auto" w:sz="4" w:space="0"/>
            </w:tcBorders>
            <w:noWrap w:val="0"/>
            <w:vAlign w:val="center"/>
          </w:tcPr>
          <w:p w14:paraId="25D3FC47">
            <w:pPr>
              <w:jc w:val="center"/>
              <w:rPr>
                <w:rFonts w:hint="eastAsia" w:ascii="仿宋" w:hAnsi="仿宋" w:eastAsia="仿宋" w:cs="仿宋"/>
                <w:color w:val="auto"/>
                <w:szCs w:val="21"/>
                <w:highlight w:val="none"/>
              </w:rPr>
            </w:pPr>
          </w:p>
        </w:tc>
        <w:tc>
          <w:tcPr>
            <w:tcW w:w="687" w:type="pct"/>
            <w:tcBorders>
              <w:top w:val="single" w:color="auto" w:sz="4" w:space="0"/>
              <w:left w:val="single" w:color="auto" w:sz="4" w:space="0"/>
              <w:bottom w:val="single" w:color="auto" w:sz="4" w:space="0"/>
              <w:right w:val="single" w:color="auto" w:sz="4" w:space="0"/>
            </w:tcBorders>
            <w:noWrap w:val="0"/>
            <w:vAlign w:val="center"/>
          </w:tcPr>
          <w:p w14:paraId="74157CD5">
            <w:pPr>
              <w:jc w:val="center"/>
              <w:rPr>
                <w:rFonts w:hint="eastAsia" w:ascii="仿宋" w:hAnsi="仿宋" w:eastAsia="仿宋" w:cs="仿宋"/>
                <w:color w:val="auto"/>
                <w:kern w:val="0"/>
                <w:szCs w:val="21"/>
                <w:highlight w:val="none"/>
              </w:rPr>
            </w:pPr>
          </w:p>
        </w:tc>
        <w:tc>
          <w:tcPr>
            <w:tcW w:w="768" w:type="pct"/>
            <w:tcBorders>
              <w:top w:val="single" w:color="auto" w:sz="4" w:space="0"/>
              <w:left w:val="single" w:color="auto" w:sz="4" w:space="0"/>
              <w:bottom w:val="single" w:color="auto" w:sz="4" w:space="0"/>
              <w:right w:val="single" w:color="auto" w:sz="4" w:space="0"/>
            </w:tcBorders>
            <w:noWrap w:val="0"/>
            <w:vAlign w:val="center"/>
          </w:tcPr>
          <w:p w14:paraId="3FDDD0E9">
            <w:pPr>
              <w:jc w:val="center"/>
              <w:rPr>
                <w:rFonts w:hint="eastAsia" w:ascii="仿宋" w:hAnsi="仿宋" w:eastAsia="仿宋" w:cs="仿宋"/>
                <w:color w:val="auto"/>
                <w:kern w:val="0"/>
                <w:szCs w:val="21"/>
                <w:highlight w:val="none"/>
              </w:rPr>
            </w:pPr>
          </w:p>
        </w:tc>
        <w:tc>
          <w:tcPr>
            <w:tcW w:w="687" w:type="pct"/>
            <w:tcBorders>
              <w:top w:val="single" w:color="auto" w:sz="4" w:space="0"/>
              <w:left w:val="single" w:color="auto" w:sz="4" w:space="0"/>
              <w:bottom w:val="single" w:color="auto" w:sz="4" w:space="0"/>
              <w:right w:val="single" w:color="auto" w:sz="4" w:space="0"/>
            </w:tcBorders>
            <w:noWrap w:val="0"/>
            <w:vAlign w:val="top"/>
          </w:tcPr>
          <w:p w14:paraId="578C5036">
            <w:pPr>
              <w:jc w:val="center"/>
              <w:rPr>
                <w:rFonts w:hint="eastAsia" w:ascii="仿宋" w:hAnsi="仿宋" w:eastAsia="仿宋" w:cs="仿宋"/>
                <w:color w:val="auto"/>
                <w:kern w:val="0"/>
                <w:szCs w:val="21"/>
                <w:highlight w:val="none"/>
              </w:rPr>
            </w:pPr>
          </w:p>
        </w:tc>
        <w:tc>
          <w:tcPr>
            <w:tcW w:w="685" w:type="pct"/>
            <w:tcBorders>
              <w:top w:val="single" w:color="auto" w:sz="4" w:space="0"/>
              <w:left w:val="single" w:color="auto" w:sz="4" w:space="0"/>
              <w:bottom w:val="single" w:color="auto" w:sz="4" w:space="0"/>
              <w:right w:val="single" w:color="auto" w:sz="4" w:space="0"/>
            </w:tcBorders>
            <w:noWrap w:val="0"/>
            <w:vAlign w:val="center"/>
          </w:tcPr>
          <w:p w14:paraId="7BD16EA5">
            <w:pPr>
              <w:jc w:val="center"/>
              <w:rPr>
                <w:rFonts w:hint="eastAsia" w:ascii="仿宋" w:hAnsi="仿宋" w:eastAsia="仿宋" w:cs="仿宋"/>
                <w:color w:val="auto"/>
                <w:kern w:val="0"/>
                <w:szCs w:val="21"/>
                <w:highlight w:val="none"/>
              </w:rPr>
            </w:pPr>
          </w:p>
        </w:tc>
        <w:tc>
          <w:tcPr>
            <w:tcW w:w="683" w:type="pct"/>
            <w:tcBorders>
              <w:top w:val="single" w:color="auto" w:sz="4" w:space="0"/>
              <w:left w:val="single" w:color="auto" w:sz="4" w:space="0"/>
              <w:bottom w:val="single" w:color="auto" w:sz="4" w:space="0"/>
              <w:right w:val="single" w:color="auto" w:sz="4" w:space="0"/>
            </w:tcBorders>
            <w:noWrap w:val="0"/>
            <w:vAlign w:val="top"/>
          </w:tcPr>
          <w:p w14:paraId="7E47F055">
            <w:pPr>
              <w:jc w:val="center"/>
              <w:rPr>
                <w:rFonts w:hint="eastAsia" w:ascii="仿宋" w:hAnsi="仿宋" w:eastAsia="仿宋" w:cs="仿宋"/>
                <w:color w:val="auto"/>
                <w:kern w:val="0"/>
                <w:szCs w:val="21"/>
                <w:highlight w:val="none"/>
              </w:rPr>
            </w:pPr>
          </w:p>
        </w:tc>
      </w:tr>
    </w:tbl>
    <w:p w14:paraId="5EC81B7C">
      <w:pPr>
        <w:pStyle w:val="30"/>
        <w:rPr>
          <w:rFonts w:hint="eastAsia"/>
          <w:color w:val="auto"/>
          <w:highlight w:val="none"/>
        </w:rPr>
      </w:pPr>
    </w:p>
    <w:p w14:paraId="50EB3A12">
      <w:pPr>
        <w:keepNext w:val="0"/>
        <w:keepLines w:val="0"/>
        <w:pageBreakBefore w:val="0"/>
        <w:kinsoku/>
        <w:wordWrap/>
        <w:topLinePunct w:val="0"/>
        <w:bidi w:val="0"/>
        <w:snapToGrid/>
        <w:spacing w:line="360" w:lineRule="auto"/>
        <w:ind w:firstLine="422" w:firstLineChars="200"/>
        <w:outlineLvl w:val="0"/>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lang w:val="en-US" w:eastAsia="zh-CN"/>
        </w:rPr>
        <w:t>附件三：</w:t>
      </w:r>
      <w:r>
        <w:rPr>
          <w:rFonts w:hint="eastAsia" w:ascii="仿宋" w:hAnsi="仿宋" w:eastAsia="仿宋" w:cs="仿宋"/>
          <w:b/>
          <w:bCs/>
          <w:color w:val="auto"/>
          <w:sz w:val="21"/>
          <w:szCs w:val="21"/>
          <w:highlight w:val="none"/>
        </w:rPr>
        <w:t>考核</w:t>
      </w:r>
    </w:p>
    <w:p w14:paraId="683A6489">
      <w:pPr>
        <w:snapToGrid w:val="0"/>
        <w:spacing w:line="360" w:lineRule="auto"/>
        <w:ind w:firstLine="420" w:firstLineChars="200"/>
        <w:rPr>
          <w:rFonts w:ascii="仿宋" w:hAnsi="仿宋" w:eastAsia="仿宋" w:cs="仿宋"/>
          <w:color w:val="auto"/>
          <w:szCs w:val="21"/>
          <w:highlight w:val="none"/>
          <w:u w:val="single"/>
          <w:lang w:val="zh-CN"/>
        </w:rPr>
      </w:pPr>
      <w:r>
        <w:rPr>
          <w:rFonts w:hint="eastAsia" w:ascii="仿宋" w:hAnsi="仿宋" w:eastAsia="仿宋" w:cs="仿宋"/>
          <w:color w:val="auto"/>
          <w:szCs w:val="21"/>
          <w:highlight w:val="none"/>
          <w:u w:val="single"/>
          <w:lang w:val="zh-CN"/>
        </w:rPr>
        <w:t>乙方履行项目服务工作内容，甲方负责乙方的管理指导、验收考核等职责，督促其履行合同。</w:t>
      </w:r>
    </w:p>
    <w:p w14:paraId="3EAD0C8D">
      <w:pPr>
        <w:snapToGrid w:val="0"/>
        <w:spacing w:line="360" w:lineRule="auto"/>
        <w:ind w:firstLine="420" w:firstLineChars="200"/>
        <w:rPr>
          <w:rFonts w:ascii="仿宋" w:hAnsi="仿宋" w:eastAsia="仿宋" w:cs="仿宋"/>
          <w:color w:val="auto"/>
          <w:szCs w:val="21"/>
          <w:highlight w:val="none"/>
          <w:u w:val="single"/>
          <w:lang w:val="zh-CN"/>
        </w:rPr>
      </w:pPr>
      <w:r>
        <w:rPr>
          <w:rFonts w:hint="eastAsia" w:ascii="仿宋" w:hAnsi="仿宋" w:eastAsia="仿宋" w:cs="仿宋"/>
          <w:color w:val="auto"/>
          <w:szCs w:val="21"/>
          <w:highlight w:val="none"/>
          <w:u w:val="single"/>
          <w:lang w:val="zh-CN"/>
        </w:rPr>
        <w:t>本考核以每月为考核周期，采用百分制计分方式，甲方</w:t>
      </w:r>
      <w:r>
        <w:rPr>
          <w:rFonts w:ascii="仿宋" w:hAnsi="仿宋" w:eastAsia="仿宋" w:cs="仿宋"/>
          <w:color w:val="auto"/>
          <w:szCs w:val="21"/>
          <w:highlight w:val="none"/>
          <w:u w:val="single"/>
          <w:lang w:val="zh-CN"/>
        </w:rPr>
        <w:t>根据逐条考核事项及对应扣分对</w:t>
      </w:r>
      <w:r>
        <w:rPr>
          <w:rFonts w:hint="eastAsia" w:ascii="仿宋" w:hAnsi="仿宋" w:eastAsia="仿宋" w:cs="仿宋"/>
          <w:color w:val="auto"/>
          <w:szCs w:val="21"/>
          <w:highlight w:val="none"/>
          <w:u w:val="single"/>
          <w:lang w:val="zh-CN"/>
        </w:rPr>
        <w:t>乙方</w:t>
      </w:r>
      <w:r>
        <w:rPr>
          <w:rFonts w:ascii="仿宋" w:hAnsi="仿宋" w:eastAsia="仿宋" w:cs="仿宋"/>
          <w:color w:val="auto"/>
          <w:szCs w:val="21"/>
          <w:highlight w:val="none"/>
          <w:u w:val="single"/>
          <w:lang w:val="zh-CN"/>
        </w:rPr>
        <w:t>（人员）进行计分。</w:t>
      </w:r>
      <w:r>
        <w:rPr>
          <w:rFonts w:hint="eastAsia" w:ascii="仿宋" w:hAnsi="仿宋" w:eastAsia="仿宋" w:cs="仿宋"/>
          <w:color w:val="auto"/>
          <w:szCs w:val="21"/>
          <w:highlight w:val="none"/>
          <w:u w:val="single"/>
          <w:lang w:val="zh-CN"/>
        </w:rPr>
        <w:t>乙方</w:t>
      </w:r>
      <w:r>
        <w:rPr>
          <w:rFonts w:ascii="仿宋" w:hAnsi="仿宋" w:eastAsia="仿宋" w:cs="仿宋"/>
          <w:color w:val="auto"/>
          <w:szCs w:val="21"/>
          <w:highlight w:val="none"/>
          <w:u w:val="single"/>
          <w:lang w:val="zh-CN"/>
        </w:rPr>
        <w:t>每被扣1分，扣除违约金1000元，违约金在结算合同</w:t>
      </w:r>
      <w:r>
        <w:rPr>
          <w:rFonts w:hint="eastAsia" w:ascii="仿宋" w:hAnsi="仿宋" w:eastAsia="仿宋" w:cs="仿宋"/>
          <w:color w:val="auto"/>
          <w:szCs w:val="21"/>
          <w:highlight w:val="none"/>
          <w:u w:val="single"/>
          <w:lang w:val="zh-CN"/>
        </w:rPr>
        <w:t>尾</w:t>
      </w:r>
      <w:r>
        <w:rPr>
          <w:rFonts w:ascii="仿宋" w:hAnsi="仿宋" w:eastAsia="仿宋" w:cs="仿宋"/>
          <w:color w:val="auto"/>
          <w:szCs w:val="21"/>
          <w:highlight w:val="none"/>
          <w:u w:val="single"/>
          <w:lang w:val="zh-CN"/>
        </w:rPr>
        <w:t>款时扣除。</w:t>
      </w:r>
      <w:r>
        <w:rPr>
          <w:rFonts w:hint="eastAsia" w:ascii="仿宋" w:hAnsi="仿宋" w:eastAsia="仿宋" w:cs="仿宋"/>
          <w:color w:val="auto"/>
          <w:szCs w:val="21"/>
          <w:highlight w:val="none"/>
          <w:u w:val="single"/>
          <w:lang w:val="zh-CN"/>
        </w:rPr>
        <w:t>考核分值高于</w:t>
      </w:r>
      <w:r>
        <w:rPr>
          <w:rFonts w:ascii="仿宋" w:hAnsi="仿宋" w:eastAsia="仿宋" w:cs="仿宋"/>
          <w:color w:val="auto"/>
          <w:szCs w:val="21"/>
          <w:highlight w:val="none"/>
          <w:u w:val="single"/>
          <w:lang w:val="zh-CN"/>
        </w:rPr>
        <w:t>90分（含90分）视为合格，90分以下视为不合格；如</w:t>
      </w:r>
      <w:r>
        <w:rPr>
          <w:rFonts w:hint="eastAsia" w:ascii="仿宋" w:hAnsi="仿宋" w:eastAsia="仿宋" w:cs="仿宋"/>
          <w:color w:val="auto"/>
          <w:szCs w:val="21"/>
          <w:highlight w:val="none"/>
          <w:u w:val="single"/>
          <w:lang w:val="zh-CN"/>
        </w:rPr>
        <w:t>乙方</w:t>
      </w:r>
      <w:r>
        <w:rPr>
          <w:rFonts w:ascii="仿宋" w:hAnsi="仿宋" w:eastAsia="仿宋" w:cs="仿宋"/>
          <w:color w:val="auto"/>
          <w:szCs w:val="21"/>
          <w:highlight w:val="none"/>
          <w:u w:val="single"/>
          <w:lang w:val="zh-CN"/>
        </w:rPr>
        <w:t>经</w:t>
      </w:r>
      <w:r>
        <w:rPr>
          <w:rFonts w:hint="eastAsia" w:ascii="仿宋" w:hAnsi="仿宋" w:eastAsia="仿宋" w:cs="仿宋"/>
          <w:color w:val="auto"/>
          <w:szCs w:val="21"/>
          <w:highlight w:val="none"/>
          <w:u w:val="single"/>
          <w:lang w:val="zh-CN"/>
        </w:rPr>
        <w:t>甲方</w:t>
      </w:r>
      <w:r>
        <w:rPr>
          <w:rFonts w:ascii="仿宋" w:hAnsi="仿宋" w:eastAsia="仿宋" w:cs="仿宋"/>
          <w:color w:val="auto"/>
          <w:szCs w:val="21"/>
          <w:highlight w:val="none"/>
          <w:u w:val="single"/>
          <w:lang w:val="zh-CN"/>
        </w:rPr>
        <w:t>考</w:t>
      </w:r>
      <w:r>
        <w:rPr>
          <w:rFonts w:hint="eastAsia" w:ascii="仿宋" w:hAnsi="仿宋" w:eastAsia="仿宋" w:cs="仿宋"/>
          <w:color w:val="auto"/>
          <w:szCs w:val="21"/>
          <w:highlight w:val="none"/>
          <w:u w:val="single"/>
          <w:lang w:val="zh-CN"/>
        </w:rPr>
        <w:t>核</w:t>
      </w:r>
      <w:r>
        <w:rPr>
          <w:rFonts w:ascii="仿宋" w:hAnsi="仿宋" w:eastAsia="仿宋" w:cs="仿宋"/>
          <w:color w:val="auto"/>
          <w:szCs w:val="21"/>
          <w:highlight w:val="none"/>
          <w:u w:val="single"/>
          <w:lang w:val="zh-CN"/>
        </w:rPr>
        <w:t>连续两次均为不合格，</w:t>
      </w:r>
      <w:r>
        <w:rPr>
          <w:rFonts w:hint="eastAsia" w:ascii="仿宋" w:hAnsi="仿宋" w:eastAsia="仿宋" w:cs="仿宋"/>
          <w:color w:val="auto"/>
          <w:szCs w:val="21"/>
          <w:highlight w:val="none"/>
          <w:u w:val="single"/>
          <w:lang w:val="zh-CN"/>
        </w:rPr>
        <w:t>甲方</w:t>
      </w:r>
      <w:r>
        <w:rPr>
          <w:rFonts w:ascii="仿宋" w:hAnsi="仿宋" w:eastAsia="仿宋" w:cs="仿宋"/>
          <w:color w:val="auto"/>
          <w:szCs w:val="21"/>
          <w:highlight w:val="none"/>
          <w:u w:val="single"/>
          <w:lang w:val="zh-CN"/>
        </w:rPr>
        <w:t>有权无条件终止合同,并没收</w:t>
      </w:r>
      <w:r>
        <w:rPr>
          <w:rFonts w:hint="eastAsia" w:ascii="仿宋" w:hAnsi="仿宋" w:eastAsia="仿宋" w:cs="仿宋"/>
          <w:color w:val="auto"/>
          <w:szCs w:val="21"/>
          <w:highlight w:val="none"/>
          <w:u w:val="single"/>
          <w:lang w:val="zh-CN"/>
        </w:rPr>
        <w:t>乙方</w:t>
      </w:r>
      <w:r>
        <w:rPr>
          <w:rFonts w:ascii="仿宋" w:hAnsi="仿宋" w:eastAsia="仿宋" w:cs="仿宋"/>
          <w:color w:val="auto"/>
          <w:szCs w:val="21"/>
          <w:highlight w:val="none"/>
          <w:u w:val="single"/>
          <w:lang w:val="zh-CN"/>
        </w:rPr>
        <w:t>全部履约保证金。如给</w:t>
      </w:r>
      <w:r>
        <w:rPr>
          <w:rFonts w:hint="eastAsia" w:ascii="仿宋" w:hAnsi="仿宋" w:eastAsia="仿宋" w:cs="仿宋"/>
          <w:color w:val="auto"/>
          <w:szCs w:val="21"/>
          <w:highlight w:val="none"/>
          <w:u w:val="single"/>
          <w:lang w:val="zh-CN"/>
        </w:rPr>
        <w:t>甲方</w:t>
      </w:r>
      <w:r>
        <w:rPr>
          <w:rFonts w:ascii="仿宋" w:hAnsi="仿宋" w:eastAsia="仿宋" w:cs="仿宋"/>
          <w:color w:val="auto"/>
          <w:szCs w:val="21"/>
          <w:highlight w:val="none"/>
          <w:u w:val="single"/>
          <w:lang w:val="zh-CN"/>
        </w:rPr>
        <w:t>造成损失的有权向</w:t>
      </w:r>
      <w:r>
        <w:rPr>
          <w:rFonts w:hint="eastAsia" w:ascii="仿宋" w:hAnsi="仿宋" w:eastAsia="仿宋" w:cs="仿宋"/>
          <w:color w:val="auto"/>
          <w:szCs w:val="21"/>
          <w:highlight w:val="none"/>
          <w:u w:val="single"/>
          <w:lang w:val="zh-CN"/>
        </w:rPr>
        <w:t>乙方</w:t>
      </w:r>
      <w:r>
        <w:rPr>
          <w:rFonts w:ascii="仿宋" w:hAnsi="仿宋" w:eastAsia="仿宋" w:cs="仿宋"/>
          <w:color w:val="auto"/>
          <w:szCs w:val="21"/>
          <w:highlight w:val="none"/>
          <w:u w:val="single"/>
          <w:lang w:val="zh-CN"/>
        </w:rPr>
        <w:t>提出索赔。</w:t>
      </w:r>
      <w:r>
        <w:rPr>
          <w:rFonts w:hint="eastAsia" w:ascii="仿宋" w:hAnsi="仿宋" w:eastAsia="仿宋" w:cs="仿宋"/>
          <w:color w:val="auto"/>
          <w:szCs w:val="21"/>
          <w:highlight w:val="none"/>
          <w:u w:val="single"/>
          <w:lang w:val="zh-CN"/>
        </w:rPr>
        <w:t>如考核周期内重复出现相同扣分情形，累计计算扣除分值。</w:t>
      </w:r>
    </w:p>
    <w:p w14:paraId="6ED5D80D">
      <w:pPr>
        <w:spacing w:before="120" w:beforeLines="50" w:line="360" w:lineRule="auto"/>
        <w:jc w:val="center"/>
        <w:rPr>
          <w:rFonts w:ascii="仿宋" w:hAnsi="仿宋" w:eastAsia="仿宋" w:cs="等线"/>
          <w:color w:val="auto"/>
          <w:szCs w:val="21"/>
          <w:highlight w:val="none"/>
        </w:rPr>
      </w:pPr>
      <w:r>
        <w:rPr>
          <w:rFonts w:hint="eastAsia" w:ascii="仿宋" w:hAnsi="仿宋" w:eastAsia="仿宋" w:cs="等线"/>
          <w:color w:val="auto"/>
          <w:szCs w:val="21"/>
          <w:highlight w:val="none"/>
        </w:rPr>
        <w:t>每月考核表（</w:t>
      </w:r>
      <w:r>
        <w:rPr>
          <w:rFonts w:ascii="仿宋" w:hAnsi="仿宋" w:eastAsia="仿宋" w:cs="等线"/>
          <w:color w:val="auto"/>
          <w:szCs w:val="21"/>
          <w:highlight w:val="none"/>
        </w:rPr>
        <w:t>202</w:t>
      </w:r>
      <w:r>
        <w:rPr>
          <w:rFonts w:hint="eastAsia" w:ascii="仿宋" w:hAnsi="仿宋" w:eastAsia="仿宋" w:cs="等线"/>
          <w:color w:val="auto"/>
          <w:szCs w:val="21"/>
          <w:highlight w:val="none"/>
        </w:rPr>
        <w:t xml:space="preserve">  </w:t>
      </w:r>
      <w:r>
        <w:rPr>
          <w:rFonts w:ascii="仿宋" w:hAnsi="仿宋" w:eastAsia="仿宋" w:cs="等线"/>
          <w:color w:val="auto"/>
          <w:szCs w:val="21"/>
          <w:highlight w:val="none"/>
        </w:rPr>
        <w:t xml:space="preserve">年  </w:t>
      </w:r>
      <w:r>
        <w:rPr>
          <w:rFonts w:hint="eastAsia" w:ascii="仿宋" w:hAnsi="仿宋" w:eastAsia="仿宋" w:cs="等线"/>
          <w:color w:val="auto"/>
          <w:szCs w:val="21"/>
          <w:highlight w:val="none"/>
        </w:rPr>
        <w:t>月）</w:t>
      </w:r>
    </w:p>
    <w:tbl>
      <w:tblPr>
        <w:tblStyle w:val="80"/>
        <w:tblW w:w="8834"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7"/>
        <w:gridCol w:w="1594"/>
        <w:gridCol w:w="3825"/>
        <w:gridCol w:w="1111"/>
        <w:gridCol w:w="988"/>
        <w:gridCol w:w="659"/>
      </w:tblGrid>
      <w:tr w14:paraId="6A018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2251" w:type="dxa"/>
            <w:gridSpan w:val="2"/>
            <w:tcBorders>
              <w:top w:val="single" w:color="auto" w:sz="4" w:space="0"/>
              <w:left w:val="single" w:color="auto" w:sz="4" w:space="0"/>
              <w:bottom w:val="single" w:color="auto" w:sz="4" w:space="0"/>
              <w:right w:val="single" w:color="auto" w:sz="4" w:space="0"/>
            </w:tcBorders>
            <w:noWrap w:val="0"/>
            <w:vAlign w:val="center"/>
          </w:tcPr>
          <w:p w14:paraId="28F0A88A">
            <w:pPr>
              <w:widowControl/>
              <w:jc w:val="center"/>
              <w:rPr>
                <w:rFonts w:ascii="仿宋" w:hAnsi="仿宋" w:eastAsia="仿宋" w:cs="宋体"/>
                <w:color w:val="auto"/>
                <w:kern w:val="0"/>
                <w:szCs w:val="21"/>
                <w:highlight w:val="none"/>
              </w:rPr>
            </w:pPr>
            <w:r>
              <w:rPr>
                <w:rFonts w:hint="eastAsia" w:ascii="仿宋" w:hAnsi="仿宋" w:eastAsia="仿宋" w:cs="等线"/>
                <w:color w:val="auto"/>
                <w:szCs w:val="21"/>
                <w:highlight w:val="none"/>
              </w:rPr>
              <w:t>中标单位</w:t>
            </w:r>
          </w:p>
        </w:tc>
        <w:tc>
          <w:tcPr>
            <w:tcW w:w="6583" w:type="dxa"/>
            <w:gridSpan w:val="4"/>
            <w:tcBorders>
              <w:top w:val="single" w:color="auto" w:sz="4" w:space="0"/>
              <w:left w:val="single" w:color="auto" w:sz="4" w:space="0"/>
              <w:bottom w:val="single" w:color="auto" w:sz="4" w:space="0"/>
              <w:right w:val="single" w:color="auto" w:sz="4" w:space="0"/>
            </w:tcBorders>
            <w:noWrap w:val="0"/>
            <w:vAlign w:val="center"/>
          </w:tcPr>
          <w:p w14:paraId="65B96699">
            <w:pPr>
              <w:widowControl/>
              <w:jc w:val="center"/>
              <w:rPr>
                <w:rFonts w:ascii="仿宋" w:hAnsi="仿宋" w:eastAsia="仿宋" w:cs="宋体"/>
                <w:color w:val="auto"/>
                <w:kern w:val="0"/>
                <w:szCs w:val="21"/>
                <w:highlight w:val="none"/>
              </w:rPr>
            </w:pPr>
          </w:p>
        </w:tc>
      </w:tr>
      <w:tr w14:paraId="29FA4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7" w:type="dxa"/>
            <w:tcBorders>
              <w:top w:val="single" w:color="auto" w:sz="4" w:space="0"/>
              <w:left w:val="single" w:color="auto" w:sz="4" w:space="0"/>
              <w:bottom w:val="single" w:color="auto" w:sz="4" w:space="0"/>
              <w:right w:val="single" w:color="auto" w:sz="4" w:space="0"/>
            </w:tcBorders>
            <w:noWrap w:val="0"/>
            <w:vAlign w:val="center"/>
          </w:tcPr>
          <w:p w14:paraId="1FAA5ADB">
            <w:pPr>
              <w:widowControl/>
              <w:jc w:val="center"/>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序号</w:t>
            </w:r>
          </w:p>
        </w:tc>
        <w:tc>
          <w:tcPr>
            <w:tcW w:w="5419" w:type="dxa"/>
            <w:gridSpan w:val="2"/>
            <w:tcBorders>
              <w:top w:val="single" w:color="auto" w:sz="4" w:space="0"/>
              <w:left w:val="single" w:color="auto" w:sz="4" w:space="0"/>
              <w:bottom w:val="single" w:color="auto" w:sz="4" w:space="0"/>
              <w:right w:val="single" w:color="auto" w:sz="4" w:space="0"/>
            </w:tcBorders>
            <w:noWrap w:val="0"/>
            <w:vAlign w:val="center"/>
          </w:tcPr>
          <w:p w14:paraId="426670F5">
            <w:pPr>
              <w:widowControl/>
              <w:jc w:val="center"/>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考核内容</w:t>
            </w:r>
          </w:p>
        </w:tc>
        <w:tc>
          <w:tcPr>
            <w:tcW w:w="1111" w:type="dxa"/>
            <w:tcBorders>
              <w:top w:val="single" w:color="auto" w:sz="4" w:space="0"/>
              <w:left w:val="single" w:color="auto" w:sz="4" w:space="0"/>
              <w:bottom w:val="single" w:color="auto" w:sz="4" w:space="0"/>
              <w:right w:val="single" w:color="auto" w:sz="4" w:space="0"/>
            </w:tcBorders>
            <w:noWrap w:val="0"/>
            <w:vAlign w:val="center"/>
          </w:tcPr>
          <w:p w14:paraId="70A9DAF3">
            <w:pPr>
              <w:widowControl/>
              <w:jc w:val="center"/>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每发生一次对应扣除分值</w:t>
            </w:r>
          </w:p>
        </w:tc>
        <w:tc>
          <w:tcPr>
            <w:tcW w:w="988" w:type="dxa"/>
            <w:tcBorders>
              <w:top w:val="single" w:color="auto" w:sz="4" w:space="0"/>
              <w:left w:val="single" w:color="auto" w:sz="4" w:space="0"/>
              <w:bottom w:val="single" w:color="auto" w:sz="4" w:space="0"/>
              <w:right w:val="single" w:color="auto" w:sz="4" w:space="0"/>
            </w:tcBorders>
            <w:noWrap w:val="0"/>
            <w:vAlign w:val="center"/>
          </w:tcPr>
          <w:p w14:paraId="3D00536D">
            <w:pPr>
              <w:widowControl/>
              <w:jc w:val="center"/>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当次考核扣分</w:t>
            </w:r>
          </w:p>
        </w:tc>
        <w:tc>
          <w:tcPr>
            <w:tcW w:w="659" w:type="dxa"/>
            <w:tcBorders>
              <w:top w:val="single" w:color="auto" w:sz="4" w:space="0"/>
              <w:left w:val="single" w:color="auto" w:sz="4" w:space="0"/>
              <w:bottom w:val="single" w:color="auto" w:sz="4" w:space="0"/>
              <w:right w:val="single" w:color="auto" w:sz="4" w:space="0"/>
            </w:tcBorders>
            <w:noWrap w:val="0"/>
            <w:vAlign w:val="center"/>
          </w:tcPr>
          <w:p w14:paraId="6A33095B">
            <w:pPr>
              <w:widowControl/>
              <w:jc w:val="center"/>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备注</w:t>
            </w:r>
          </w:p>
        </w:tc>
      </w:tr>
      <w:tr w14:paraId="340BD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657" w:type="dxa"/>
            <w:tcBorders>
              <w:top w:val="single" w:color="auto" w:sz="4" w:space="0"/>
              <w:left w:val="single" w:color="auto" w:sz="4" w:space="0"/>
              <w:bottom w:val="single" w:color="auto" w:sz="4" w:space="0"/>
              <w:right w:val="single" w:color="auto" w:sz="4" w:space="0"/>
            </w:tcBorders>
            <w:noWrap w:val="0"/>
            <w:vAlign w:val="center"/>
          </w:tcPr>
          <w:p w14:paraId="00F8990C">
            <w:pPr>
              <w:widowControl/>
              <w:jc w:val="center"/>
              <w:rPr>
                <w:rFonts w:ascii="仿宋" w:hAnsi="仿宋" w:eastAsia="仿宋" w:cs="宋体"/>
                <w:color w:val="auto"/>
                <w:kern w:val="0"/>
                <w:szCs w:val="21"/>
                <w:highlight w:val="none"/>
              </w:rPr>
            </w:pPr>
            <w:r>
              <w:rPr>
                <w:rFonts w:ascii="仿宋" w:hAnsi="仿宋" w:eastAsia="仿宋" w:cs="宋体"/>
                <w:color w:val="auto"/>
                <w:kern w:val="0"/>
                <w:szCs w:val="21"/>
                <w:highlight w:val="none"/>
              </w:rPr>
              <w:t>1</w:t>
            </w:r>
          </w:p>
        </w:tc>
        <w:tc>
          <w:tcPr>
            <w:tcW w:w="5419" w:type="dxa"/>
            <w:gridSpan w:val="2"/>
            <w:tcBorders>
              <w:top w:val="single" w:color="auto" w:sz="4" w:space="0"/>
              <w:left w:val="single" w:color="auto" w:sz="4" w:space="0"/>
              <w:bottom w:val="single" w:color="auto" w:sz="4" w:space="0"/>
              <w:right w:val="single" w:color="auto" w:sz="4" w:space="0"/>
            </w:tcBorders>
            <w:noWrap w:val="0"/>
            <w:vAlign w:val="center"/>
          </w:tcPr>
          <w:p w14:paraId="1D687015">
            <w:pPr>
              <w:widowControl/>
              <w:rPr>
                <w:rFonts w:ascii="仿宋" w:hAnsi="仿宋" w:eastAsia="仿宋" w:cs="宋体"/>
                <w:color w:val="auto"/>
                <w:kern w:val="0"/>
                <w:szCs w:val="21"/>
                <w:highlight w:val="none"/>
              </w:rPr>
            </w:pPr>
            <w:r>
              <w:rPr>
                <w:rFonts w:hint="eastAsia" w:ascii="仿宋" w:hAnsi="仿宋" w:eastAsia="仿宋" w:cs="宋体"/>
                <w:color w:val="auto"/>
                <w:szCs w:val="21"/>
                <w:highlight w:val="none"/>
              </w:rPr>
              <w:t>提供人员数量及人员要求不符合合同条款要求的。</w:t>
            </w:r>
          </w:p>
        </w:tc>
        <w:tc>
          <w:tcPr>
            <w:tcW w:w="1111" w:type="dxa"/>
            <w:tcBorders>
              <w:top w:val="single" w:color="auto" w:sz="4" w:space="0"/>
              <w:left w:val="single" w:color="auto" w:sz="4" w:space="0"/>
              <w:bottom w:val="single" w:color="auto" w:sz="4" w:space="0"/>
              <w:right w:val="single" w:color="auto" w:sz="4" w:space="0"/>
            </w:tcBorders>
            <w:noWrap w:val="0"/>
            <w:vAlign w:val="center"/>
          </w:tcPr>
          <w:p w14:paraId="3CE6780D">
            <w:pPr>
              <w:widowControl/>
              <w:jc w:val="center"/>
              <w:rPr>
                <w:rFonts w:ascii="仿宋" w:hAnsi="仿宋" w:eastAsia="仿宋" w:cs="宋体"/>
                <w:color w:val="auto"/>
                <w:kern w:val="0"/>
                <w:szCs w:val="21"/>
                <w:highlight w:val="none"/>
              </w:rPr>
            </w:pPr>
            <w:r>
              <w:rPr>
                <w:rFonts w:ascii="仿宋" w:hAnsi="仿宋" w:eastAsia="仿宋" w:cs="宋体"/>
                <w:color w:val="auto"/>
                <w:kern w:val="0"/>
                <w:szCs w:val="21"/>
                <w:highlight w:val="none"/>
              </w:rPr>
              <w:t>5</w:t>
            </w:r>
          </w:p>
        </w:tc>
        <w:tc>
          <w:tcPr>
            <w:tcW w:w="988" w:type="dxa"/>
            <w:tcBorders>
              <w:top w:val="single" w:color="auto" w:sz="4" w:space="0"/>
              <w:left w:val="single" w:color="auto" w:sz="4" w:space="0"/>
              <w:bottom w:val="single" w:color="auto" w:sz="4" w:space="0"/>
              <w:right w:val="single" w:color="auto" w:sz="4" w:space="0"/>
            </w:tcBorders>
            <w:noWrap w:val="0"/>
            <w:vAlign w:val="top"/>
          </w:tcPr>
          <w:p w14:paraId="50106A43">
            <w:pPr>
              <w:widowControl/>
              <w:jc w:val="center"/>
              <w:rPr>
                <w:rFonts w:ascii="仿宋" w:hAnsi="仿宋" w:eastAsia="仿宋" w:cs="宋体"/>
                <w:color w:val="auto"/>
                <w:kern w:val="0"/>
                <w:szCs w:val="21"/>
                <w:highlight w:val="none"/>
              </w:rPr>
            </w:pPr>
          </w:p>
        </w:tc>
        <w:tc>
          <w:tcPr>
            <w:tcW w:w="659" w:type="dxa"/>
            <w:tcBorders>
              <w:top w:val="single" w:color="auto" w:sz="4" w:space="0"/>
              <w:left w:val="single" w:color="auto" w:sz="4" w:space="0"/>
              <w:bottom w:val="single" w:color="auto" w:sz="4" w:space="0"/>
              <w:right w:val="single" w:color="auto" w:sz="4" w:space="0"/>
            </w:tcBorders>
            <w:noWrap w:val="0"/>
            <w:vAlign w:val="top"/>
          </w:tcPr>
          <w:p w14:paraId="49D1EE2B">
            <w:pPr>
              <w:widowControl/>
              <w:jc w:val="center"/>
              <w:rPr>
                <w:rFonts w:ascii="仿宋" w:hAnsi="仿宋" w:eastAsia="仿宋" w:cs="宋体"/>
                <w:color w:val="auto"/>
                <w:kern w:val="0"/>
                <w:szCs w:val="21"/>
                <w:highlight w:val="none"/>
              </w:rPr>
            </w:pPr>
          </w:p>
        </w:tc>
      </w:tr>
      <w:tr w14:paraId="4D2FF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657" w:type="dxa"/>
            <w:tcBorders>
              <w:top w:val="single" w:color="auto" w:sz="4" w:space="0"/>
              <w:left w:val="single" w:color="auto" w:sz="4" w:space="0"/>
              <w:bottom w:val="single" w:color="auto" w:sz="4" w:space="0"/>
              <w:right w:val="single" w:color="auto" w:sz="4" w:space="0"/>
            </w:tcBorders>
            <w:noWrap w:val="0"/>
            <w:vAlign w:val="center"/>
          </w:tcPr>
          <w:p w14:paraId="78209FA4">
            <w:pPr>
              <w:widowControl/>
              <w:jc w:val="center"/>
              <w:rPr>
                <w:rFonts w:ascii="仿宋" w:hAnsi="仿宋" w:eastAsia="仿宋" w:cs="宋体"/>
                <w:color w:val="auto"/>
                <w:kern w:val="0"/>
                <w:szCs w:val="21"/>
                <w:highlight w:val="none"/>
              </w:rPr>
            </w:pPr>
            <w:r>
              <w:rPr>
                <w:rFonts w:ascii="仿宋" w:hAnsi="仿宋" w:eastAsia="仿宋" w:cs="宋体"/>
                <w:color w:val="auto"/>
                <w:kern w:val="0"/>
                <w:szCs w:val="21"/>
                <w:highlight w:val="none"/>
              </w:rPr>
              <w:t>2</w:t>
            </w:r>
          </w:p>
        </w:tc>
        <w:tc>
          <w:tcPr>
            <w:tcW w:w="5419" w:type="dxa"/>
            <w:gridSpan w:val="2"/>
            <w:tcBorders>
              <w:top w:val="single" w:color="auto" w:sz="4" w:space="0"/>
              <w:left w:val="single" w:color="auto" w:sz="4" w:space="0"/>
              <w:bottom w:val="single" w:color="auto" w:sz="4" w:space="0"/>
              <w:right w:val="single" w:color="auto" w:sz="4" w:space="0"/>
            </w:tcBorders>
            <w:noWrap w:val="0"/>
            <w:vAlign w:val="center"/>
          </w:tcPr>
          <w:p w14:paraId="70905A81">
            <w:pPr>
              <w:widowControl/>
              <w:rPr>
                <w:rFonts w:ascii="仿宋" w:hAnsi="仿宋" w:eastAsia="仿宋" w:cs="宋体"/>
                <w:color w:val="auto"/>
                <w:szCs w:val="21"/>
                <w:highlight w:val="none"/>
              </w:rPr>
            </w:pPr>
            <w:r>
              <w:rPr>
                <w:rFonts w:hint="eastAsia" w:ascii="仿宋" w:hAnsi="仿宋" w:eastAsia="仿宋" w:cs="宋体"/>
                <w:color w:val="auto"/>
                <w:szCs w:val="21"/>
                <w:highlight w:val="none"/>
              </w:rPr>
              <w:t>人员变更时，不通知</w:t>
            </w:r>
            <w:r>
              <w:rPr>
                <w:rFonts w:hint="eastAsia" w:ascii="仿宋" w:hAnsi="仿宋" w:eastAsia="仿宋" w:cs="宋体"/>
                <w:color w:val="auto"/>
                <w:szCs w:val="21"/>
                <w:highlight w:val="none"/>
                <w:lang w:eastAsia="zh-CN"/>
              </w:rPr>
              <w:t>甲方</w:t>
            </w:r>
            <w:r>
              <w:rPr>
                <w:rFonts w:hint="eastAsia" w:ascii="仿宋" w:hAnsi="仿宋" w:eastAsia="仿宋" w:cs="宋体"/>
                <w:color w:val="auto"/>
                <w:szCs w:val="21"/>
                <w:highlight w:val="none"/>
              </w:rPr>
              <w:t>，没有审批单的。</w:t>
            </w:r>
          </w:p>
        </w:tc>
        <w:tc>
          <w:tcPr>
            <w:tcW w:w="1111" w:type="dxa"/>
            <w:tcBorders>
              <w:top w:val="single" w:color="auto" w:sz="4" w:space="0"/>
              <w:left w:val="single" w:color="auto" w:sz="4" w:space="0"/>
              <w:bottom w:val="single" w:color="auto" w:sz="4" w:space="0"/>
              <w:right w:val="single" w:color="auto" w:sz="4" w:space="0"/>
            </w:tcBorders>
            <w:noWrap w:val="0"/>
            <w:vAlign w:val="center"/>
          </w:tcPr>
          <w:p w14:paraId="116FFF0B">
            <w:pPr>
              <w:widowControl/>
              <w:jc w:val="center"/>
              <w:rPr>
                <w:rFonts w:ascii="仿宋" w:hAnsi="仿宋" w:eastAsia="仿宋" w:cs="宋体"/>
                <w:color w:val="auto"/>
                <w:kern w:val="0"/>
                <w:szCs w:val="21"/>
                <w:highlight w:val="none"/>
              </w:rPr>
            </w:pPr>
            <w:r>
              <w:rPr>
                <w:rFonts w:ascii="仿宋" w:hAnsi="仿宋" w:eastAsia="仿宋" w:cs="宋体"/>
                <w:color w:val="auto"/>
                <w:kern w:val="0"/>
                <w:szCs w:val="21"/>
                <w:highlight w:val="none"/>
              </w:rPr>
              <w:t>3</w:t>
            </w:r>
          </w:p>
        </w:tc>
        <w:tc>
          <w:tcPr>
            <w:tcW w:w="988" w:type="dxa"/>
            <w:tcBorders>
              <w:top w:val="single" w:color="auto" w:sz="4" w:space="0"/>
              <w:left w:val="single" w:color="auto" w:sz="4" w:space="0"/>
              <w:bottom w:val="single" w:color="auto" w:sz="4" w:space="0"/>
              <w:right w:val="single" w:color="auto" w:sz="4" w:space="0"/>
            </w:tcBorders>
            <w:noWrap w:val="0"/>
            <w:vAlign w:val="top"/>
          </w:tcPr>
          <w:p w14:paraId="5828DA16">
            <w:pPr>
              <w:widowControl/>
              <w:jc w:val="center"/>
              <w:rPr>
                <w:rFonts w:ascii="仿宋" w:hAnsi="仿宋" w:eastAsia="仿宋" w:cs="宋体"/>
                <w:color w:val="auto"/>
                <w:kern w:val="0"/>
                <w:szCs w:val="21"/>
                <w:highlight w:val="none"/>
              </w:rPr>
            </w:pPr>
          </w:p>
        </w:tc>
        <w:tc>
          <w:tcPr>
            <w:tcW w:w="659" w:type="dxa"/>
            <w:tcBorders>
              <w:top w:val="single" w:color="auto" w:sz="4" w:space="0"/>
              <w:left w:val="single" w:color="auto" w:sz="4" w:space="0"/>
              <w:bottom w:val="single" w:color="auto" w:sz="4" w:space="0"/>
              <w:right w:val="single" w:color="auto" w:sz="4" w:space="0"/>
            </w:tcBorders>
            <w:noWrap w:val="0"/>
            <w:vAlign w:val="top"/>
          </w:tcPr>
          <w:p w14:paraId="336017E6">
            <w:pPr>
              <w:widowControl/>
              <w:jc w:val="center"/>
              <w:rPr>
                <w:rFonts w:ascii="仿宋" w:hAnsi="仿宋" w:eastAsia="仿宋" w:cs="宋体"/>
                <w:color w:val="auto"/>
                <w:kern w:val="0"/>
                <w:szCs w:val="21"/>
                <w:highlight w:val="none"/>
              </w:rPr>
            </w:pPr>
          </w:p>
        </w:tc>
      </w:tr>
      <w:tr w14:paraId="23005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657" w:type="dxa"/>
            <w:tcBorders>
              <w:top w:val="single" w:color="auto" w:sz="4" w:space="0"/>
              <w:left w:val="single" w:color="auto" w:sz="4" w:space="0"/>
              <w:bottom w:val="single" w:color="auto" w:sz="4" w:space="0"/>
              <w:right w:val="single" w:color="auto" w:sz="4" w:space="0"/>
            </w:tcBorders>
            <w:noWrap w:val="0"/>
            <w:vAlign w:val="center"/>
          </w:tcPr>
          <w:p w14:paraId="2EEA0006">
            <w:pPr>
              <w:widowControl/>
              <w:jc w:val="center"/>
              <w:rPr>
                <w:rFonts w:ascii="仿宋" w:hAnsi="仿宋" w:eastAsia="仿宋" w:cs="宋体"/>
                <w:color w:val="auto"/>
                <w:kern w:val="0"/>
                <w:szCs w:val="21"/>
                <w:highlight w:val="none"/>
              </w:rPr>
            </w:pPr>
            <w:r>
              <w:rPr>
                <w:rFonts w:ascii="仿宋" w:hAnsi="仿宋" w:eastAsia="仿宋" w:cs="宋体"/>
                <w:color w:val="auto"/>
                <w:kern w:val="0"/>
                <w:szCs w:val="21"/>
                <w:highlight w:val="none"/>
              </w:rPr>
              <w:t>3</w:t>
            </w:r>
          </w:p>
        </w:tc>
        <w:tc>
          <w:tcPr>
            <w:tcW w:w="5419" w:type="dxa"/>
            <w:gridSpan w:val="2"/>
            <w:tcBorders>
              <w:top w:val="single" w:color="auto" w:sz="4" w:space="0"/>
              <w:left w:val="single" w:color="auto" w:sz="4" w:space="0"/>
              <w:bottom w:val="single" w:color="auto" w:sz="4" w:space="0"/>
              <w:right w:val="single" w:color="auto" w:sz="4" w:space="0"/>
            </w:tcBorders>
            <w:noWrap w:val="0"/>
            <w:vAlign w:val="center"/>
          </w:tcPr>
          <w:p w14:paraId="00D60C98">
            <w:pPr>
              <w:widowControl/>
              <w:rPr>
                <w:rFonts w:ascii="仿宋" w:hAnsi="仿宋" w:eastAsia="仿宋" w:cs="宋体"/>
                <w:color w:val="auto"/>
                <w:szCs w:val="21"/>
                <w:highlight w:val="none"/>
              </w:rPr>
            </w:pPr>
            <w:r>
              <w:rPr>
                <w:rFonts w:hint="eastAsia" w:ascii="仿宋" w:hAnsi="仿宋" w:eastAsia="仿宋" w:cs="宋体"/>
                <w:color w:val="auto"/>
                <w:szCs w:val="21"/>
                <w:highlight w:val="none"/>
              </w:rPr>
              <w:t>驻点人员不服从</w:t>
            </w:r>
            <w:r>
              <w:rPr>
                <w:rFonts w:hint="eastAsia" w:ascii="仿宋" w:hAnsi="仿宋" w:eastAsia="仿宋" w:cs="宋体"/>
                <w:color w:val="auto"/>
                <w:szCs w:val="21"/>
                <w:highlight w:val="none"/>
                <w:lang w:eastAsia="zh-CN"/>
              </w:rPr>
              <w:t>甲方</w:t>
            </w:r>
            <w:r>
              <w:rPr>
                <w:rFonts w:hint="eastAsia" w:ascii="仿宋" w:hAnsi="仿宋" w:eastAsia="仿宋" w:cs="宋体"/>
                <w:color w:val="auto"/>
                <w:szCs w:val="21"/>
                <w:highlight w:val="none"/>
              </w:rPr>
              <w:t>管理，未严格遵守工作时间、工作安排的。</w:t>
            </w:r>
          </w:p>
        </w:tc>
        <w:tc>
          <w:tcPr>
            <w:tcW w:w="1111" w:type="dxa"/>
            <w:tcBorders>
              <w:top w:val="single" w:color="auto" w:sz="4" w:space="0"/>
              <w:left w:val="single" w:color="auto" w:sz="4" w:space="0"/>
              <w:bottom w:val="single" w:color="auto" w:sz="4" w:space="0"/>
              <w:right w:val="single" w:color="auto" w:sz="4" w:space="0"/>
            </w:tcBorders>
            <w:noWrap w:val="0"/>
            <w:vAlign w:val="center"/>
          </w:tcPr>
          <w:p w14:paraId="3B12EB23">
            <w:pPr>
              <w:widowControl/>
              <w:jc w:val="center"/>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2</w:t>
            </w:r>
          </w:p>
        </w:tc>
        <w:tc>
          <w:tcPr>
            <w:tcW w:w="988" w:type="dxa"/>
            <w:tcBorders>
              <w:top w:val="single" w:color="auto" w:sz="4" w:space="0"/>
              <w:left w:val="single" w:color="auto" w:sz="4" w:space="0"/>
              <w:bottom w:val="single" w:color="auto" w:sz="4" w:space="0"/>
              <w:right w:val="single" w:color="auto" w:sz="4" w:space="0"/>
            </w:tcBorders>
            <w:noWrap w:val="0"/>
            <w:vAlign w:val="top"/>
          </w:tcPr>
          <w:p w14:paraId="4E13D37B">
            <w:pPr>
              <w:widowControl/>
              <w:jc w:val="center"/>
              <w:rPr>
                <w:rFonts w:ascii="仿宋" w:hAnsi="仿宋" w:eastAsia="仿宋" w:cs="宋体"/>
                <w:color w:val="auto"/>
                <w:kern w:val="0"/>
                <w:szCs w:val="21"/>
                <w:highlight w:val="none"/>
              </w:rPr>
            </w:pPr>
          </w:p>
        </w:tc>
        <w:tc>
          <w:tcPr>
            <w:tcW w:w="659" w:type="dxa"/>
            <w:tcBorders>
              <w:top w:val="single" w:color="auto" w:sz="4" w:space="0"/>
              <w:left w:val="single" w:color="auto" w:sz="4" w:space="0"/>
              <w:bottom w:val="single" w:color="auto" w:sz="4" w:space="0"/>
              <w:right w:val="single" w:color="auto" w:sz="4" w:space="0"/>
            </w:tcBorders>
            <w:noWrap w:val="0"/>
            <w:vAlign w:val="top"/>
          </w:tcPr>
          <w:p w14:paraId="4F901DC3">
            <w:pPr>
              <w:widowControl/>
              <w:jc w:val="center"/>
              <w:rPr>
                <w:rFonts w:ascii="仿宋" w:hAnsi="仿宋" w:eastAsia="仿宋" w:cs="宋体"/>
                <w:color w:val="auto"/>
                <w:kern w:val="0"/>
                <w:szCs w:val="21"/>
                <w:highlight w:val="none"/>
              </w:rPr>
            </w:pPr>
          </w:p>
        </w:tc>
      </w:tr>
      <w:tr w14:paraId="132B7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657" w:type="dxa"/>
            <w:tcBorders>
              <w:top w:val="single" w:color="auto" w:sz="4" w:space="0"/>
              <w:left w:val="single" w:color="auto" w:sz="4" w:space="0"/>
              <w:bottom w:val="single" w:color="auto" w:sz="4" w:space="0"/>
              <w:right w:val="single" w:color="auto" w:sz="4" w:space="0"/>
            </w:tcBorders>
            <w:noWrap w:val="0"/>
            <w:vAlign w:val="center"/>
          </w:tcPr>
          <w:p w14:paraId="35237EBF">
            <w:pPr>
              <w:widowControl/>
              <w:jc w:val="center"/>
              <w:rPr>
                <w:rFonts w:ascii="仿宋" w:hAnsi="仿宋" w:eastAsia="仿宋" w:cs="宋体"/>
                <w:color w:val="auto"/>
                <w:kern w:val="0"/>
                <w:szCs w:val="21"/>
                <w:highlight w:val="none"/>
              </w:rPr>
            </w:pPr>
            <w:r>
              <w:rPr>
                <w:rFonts w:ascii="仿宋" w:hAnsi="仿宋" w:eastAsia="仿宋" w:cs="宋体"/>
                <w:color w:val="auto"/>
                <w:kern w:val="0"/>
                <w:szCs w:val="21"/>
                <w:highlight w:val="none"/>
              </w:rPr>
              <w:t>4</w:t>
            </w:r>
          </w:p>
        </w:tc>
        <w:tc>
          <w:tcPr>
            <w:tcW w:w="5419" w:type="dxa"/>
            <w:gridSpan w:val="2"/>
            <w:tcBorders>
              <w:top w:val="single" w:color="auto" w:sz="4" w:space="0"/>
              <w:left w:val="single" w:color="auto" w:sz="4" w:space="0"/>
              <w:bottom w:val="single" w:color="auto" w:sz="4" w:space="0"/>
              <w:right w:val="single" w:color="auto" w:sz="4" w:space="0"/>
            </w:tcBorders>
            <w:noWrap w:val="0"/>
            <w:vAlign w:val="center"/>
          </w:tcPr>
          <w:p w14:paraId="4282EA77">
            <w:pPr>
              <w:widowControl/>
              <w:rPr>
                <w:rFonts w:ascii="仿宋" w:hAnsi="仿宋" w:eastAsia="仿宋" w:cs="宋体"/>
                <w:color w:val="auto"/>
                <w:szCs w:val="21"/>
                <w:highlight w:val="none"/>
              </w:rPr>
            </w:pPr>
            <w:r>
              <w:rPr>
                <w:rFonts w:hint="eastAsia" w:ascii="仿宋" w:hAnsi="仿宋" w:eastAsia="仿宋" w:cs="宋体"/>
                <w:color w:val="auto"/>
                <w:szCs w:val="21"/>
                <w:highlight w:val="none"/>
              </w:rPr>
              <w:t>案件侦查打击服务不到位，未能提供任务管理、案件侦查、案件支撑、研判分析、数据还原、数据分析、侦查协助、</w:t>
            </w:r>
            <w:r>
              <w:rPr>
                <w:rFonts w:hint="eastAsia" w:ascii="仿宋" w:hAnsi="仿宋" w:eastAsia="仿宋" w:cs="仿宋"/>
                <w:iCs/>
                <w:color w:val="auto"/>
                <w:szCs w:val="21"/>
                <w:highlight w:val="none"/>
              </w:rPr>
              <w:t>重特大案件专项线索突破</w:t>
            </w:r>
            <w:r>
              <w:rPr>
                <w:rFonts w:hint="eastAsia" w:ascii="仿宋" w:hAnsi="仿宋" w:eastAsia="仿宋" w:cs="宋体"/>
                <w:color w:val="auto"/>
                <w:szCs w:val="21"/>
                <w:highlight w:val="none"/>
              </w:rPr>
              <w:t>等服务的。或提供重特大案件线索、输出A类分析报告；案件侦查打击服务、输出B类分析报告、输出C类分析报告数量不符合合同条款要求的。</w:t>
            </w:r>
          </w:p>
        </w:tc>
        <w:tc>
          <w:tcPr>
            <w:tcW w:w="1111" w:type="dxa"/>
            <w:tcBorders>
              <w:top w:val="single" w:color="auto" w:sz="4" w:space="0"/>
              <w:left w:val="single" w:color="auto" w:sz="4" w:space="0"/>
              <w:bottom w:val="single" w:color="auto" w:sz="4" w:space="0"/>
              <w:right w:val="single" w:color="auto" w:sz="4" w:space="0"/>
            </w:tcBorders>
            <w:noWrap w:val="0"/>
            <w:vAlign w:val="center"/>
          </w:tcPr>
          <w:p w14:paraId="205D597E">
            <w:pPr>
              <w:widowControl/>
              <w:jc w:val="center"/>
              <w:rPr>
                <w:rFonts w:ascii="仿宋" w:hAnsi="仿宋" w:eastAsia="仿宋" w:cs="宋体"/>
                <w:color w:val="auto"/>
                <w:kern w:val="0"/>
                <w:szCs w:val="21"/>
                <w:highlight w:val="none"/>
              </w:rPr>
            </w:pPr>
            <w:r>
              <w:rPr>
                <w:rFonts w:ascii="仿宋" w:hAnsi="仿宋" w:eastAsia="仿宋" w:cs="宋体"/>
                <w:color w:val="auto"/>
                <w:kern w:val="0"/>
                <w:szCs w:val="21"/>
                <w:highlight w:val="none"/>
              </w:rPr>
              <w:t>3</w:t>
            </w:r>
          </w:p>
        </w:tc>
        <w:tc>
          <w:tcPr>
            <w:tcW w:w="988" w:type="dxa"/>
            <w:tcBorders>
              <w:top w:val="single" w:color="auto" w:sz="4" w:space="0"/>
              <w:left w:val="single" w:color="auto" w:sz="4" w:space="0"/>
              <w:bottom w:val="single" w:color="auto" w:sz="4" w:space="0"/>
              <w:right w:val="single" w:color="auto" w:sz="4" w:space="0"/>
            </w:tcBorders>
            <w:noWrap w:val="0"/>
            <w:vAlign w:val="top"/>
          </w:tcPr>
          <w:p w14:paraId="2A7AE3C3">
            <w:pPr>
              <w:widowControl/>
              <w:jc w:val="center"/>
              <w:rPr>
                <w:rFonts w:ascii="仿宋" w:hAnsi="仿宋" w:eastAsia="仿宋" w:cs="宋体"/>
                <w:color w:val="auto"/>
                <w:kern w:val="0"/>
                <w:szCs w:val="21"/>
                <w:highlight w:val="none"/>
              </w:rPr>
            </w:pPr>
          </w:p>
        </w:tc>
        <w:tc>
          <w:tcPr>
            <w:tcW w:w="659" w:type="dxa"/>
            <w:tcBorders>
              <w:top w:val="single" w:color="auto" w:sz="4" w:space="0"/>
              <w:left w:val="single" w:color="auto" w:sz="4" w:space="0"/>
              <w:bottom w:val="single" w:color="auto" w:sz="4" w:space="0"/>
              <w:right w:val="single" w:color="auto" w:sz="4" w:space="0"/>
            </w:tcBorders>
            <w:noWrap w:val="0"/>
            <w:vAlign w:val="top"/>
          </w:tcPr>
          <w:p w14:paraId="5A884FFD">
            <w:pPr>
              <w:widowControl/>
              <w:jc w:val="center"/>
              <w:rPr>
                <w:rFonts w:ascii="仿宋" w:hAnsi="仿宋" w:eastAsia="仿宋" w:cs="宋体"/>
                <w:color w:val="auto"/>
                <w:kern w:val="0"/>
                <w:szCs w:val="21"/>
                <w:highlight w:val="none"/>
              </w:rPr>
            </w:pPr>
          </w:p>
        </w:tc>
      </w:tr>
      <w:tr w14:paraId="27431E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657" w:type="dxa"/>
            <w:tcBorders>
              <w:top w:val="single" w:color="auto" w:sz="4" w:space="0"/>
              <w:left w:val="single" w:color="auto" w:sz="4" w:space="0"/>
              <w:bottom w:val="single" w:color="auto" w:sz="4" w:space="0"/>
              <w:right w:val="single" w:color="auto" w:sz="4" w:space="0"/>
            </w:tcBorders>
            <w:noWrap w:val="0"/>
            <w:vAlign w:val="center"/>
          </w:tcPr>
          <w:p w14:paraId="66661CF1">
            <w:pPr>
              <w:widowControl/>
              <w:jc w:val="center"/>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5</w:t>
            </w:r>
          </w:p>
        </w:tc>
        <w:tc>
          <w:tcPr>
            <w:tcW w:w="5419" w:type="dxa"/>
            <w:gridSpan w:val="2"/>
            <w:tcBorders>
              <w:top w:val="single" w:color="auto" w:sz="4" w:space="0"/>
              <w:left w:val="single" w:color="auto" w:sz="4" w:space="0"/>
              <w:bottom w:val="single" w:color="auto" w:sz="4" w:space="0"/>
              <w:right w:val="single" w:color="auto" w:sz="4" w:space="0"/>
            </w:tcBorders>
            <w:noWrap w:val="0"/>
            <w:vAlign w:val="center"/>
          </w:tcPr>
          <w:p w14:paraId="10668785">
            <w:pPr>
              <w:widowControl/>
              <w:rPr>
                <w:rFonts w:ascii="仿宋" w:hAnsi="仿宋" w:eastAsia="仿宋" w:cs="宋体"/>
                <w:color w:val="auto"/>
                <w:szCs w:val="21"/>
                <w:highlight w:val="none"/>
              </w:rPr>
            </w:pPr>
            <w:r>
              <w:rPr>
                <w:rFonts w:hint="eastAsia" w:ascii="仿宋" w:hAnsi="仿宋" w:eastAsia="仿宋" w:cs="仿宋"/>
                <w:color w:val="auto"/>
                <w:szCs w:val="21"/>
                <w:highlight w:val="none"/>
              </w:rPr>
              <w:t>大数据智能查控服务</w:t>
            </w:r>
            <w:r>
              <w:rPr>
                <w:rFonts w:hint="eastAsia" w:ascii="仿宋" w:hAnsi="仿宋" w:eastAsia="仿宋" w:cs="宋体"/>
                <w:color w:val="auto"/>
                <w:szCs w:val="21"/>
                <w:highlight w:val="none"/>
              </w:rPr>
              <w:t>不到位，未能提供任</w:t>
            </w:r>
            <w:r>
              <w:rPr>
                <w:rFonts w:hint="eastAsia" w:ascii="仿宋" w:hAnsi="仿宋" w:eastAsia="仿宋"/>
                <w:color w:val="auto"/>
                <w:szCs w:val="21"/>
                <w:highlight w:val="none"/>
              </w:rPr>
              <w:t>大数据多维</w:t>
            </w:r>
            <w:r>
              <w:rPr>
                <w:rFonts w:ascii="仿宋" w:hAnsi="仿宋" w:eastAsia="仿宋"/>
                <w:color w:val="auto"/>
                <w:szCs w:val="21"/>
                <w:highlight w:val="none"/>
              </w:rPr>
              <w:t>研判</w:t>
            </w:r>
            <w:r>
              <w:rPr>
                <w:rFonts w:hint="eastAsia" w:ascii="仿宋" w:hAnsi="仿宋" w:eastAsia="仿宋"/>
                <w:color w:val="auto"/>
                <w:szCs w:val="21"/>
                <w:highlight w:val="none"/>
              </w:rPr>
              <w:t>、终端溯源嫌疑追踪、案件管理数据分析、态势分析</w:t>
            </w:r>
            <w:r>
              <w:rPr>
                <w:rFonts w:ascii="仿宋" w:hAnsi="仿宋" w:eastAsia="仿宋"/>
                <w:color w:val="auto"/>
                <w:szCs w:val="21"/>
                <w:highlight w:val="none"/>
              </w:rPr>
              <w:t>报告输出</w:t>
            </w:r>
            <w:r>
              <w:rPr>
                <w:rFonts w:hint="eastAsia" w:ascii="仿宋" w:hAnsi="仿宋" w:eastAsia="仿宋" w:cs="宋体"/>
                <w:color w:val="auto"/>
                <w:szCs w:val="21"/>
                <w:highlight w:val="none"/>
              </w:rPr>
              <w:t>等服务的。提供重特大案件服务、输出B类分析报告、提供涉诈网站数据及线索分析服务、输出C类分析报告数量不符合合同条款要求的。</w:t>
            </w:r>
          </w:p>
        </w:tc>
        <w:tc>
          <w:tcPr>
            <w:tcW w:w="1111" w:type="dxa"/>
            <w:tcBorders>
              <w:top w:val="single" w:color="auto" w:sz="4" w:space="0"/>
              <w:left w:val="single" w:color="auto" w:sz="4" w:space="0"/>
              <w:bottom w:val="single" w:color="auto" w:sz="4" w:space="0"/>
              <w:right w:val="single" w:color="auto" w:sz="4" w:space="0"/>
            </w:tcBorders>
            <w:noWrap w:val="0"/>
            <w:vAlign w:val="center"/>
          </w:tcPr>
          <w:p w14:paraId="5B2F3736">
            <w:pPr>
              <w:widowControl/>
              <w:jc w:val="center"/>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3</w:t>
            </w:r>
          </w:p>
        </w:tc>
        <w:tc>
          <w:tcPr>
            <w:tcW w:w="988" w:type="dxa"/>
            <w:tcBorders>
              <w:top w:val="single" w:color="auto" w:sz="4" w:space="0"/>
              <w:left w:val="single" w:color="auto" w:sz="4" w:space="0"/>
              <w:bottom w:val="single" w:color="auto" w:sz="4" w:space="0"/>
              <w:right w:val="single" w:color="auto" w:sz="4" w:space="0"/>
            </w:tcBorders>
            <w:noWrap w:val="0"/>
            <w:vAlign w:val="top"/>
          </w:tcPr>
          <w:p w14:paraId="3B2C5103">
            <w:pPr>
              <w:widowControl/>
              <w:jc w:val="center"/>
              <w:rPr>
                <w:rFonts w:ascii="仿宋" w:hAnsi="仿宋" w:eastAsia="仿宋" w:cs="宋体"/>
                <w:color w:val="auto"/>
                <w:kern w:val="0"/>
                <w:szCs w:val="21"/>
                <w:highlight w:val="none"/>
              </w:rPr>
            </w:pPr>
          </w:p>
        </w:tc>
        <w:tc>
          <w:tcPr>
            <w:tcW w:w="659" w:type="dxa"/>
            <w:tcBorders>
              <w:top w:val="single" w:color="auto" w:sz="4" w:space="0"/>
              <w:left w:val="single" w:color="auto" w:sz="4" w:space="0"/>
              <w:bottom w:val="single" w:color="auto" w:sz="4" w:space="0"/>
              <w:right w:val="single" w:color="auto" w:sz="4" w:space="0"/>
            </w:tcBorders>
            <w:noWrap w:val="0"/>
            <w:vAlign w:val="top"/>
          </w:tcPr>
          <w:p w14:paraId="36AD033F">
            <w:pPr>
              <w:widowControl/>
              <w:jc w:val="center"/>
              <w:rPr>
                <w:rFonts w:ascii="仿宋" w:hAnsi="仿宋" w:eastAsia="仿宋" w:cs="宋体"/>
                <w:color w:val="auto"/>
                <w:kern w:val="0"/>
                <w:szCs w:val="21"/>
                <w:highlight w:val="none"/>
              </w:rPr>
            </w:pPr>
          </w:p>
        </w:tc>
      </w:tr>
      <w:tr w14:paraId="29000C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657" w:type="dxa"/>
            <w:tcBorders>
              <w:top w:val="single" w:color="auto" w:sz="4" w:space="0"/>
              <w:left w:val="single" w:color="auto" w:sz="4" w:space="0"/>
              <w:bottom w:val="single" w:color="auto" w:sz="4" w:space="0"/>
              <w:right w:val="single" w:color="auto" w:sz="4" w:space="0"/>
            </w:tcBorders>
            <w:noWrap w:val="0"/>
            <w:vAlign w:val="center"/>
          </w:tcPr>
          <w:p w14:paraId="5000250B">
            <w:pPr>
              <w:widowControl/>
              <w:jc w:val="center"/>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6</w:t>
            </w:r>
          </w:p>
        </w:tc>
        <w:tc>
          <w:tcPr>
            <w:tcW w:w="5419" w:type="dxa"/>
            <w:gridSpan w:val="2"/>
            <w:tcBorders>
              <w:top w:val="single" w:color="auto" w:sz="4" w:space="0"/>
              <w:left w:val="single" w:color="auto" w:sz="4" w:space="0"/>
              <w:bottom w:val="single" w:color="auto" w:sz="4" w:space="0"/>
              <w:right w:val="single" w:color="auto" w:sz="4" w:space="0"/>
            </w:tcBorders>
            <w:noWrap w:val="0"/>
            <w:vAlign w:val="center"/>
          </w:tcPr>
          <w:p w14:paraId="5D085AAD">
            <w:pPr>
              <w:widowControl/>
              <w:rPr>
                <w:rFonts w:ascii="仿宋" w:hAnsi="仿宋" w:eastAsia="仿宋" w:cs="宋体"/>
                <w:color w:val="auto"/>
                <w:szCs w:val="21"/>
                <w:highlight w:val="none"/>
              </w:rPr>
            </w:pPr>
            <w:r>
              <w:rPr>
                <w:rFonts w:hint="eastAsia" w:ascii="仿宋" w:hAnsi="仿宋" w:eastAsia="仿宋" w:cs="仿宋"/>
                <w:color w:val="auto"/>
                <w:szCs w:val="21"/>
                <w:highlight w:val="none"/>
              </w:rPr>
              <w:t>资金智能查控服务</w:t>
            </w:r>
            <w:r>
              <w:rPr>
                <w:rFonts w:hint="eastAsia" w:ascii="仿宋" w:hAnsi="仿宋" w:eastAsia="仿宋" w:cs="宋体"/>
                <w:color w:val="auto"/>
                <w:szCs w:val="21"/>
                <w:highlight w:val="none"/>
              </w:rPr>
              <w:t>不到位，未能提供</w:t>
            </w:r>
            <w:r>
              <w:rPr>
                <w:rFonts w:hint="eastAsia" w:ascii="仿宋" w:hAnsi="仿宋" w:eastAsia="仿宋"/>
                <w:color w:val="auto"/>
                <w:szCs w:val="21"/>
                <w:highlight w:val="none"/>
              </w:rPr>
              <w:t>资金</w:t>
            </w:r>
            <w:r>
              <w:rPr>
                <w:rFonts w:ascii="仿宋" w:hAnsi="仿宋" w:eastAsia="仿宋"/>
                <w:color w:val="auto"/>
                <w:szCs w:val="21"/>
                <w:highlight w:val="none"/>
              </w:rPr>
              <w:t>查控</w:t>
            </w:r>
            <w:r>
              <w:rPr>
                <w:rFonts w:hint="eastAsia" w:ascii="仿宋" w:hAnsi="仿宋" w:eastAsia="仿宋"/>
                <w:color w:val="auto"/>
                <w:szCs w:val="21"/>
                <w:highlight w:val="none"/>
              </w:rPr>
              <w:t>、智能止付、保护性</w:t>
            </w:r>
            <w:r>
              <w:rPr>
                <w:rFonts w:ascii="仿宋" w:hAnsi="仿宋" w:eastAsia="仿宋"/>
                <w:color w:val="auto"/>
                <w:szCs w:val="21"/>
                <w:highlight w:val="none"/>
              </w:rPr>
              <w:t>止付</w:t>
            </w:r>
            <w:r>
              <w:rPr>
                <w:rFonts w:hint="eastAsia" w:ascii="仿宋" w:hAnsi="仿宋" w:eastAsia="仿宋"/>
                <w:color w:val="auto"/>
                <w:szCs w:val="21"/>
                <w:highlight w:val="none"/>
                <w:lang w:eastAsia="zh-CN"/>
              </w:rPr>
              <w:t>、</w:t>
            </w:r>
            <w:r>
              <w:rPr>
                <w:rFonts w:hint="eastAsia" w:ascii="仿宋" w:hAnsi="仿宋" w:eastAsia="仿宋"/>
                <w:color w:val="auto"/>
                <w:szCs w:val="21"/>
                <w:highlight w:val="none"/>
                <w:lang w:eastAsia="zh-CN"/>
              </w:rPr>
              <w:t>虚拟货币资金智能多币多链关联分析</w:t>
            </w:r>
            <w:r>
              <w:rPr>
                <w:rFonts w:hint="eastAsia" w:ascii="仿宋" w:hAnsi="仿宋" w:eastAsia="仿宋" w:cs="宋体"/>
                <w:color w:val="auto"/>
                <w:szCs w:val="21"/>
                <w:highlight w:val="none"/>
              </w:rPr>
              <w:t>等服务的。提供输出C类分析报告数量不符合合同条款要求的。</w:t>
            </w:r>
          </w:p>
        </w:tc>
        <w:tc>
          <w:tcPr>
            <w:tcW w:w="1111" w:type="dxa"/>
            <w:tcBorders>
              <w:top w:val="single" w:color="auto" w:sz="4" w:space="0"/>
              <w:left w:val="single" w:color="auto" w:sz="4" w:space="0"/>
              <w:bottom w:val="single" w:color="auto" w:sz="4" w:space="0"/>
              <w:right w:val="single" w:color="auto" w:sz="4" w:space="0"/>
            </w:tcBorders>
            <w:noWrap w:val="0"/>
            <w:vAlign w:val="center"/>
          </w:tcPr>
          <w:p w14:paraId="012A3F96">
            <w:pPr>
              <w:widowControl/>
              <w:jc w:val="center"/>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3</w:t>
            </w:r>
          </w:p>
        </w:tc>
        <w:tc>
          <w:tcPr>
            <w:tcW w:w="988" w:type="dxa"/>
            <w:tcBorders>
              <w:top w:val="single" w:color="auto" w:sz="4" w:space="0"/>
              <w:left w:val="single" w:color="auto" w:sz="4" w:space="0"/>
              <w:bottom w:val="single" w:color="auto" w:sz="4" w:space="0"/>
              <w:right w:val="single" w:color="auto" w:sz="4" w:space="0"/>
            </w:tcBorders>
            <w:noWrap w:val="0"/>
            <w:vAlign w:val="top"/>
          </w:tcPr>
          <w:p w14:paraId="2BF96FB9">
            <w:pPr>
              <w:widowControl/>
              <w:jc w:val="center"/>
              <w:rPr>
                <w:rFonts w:ascii="仿宋" w:hAnsi="仿宋" w:eastAsia="仿宋" w:cs="宋体"/>
                <w:color w:val="auto"/>
                <w:kern w:val="0"/>
                <w:szCs w:val="21"/>
                <w:highlight w:val="none"/>
              </w:rPr>
            </w:pPr>
          </w:p>
        </w:tc>
        <w:tc>
          <w:tcPr>
            <w:tcW w:w="659" w:type="dxa"/>
            <w:tcBorders>
              <w:top w:val="single" w:color="auto" w:sz="4" w:space="0"/>
              <w:left w:val="single" w:color="auto" w:sz="4" w:space="0"/>
              <w:bottom w:val="single" w:color="auto" w:sz="4" w:space="0"/>
              <w:right w:val="single" w:color="auto" w:sz="4" w:space="0"/>
            </w:tcBorders>
            <w:noWrap w:val="0"/>
            <w:vAlign w:val="top"/>
          </w:tcPr>
          <w:p w14:paraId="11ED57F7">
            <w:pPr>
              <w:widowControl/>
              <w:jc w:val="center"/>
              <w:rPr>
                <w:rFonts w:ascii="仿宋" w:hAnsi="仿宋" w:eastAsia="仿宋" w:cs="宋体"/>
                <w:color w:val="auto"/>
                <w:kern w:val="0"/>
                <w:szCs w:val="21"/>
                <w:highlight w:val="none"/>
              </w:rPr>
            </w:pPr>
          </w:p>
        </w:tc>
      </w:tr>
      <w:tr w14:paraId="36D28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657" w:type="dxa"/>
            <w:tcBorders>
              <w:top w:val="single" w:color="auto" w:sz="4" w:space="0"/>
              <w:left w:val="single" w:color="auto" w:sz="4" w:space="0"/>
              <w:bottom w:val="single" w:color="auto" w:sz="4" w:space="0"/>
              <w:right w:val="single" w:color="auto" w:sz="4" w:space="0"/>
            </w:tcBorders>
            <w:noWrap w:val="0"/>
            <w:vAlign w:val="center"/>
          </w:tcPr>
          <w:p w14:paraId="599B6448">
            <w:pPr>
              <w:widowControl/>
              <w:jc w:val="center"/>
              <w:rPr>
                <w:rFonts w:ascii="仿宋" w:hAnsi="仿宋" w:eastAsia="仿宋" w:cs="宋体"/>
                <w:color w:val="auto"/>
                <w:kern w:val="0"/>
                <w:szCs w:val="21"/>
                <w:highlight w:val="none"/>
              </w:rPr>
            </w:pPr>
            <w:r>
              <w:rPr>
                <w:rFonts w:ascii="仿宋" w:hAnsi="仿宋" w:eastAsia="仿宋" w:cs="宋体"/>
                <w:color w:val="auto"/>
                <w:kern w:val="0"/>
                <w:szCs w:val="21"/>
                <w:highlight w:val="none"/>
              </w:rPr>
              <w:t>7</w:t>
            </w:r>
          </w:p>
        </w:tc>
        <w:tc>
          <w:tcPr>
            <w:tcW w:w="5419" w:type="dxa"/>
            <w:gridSpan w:val="2"/>
            <w:tcBorders>
              <w:top w:val="single" w:color="auto" w:sz="4" w:space="0"/>
              <w:left w:val="single" w:color="auto" w:sz="4" w:space="0"/>
              <w:bottom w:val="single" w:color="auto" w:sz="4" w:space="0"/>
              <w:right w:val="single" w:color="auto" w:sz="4" w:space="0"/>
            </w:tcBorders>
            <w:noWrap w:val="0"/>
            <w:vAlign w:val="center"/>
          </w:tcPr>
          <w:p w14:paraId="3E1C2EBD">
            <w:pPr>
              <w:widowControl/>
              <w:rPr>
                <w:rFonts w:ascii="仿宋" w:hAnsi="仿宋" w:eastAsia="仿宋" w:cs="宋体"/>
                <w:color w:val="auto"/>
                <w:szCs w:val="21"/>
                <w:highlight w:val="none"/>
              </w:rPr>
            </w:pPr>
            <w:r>
              <w:rPr>
                <w:rFonts w:hint="eastAsia" w:ascii="仿宋" w:hAnsi="仿宋" w:eastAsia="仿宋" w:cs="宋体"/>
                <w:color w:val="auto"/>
                <w:szCs w:val="21"/>
                <w:highlight w:val="none"/>
              </w:rPr>
              <w:t>涉网诈骗预感探测数据服务不到位，未能</w:t>
            </w:r>
            <w:r>
              <w:rPr>
                <w:rFonts w:hint="eastAsia" w:ascii="仿宋" w:hAnsi="仿宋" w:eastAsia="仿宋"/>
                <w:color w:val="auto"/>
                <w:szCs w:val="21"/>
                <w:highlight w:val="none"/>
              </w:rPr>
              <w:t>通过大数据感知电信网络诈骗违法犯罪的新特点、新动向，探测具有涉诈特征的网站、</w:t>
            </w:r>
            <w:r>
              <w:rPr>
                <w:rFonts w:ascii="仿宋" w:hAnsi="仿宋" w:eastAsia="仿宋"/>
                <w:color w:val="auto"/>
                <w:szCs w:val="21"/>
                <w:highlight w:val="none"/>
              </w:rPr>
              <w:t>APP</w:t>
            </w:r>
            <w:r>
              <w:rPr>
                <w:rFonts w:hint="eastAsia" w:ascii="仿宋" w:hAnsi="仿宋" w:eastAsia="仿宋"/>
                <w:color w:val="auto"/>
                <w:szCs w:val="21"/>
                <w:highlight w:val="none"/>
              </w:rPr>
              <w:t>、电话、</w:t>
            </w:r>
            <w:r>
              <w:rPr>
                <w:rFonts w:ascii="仿宋" w:hAnsi="仿宋" w:eastAsia="仿宋"/>
                <w:color w:val="auto"/>
                <w:szCs w:val="21"/>
                <w:highlight w:val="none"/>
              </w:rPr>
              <w:t>银行</w:t>
            </w:r>
            <w:r>
              <w:rPr>
                <w:rFonts w:hint="eastAsia" w:ascii="仿宋" w:hAnsi="仿宋" w:eastAsia="仿宋"/>
                <w:color w:val="auto"/>
                <w:szCs w:val="21"/>
                <w:highlight w:val="none"/>
              </w:rPr>
              <w:t>等数据，抓取用于诈骗的</w:t>
            </w:r>
            <w:r>
              <w:rPr>
                <w:rFonts w:ascii="仿宋" w:hAnsi="仿宋" w:eastAsia="仿宋"/>
                <w:color w:val="auto"/>
                <w:szCs w:val="21"/>
                <w:highlight w:val="none"/>
              </w:rPr>
              <w:t>VOIP</w:t>
            </w:r>
            <w:r>
              <w:rPr>
                <w:rFonts w:hint="eastAsia" w:ascii="仿宋" w:hAnsi="仿宋" w:eastAsia="仿宋"/>
                <w:color w:val="auto"/>
                <w:szCs w:val="21"/>
                <w:highlight w:val="none"/>
              </w:rPr>
              <w:t>、</w:t>
            </w:r>
            <w:r>
              <w:rPr>
                <w:rFonts w:ascii="仿宋" w:hAnsi="仿宋" w:eastAsia="仿宋"/>
                <w:color w:val="auto"/>
                <w:szCs w:val="21"/>
                <w:highlight w:val="none"/>
              </w:rPr>
              <w:t>GOIP</w:t>
            </w:r>
            <w:r>
              <w:rPr>
                <w:rFonts w:hint="eastAsia" w:ascii="仿宋" w:hAnsi="仿宋" w:eastAsia="仿宋"/>
                <w:color w:val="auto"/>
                <w:szCs w:val="21"/>
                <w:highlight w:val="none"/>
              </w:rPr>
              <w:t>电话及涉网</w:t>
            </w:r>
            <w:r>
              <w:rPr>
                <w:rFonts w:ascii="仿宋" w:hAnsi="仿宋" w:eastAsia="仿宋"/>
                <w:color w:val="auto"/>
                <w:szCs w:val="21"/>
                <w:highlight w:val="none"/>
              </w:rPr>
              <w:t>犯罪关联</w:t>
            </w:r>
            <w:r>
              <w:rPr>
                <w:rFonts w:hint="eastAsia" w:ascii="仿宋" w:hAnsi="仿宋" w:eastAsia="仿宋"/>
                <w:color w:val="auto"/>
                <w:szCs w:val="21"/>
                <w:highlight w:val="none"/>
              </w:rPr>
              <w:t>银行卡</w:t>
            </w:r>
            <w:r>
              <w:rPr>
                <w:rFonts w:ascii="仿宋" w:hAnsi="仿宋" w:eastAsia="仿宋"/>
                <w:color w:val="auto"/>
                <w:szCs w:val="21"/>
                <w:highlight w:val="none"/>
              </w:rPr>
              <w:t>等</w:t>
            </w:r>
            <w:r>
              <w:rPr>
                <w:rFonts w:hint="eastAsia" w:ascii="仿宋" w:hAnsi="仿宋" w:eastAsia="仿宋"/>
                <w:color w:val="auto"/>
                <w:szCs w:val="21"/>
                <w:highlight w:val="none"/>
              </w:rPr>
              <w:t>其它电信网络技术数据信息，及时收集更新黑样本库，精准发现本地潜在受害人和</w:t>
            </w:r>
            <w:r>
              <w:rPr>
                <w:rFonts w:ascii="仿宋" w:hAnsi="仿宋" w:eastAsia="仿宋"/>
                <w:color w:val="auto"/>
                <w:szCs w:val="21"/>
                <w:highlight w:val="none"/>
              </w:rPr>
              <w:t>其他可疑人员</w:t>
            </w:r>
            <w:r>
              <w:rPr>
                <w:rFonts w:hint="eastAsia" w:ascii="仿宋" w:hAnsi="仿宋" w:eastAsia="仿宋"/>
                <w:color w:val="auto"/>
                <w:szCs w:val="21"/>
                <w:highlight w:val="none"/>
              </w:rPr>
              <w:t>。未能有效支持数据端口接入，将数据信息推送至采购单位开展侦防工作，以便于</w:t>
            </w:r>
            <w:r>
              <w:rPr>
                <w:rFonts w:hint="eastAsia" w:ascii="仿宋" w:hAnsi="仿宋" w:eastAsia="仿宋"/>
                <w:color w:val="auto"/>
                <w:szCs w:val="21"/>
                <w:highlight w:val="none"/>
                <w:lang w:eastAsia="zh-CN"/>
              </w:rPr>
              <w:t>甲方</w:t>
            </w:r>
            <w:r>
              <w:rPr>
                <w:rFonts w:hint="eastAsia" w:ascii="仿宋" w:hAnsi="仿宋" w:eastAsia="仿宋"/>
                <w:color w:val="auto"/>
                <w:szCs w:val="21"/>
                <w:highlight w:val="none"/>
              </w:rPr>
              <w:t>统计分析，提供数据端口维护服务</w:t>
            </w:r>
          </w:p>
          <w:p w14:paraId="74B39726">
            <w:pPr>
              <w:widowControl/>
              <w:rPr>
                <w:rFonts w:ascii="仿宋" w:hAnsi="仿宋" w:eastAsia="仿宋" w:cs="宋体"/>
                <w:color w:val="auto"/>
                <w:szCs w:val="21"/>
                <w:highlight w:val="none"/>
              </w:rPr>
            </w:pPr>
            <w:r>
              <w:rPr>
                <w:rFonts w:hint="eastAsia" w:ascii="仿宋" w:hAnsi="仿宋" w:eastAsia="仿宋" w:cs="宋体"/>
                <w:color w:val="auto"/>
                <w:szCs w:val="21"/>
                <w:highlight w:val="none"/>
              </w:rPr>
              <w:t>数据质量方面不符合采购需求的。</w:t>
            </w:r>
          </w:p>
          <w:p w14:paraId="6D95BD33">
            <w:pPr>
              <w:pStyle w:val="30"/>
              <w:rPr>
                <w:rFonts w:hint="eastAsia"/>
                <w:color w:val="auto"/>
                <w:highlight w:val="none"/>
                <w:lang w:val="en-US"/>
              </w:rPr>
            </w:pPr>
            <w:r>
              <w:rPr>
                <w:rFonts w:hint="eastAsia" w:ascii="仿宋" w:hAnsi="仿宋" w:eastAsia="仿宋" w:cs="宋体"/>
                <w:snapToGrid/>
                <w:color w:val="auto"/>
                <w:sz w:val="21"/>
                <w:highlight w:val="none"/>
                <w:lang w:val="en-US"/>
              </w:rPr>
              <w:t>完成监测数据推送数量不符合合同条款要求的。</w:t>
            </w:r>
          </w:p>
        </w:tc>
        <w:tc>
          <w:tcPr>
            <w:tcW w:w="1111" w:type="dxa"/>
            <w:tcBorders>
              <w:top w:val="single" w:color="auto" w:sz="4" w:space="0"/>
              <w:left w:val="single" w:color="auto" w:sz="4" w:space="0"/>
              <w:bottom w:val="single" w:color="auto" w:sz="4" w:space="0"/>
              <w:right w:val="single" w:color="auto" w:sz="4" w:space="0"/>
            </w:tcBorders>
            <w:noWrap w:val="0"/>
            <w:vAlign w:val="center"/>
          </w:tcPr>
          <w:p w14:paraId="2CA44DD1">
            <w:pPr>
              <w:widowControl/>
              <w:jc w:val="center"/>
              <w:rPr>
                <w:rFonts w:ascii="仿宋" w:hAnsi="仿宋" w:eastAsia="仿宋" w:cs="宋体"/>
                <w:color w:val="auto"/>
                <w:kern w:val="0"/>
                <w:szCs w:val="21"/>
                <w:highlight w:val="none"/>
              </w:rPr>
            </w:pPr>
            <w:r>
              <w:rPr>
                <w:rFonts w:ascii="仿宋" w:hAnsi="仿宋" w:eastAsia="仿宋" w:cs="宋体"/>
                <w:color w:val="auto"/>
                <w:kern w:val="0"/>
                <w:szCs w:val="21"/>
                <w:highlight w:val="none"/>
              </w:rPr>
              <w:t>3</w:t>
            </w:r>
          </w:p>
        </w:tc>
        <w:tc>
          <w:tcPr>
            <w:tcW w:w="988" w:type="dxa"/>
            <w:tcBorders>
              <w:top w:val="single" w:color="auto" w:sz="4" w:space="0"/>
              <w:left w:val="single" w:color="auto" w:sz="4" w:space="0"/>
              <w:bottom w:val="single" w:color="auto" w:sz="4" w:space="0"/>
              <w:right w:val="single" w:color="auto" w:sz="4" w:space="0"/>
            </w:tcBorders>
            <w:noWrap w:val="0"/>
            <w:vAlign w:val="top"/>
          </w:tcPr>
          <w:p w14:paraId="16484887">
            <w:pPr>
              <w:widowControl/>
              <w:jc w:val="center"/>
              <w:rPr>
                <w:rFonts w:ascii="仿宋" w:hAnsi="仿宋" w:eastAsia="仿宋" w:cs="宋体"/>
                <w:color w:val="auto"/>
                <w:kern w:val="0"/>
                <w:szCs w:val="21"/>
                <w:highlight w:val="none"/>
              </w:rPr>
            </w:pPr>
          </w:p>
        </w:tc>
        <w:tc>
          <w:tcPr>
            <w:tcW w:w="659" w:type="dxa"/>
            <w:tcBorders>
              <w:top w:val="single" w:color="auto" w:sz="4" w:space="0"/>
              <w:left w:val="single" w:color="auto" w:sz="4" w:space="0"/>
              <w:bottom w:val="single" w:color="auto" w:sz="4" w:space="0"/>
              <w:right w:val="single" w:color="auto" w:sz="4" w:space="0"/>
            </w:tcBorders>
            <w:noWrap w:val="0"/>
            <w:vAlign w:val="top"/>
          </w:tcPr>
          <w:p w14:paraId="50DBD047">
            <w:pPr>
              <w:widowControl/>
              <w:jc w:val="center"/>
              <w:rPr>
                <w:rFonts w:ascii="仿宋" w:hAnsi="仿宋" w:eastAsia="仿宋" w:cs="宋体"/>
                <w:color w:val="auto"/>
                <w:kern w:val="0"/>
                <w:szCs w:val="21"/>
                <w:highlight w:val="none"/>
              </w:rPr>
            </w:pPr>
          </w:p>
        </w:tc>
      </w:tr>
      <w:tr w14:paraId="5142F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657" w:type="dxa"/>
            <w:tcBorders>
              <w:top w:val="single" w:color="auto" w:sz="4" w:space="0"/>
              <w:left w:val="single" w:color="auto" w:sz="4" w:space="0"/>
              <w:bottom w:val="single" w:color="auto" w:sz="4" w:space="0"/>
              <w:right w:val="single" w:color="auto" w:sz="4" w:space="0"/>
            </w:tcBorders>
            <w:noWrap w:val="0"/>
            <w:vAlign w:val="center"/>
          </w:tcPr>
          <w:p w14:paraId="57B3E016">
            <w:pPr>
              <w:widowControl/>
              <w:jc w:val="center"/>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8</w:t>
            </w:r>
          </w:p>
        </w:tc>
        <w:tc>
          <w:tcPr>
            <w:tcW w:w="5419" w:type="dxa"/>
            <w:gridSpan w:val="2"/>
            <w:tcBorders>
              <w:top w:val="single" w:color="auto" w:sz="4" w:space="0"/>
              <w:left w:val="single" w:color="auto" w:sz="4" w:space="0"/>
              <w:bottom w:val="single" w:color="auto" w:sz="4" w:space="0"/>
              <w:right w:val="single" w:color="auto" w:sz="4" w:space="0"/>
            </w:tcBorders>
            <w:noWrap w:val="0"/>
            <w:vAlign w:val="center"/>
          </w:tcPr>
          <w:p w14:paraId="19F00025">
            <w:pPr>
              <w:widowControl/>
              <w:rPr>
                <w:rFonts w:ascii="仿宋" w:hAnsi="仿宋" w:eastAsia="仿宋" w:cs="宋体"/>
                <w:color w:val="auto"/>
                <w:szCs w:val="21"/>
                <w:highlight w:val="none"/>
              </w:rPr>
            </w:pPr>
            <w:r>
              <w:rPr>
                <w:rFonts w:hint="eastAsia" w:ascii="仿宋" w:hAnsi="仿宋" w:eastAsia="仿宋" w:cs="仿宋"/>
                <w:color w:val="auto"/>
                <w:szCs w:val="21"/>
                <w:highlight w:val="none"/>
              </w:rPr>
              <w:t>涉网新型案件行为分析服务</w:t>
            </w:r>
            <w:r>
              <w:rPr>
                <w:rFonts w:hint="eastAsia" w:ascii="仿宋" w:hAnsi="仿宋" w:eastAsia="仿宋" w:cs="宋体"/>
                <w:color w:val="auto"/>
                <w:szCs w:val="21"/>
                <w:highlight w:val="none"/>
              </w:rPr>
              <w:t>不到位，未能提供</w:t>
            </w:r>
            <w:r>
              <w:rPr>
                <w:rFonts w:hint="eastAsia" w:ascii="仿宋" w:hAnsi="仿宋" w:eastAsia="仿宋"/>
                <w:color w:val="auto"/>
                <w:szCs w:val="21"/>
                <w:highlight w:val="none"/>
              </w:rPr>
              <w:t>大数据辅助分析、涉网新型行为分析</w:t>
            </w:r>
            <w:r>
              <w:rPr>
                <w:rFonts w:hint="eastAsia" w:ascii="仿宋" w:hAnsi="仿宋" w:eastAsia="仿宋" w:cs="宋体"/>
                <w:color w:val="auto"/>
                <w:szCs w:val="21"/>
                <w:highlight w:val="none"/>
              </w:rPr>
              <w:t>等服务的。提供涉诈设备大数据辅助分析和涉网新型行为分析服务、提供输出C类分析报告</w:t>
            </w:r>
            <w:r>
              <w:rPr>
                <w:rFonts w:hint="eastAsia" w:ascii="仿宋" w:hAnsi="仿宋" w:eastAsia="仿宋" w:cs="宋体"/>
                <w:color w:val="auto"/>
                <w:highlight w:val="none"/>
              </w:rPr>
              <w:t>数量不符合合同条款要求的。</w:t>
            </w:r>
          </w:p>
        </w:tc>
        <w:tc>
          <w:tcPr>
            <w:tcW w:w="1111" w:type="dxa"/>
            <w:tcBorders>
              <w:top w:val="single" w:color="auto" w:sz="4" w:space="0"/>
              <w:left w:val="single" w:color="auto" w:sz="4" w:space="0"/>
              <w:bottom w:val="single" w:color="auto" w:sz="4" w:space="0"/>
              <w:right w:val="single" w:color="auto" w:sz="4" w:space="0"/>
            </w:tcBorders>
            <w:noWrap w:val="0"/>
            <w:vAlign w:val="center"/>
          </w:tcPr>
          <w:p w14:paraId="031A7459">
            <w:pPr>
              <w:widowControl/>
              <w:jc w:val="center"/>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3</w:t>
            </w:r>
          </w:p>
        </w:tc>
        <w:tc>
          <w:tcPr>
            <w:tcW w:w="988" w:type="dxa"/>
            <w:tcBorders>
              <w:top w:val="single" w:color="auto" w:sz="4" w:space="0"/>
              <w:left w:val="single" w:color="auto" w:sz="4" w:space="0"/>
              <w:bottom w:val="single" w:color="auto" w:sz="4" w:space="0"/>
              <w:right w:val="single" w:color="auto" w:sz="4" w:space="0"/>
            </w:tcBorders>
            <w:noWrap w:val="0"/>
            <w:vAlign w:val="top"/>
          </w:tcPr>
          <w:p w14:paraId="27DA9A20">
            <w:pPr>
              <w:widowControl/>
              <w:jc w:val="center"/>
              <w:rPr>
                <w:rFonts w:ascii="仿宋" w:hAnsi="仿宋" w:eastAsia="仿宋" w:cs="宋体"/>
                <w:color w:val="auto"/>
                <w:kern w:val="0"/>
                <w:szCs w:val="21"/>
                <w:highlight w:val="none"/>
              </w:rPr>
            </w:pPr>
          </w:p>
        </w:tc>
        <w:tc>
          <w:tcPr>
            <w:tcW w:w="659" w:type="dxa"/>
            <w:tcBorders>
              <w:top w:val="single" w:color="auto" w:sz="4" w:space="0"/>
              <w:left w:val="single" w:color="auto" w:sz="4" w:space="0"/>
              <w:bottom w:val="single" w:color="auto" w:sz="4" w:space="0"/>
              <w:right w:val="single" w:color="auto" w:sz="4" w:space="0"/>
            </w:tcBorders>
            <w:noWrap w:val="0"/>
            <w:vAlign w:val="top"/>
          </w:tcPr>
          <w:p w14:paraId="161A0407">
            <w:pPr>
              <w:widowControl/>
              <w:jc w:val="center"/>
              <w:rPr>
                <w:rFonts w:ascii="仿宋" w:hAnsi="仿宋" w:eastAsia="仿宋" w:cs="宋体"/>
                <w:color w:val="auto"/>
                <w:kern w:val="0"/>
                <w:szCs w:val="21"/>
                <w:highlight w:val="none"/>
              </w:rPr>
            </w:pPr>
          </w:p>
        </w:tc>
      </w:tr>
      <w:tr w14:paraId="3DCDE0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657" w:type="dxa"/>
            <w:tcBorders>
              <w:top w:val="single" w:color="auto" w:sz="4" w:space="0"/>
              <w:left w:val="single" w:color="auto" w:sz="4" w:space="0"/>
              <w:bottom w:val="single" w:color="auto" w:sz="4" w:space="0"/>
              <w:right w:val="single" w:color="auto" w:sz="4" w:space="0"/>
            </w:tcBorders>
            <w:noWrap w:val="0"/>
            <w:vAlign w:val="center"/>
          </w:tcPr>
          <w:p w14:paraId="18F3E31D">
            <w:pPr>
              <w:widowControl/>
              <w:jc w:val="center"/>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9</w:t>
            </w:r>
          </w:p>
        </w:tc>
        <w:tc>
          <w:tcPr>
            <w:tcW w:w="5419" w:type="dxa"/>
            <w:gridSpan w:val="2"/>
            <w:tcBorders>
              <w:top w:val="single" w:color="auto" w:sz="4" w:space="0"/>
              <w:left w:val="single" w:color="auto" w:sz="4" w:space="0"/>
              <w:bottom w:val="single" w:color="auto" w:sz="4" w:space="0"/>
              <w:right w:val="single" w:color="auto" w:sz="4" w:space="0"/>
            </w:tcBorders>
            <w:noWrap w:val="0"/>
            <w:vAlign w:val="center"/>
          </w:tcPr>
          <w:p w14:paraId="20FEA37F">
            <w:pPr>
              <w:widowControl/>
              <w:rPr>
                <w:rFonts w:ascii="仿宋" w:hAnsi="仿宋" w:eastAsia="仿宋" w:cs="仿宋"/>
                <w:color w:val="auto"/>
                <w:szCs w:val="21"/>
                <w:highlight w:val="none"/>
              </w:rPr>
            </w:pPr>
            <w:r>
              <w:rPr>
                <w:rFonts w:hint="eastAsia" w:ascii="仿宋" w:hAnsi="仿宋" w:eastAsia="仿宋" w:cs="仿宋"/>
                <w:color w:val="auto"/>
                <w:szCs w:val="21"/>
                <w:highlight w:val="none"/>
              </w:rPr>
              <w:t>新型涉网案件智勘联侦分析系统服务</w:t>
            </w:r>
            <w:r>
              <w:rPr>
                <w:rFonts w:hint="eastAsia" w:ascii="仿宋" w:hAnsi="仿宋" w:eastAsia="仿宋" w:cs="宋体"/>
                <w:color w:val="auto"/>
                <w:szCs w:val="21"/>
                <w:highlight w:val="none"/>
              </w:rPr>
              <w:t>不到位，未能提供</w:t>
            </w:r>
            <w:r>
              <w:rPr>
                <w:rFonts w:hint="eastAsia" w:ascii="仿宋" w:hAnsi="仿宋" w:eastAsia="仿宋"/>
                <w:color w:val="auto"/>
                <w:szCs w:val="21"/>
                <w:highlight w:val="none"/>
              </w:rPr>
              <w:t>取证数据推送和分析支撑、数据信息查询</w:t>
            </w:r>
            <w:r>
              <w:rPr>
                <w:rFonts w:hint="eastAsia" w:ascii="仿宋" w:hAnsi="仿宋" w:eastAsia="仿宋" w:cs="宋体"/>
                <w:color w:val="auto"/>
                <w:szCs w:val="21"/>
                <w:highlight w:val="none"/>
              </w:rPr>
              <w:t>等服务的。提供取证数据深度智能分析、研判支撑等案件服务、涉案数据推送、数据信息查询等案件服务、输出C类分析报告</w:t>
            </w:r>
            <w:r>
              <w:rPr>
                <w:rFonts w:hint="eastAsia" w:ascii="仿宋" w:hAnsi="仿宋" w:eastAsia="仿宋" w:cs="宋体"/>
                <w:color w:val="auto"/>
                <w:highlight w:val="none"/>
              </w:rPr>
              <w:t>数量不符合合同条款要求的。</w:t>
            </w:r>
          </w:p>
        </w:tc>
        <w:tc>
          <w:tcPr>
            <w:tcW w:w="1111" w:type="dxa"/>
            <w:tcBorders>
              <w:top w:val="single" w:color="auto" w:sz="4" w:space="0"/>
              <w:left w:val="single" w:color="auto" w:sz="4" w:space="0"/>
              <w:bottom w:val="single" w:color="auto" w:sz="4" w:space="0"/>
              <w:right w:val="single" w:color="auto" w:sz="4" w:space="0"/>
            </w:tcBorders>
            <w:noWrap w:val="0"/>
            <w:vAlign w:val="center"/>
          </w:tcPr>
          <w:p w14:paraId="3A09F258">
            <w:pPr>
              <w:widowControl/>
              <w:jc w:val="center"/>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3</w:t>
            </w:r>
          </w:p>
        </w:tc>
        <w:tc>
          <w:tcPr>
            <w:tcW w:w="988" w:type="dxa"/>
            <w:tcBorders>
              <w:top w:val="single" w:color="auto" w:sz="4" w:space="0"/>
              <w:left w:val="single" w:color="auto" w:sz="4" w:space="0"/>
              <w:bottom w:val="single" w:color="auto" w:sz="4" w:space="0"/>
              <w:right w:val="single" w:color="auto" w:sz="4" w:space="0"/>
            </w:tcBorders>
            <w:noWrap w:val="0"/>
            <w:vAlign w:val="top"/>
          </w:tcPr>
          <w:p w14:paraId="39A7669F">
            <w:pPr>
              <w:widowControl/>
              <w:jc w:val="center"/>
              <w:rPr>
                <w:rFonts w:ascii="仿宋" w:hAnsi="仿宋" w:eastAsia="仿宋" w:cs="宋体"/>
                <w:color w:val="auto"/>
                <w:kern w:val="0"/>
                <w:szCs w:val="21"/>
                <w:highlight w:val="none"/>
              </w:rPr>
            </w:pPr>
          </w:p>
        </w:tc>
        <w:tc>
          <w:tcPr>
            <w:tcW w:w="659" w:type="dxa"/>
            <w:tcBorders>
              <w:top w:val="single" w:color="auto" w:sz="4" w:space="0"/>
              <w:left w:val="single" w:color="auto" w:sz="4" w:space="0"/>
              <w:bottom w:val="single" w:color="auto" w:sz="4" w:space="0"/>
              <w:right w:val="single" w:color="auto" w:sz="4" w:space="0"/>
            </w:tcBorders>
            <w:noWrap w:val="0"/>
            <w:vAlign w:val="top"/>
          </w:tcPr>
          <w:p w14:paraId="09172A75">
            <w:pPr>
              <w:widowControl/>
              <w:jc w:val="center"/>
              <w:rPr>
                <w:rFonts w:ascii="仿宋" w:hAnsi="仿宋" w:eastAsia="仿宋" w:cs="宋体"/>
                <w:color w:val="auto"/>
                <w:kern w:val="0"/>
                <w:szCs w:val="21"/>
                <w:highlight w:val="none"/>
              </w:rPr>
            </w:pPr>
          </w:p>
        </w:tc>
      </w:tr>
      <w:tr w14:paraId="51B85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657" w:type="dxa"/>
            <w:tcBorders>
              <w:top w:val="single" w:color="auto" w:sz="4" w:space="0"/>
              <w:left w:val="single" w:color="auto" w:sz="4" w:space="0"/>
              <w:bottom w:val="single" w:color="auto" w:sz="4" w:space="0"/>
              <w:right w:val="single" w:color="auto" w:sz="4" w:space="0"/>
            </w:tcBorders>
            <w:noWrap w:val="0"/>
            <w:vAlign w:val="center"/>
          </w:tcPr>
          <w:p w14:paraId="53779E87">
            <w:pPr>
              <w:widowControl/>
              <w:jc w:val="center"/>
              <w:rPr>
                <w:rFonts w:ascii="仿宋" w:hAnsi="仿宋" w:eastAsia="仿宋" w:cs="宋体"/>
                <w:color w:val="auto"/>
                <w:kern w:val="0"/>
                <w:szCs w:val="21"/>
                <w:highlight w:val="none"/>
              </w:rPr>
            </w:pPr>
            <w:r>
              <w:rPr>
                <w:rFonts w:ascii="仿宋" w:hAnsi="仿宋" w:eastAsia="仿宋" w:cs="宋体"/>
                <w:color w:val="auto"/>
                <w:kern w:val="0"/>
                <w:szCs w:val="21"/>
                <w:highlight w:val="none"/>
              </w:rPr>
              <w:t>10</w:t>
            </w:r>
          </w:p>
        </w:tc>
        <w:tc>
          <w:tcPr>
            <w:tcW w:w="5419" w:type="dxa"/>
            <w:gridSpan w:val="2"/>
            <w:tcBorders>
              <w:top w:val="single" w:color="auto" w:sz="4" w:space="0"/>
              <w:left w:val="single" w:color="auto" w:sz="4" w:space="0"/>
              <w:bottom w:val="single" w:color="auto" w:sz="4" w:space="0"/>
              <w:right w:val="single" w:color="auto" w:sz="4" w:space="0"/>
            </w:tcBorders>
            <w:noWrap w:val="0"/>
            <w:vAlign w:val="center"/>
          </w:tcPr>
          <w:p w14:paraId="4C0B32A2">
            <w:pPr>
              <w:widowControl/>
              <w:rPr>
                <w:rFonts w:ascii="仿宋" w:hAnsi="仿宋" w:eastAsia="仿宋" w:cs="宋体"/>
                <w:color w:val="auto"/>
                <w:szCs w:val="21"/>
                <w:highlight w:val="none"/>
              </w:rPr>
            </w:pPr>
            <w:r>
              <w:rPr>
                <w:rFonts w:hint="eastAsia" w:ascii="仿宋" w:hAnsi="仿宋" w:eastAsia="仿宋" w:cs="宋体"/>
                <w:color w:val="auto"/>
                <w:szCs w:val="21"/>
                <w:highlight w:val="none"/>
                <w:lang w:eastAsia="zh-CN"/>
              </w:rPr>
              <w:t>乙方</w:t>
            </w:r>
            <w:r>
              <w:rPr>
                <w:rFonts w:hint="eastAsia" w:ascii="仿宋" w:hAnsi="仿宋" w:eastAsia="仿宋" w:cs="宋体"/>
                <w:color w:val="auto"/>
                <w:szCs w:val="21"/>
                <w:highlight w:val="none"/>
              </w:rPr>
              <w:t>未提供7*24小时的技术支持（包括电话咨询与现场服务）的。</w:t>
            </w:r>
          </w:p>
        </w:tc>
        <w:tc>
          <w:tcPr>
            <w:tcW w:w="1111" w:type="dxa"/>
            <w:tcBorders>
              <w:top w:val="single" w:color="auto" w:sz="4" w:space="0"/>
              <w:left w:val="single" w:color="auto" w:sz="4" w:space="0"/>
              <w:bottom w:val="single" w:color="auto" w:sz="4" w:space="0"/>
              <w:right w:val="single" w:color="auto" w:sz="4" w:space="0"/>
            </w:tcBorders>
            <w:noWrap w:val="0"/>
            <w:vAlign w:val="center"/>
          </w:tcPr>
          <w:p w14:paraId="4B9F5540">
            <w:pPr>
              <w:widowControl/>
              <w:jc w:val="center"/>
              <w:rPr>
                <w:rFonts w:ascii="仿宋" w:hAnsi="仿宋" w:eastAsia="仿宋" w:cs="宋体"/>
                <w:color w:val="auto"/>
                <w:kern w:val="0"/>
                <w:szCs w:val="21"/>
                <w:highlight w:val="none"/>
              </w:rPr>
            </w:pPr>
            <w:r>
              <w:rPr>
                <w:rFonts w:ascii="仿宋" w:hAnsi="仿宋" w:eastAsia="仿宋" w:cs="宋体"/>
                <w:color w:val="auto"/>
                <w:kern w:val="0"/>
                <w:szCs w:val="21"/>
                <w:highlight w:val="none"/>
              </w:rPr>
              <w:t>2</w:t>
            </w:r>
          </w:p>
        </w:tc>
        <w:tc>
          <w:tcPr>
            <w:tcW w:w="988" w:type="dxa"/>
            <w:tcBorders>
              <w:top w:val="single" w:color="auto" w:sz="4" w:space="0"/>
              <w:left w:val="single" w:color="auto" w:sz="4" w:space="0"/>
              <w:bottom w:val="single" w:color="auto" w:sz="4" w:space="0"/>
              <w:right w:val="single" w:color="auto" w:sz="4" w:space="0"/>
            </w:tcBorders>
            <w:noWrap w:val="0"/>
            <w:vAlign w:val="top"/>
          </w:tcPr>
          <w:p w14:paraId="688742BC">
            <w:pPr>
              <w:widowControl/>
              <w:jc w:val="center"/>
              <w:rPr>
                <w:rFonts w:ascii="仿宋" w:hAnsi="仿宋" w:eastAsia="仿宋" w:cs="宋体"/>
                <w:color w:val="auto"/>
                <w:kern w:val="0"/>
                <w:szCs w:val="21"/>
                <w:highlight w:val="none"/>
              </w:rPr>
            </w:pPr>
          </w:p>
        </w:tc>
        <w:tc>
          <w:tcPr>
            <w:tcW w:w="659" w:type="dxa"/>
            <w:tcBorders>
              <w:top w:val="single" w:color="auto" w:sz="4" w:space="0"/>
              <w:left w:val="single" w:color="auto" w:sz="4" w:space="0"/>
              <w:bottom w:val="single" w:color="auto" w:sz="4" w:space="0"/>
              <w:right w:val="single" w:color="auto" w:sz="4" w:space="0"/>
            </w:tcBorders>
            <w:noWrap w:val="0"/>
            <w:vAlign w:val="top"/>
          </w:tcPr>
          <w:p w14:paraId="0011ED87">
            <w:pPr>
              <w:widowControl/>
              <w:jc w:val="center"/>
              <w:rPr>
                <w:rFonts w:ascii="仿宋" w:hAnsi="仿宋" w:eastAsia="仿宋" w:cs="宋体"/>
                <w:color w:val="auto"/>
                <w:kern w:val="0"/>
                <w:szCs w:val="21"/>
                <w:highlight w:val="none"/>
              </w:rPr>
            </w:pPr>
          </w:p>
        </w:tc>
      </w:tr>
      <w:tr w14:paraId="23EDD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657" w:type="dxa"/>
            <w:tcBorders>
              <w:top w:val="single" w:color="auto" w:sz="4" w:space="0"/>
              <w:left w:val="single" w:color="auto" w:sz="4" w:space="0"/>
              <w:bottom w:val="single" w:color="auto" w:sz="4" w:space="0"/>
              <w:right w:val="single" w:color="auto" w:sz="4" w:space="0"/>
            </w:tcBorders>
            <w:noWrap w:val="0"/>
            <w:vAlign w:val="center"/>
          </w:tcPr>
          <w:p w14:paraId="14CDA5D9">
            <w:pPr>
              <w:widowControl/>
              <w:jc w:val="center"/>
              <w:rPr>
                <w:rFonts w:ascii="仿宋" w:hAnsi="仿宋" w:eastAsia="仿宋" w:cs="宋体"/>
                <w:color w:val="auto"/>
                <w:kern w:val="0"/>
                <w:szCs w:val="21"/>
                <w:highlight w:val="none"/>
              </w:rPr>
            </w:pPr>
            <w:r>
              <w:rPr>
                <w:rFonts w:ascii="仿宋" w:hAnsi="仿宋" w:eastAsia="仿宋" w:cs="宋体"/>
                <w:color w:val="auto"/>
                <w:kern w:val="0"/>
                <w:szCs w:val="21"/>
                <w:highlight w:val="none"/>
              </w:rPr>
              <w:t>11</w:t>
            </w:r>
          </w:p>
        </w:tc>
        <w:tc>
          <w:tcPr>
            <w:tcW w:w="5419" w:type="dxa"/>
            <w:gridSpan w:val="2"/>
            <w:tcBorders>
              <w:top w:val="single" w:color="auto" w:sz="4" w:space="0"/>
              <w:left w:val="single" w:color="auto" w:sz="4" w:space="0"/>
              <w:bottom w:val="single" w:color="auto" w:sz="4" w:space="0"/>
              <w:right w:val="single" w:color="auto" w:sz="4" w:space="0"/>
            </w:tcBorders>
            <w:noWrap w:val="0"/>
            <w:vAlign w:val="center"/>
          </w:tcPr>
          <w:p w14:paraId="776FBAD4">
            <w:pPr>
              <w:widowControl/>
              <w:rPr>
                <w:rFonts w:ascii="仿宋" w:hAnsi="仿宋" w:eastAsia="仿宋" w:cs="宋体"/>
                <w:color w:val="auto"/>
                <w:szCs w:val="21"/>
                <w:highlight w:val="none"/>
              </w:rPr>
            </w:pPr>
            <w:r>
              <w:rPr>
                <w:rFonts w:hint="eastAsia" w:ascii="仿宋" w:hAnsi="仿宋" w:eastAsia="仿宋" w:cs="宋体"/>
                <w:color w:val="auto"/>
                <w:szCs w:val="21"/>
                <w:highlight w:val="none"/>
              </w:rPr>
              <w:t>每次对涉案系统进行扫描、安全测试之前未先与</w:t>
            </w:r>
            <w:r>
              <w:rPr>
                <w:rFonts w:hint="eastAsia" w:ascii="仿宋" w:hAnsi="仿宋" w:eastAsia="仿宋" w:cs="宋体"/>
                <w:color w:val="auto"/>
                <w:szCs w:val="21"/>
                <w:highlight w:val="none"/>
                <w:lang w:eastAsia="zh-CN"/>
              </w:rPr>
              <w:t>甲方</w:t>
            </w:r>
            <w:r>
              <w:rPr>
                <w:rFonts w:hint="eastAsia" w:ascii="仿宋" w:hAnsi="仿宋" w:eastAsia="仿宋" w:cs="宋体"/>
                <w:color w:val="auto"/>
                <w:szCs w:val="21"/>
                <w:highlight w:val="none"/>
              </w:rPr>
              <w:t>书面确认的。</w:t>
            </w:r>
          </w:p>
        </w:tc>
        <w:tc>
          <w:tcPr>
            <w:tcW w:w="1111" w:type="dxa"/>
            <w:tcBorders>
              <w:top w:val="single" w:color="auto" w:sz="4" w:space="0"/>
              <w:left w:val="single" w:color="auto" w:sz="4" w:space="0"/>
              <w:bottom w:val="single" w:color="auto" w:sz="4" w:space="0"/>
              <w:right w:val="single" w:color="auto" w:sz="4" w:space="0"/>
            </w:tcBorders>
            <w:noWrap w:val="0"/>
            <w:vAlign w:val="center"/>
          </w:tcPr>
          <w:p w14:paraId="0B7065A3">
            <w:pPr>
              <w:widowControl/>
              <w:jc w:val="center"/>
              <w:rPr>
                <w:rFonts w:ascii="仿宋" w:hAnsi="仿宋" w:eastAsia="仿宋" w:cs="宋体"/>
                <w:color w:val="auto"/>
                <w:kern w:val="0"/>
                <w:szCs w:val="21"/>
                <w:highlight w:val="none"/>
              </w:rPr>
            </w:pPr>
            <w:r>
              <w:rPr>
                <w:rFonts w:ascii="仿宋" w:hAnsi="仿宋" w:eastAsia="仿宋" w:cs="宋体"/>
                <w:color w:val="auto"/>
                <w:kern w:val="0"/>
                <w:szCs w:val="21"/>
                <w:highlight w:val="none"/>
              </w:rPr>
              <w:t>3</w:t>
            </w:r>
          </w:p>
        </w:tc>
        <w:tc>
          <w:tcPr>
            <w:tcW w:w="988" w:type="dxa"/>
            <w:tcBorders>
              <w:top w:val="single" w:color="auto" w:sz="4" w:space="0"/>
              <w:left w:val="single" w:color="auto" w:sz="4" w:space="0"/>
              <w:bottom w:val="single" w:color="auto" w:sz="4" w:space="0"/>
              <w:right w:val="single" w:color="auto" w:sz="4" w:space="0"/>
            </w:tcBorders>
            <w:noWrap w:val="0"/>
            <w:vAlign w:val="top"/>
          </w:tcPr>
          <w:p w14:paraId="7A182787">
            <w:pPr>
              <w:widowControl/>
              <w:jc w:val="center"/>
              <w:rPr>
                <w:rFonts w:ascii="仿宋" w:hAnsi="仿宋" w:eastAsia="仿宋" w:cs="宋体"/>
                <w:color w:val="auto"/>
                <w:kern w:val="0"/>
                <w:szCs w:val="21"/>
                <w:highlight w:val="none"/>
              </w:rPr>
            </w:pPr>
          </w:p>
        </w:tc>
        <w:tc>
          <w:tcPr>
            <w:tcW w:w="659" w:type="dxa"/>
            <w:tcBorders>
              <w:top w:val="single" w:color="auto" w:sz="4" w:space="0"/>
              <w:left w:val="single" w:color="auto" w:sz="4" w:space="0"/>
              <w:bottom w:val="single" w:color="auto" w:sz="4" w:space="0"/>
              <w:right w:val="single" w:color="auto" w:sz="4" w:space="0"/>
            </w:tcBorders>
            <w:noWrap w:val="0"/>
            <w:vAlign w:val="top"/>
          </w:tcPr>
          <w:p w14:paraId="42AA8BF0">
            <w:pPr>
              <w:widowControl/>
              <w:jc w:val="center"/>
              <w:rPr>
                <w:rFonts w:ascii="仿宋" w:hAnsi="仿宋" w:eastAsia="仿宋" w:cs="宋体"/>
                <w:color w:val="auto"/>
                <w:kern w:val="0"/>
                <w:szCs w:val="21"/>
                <w:highlight w:val="none"/>
              </w:rPr>
            </w:pPr>
          </w:p>
        </w:tc>
      </w:tr>
      <w:tr w14:paraId="1CF18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657" w:type="dxa"/>
            <w:tcBorders>
              <w:top w:val="single" w:color="auto" w:sz="4" w:space="0"/>
              <w:left w:val="single" w:color="auto" w:sz="4" w:space="0"/>
              <w:bottom w:val="single" w:color="auto" w:sz="4" w:space="0"/>
              <w:right w:val="single" w:color="auto" w:sz="4" w:space="0"/>
            </w:tcBorders>
            <w:noWrap w:val="0"/>
            <w:vAlign w:val="center"/>
          </w:tcPr>
          <w:p w14:paraId="2F10DF70">
            <w:pPr>
              <w:widowControl/>
              <w:jc w:val="center"/>
              <w:rPr>
                <w:rFonts w:ascii="仿宋" w:hAnsi="仿宋" w:eastAsia="仿宋" w:cs="宋体"/>
                <w:color w:val="auto"/>
                <w:kern w:val="0"/>
                <w:szCs w:val="21"/>
                <w:highlight w:val="none"/>
              </w:rPr>
            </w:pPr>
            <w:r>
              <w:rPr>
                <w:rFonts w:ascii="仿宋" w:hAnsi="仿宋" w:eastAsia="仿宋" w:cs="宋体"/>
                <w:color w:val="auto"/>
                <w:kern w:val="0"/>
                <w:szCs w:val="21"/>
                <w:highlight w:val="none"/>
              </w:rPr>
              <w:t>12</w:t>
            </w:r>
          </w:p>
        </w:tc>
        <w:tc>
          <w:tcPr>
            <w:tcW w:w="5419" w:type="dxa"/>
            <w:gridSpan w:val="2"/>
            <w:tcBorders>
              <w:top w:val="single" w:color="auto" w:sz="4" w:space="0"/>
              <w:left w:val="single" w:color="auto" w:sz="4" w:space="0"/>
              <w:bottom w:val="single" w:color="auto" w:sz="4" w:space="0"/>
              <w:right w:val="single" w:color="auto" w:sz="4" w:space="0"/>
            </w:tcBorders>
            <w:noWrap w:val="0"/>
            <w:vAlign w:val="center"/>
          </w:tcPr>
          <w:p w14:paraId="696038F0">
            <w:pPr>
              <w:widowControl/>
              <w:rPr>
                <w:rFonts w:ascii="仿宋" w:hAnsi="仿宋" w:eastAsia="仿宋" w:cs="宋体"/>
                <w:color w:val="auto"/>
                <w:szCs w:val="21"/>
                <w:highlight w:val="none"/>
              </w:rPr>
            </w:pPr>
            <w:r>
              <w:rPr>
                <w:rFonts w:hint="eastAsia" w:ascii="仿宋" w:hAnsi="仿宋" w:eastAsia="仿宋" w:cs="宋体"/>
                <w:color w:val="auto"/>
                <w:szCs w:val="21"/>
                <w:highlight w:val="none"/>
              </w:rPr>
              <w:t>进行服务实施时，未在</w:t>
            </w:r>
            <w:r>
              <w:rPr>
                <w:rFonts w:hint="eastAsia" w:ascii="仿宋" w:hAnsi="仿宋" w:eastAsia="仿宋" w:cs="宋体"/>
                <w:color w:val="auto"/>
                <w:szCs w:val="21"/>
                <w:highlight w:val="none"/>
                <w:lang w:eastAsia="zh-CN"/>
              </w:rPr>
              <w:t>甲方</w:t>
            </w:r>
            <w:r>
              <w:rPr>
                <w:rFonts w:hint="eastAsia" w:ascii="仿宋" w:hAnsi="仿宋" w:eastAsia="仿宋" w:cs="宋体"/>
                <w:color w:val="auto"/>
                <w:szCs w:val="21"/>
                <w:highlight w:val="none"/>
              </w:rPr>
              <w:t>许可的情况下进行的。</w:t>
            </w:r>
          </w:p>
        </w:tc>
        <w:tc>
          <w:tcPr>
            <w:tcW w:w="1111" w:type="dxa"/>
            <w:tcBorders>
              <w:top w:val="single" w:color="auto" w:sz="4" w:space="0"/>
              <w:left w:val="single" w:color="auto" w:sz="4" w:space="0"/>
              <w:bottom w:val="single" w:color="auto" w:sz="4" w:space="0"/>
              <w:right w:val="single" w:color="auto" w:sz="4" w:space="0"/>
            </w:tcBorders>
            <w:noWrap w:val="0"/>
            <w:vAlign w:val="center"/>
          </w:tcPr>
          <w:p w14:paraId="117F20FD">
            <w:pPr>
              <w:widowControl/>
              <w:jc w:val="center"/>
              <w:rPr>
                <w:rFonts w:ascii="仿宋" w:hAnsi="仿宋" w:eastAsia="仿宋" w:cs="宋体"/>
                <w:color w:val="auto"/>
                <w:kern w:val="0"/>
                <w:szCs w:val="21"/>
                <w:highlight w:val="none"/>
              </w:rPr>
            </w:pPr>
            <w:r>
              <w:rPr>
                <w:rFonts w:ascii="仿宋" w:hAnsi="仿宋" w:eastAsia="仿宋" w:cs="宋体"/>
                <w:color w:val="auto"/>
                <w:kern w:val="0"/>
                <w:szCs w:val="21"/>
                <w:highlight w:val="none"/>
              </w:rPr>
              <w:t>3</w:t>
            </w:r>
          </w:p>
        </w:tc>
        <w:tc>
          <w:tcPr>
            <w:tcW w:w="988" w:type="dxa"/>
            <w:tcBorders>
              <w:top w:val="single" w:color="auto" w:sz="4" w:space="0"/>
              <w:left w:val="single" w:color="auto" w:sz="4" w:space="0"/>
              <w:bottom w:val="single" w:color="auto" w:sz="4" w:space="0"/>
              <w:right w:val="single" w:color="auto" w:sz="4" w:space="0"/>
            </w:tcBorders>
            <w:noWrap w:val="0"/>
            <w:vAlign w:val="top"/>
          </w:tcPr>
          <w:p w14:paraId="6B9C7B58">
            <w:pPr>
              <w:widowControl/>
              <w:jc w:val="center"/>
              <w:rPr>
                <w:rFonts w:ascii="仿宋" w:hAnsi="仿宋" w:eastAsia="仿宋" w:cs="宋体"/>
                <w:color w:val="auto"/>
                <w:kern w:val="0"/>
                <w:szCs w:val="21"/>
                <w:highlight w:val="none"/>
              </w:rPr>
            </w:pPr>
          </w:p>
        </w:tc>
        <w:tc>
          <w:tcPr>
            <w:tcW w:w="659" w:type="dxa"/>
            <w:tcBorders>
              <w:top w:val="single" w:color="auto" w:sz="4" w:space="0"/>
              <w:left w:val="single" w:color="auto" w:sz="4" w:space="0"/>
              <w:bottom w:val="single" w:color="auto" w:sz="4" w:space="0"/>
              <w:right w:val="single" w:color="auto" w:sz="4" w:space="0"/>
            </w:tcBorders>
            <w:noWrap w:val="0"/>
            <w:vAlign w:val="top"/>
          </w:tcPr>
          <w:p w14:paraId="2B066707">
            <w:pPr>
              <w:widowControl/>
              <w:jc w:val="center"/>
              <w:rPr>
                <w:rFonts w:ascii="仿宋" w:hAnsi="仿宋" w:eastAsia="仿宋" w:cs="宋体"/>
                <w:color w:val="auto"/>
                <w:kern w:val="0"/>
                <w:szCs w:val="21"/>
                <w:highlight w:val="none"/>
              </w:rPr>
            </w:pPr>
          </w:p>
        </w:tc>
      </w:tr>
      <w:tr w14:paraId="576D8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657" w:type="dxa"/>
            <w:tcBorders>
              <w:top w:val="single" w:color="auto" w:sz="4" w:space="0"/>
              <w:left w:val="single" w:color="auto" w:sz="4" w:space="0"/>
              <w:bottom w:val="single" w:color="auto" w:sz="4" w:space="0"/>
              <w:right w:val="single" w:color="auto" w:sz="4" w:space="0"/>
            </w:tcBorders>
            <w:noWrap w:val="0"/>
            <w:vAlign w:val="center"/>
          </w:tcPr>
          <w:p w14:paraId="5868DDB8">
            <w:pPr>
              <w:widowControl/>
              <w:jc w:val="center"/>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1</w:t>
            </w:r>
            <w:r>
              <w:rPr>
                <w:rFonts w:ascii="仿宋" w:hAnsi="仿宋" w:eastAsia="仿宋" w:cs="宋体"/>
                <w:color w:val="auto"/>
                <w:kern w:val="0"/>
                <w:szCs w:val="21"/>
                <w:highlight w:val="none"/>
              </w:rPr>
              <w:t>3</w:t>
            </w:r>
          </w:p>
        </w:tc>
        <w:tc>
          <w:tcPr>
            <w:tcW w:w="5419" w:type="dxa"/>
            <w:gridSpan w:val="2"/>
            <w:tcBorders>
              <w:top w:val="single" w:color="auto" w:sz="4" w:space="0"/>
              <w:left w:val="single" w:color="auto" w:sz="4" w:space="0"/>
              <w:bottom w:val="single" w:color="auto" w:sz="4" w:space="0"/>
              <w:right w:val="single" w:color="auto" w:sz="4" w:space="0"/>
            </w:tcBorders>
            <w:noWrap w:val="0"/>
            <w:vAlign w:val="center"/>
          </w:tcPr>
          <w:p w14:paraId="171D20BC">
            <w:pPr>
              <w:widowControl/>
              <w:rPr>
                <w:rFonts w:hint="eastAsia" w:ascii="仿宋" w:hAnsi="仿宋" w:eastAsia="仿宋" w:cs="宋体"/>
                <w:color w:val="auto"/>
                <w:szCs w:val="21"/>
                <w:highlight w:val="none"/>
              </w:rPr>
            </w:pPr>
            <w:r>
              <w:rPr>
                <w:rFonts w:hint="eastAsia" w:ascii="仿宋" w:hAnsi="仿宋" w:eastAsia="仿宋" w:cs="宋体"/>
                <w:color w:val="auto"/>
                <w:szCs w:val="21"/>
                <w:highlight w:val="none"/>
              </w:rPr>
              <w:t>单个分析报告，未在接到</w:t>
            </w:r>
            <w:r>
              <w:rPr>
                <w:rFonts w:hint="eastAsia" w:ascii="仿宋" w:hAnsi="仿宋" w:eastAsia="仿宋" w:cs="宋体"/>
                <w:color w:val="auto"/>
                <w:szCs w:val="21"/>
                <w:highlight w:val="none"/>
                <w:lang w:eastAsia="zh-CN"/>
              </w:rPr>
              <w:t>甲方</w:t>
            </w:r>
            <w:r>
              <w:rPr>
                <w:rFonts w:hint="eastAsia" w:ascii="仿宋" w:hAnsi="仿宋" w:eastAsia="仿宋" w:cs="宋体"/>
                <w:color w:val="auto"/>
                <w:szCs w:val="21"/>
                <w:highlight w:val="none"/>
              </w:rPr>
              <w:t>书面工作指令后5个工作日内出具，并交由</w:t>
            </w:r>
            <w:r>
              <w:rPr>
                <w:rFonts w:hint="eastAsia" w:ascii="仿宋" w:hAnsi="仿宋" w:eastAsia="仿宋" w:cs="宋体"/>
                <w:color w:val="auto"/>
                <w:szCs w:val="21"/>
                <w:highlight w:val="none"/>
                <w:lang w:eastAsia="zh-CN"/>
              </w:rPr>
              <w:t>甲方</w:t>
            </w:r>
            <w:r>
              <w:rPr>
                <w:rFonts w:hint="eastAsia" w:ascii="仿宋" w:hAnsi="仿宋" w:eastAsia="仿宋" w:cs="宋体"/>
                <w:color w:val="auto"/>
                <w:szCs w:val="21"/>
                <w:highlight w:val="none"/>
              </w:rPr>
              <w:t>审核的。</w:t>
            </w:r>
          </w:p>
        </w:tc>
        <w:tc>
          <w:tcPr>
            <w:tcW w:w="1111" w:type="dxa"/>
            <w:tcBorders>
              <w:top w:val="single" w:color="auto" w:sz="4" w:space="0"/>
              <w:left w:val="single" w:color="auto" w:sz="4" w:space="0"/>
              <w:bottom w:val="single" w:color="auto" w:sz="4" w:space="0"/>
              <w:right w:val="single" w:color="auto" w:sz="4" w:space="0"/>
            </w:tcBorders>
            <w:noWrap w:val="0"/>
            <w:vAlign w:val="center"/>
          </w:tcPr>
          <w:p w14:paraId="770DC20B">
            <w:pPr>
              <w:widowControl/>
              <w:jc w:val="center"/>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3</w:t>
            </w:r>
          </w:p>
        </w:tc>
        <w:tc>
          <w:tcPr>
            <w:tcW w:w="988" w:type="dxa"/>
            <w:tcBorders>
              <w:top w:val="single" w:color="auto" w:sz="4" w:space="0"/>
              <w:left w:val="single" w:color="auto" w:sz="4" w:space="0"/>
              <w:bottom w:val="single" w:color="auto" w:sz="4" w:space="0"/>
              <w:right w:val="single" w:color="auto" w:sz="4" w:space="0"/>
            </w:tcBorders>
            <w:noWrap w:val="0"/>
            <w:vAlign w:val="top"/>
          </w:tcPr>
          <w:p w14:paraId="31628274">
            <w:pPr>
              <w:widowControl/>
              <w:jc w:val="center"/>
              <w:rPr>
                <w:rFonts w:ascii="仿宋" w:hAnsi="仿宋" w:eastAsia="仿宋" w:cs="宋体"/>
                <w:color w:val="auto"/>
                <w:kern w:val="0"/>
                <w:szCs w:val="21"/>
                <w:highlight w:val="none"/>
              </w:rPr>
            </w:pPr>
          </w:p>
        </w:tc>
        <w:tc>
          <w:tcPr>
            <w:tcW w:w="659" w:type="dxa"/>
            <w:tcBorders>
              <w:top w:val="single" w:color="auto" w:sz="4" w:space="0"/>
              <w:left w:val="single" w:color="auto" w:sz="4" w:space="0"/>
              <w:bottom w:val="single" w:color="auto" w:sz="4" w:space="0"/>
              <w:right w:val="single" w:color="auto" w:sz="4" w:space="0"/>
            </w:tcBorders>
            <w:noWrap w:val="0"/>
            <w:vAlign w:val="top"/>
          </w:tcPr>
          <w:p w14:paraId="0413B058">
            <w:pPr>
              <w:widowControl/>
              <w:jc w:val="center"/>
              <w:rPr>
                <w:rFonts w:ascii="仿宋" w:hAnsi="仿宋" w:eastAsia="仿宋" w:cs="宋体"/>
                <w:color w:val="auto"/>
                <w:kern w:val="0"/>
                <w:szCs w:val="21"/>
                <w:highlight w:val="none"/>
              </w:rPr>
            </w:pPr>
          </w:p>
        </w:tc>
      </w:tr>
      <w:tr w14:paraId="19E3C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657" w:type="dxa"/>
            <w:tcBorders>
              <w:top w:val="single" w:color="auto" w:sz="4" w:space="0"/>
              <w:left w:val="single" w:color="auto" w:sz="4" w:space="0"/>
              <w:bottom w:val="single" w:color="auto" w:sz="4" w:space="0"/>
              <w:right w:val="single" w:color="auto" w:sz="4" w:space="0"/>
            </w:tcBorders>
            <w:noWrap w:val="0"/>
            <w:vAlign w:val="center"/>
          </w:tcPr>
          <w:p w14:paraId="0BA482DE">
            <w:pPr>
              <w:widowControl/>
              <w:jc w:val="center"/>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1</w:t>
            </w:r>
            <w:r>
              <w:rPr>
                <w:rFonts w:ascii="仿宋" w:hAnsi="仿宋" w:eastAsia="仿宋" w:cs="宋体"/>
                <w:color w:val="auto"/>
                <w:kern w:val="0"/>
                <w:szCs w:val="21"/>
                <w:highlight w:val="none"/>
              </w:rPr>
              <w:t>4</w:t>
            </w:r>
          </w:p>
        </w:tc>
        <w:tc>
          <w:tcPr>
            <w:tcW w:w="5419" w:type="dxa"/>
            <w:gridSpan w:val="2"/>
            <w:tcBorders>
              <w:top w:val="single" w:color="auto" w:sz="4" w:space="0"/>
              <w:left w:val="single" w:color="auto" w:sz="4" w:space="0"/>
              <w:bottom w:val="single" w:color="auto" w:sz="4" w:space="0"/>
              <w:right w:val="single" w:color="auto" w:sz="4" w:space="0"/>
            </w:tcBorders>
            <w:noWrap w:val="0"/>
            <w:vAlign w:val="center"/>
          </w:tcPr>
          <w:p w14:paraId="63A6E093">
            <w:pPr>
              <w:widowControl/>
              <w:rPr>
                <w:rFonts w:ascii="仿宋" w:hAnsi="仿宋" w:eastAsia="仿宋" w:cs="宋体"/>
                <w:color w:val="auto"/>
                <w:szCs w:val="21"/>
                <w:highlight w:val="none"/>
              </w:rPr>
            </w:pPr>
            <w:r>
              <w:rPr>
                <w:rFonts w:hint="eastAsia" w:ascii="仿宋" w:hAnsi="仿宋" w:eastAsia="仿宋" w:cs="宋体"/>
                <w:color w:val="auto"/>
                <w:szCs w:val="21"/>
                <w:highlight w:val="none"/>
                <w:lang w:eastAsia="zh-CN"/>
              </w:rPr>
              <w:t>乙方</w:t>
            </w:r>
            <w:r>
              <w:rPr>
                <w:rFonts w:hint="eastAsia" w:ascii="仿宋" w:hAnsi="仿宋" w:eastAsia="仿宋" w:cs="宋体"/>
                <w:color w:val="auto"/>
                <w:szCs w:val="21"/>
                <w:highlight w:val="none"/>
              </w:rPr>
              <w:t>未按网络安全履行责任和义务的，每发生一次扣除违约金</w:t>
            </w:r>
            <w:r>
              <w:rPr>
                <w:rFonts w:ascii="仿宋" w:hAnsi="仿宋" w:eastAsia="仿宋" w:cs="宋体"/>
                <w:color w:val="auto"/>
                <w:szCs w:val="21"/>
                <w:highlight w:val="none"/>
              </w:rPr>
              <w:t>10000元。</w:t>
            </w:r>
            <w:r>
              <w:rPr>
                <w:rFonts w:hint="eastAsia" w:ascii="仿宋" w:hAnsi="仿宋" w:eastAsia="仿宋" w:cs="宋体"/>
                <w:color w:val="auto"/>
                <w:szCs w:val="21"/>
                <w:highlight w:val="none"/>
              </w:rPr>
              <w:t>未按保密管理条款规定执行的，每发现一次处违约金10000元，如发生泄密事件，除赔偿</w:t>
            </w:r>
            <w:r>
              <w:rPr>
                <w:rFonts w:hint="eastAsia" w:ascii="仿宋" w:hAnsi="仿宋" w:eastAsia="仿宋" w:cs="宋体"/>
                <w:color w:val="auto"/>
                <w:szCs w:val="21"/>
                <w:highlight w:val="none"/>
                <w:lang w:eastAsia="zh-CN"/>
              </w:rPr>
              <w:t>甲方</w:t>
            </w:r>
            <w:r>
              <w:rPr>
                <w:rFonts w:hint="eastAsia" w:ascii="仿宋" w:hAnsi="仿宋" w:eastAsia="仿宋" w:cs="宋体"/>
                <w:color w:val="auto"/>
                <w:szCs w:val="21"/>
                <w:highlight w:val="none"/>
              </w:rPr>
              <w:t>损失外，还应承担全部法律责任。</w:t>
            </w:r>
          </w:p>
        </w:tc>
        <w:tc>
          <w:tcPr>
            <w:tcW w:w="1111" w:type="dxa"/>
            <w:tcBorders>
              <w:top w:val="single" w:color="auto" w:sz="4" w:space="0"/>
              <w:left w:val="single" w:color="auto" w:sz="4" w:space="0"/>
              <w:bottom w:val="single" w:color="auto" w:sz="4" w:space="0"/>
              <w:right w:val="single" w:color="auto" w:sz="4" w:space="0"/>
            </w:tcBorders>
            <w:noWrap w:val="0"/>
            <w:vAlign w:val="center"/>
          </w:tcPr>
          <w:p w14:paraId="7A1CAEAC">
            <w:pPr>
              <w:widowControl/>
              <w:jc w:val="center"/>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w:t>
            </w:r>
          </w:p>
        </w:tc>
        <w:tc>
          <w:tcPr>
            <w:tcW w:w="988" w:type="dxa"/>
            <w:tcBorders>
              <w:top w:val="single" w:color="auto" w:sz="4" w:space="0"/>
              <w:left w:val="single" w:color="auto" w:sz="4" w:space="0"/>
              <w:bottom w:val="single" w:color="auto" w:sz="4" w:space="0"/>
              <w:right w:val="single" w:color="auto" w:sz="4" w:space="0"/>
            </w:tcBorders>
            <w:noWrap w:val="0"/>
            <w:vAlign w:val="center"/>
          </w:tcPr>
          <w:p w14:paraId="5E6D0F29">
            <w:pPr>
              <w:widowControl/>
              <w:jc w:val="center"/>
              <w:rPr>
                <w:rFonts w:ascii="仿宋" w:hAnsi="仿宋" w:eastAsia="仿宋" w:cs="宋体"/>
                <w:color w:val="auto"/>
                <w:kern w:val="0"/>
                <w:szCs w:val="21"/>
                <w:highlight w:val="none"/>
              </w:rPr>
            </w:pPr>
          </w:p>
        </w:tc>
        <w:tc>
          <w:tcPr>
            <w:tcW w:w="659" w:type="dxa"/>
            <w:tcBorders>
              <w:top w:val="single" w:color="auto" w:sz="4" w:space="0"/>
              <w:left w:val="single" w:color="auto" w:sz="4" w:space="0"/>
              <w:bottom w:val="single" w:color="auto" w:sz="4" w:space="0"/>
              <w:right w:val="single" w:color="auto" w:sz="4" w:space="0"/>
            </w:tcBorders>
            <w:noWrap w:val="0"/>
            <w:vAlign w:val="top"/>
          </w:tcPr>
          <w:p w14:paraId="6B7B7475">
            <w:pPr>
              <w:widowControl/>
              <w:jc w:val="center"/>
              <w:rPr>
                <w:rFonts w:ascii="仿宋" w:hAnsi="仿宋" w:eastAsia="仿宋" w:cs="宋体"/>
                <w:color w:val="auto"/>
                <w:kern w:val="0"/>
                <w:szCs w:val="21"/>
                <w:highlight w:val="none"/>
              </w:rPr>
            </w:pPr>
          </w:p>
        </w:tc>
      </w:tr>
      <w:tr w14:paraId="40A69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657" w:type="dxa"/>
            <w:tcBorders>
              <w:top w:val="single" w:color="auto" w:sz="4" w:space="0"/>
              <w:left w:val="single" w:color="auto" w:sz="4" w:space="0"/>
              <w:bottom w:val="single" w:color="auto" w:sz="4" w:space="0"/>
              <w:right w:val="single" w:color="auto" w:sz="4" w:space="0"/>
            </w:tcBorders>
            <w:noWrap w:val="0"/>
            <w:vAlign w:val="center"/>
          </w:tcPr>
          <w:p w14:paraId="38BBA27E">
            <w:pPr>
              <w:widowControl/>
              <w:jc w:val="center"/>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1</w:t>
            </w:r>
            <w:r>
              <w:rPr>
                <w:rFonts w:ascii="仿宋" w:hAnsi="仿宋" w:eastAsia="仿宋" w:cs="宋体"/>
                <w:color w:val="auto"/>
                <w:kern w:val="0"/>
                <w:szCs w:val="21"/>
                <w:highlight w:val="none"/>
              </w:rPr>
              <w:t>5</w:t>
            </w:r>
          </w:p>
        </w:tc>
        <w:tc>
          <w:tcPr>
            <w:tcW w:w="5419" w:type="dxa"/>
            <w:gridSpan w:val="2"/>
            <w:tcBorders>
              <w:top w:val="single" w:color="auto" w:sz="4" w:space="0"/>
              <w:left w:val="single" w:color="auto" w:sz="4" w:space="0"/>
              <w:bottom w:val="single" w:color="auto" w:sz="4" w:space="0"/>
              <w:right w:val="single" w:color="auto" w:sz="4" w:space="0"/>
            </w:tcBorders>
            <w:noWrap w:val="0"/>
            <w:vAlign w:val="top"/>
          </w:tcPr>
          <w:p w14:paraId="0A95703E">
            <w:pPr>
              <w:widowControl/>
              <w:rPr>
                <w:rFonts w:ascii="仿宋" w:hAnsi="仿宋" w:eastAsia="仿宋" w:cs="宋体"/>
                <w:color w:val="auto"/>
                <w:szCs w:val="21"/>
                <w:highlight w:val="none"/>
              </w:rPr>
            </w:pPr>
            <w:r>
              <w:rPr>
                <w:rFonts w:hint="eastAsia" w:ascii="仿宋" w:hAnsi="仿宋" w:eastAsia="仿宋" w:cs="宋体"/>
                <w:color w:val="auto"/>
                <w:kern w:val="0"/>
                <w:szCs w:val="21"/>
                <w:highlight w:val="none"/>
              </w:rPr>
              <w:t>本项目履约过程中，</w:t>
            </w:r>
            <w:r>
              <w:rPr>
                <w:rFonts w:hint="eastAsia" w:ascii="仿宋" w:hAnsi="仿宋" w:eastAsia="仿宋" w:cs="宋体"/>
                <w:color w:val="auto"/>
                <w:kern w:val="0"/>
                <w:szCs w:val="21"/>
                <w:highlight w:val="none"/>
                <w:lang w:eastAsia="zh-CN"/>
              </w:rPr>
              <w:t>乙方</w:t>
            </w:r>
            <w:r>
              <w:rPr>
                <w:rFonts w:hint="eastAsia" w:ascii="仿宋" w:hAnsi="仿宋" w:eastAsia="仿宋" w:cs="宋体"/>
                <w:color w:val="auto"/>
                <w:kern w:val="0"/>
                <w:szCs w:val="21"/>
                <w:highlight w:val="none"/>
              </w:rPr>
              <w:t>按承诺进行合同分包，分包意向协议内中小企业合同金额应当达到</w:t>
            </w:r>
            <w:r>
              <w:rPr>
                <w:rFonts w:ascii="仿宋" w:hAnsi="仿宋" w:eastAsia="仿宋" w:cs="宋体"/>
                <w:color w:val="auto"/>
                <w:kern w:val="0"/>
                <w:szCs w:val="21"/>
                <w:highlight w:val="none"/>
              </w:rPr>
              <w:t xml:space="preserve"> 40 % </w:t>
            </w:r>
            <w:r>
              <w:rPr>
                <w:rFonts w:hint="eastAsia" w:ascii="仿宋" w:hAnsi="仿宋" w:eastAsia="仿宋" w:cs="宋体"/>
                <w:color w:val="auto"/>
                <w:kern w:val="0"/>
                <w:szCs w:val="21"/>
                <w:highlight w:val="none"/>
              </w:rPr>
              <w:t>，小微企业合同金额应当达到</w:t>
            </w:r>
            <w:r>
              <w:rPr>
                <w:rFonts w:ascii="仿宋" w:hAnsi="仿宋" w:eastAsia="仿宋" w:cs="宋体"/>
                <w:color w:val="auto"/>
                <w:kern w:val="0"/>
                <w:szCs w:val="21"/>
                <w:highlight w:val="none"/>
              </w:rPr>
              <w:t xml:space="preserve"> 28 %，若未达到</w:t>
            </w:r>
            <w:r>
              <w:rPr>
                <w:rFonts w:hint="eastAsia" w:ascii="仿宋" w:hAnsi="仿宋" w:eastAsia="仿宋" w:cs="宋体"/>
                <w:color w:val="auto"/>
                <w:kern w:val="0"/>
                <w:szCs w:val="21"/>
                <w:highlight w:val="none"/>
              </w:rPr>
              <w:t>此</w:t>
            </w:r>
            <w:r>
              <w:rPr>
                <w:rFonts w:ascii="仿宋" w:hAnsi="仿宋" w:eastAsia="仿宋" w:cs="宋体"/>
                <w:color w:val="auto"/>
                <w:kern w:val="0"/>
                <w:szCs w:val="21"/>
                <w:highlight w:val="none"/>
              </w:rPr>
              <w:t>要求</w:t>
            </w:r>
            <w:r>
              <w:rPr>
                <w:rFonts w:hint="eastAsia" w:ascii="仿宋" w:hAnsi="仿宋" w:eastAsia="仿宋" w:cs="宋体"/>
                <w:color w:val="auto"/>
                <w:kern w:val="0"/>
                <w:szCs w:val="21"/>
                <w:highlight w:val="none"/>
              </w:rPr>
              <w:t>，</w:t>
            </w:r>
            <w:r>
              <w:rPr>
                <w:rFonts w:hint="eastAsia" w:ascii="仿宋" w:hAnsi="仿宋" w:eastAsia="仿宋" w:cs="宋体"/>
                <w:bCs/>
                <w:color w:val="auto"/>
                <w:szCs w:val="21"/>
                <w:highlight w:val="none"/>
                <w:lang w:eastAsia="zh-CN"/>
              </w:rPr>
              <w:t>甲方</w:t>
            </w:r>
            <w:r>
              <w:rPr>
                <w:rFonts w:hint="eastAsia" w:ascii="仿宋" w:hAnsi="仿宋" w:eastAsia="仿宋" w:cs="宋体"/>
                <w:bCs/>
                <w:color w:val="auto"/>
                <w:szCs w:val="21"/>
                <w:highlight w:val="none"/>
              </w:rPr>
              <w:t>有权没收全部履约保证金，追究相关责任，且</w:t>
            </w:r>
            <w:r>
              <w:rPr>
                <w:rFonts w:hint="eastAsia" w:ascii="仿宋" w:hAnsi="仿宋" w:eastAsia="仿宋" w:cs="宋体"/>
                <w:bCs/>
                <w:color w:val="auto"/>
                <w:szCs w:val="21"/>
                <w:highlight w:val="none"/>
                <w:lang w:eastAsia="zh-CN"/>
              </w:rPr>
              <w:t>乙方</w:t>
            </w:r>
            <w:r>
              <w:rPr>
                <w:rFonts w:hint="eastAsia" w:ascii="仿宋" w:hAnsi="仿宋" w:eastAsia="仿宋" w:cs="宋体"/>
                <w:bCs/>
                <w:color w:val="auto"/>
                <w:szCs w:val="21"/>
                <w:highlight w:val="none"/>
              </w:rPr>
              <w:t>应向</w:t>
            </w:r>
            <w:r>
              <w:rPr>
                <w:rFonts w:hint="eastAsia" w:ascii="仿宋" w:hAnsi="仿宋" w:eastAsia="仿宋" w:cs="宋体"/>
                <w:bCs/>
                <w:color w:val="auto"/>
                <w:szCs w:val="21"/>
                <w:highlight w:val="none"/>
                <w:lang w:eastAsia="zh-CN"/>
              </w:rPr>
              <w:t>甲方</w:t>
            </w:r>
            <w:r>
              <w:rPr>
                <w:rFonts w:hint="eastAsia" w:ascii="仿宋" w:hAnsi="仿宋" w:eastAsia="仿宋" w:cs="宋体"/>
                <w:bCs/>
                <w:color w:val="auto"/>
                <w:szCs w:val="21"/>
                <w:highlight w:val="none"/>
              </w:rPr>
              <w:t>支付合同总价</w:t>
            </w:r>
            <w:r>
              <w:rPr>
                <w:rFonts w:ascii="仿宋" w:hAnsi="仿宋" w:eastAsia="仿宋" w:cs="宋体"/>
                <w:bCs/>
                <w:color w:val="auto"/>
                <w:szCs w:val="21"/>
                <w:highlight w:val="none"/>
              </w:rPr>
              <w:t>30%的违约金。</w:t>
            </w:r>
          </w:p>
        </w:tc>
        <w:tc>
          <w:tcPr>
            <w:tcW w:w="1111" w:type="dxa"/>
            <w:tcBorders>
              <w:top w:val="single" w:color="auto" w:sz="4" w:space="0"/>
              <w:left w:val="single" w:color="auto" w:sz="4" w:space="0"/>
              <w:bottom w:val="single" w:color="auto" w:sz="4" w:space="0"/>
              <w:right w:val="single" w:color="auto" w:sz="4" w:space="0"/>
            </w:tcBorders>
            <w:noWrap w:val="0"/>
            <w:vAlign w:val="center"/>
          </w:tcPr>
          <w:p w14:paraId="470A20E6">
            <w:pPr>
              <w:widowControl/>
              <w:jc w:val="center"/>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w:t>
            </w:r>
          </w:p>
        </w:tc>
        <w:tc>
          <w:tcPr>
            <w:tcW w:w="988" w:type="dxa"/>
            <w:tcBorders>
              <w:top w:val="single" w:color="auto" w:sz="4" w:space="0"/>
              <w:left w:val="single" w:color="auto" w:sz="4" w:space="0"/>
              <w:bottom w:val="single" w:color="auto" w:sz="4" w:space="0"/>
              <w:right w:val="single" w:color="auto" w:sz="4" w:space="0"/>
            </w:tcBorders>
            <w:noWrap w:val="0"/>
            <w:vAlign w:val="center"/>
          </w:tcPr>
          <w:p w14:paraId="25BE62C1">
            <w:pPr>
              <w:widowControl/>
              <w:jc w:val="center"/>
              <w:rPr>
                <w:rFonts w:ascii="仿宋" w:hAnsi="仿宋" w:eastAsia="仿宋" w:cs="宋体"/>
                <w:color w:val="auto"/>
                <w:kern w:val="0"/>
                <w:szCs w:val="21"/>
                <w:highlight w:val="none"/>
              </w:rPr>
            </w:pPr>
          </w:p>
        </w:tc>
        <w:tc>
          <w:tcPr>
            <w:tcW w:w="659" w:type="dxa"/>
            <w:tcBorders>
              <w:top w:val="single" w:color="auto" w:sz="4" w:space="0"/>
              <w:left w:val="single" w:color="auto" w:sz="4" w:space="0"/>
              <w:bottom w:val="single" w:color="auto" w:sz="4" w:space="0"/>
              <w:right w:val="single" w:color="auto" w:sz="4" w:space="0"/>
            </w:tcBorders>
            <w:noWrap w:val="0"/>
            <w:vAlign w:val="top"/>
          </w:tcPr>
          <w:p w14:paraId="322DB9AA">
            <w:pPr>
              <w:widowControl/>
              <w:jc w:val="center"/>
              <w:rPr>
                <w:rFonts w:ascii="仿宋" w:hAnsi="仿宋" w:eastAsia="仿宋" w:cs="宋体"/>
                <w:color w:val="auto"/>
                <w:kern w:val="0"/>
                <w:szCs w:val="21"/>
                <w:highlight w:val="none"/>
              </w:rPr>
            </w:pPr>
          </w:p>
        </w:tc>
      </w:tr>
      <w:tr w14:paraId="37B5E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6076" w:type="dxa"/>
            <w:gridSpan w:val="3"/>
            <w:tcBorders>
              <w:top w:val="single" w:color="auto" w:sz="4" w:space="0"/>
              <w:left w:val="single" w:color="auto" w:sz="4" w:space="0"/>
              <w:bottom w:val="single" w:color="auto" w:sz="4" w:space="0"/>
              <w:right w:val="single" w:color="auto" w:sz="4" w:space="0"/>
            </w:tcBorders>
            <w:noWrap w:val="0"/>
            <w:vAlign w:val="top"/>
          </w:tcPr>
          <w:p w14:paraId="470CAD88">
            <w:pPr>
              <w:widowControl/>
              <w:jc w:val="center"/>
              <w:rPr>
                <w:rFonts w:ascii="仿宋" w:hAnsi="仿宋" w:eastAsia="仿宋" w:cs="宋体"/>
                <w:color w:val="auto"/>
                <w:kern w:val="0"/>
                <w:szCs w:val="21"/>
                <w:highlight w:val="none"/>
              </w:rPr>
            </w:pPr>
            <w:r>
              <w:rPr>
                <w:rFonts w:hint="eastAsia" w:ascii="仿宋" w:hAnsi="仿宋" w:eastAsia="仿宋" w:cs="宋体"/>
                <w:b/>
                <w:bCs/>
                <w:color w:val="auto"/>
                <w:szCs w:val="21"/>
                <w:highlight w:val="none"/>
              </w:rPr>
              <w:t>扣分总计</w:t>
            </w:r>
          </w:p>
        </w:tc>
        <w:tc>
          <w:tcPr>
            <w:tcW w:w="2758" w:type="dxa"/>
            <w:gridSpan w:val="3"/>
            <w:tcBorders>
              <w:top w:val="single" w:color="auto" w:sz="4" w:space="0"/>
              <w:left w:val="single" w:color="auto" w:sz="4" w:space="0"/>
              <w:bottom w:val="single" w:color="auto" w:sz="4" w:space="0"/>
              <w:right w:val="single" w:color="auto" w:sz="4" w:space="0"/>
            </w:tcBorders>
            <w:noWrap w:val="0"/>
            <w:vAlign w:val="top"/>
          </w:tcPr>
          <w:p w14:paraId="3B61D59E">
            <w:pPr>
              <w:widowControl/>
              <w:jc w:val="center"/>
              <w:rPr>
                <w:rFonts w:ascii="仿宋" w:hAnsi="仿宋" w:eastAsia="仿宋" w:cs="宋体"/>
                <w:color w:val="auto"/>
                <w:kern w:val="0"/>
                <w:szCs w:val="21"/>
                <w:highlight w:val="none"/>
              </w:rPr>
            </w:pPr>
            <w:r>
              <w:rPr>
                <w:rFonts w:ascii="仿宋" w:hAnsi="仿宋" w:eastAsia="仿宋" w:cs="宋体"/>
                <w:color w:val="auto"/>
                <w:kern w:val="0"/>
                <w:szCs w:val="21"/>
                <w:highlight w:val="none"/>
              </w:rPr>
              <w:t xml:space="preserve">                 分</w:t>
            </w:r>
          </w:p>
        </w:tc>
      </w:tr>
      <w:tr w14:paraId="464E0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0" w:hRule="atLeast"/>
        </w:trPr>
        <w:tc>
          <w:tcPr>
            <w:tcW w:w="8834" w:type="dxa"/>
            <w:gridSpan w:val="6"/>
            <w:tcBorders>
              <w:top w:val="single" w:color="auto" w:sz="4" w:space="0"/>
              <w:left w:val="single" w:color="auto" w:sz="4" w:space="0"/>
              <w:bottom w:val="single" w:color="auto" w:sz="4" w:space="0"/>
              <w:right w:val="single" w:color="auto" w:sz="4" w:space="0"/>
            </w:tcBorders>
            <w:noWrap w:val="0"/>
            <w:vAlign w:val="top"/>
          </w:tcPr>
          <w:p w14:paraId="5B70CAF7">
            <w:pPr>
              <w:widowControl/>
              <w:jc w:val="left"/>
              <w:textAlignment w:val="center"/>
              <w:rPr>
                <w:rFonts w:ascii="仿宋" w:hAnsi="仿宋" w:eastAsia="仿宋" w:cs="等线"/>
                <w:color w:val="auto"/>
                <w:kern w:val="0"/>
                <w:szCs w:val="21"/>
                <w:highlight w:val="none"/>
              </w:rPr>
            </w:pPr>
            <w:r>
              <w:rPr>
                <w:rFonts w:hint="eastAsia" w:ascii="仿宋" w:hAnsi="仿宋" w:eastAsia="仿宋" w:cs="等线"/>
                <w:color w:val="auto"/>
                <w:kern w:val="0"/>
                <w:szCs w:val="21"/>
                <w:highlight w:val="none"/>
                <w:lang w:eastAsia="zh-CN"/>
              </w:rPr>
              <w:t>甲方</w:t>
            </w:r>
            <w:r>
              <w:rPr>
                <w:rFonts w:hint="eastAsia" w:ascii="仿宋" w:hAnsi="仿宋" w:eastAsia="仿宋" w:cs="等线"/>
                <w:color w:val="auto"/>
                <w:kern w:val="0"/>
                <w:szCs w:val="21"/>
                <w:highlight w:val="none"/>
              </w:rPr>
              <w:t>项目经办人（签字）：</w:t>
            </w:r>
          </w:p>
          <w:p w14:paraId="68DDBDA9">
            <w:pPr>
              <w:widowControl/>
              <w:jc w:val="left"/>
              <w:textAlignment w:val="center"/>
              <w:rPr>
                <w:rFonts w:ascii="仿宋" w:hAnsi="仿宋" w:eastAsia="仿宋" w:cs="等线"/>
                <w:color w:val="auto"/>
                <w:kern w:val="0"/>
                <w:szCs w:val="21"/>
                <w:highlight w:val="none"/>
              </w:rPr>
            </w:pPr>
            <w:r>
              <w:rPr>
                <w:rFonts w:hint="eastAsia" w:ascii="仿宋" w:hAnsi="仿宋" w:eastAsia="仿宋" w:cs="等线"/>
                <w:color w:val="auto"/>
                <w:kern w:val="0"/>
                <w:szCs w:val="21"/>
                <w:highlight w:val="none"/>
                <w:lang w:eastAsia="zh-CN"/>
              </w:rPr>
              <w:t>甲方</w:t>
            </w:r>
            <w:r>
              <w:rPr>
                <w:rFonts w:hint="eastAsia" w:ascii="仿宋" w:hAnsi="仿宋" w:eastAsia="仿宋" w:cs="等线"/>
                <w:color w:val="auto"/>
                <w:kern w:val="0"/>
                <w:szCs w:val="21"/>
                <w:highlight w:val="none"/>
              </w:rPr>
              <w:t>项目审核人（签字、盖章）：</w:t>
            </w:r>
            <w:r>
              <w:rPr>
                <w:rFonts w:ascii="仿宋" w:hAnsi="仿宋" w:eastAsia="仿宋" w:cs="等线"/>
                <w:color w:val="auto"/>
                <w:kern w:val="0"/>
                <w:szCs w:val="21"/>
                <w:highlight w:val="none"/>
              </w:rPr>
              <w:t xml:space="preserve">         </w:t>
            </w:r>
            <w:r>
              <w:rPr>
                <w:rFonts w:hint="eastAsia" w:ascii="仿宋" w:hAnsi="仿宋" w:eastAsia="仿宋" w:cs="等线"/>
                <w:color w:val="auto"/>
                <w:kern w:val="0"/>
                <w:szCs w:val="21"/>
                <w:highlight w:val="none"/>
              </w:rPr>
              <w:t>中标人项目负责人（签字、盖章）：</w:t>
            </w:r>
          </w:p>
          <w:p w14:paraId="42504BB9">
            <w:pPr>
              <w:pStyle w:val="31"/>
              <w:rPr>
                <w:rFonts w:ascii="仿宋" w:hAnsi="仿宋" w:eastAsia="仿宋" w:cs="宋体"/>
                <w:color w:val="auto"/>
                <w:kern w:val="0"/>
                <w:szCs w:val="21"/>
                <w:highlight w:val="none"/>
              </w:rPr>
            </w:pPr>
            <w:r>
              <w:rPr>
                <w:rFonts w:hint="eastAsia" w:ascii="仿宋" w:hAnsi="仿宋" w:eastAsia="仿宋" w:cs="等线"/>
                <w:color w:val="auto"/>
                <w:kern w:val="0"/>
                <w:szCs w:val="21"/>
                <w:highlight w:val="none"/>
              </w:rPr>
              <w:t>日</w:t>
            </w:r>
            <w:r>
              <w:rPr>
                <w:rFonts w:ascii="仿宋" w:hAnsi="仿宋" w:eastAsia="仿宋" w:cs="等线"/>
                <w:color w:val="auto"/>
                <w:kern w:val="0"/>
                <w:szCs w:val="21"/>
                <w:highlight w:val="none"/>
              </w:rPr>
              <w:t xml:space="preserve">  </w:t>
            </w:r>
            <w:r>
              <w:rPr>
                <w:rFonts w:hint="eastAsia" w:ascii="仿宋" w:hAnsi="仿宋" w:eastAsia="仿宋" w:cs="等线"/>
                <w:color w:val="auto"/>
                <w:kern w:val="0"/>
                <w:szCs w:val="21"/>
                <w:highlight w:val="none"/>
              </w:rPr>
              <w:t>期：</w:t>
            </w:r>
            <w:r>
              <w:rPr>
                <w:rFonts w:ascii="仿宋" w:hAnsi="仿宋" w:eastAsia="仿宋" w:cs="等线"/>
                <w:color w:val="auto"/>
                <w:kern w:val="0"/>
                <w:szCs w:val="21"/>
                <w:highlight w:val="none"/>
              </w:rPr>
              <w:t xml:space="preserve">                                  </w:t>
            </w:r>
            <w:r>
              <w:rPr>
                <w:rFonts w:hint="eastAsia" w:ascii="仿宋" w:hAnsi="仿宋" w:eastAsia="仿宋" w:cs="等线"/>
                <w:color w:val="auto"/>
                <w:kern w:val="0"/>
                <w:szCs w:val="21"/>
                <w:highlight w:val="none"/>
              </w:rPr>
              <w:t>日</w:t>
            </w:r>
            <w:r>
              <w:rPr>
                <w:rFonts w:ascii="仿宋" w:hAnsi="仿宋" w:eastAsia="仿宋" w:cs="等线"/>
                <w:color w:val="auto"/>
                <w:kern w:val="0"/>
                <w:szCs w:val="21"/>
                <w:highlight w:val="none"/>
              </w:rPr>
              <w:t xml:space="preserve">  </w:t>
            </w:r>
            <w:r>
              <w:rPr>
                <w:rFonts w:hint="eastAsia" w:ascii="仿宋" w:hAnsi="仿宋" w:eastAsia="仿宋" w:cs="等线"/>
                <w:color w:val="auto"/>
                <w:kern w:val="0"/>
                <w:szCs w:val="21"/>
                <w:highlight w:val="none"/>
              </w:rPr>
              <w:t>期：</w:t>
            </w:r>
          </w:p>
        </w:tc>
      </w:tr>
    </w:tbl>
    <w:p w14:paraId="71502A89">
      <w:pPr>
        <w:pStyle w:val="74"/>
        <w:snapToGrid w:val="0"/>
        <w:spacing w:before="0" w:beforeAutospacing="0" w:after="0" w:afterAutospacing="0" w:line="360" w:lineRule="auto"/>
        <w:jc w:val="both"/>
        <w:rPr>
          <w:rFonts w:ascii="仿宋" w:hAnsi="仿宋" w:eastAsia="仿宋" w:cs="仿宋_GB2312"/>
          <w:b/>
          <w:color w:val="auto"/>
          <w:sz w:val="21"/>
          <w:szCs w:val="21"/>
          <w:highlight w:val="none"/>
        </w:rPr>
      </w:pPr>
    </w:p>
    <w:p w14:paraId="730B8F0E">
      <w:pPr>
        <w:rPr>
          <w:rFonts w:hint="eastAsia"/>
          <w:color w:val="auto"/>
          <w:highlight w:val="none"/>
          <w:lang w:val="en-US" w:eastAsia="zh-CN"/>
        </w:rPr>
      </w:pPr>
    </w:p>
    <w:p w14:paraId="63660D9B">
      <w:pPr>
        <w:rPr>
          <w:rFonts w:hint="eastAsia"/>
          <w:color w:val="auto"/>
          <w:highlight w:val="none"/>
          <w:lang w:val="en-US" w:eastAsia="zh-CN"/>
        </w:rPr>
      </w:pPr>
    </w:p>
    <w:p w14:paraId="24F5652E">
      <w:pPr>
        <w:keepNext w:val="0"/>
        <w:keepLines w:val="0"/>
        <w:pageBreakBefore w:val="0"/>
        <w:kinsoku/>
        <w:wordWrap/>
        <w:topLinePunct w:val="0"/>
        <w:bidi w:val="0"/>
        <w:snapToGrid/>
        <w:spacing w:line="360" w:lineRule="auto"/>
        <w:ind w:firstLine="422" w:firstLineChars="200"/>
        <w:outlineLvl w:val="0"/>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附件四：</w:t>
      </w:r>
      <w:r>
        <w:rPr>
          <w:rFonts w:hint="eastAsia" w:ascii="仿宋" w:hAnsi="仿宋" w:eastAsia="仿宋" w:cs="仿宋"/>
          <w:b/>
          <w:color w:val="auto"/>
          <w:szCs w:val="21"/>
          <w:highlight w:val="none"/>
        </w:rPr>
        <w:t>分包意向协议</w:t>
      </w:r>
    </w:p>
    <w:p w14:paraId="6D58BFC8">
      <w:pPr>
        <w:rPr>
          <w:rFonts w:hint="eastAsia"/>
          <w:color w:val="auto"/>
          <w:highlight w:val="none"/>
          <w:lang w:val="en-US" w:eastAsia="zh-CN"/>
        </w:rPr>
      </w:pPr>
    </w:p>
    <w:p w14:paraId="6F424189">
      <w:pPr>
        <w:keepNext w:val="0"/>
        <w:keepLines w:val="0"/>
        <w:pageBreakBefore w:val="0"/>
        <w:kinsoku/>
        <w:wordWrap/>
        <w:topLinePunct w:val="0"/>
        <w:bidi w:val="0"/>
        <w:snapToGrid/>
        <w:spacing w:line="360" w:lineRule="auto"/>
        <w:ind w:firstLine="422" w:firstLineChars="200"/>
        <w:outlineLvl w:val="0"/>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br w:type="page"/>
      </w:r>
    </w:p>
    <w:p w14:paraId="4653CE91">
      <w:pPr>
        <w:pStyle w:val="30"/>
        <w:rPr>
          <w:rFonts w:hint="eastAsia" w:ascii="仿宋" w:hAnsi="仿宋" w:eastAsia="仿宋" w:cs="仿宋"/>
          <w:color w:val="auto"/>
          <w:highlight w:val="none"/>
        </w:rPr>
      </w:pPr>
    </w:p>
    <w:p w14:paraId="684616B2">
      <w:pPr>
        <w:widowControl/>
        <w:adjustRightInd/>
        <w:jc w:val="center"/>
        <w:rPr>
          <w:rFonts w:hint="eastAsia" w:ascii="仿宋" w:hAnsi="仿宋" w:eastAsia="仿宋" w:cs="仿宋"/>
          <w:b/>
          <w:color w:val="auto"/>
          <w:sz w:val="36"/>
          <w:szCs w:val="20"/>
          <w:highlight w:val="none"/>
        </w:rPr>
      </w:pPr>
    </w:p>
    <w:p w14:paraId="5CD739B5">
      <w:pPr>
        <w:widowControl/>
        <w:adjustRightInd/>
        <w:jc w:val="center"/>
        <w:rPr>
          <w:rFonts w:hint="eastAsia" w:ascii="仿宋" w:hAnsi="仿宋" w:eastAsia="仿宋" w:cs="仿宋"/>
          <w:b/>
          <w:color w:val="auto"/>
          <w:sz w:val="36"/>
          <w:szCs w:val="20"/>
          <w:highlight w:val="none"/>
        </w:rPr>
      </w:pPr>
    </w:p>
    <w:p w14:paraId="26901873">
      <w:pPr>
        <w:keepNext w:val="0"/>
        <w:keepLines w:val="0"/>
        <w:pageBreakBefore w:val="0"/>
        <w:widowControl w:val="0"/>
        <w:kinsoku/>
        <w:wordWrap/>
        <w:overflowPunct/>
        <w:topLinePunct w:val="0"/>
        <w:autoSpaceDE/>
        <w:autoSpaceDN/>
        <w:bidi w:val="0"/>
        <w:adjustRightInd w:val="0"/>
        <w:snapToGrid/>
        <w:spacing w:line="360" w:lineRule="auto"/>
        <w:ind w:left="0" w:leftChars="0" w:firstLine="0" w:firstLineChars="0"/>
        <w:jc w:val="center"/>
        <w:textAlignment w:val="auto"/>
        <w:outlineLvl w:val="0"/>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第六部分</w:t>
      </w:r>
      <w:bookmarkEnd w:id="409"/>
      <w:bookmarkEnd w:id="410"/>
      <w:r>
        <w:rPr>
          <w:rFonts w:hint="eastAsia" w:ascii="仿宋" w:hAnsi="仿宋" w:eastAsia="仿宋" w:cs="仿宋"/>
          <w:b/>
          <w:color w:val="auto"/>
          <w:sz w:val="36"/>
          <w:szCs w:val="36"/>
          <w:highlight w:val="none"/>
          <w:lang w:val="en-US" w:eastAsia="zh-CN"/>
        </w:rPr>
        <w:t xml:space="preserve"> </w:t>
      </w:r>
      <w:r>
        <w:rPr>
          <w:rFonts w:hint="eastAsia" w:ascii="仿宋" w:hAnsi="仿宋" w:eastAsia="仿宋" w:cs="仿宋"/>
          <w:b/>
          <w:color w:val="auto"/>
          <w:sz w:val="36"/>
          <w:szCs w:val="36"/>
          <w:highlight w:val="none"/>
        </w:rPr>
        <w:t>应提交的有关格式范例</w:t>
      </w:r>
    </w:p>
    <w:p w14:paraId="05552E5C">
      <w:pPr>
        <w:rPr>
          <w:rFonts w:hint="eastAsia" w:ascii="仿宋" w:hAnsi="仿宋" w:eastAsia="仿宋" w:cs="仿宋"/>
          <w:color w:val="auto"/>
          <w:highlight w:val="none"/>
        </w:rPr>
      </w:pPr>
    </w:p>
    <w:p w14:paraId="677D0711">
      <w:pPr>
        <w:pStyle w:val="30"/>
        <w:rPr>
          <w:rFonts w:hint="eastAsia"/>
          <w:color w:val="auto"/>
          <w:highlight w:val="none"/>
        </w:rPr>
      </w:pPr>
    </w:p>
    <w:p w14:paraId="7B8F33ED">
      <w:pPr>
        <w:keepNext w:val="0"/>
        <w:keepLines w:val="0"/>
        <w:pageBreakBefore w:val="0"/>
        <w:widowControl w:val="0"/>
        <w:kinsoku/>
        <w:wordWrap/>
        <w:overflowPunct/>
        <w:topLinePunct w:val="0"/>
        <w:autoSpaceDE/>
        <w:autoSpaceDN/>
        <w:bidi w:val="0"/>
        <w:adjustRightInd w:val="0"/>
        <w:snapToGrid/>
        <w:spacing w:line="360" w:lineRule="auto"/>
        <w:jc w:val="center"/>
        <w:textAlignment w:val="auto"/>
        <w:outlineLvl w:val="2"/>
        <w:rPr>
          <w:rFonts w:hint="eastAsia" w:ascii="仿宋" w:hAnsi="仿宋" w:eastAsia="仿宋" w:cs="仿宋"/>
          <w:b/>
          <w:color w:val="auto"/>
          <w:kern w:val="0"/>
          <w:sz w:val="36"/>
          <w:szCs w:val="36"/>
          <w:highlight w:val="none"/>
        </w:rPr>
      </w:pPr>
      <w:r>
        <w:rPr>
          <w:rFonts w:hint="eastAsia" w:ascii="仿宋" w:hAnsi="仿宋" w:eastAsia="仿宋" w:cs="仿宋"/>
          <w:b/>
          <w:color w:val="auto"/>
          <w:kern w:val="0"/>
          <w:sz w:val="36"/>
          <w:szCs w:val="36"/>
          <w:highlight w:val="none"/>
        </w:rPr>
        <w:t>资格文件部分</w:t>
      </w:r>
    </w:p>
    <w:p w14:paraId="12DAA087">
      <w:pPr>
        <w:rPr>
          <w:rFonts w:hint="eastAsia" w:ascii="仿宋" w:hAnsi="仿宋" w:eastAsia="仿宋" w:cs="仿宋"/>
          <w:color w:val="auto"/>
          <w:highlight w:val="none"/>
        </w:rPr>
      </w:pPr>
    </w:p>
    <w:p w14:paraId="635AC853">
      <w:pPr>
        <w:keepNext w:val="0"/>
        <w:keepLines w:val="0"/>
        <w:pageBreakBefore w:val="0"/>
        <w:widowControl w:val="0"/>
        <w:kinsoku/>
        <w:wordWrap/>
        <w:overflowPunct/>
        <w:topLinePunct w:val="0"/>
        <w:autoSpaceDE/>
        <w:autoSpaceDN/>
        <w:bidi w:val="0"/>
        <w:adjustRightInd w:val="0"/>
        <w:snapToGrid/>
        <w:spacing w:line="360" w:lineRule="auto"/>
        <w:jc w:val="center"/>
        <w:textAlignment w:val="auto"/>
        <w:outlineLvl w:val="9"/>
        <w:rPr>
          <w:rFonts w:hint="eastAsia" w:ascii="仿宋" w:hAnsi="仿宋" w:eastAsia="仿宋" w:cs="仿宋"/>
          <w:b/>
          <w:color w:val="auto"/>
          <w:kern w:val="0"/>
          <w:sz w:val="36"/>
          <w:szCs w:val="36"/>
          <w:highlight w:val="none"/>
        </w:rPr>
      </w:pPr>
      <w:r>
        <w:rPr>
          <w:rFonts w:hint="eastAsia" w:ascii="仿宋" w:hAnsi="仿宋" w:eastAsia="仿宋" w:cs="仿宋"/>
          <w:b/>
          <w:color w:val="auto"/>
          <w:kern w:val="0"/>
          <w:sz w:val="36"/>
          <w:szCs w:val="36"/>
          <w:highlight w:val="none"/>
        </w:rPr>
        <w:t>目</w:t>
      </w:r>
      <w:r>
        <w:rPr>
          <w:rFonts w:hint="eastAsia" w:ascii="仿宋" w:hAnsi="仿宋" w:eastAsia="仿宋" w:cs="仿宋"/>
          <w:b/>
          <w:color w:val="auto"/>
          <w:kern w:val="0"/>
          <w:sz w:val="36"/>
          <w:szCs w:val="36"/>
          <w:highlight w:val="none"/>
          <w:lang w:val="en-US" w:eastAsia="zh-CN"/>
        </w:rPr>
        <w:t xml:space="preserve">  </w:t>
      </w:r>
      <w:r>
        <w:rPr>
          <w:rFonts w:hint="eastAsia" w:ascii="仿宋" w:hAnsi="仿宋" w:eastAsia="仿宋" w:cs="仿宋"/>
          <w:b/>
          <w:color w:val="auto"/>
          <w:kern w:val="0"/>
          <w:sz w:val="36"/>
          <w:szCs w:val="36"/>
          <w:highlight w:val="none"/>
        </w:rPr>
        <w:t>录</w:t>
      </w:r>
    </w:p>
    <w:p w14:paraId="2429CD9C">
      <w:pPr>
        <w:rPr>
          <w:rFonts w:hint="eastAsia" w:ascii="仿宋" w:hAnsi="仿宋" w:eastAsia="仿宋" w:cs="仿宋"/>
          <w:color w:val="auto"/>
          <w:highlight w:val="none"/>
        </w:rPr>
      </w:pPr>
    </w:p>
    <w:p w14:paraId="41B40C54">
      <w:p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（1）符合参加政府采购活动应当具备的一般条件的承诺函……………（页码）</w:t>
      </w:r>
    </w:p>
    <w:p w14:paraId="2E31FF8D">
      <w:pPr>
        <w:snapToGrid w:val="0"/>
        <w:spacing w:line="360" w:lineRule="auto"/>
        <w:rPr>
          <w:rFonts w:hint="eastAsia" w:ascii="仿宋" w:hAnsi="仿宋" w:eastAsia="仿宋" w:cs="仿宋"/>
          <w:color w:val="auto"/>
          <w:sz w:val="24"/>
          <w:highlight w:val="none"/>
        </w:rPr>
      </w:pPr>
      <w:r>
        <w:rPr>
          <w:rFonts w:hint="eastAsia" w:ascii="仿宋" w:hAnsi="仿宋" w:eastAsia="仿宋" w:cs="仿宋"/>
          <w:snapToGrid w:val="0"/>
          <w:color w:val="auto"/>
          <w:kern w:val="28"/>
          <w:sz w:val="24"/>
          <w:szCs w:val="20"/>
          <w:highlight w:val="none"/>
        </w:rPr>
        <w:t>（2）联合协议</w:t>
      </w:r>
      <w:r>
        <w:rPr>
          <w:rFonts w:hint="eastAsia" w:ascii="仿宋" w:hAnsi="仿宋" w:eastAsia="仿宋" w:cs="仿宋"/>
          <w:color w:val="auto"/>
          <w:sz w:val="24"/>
          <w:highlight w:val="none"/>
        </w:rPr>
        <w:t>………………………………………………………………（页码）</w:t>
      </w:r>
    </w:p>
    <w:p w14:paraId="1F15E0B9">
      <w:p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（3）落实政府采购政策需满足的资格要求………………………………（页码）</w:t>
      </w:r>
    </w:p>
    <w:p w14:paraId="6D4EA1E6">
      <w:p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（4）本项目的特定资格要求………………………………………………（页码）</w:t>
      </w:r>
    </w:p>
    <w:p w14:paraId="6CBA52FA">
      <w:pPr>
        <w:snapToGrid w:val="0"/>
        <w:spacing w:line="360" w:lineRule="auto"/>
        <w:ind w:firstLine="480" w:firstLineChars="200"/>
        <w:rPr>
          <w:rFonts w:hint="eastAsia" w:ascii="仿宋" w:hAnsi="仿宋" w:eastAsia="仿宋" w:cs="仿宋"/>
          <w:color w:val="auto"/>
          <w:sz w:val="24"/>
          <w:highlight w:val="none"/>
        </w:rPr>
      </w:pPr>
    </w:p>
    <w:p w14:paraId="7DB88C21">
      <w:pPr>
        <w:spacing w:line="360" w:lineRule="auto"/>
        <w:ind w:firstLine="480" w:firstLineChars="200"/>
        <w:rPr>
          <w:rFonts w:hint="eastAsia" w:ascii="仿宋" w:hAnsi="仿宋" w:eastAsia="仿宋" w:cs="仿宋"/>
          <w:color w:val="auto"/>
          <w:sz w:val="24"/>
          <w:highlight w:val="none"/>
        </w:rPr>
      </w:pPr>
    </w:p>
    <w:p w14:paraId="665FF911">
      <w:pPr>
        <w:snapToGrid w:val="0"/>
        <w:spacing w:line="360" w:lineRule="auto"/>
        <w:ind w:right="480"/>
        <w:jc w:val="center"/>
        <w:rPr>
          <w:rFonts w:hint="eastAsia" w:ascii="仿宋" w:hAnsi="仿宋" w:eastAsia="仿宋" w:cs="仿宋"/>
          <w:b/>
          <w:color w:val="auto"/>
          <w:kern w:val="0"/>
          <w:sz w:val="32"/>
          <w:szCs w:val="32"/>
          <w:highlight w:val="none"/>
        </w:rPr>
      </w:pPr>
      <w:r>
        <w:rPr>
          <w:rFonts w:hint="eastAsia" w:ascii="仿宋" w:hAnsi="仿宋" w:eastAsia="仿宋" w:cs="仿宋"/>
          <w:color w:val="auto"/>
          <w:kern w:val="0"/>
          <w:sz w:val="24"/>
          <w:highlight w:val="none"/>
        </w:rPr>
        <w:br w:type="page"/>
      </w:r>
      <w:r>
        <w:rPr>
          <w:rFonts w:hint="eastAsia" w:ascii="仿宋" w:hAnsi="仿宋" w:eastAsia="仿宋" w:cs="仿宋"/>
          <w:b/>
          <w:color w:val="auto"/>
          <w:kern w:val="0"/>
          <w:sz w:val="32"/>
          <w:szCs w:val="32"/>
          <w:highlight w:val="none"/>
        </w:rPr>
        <w:t xml:space="preserve"> </w:t>
      </w:r>
    </w:p>
    <w:p w14:paraId="427A7DDC">
      <w:pPr>
        <w:snapToGrid w:val="0"/>
        <w:spacing w:line="360" w:lineRule="auto"/>
        <w:ind w:right="480"/>
        <w:jc w:val="center"/>
        <w:rPr>
          <w:rFonts w:hint="eastAsia" w:ascii="仿宋" w:hAnsi="仿宋" w:eastAsia="仿宋" w:cs="仿宋"/>
          <w:b/>
          <w:color w:val="auto"/>
          <w:kern w:val="0"/>
          <w:sz w:val="32"/>
          <w:szCs w:val="32"/>
          <w:highlight w:val="none"/>
        </w:rPr>
      </w:pPr>
      <w:r>
        <w:rPr>
          <w:rFonts w:hint="eastAsia" w:ascii="仿宋" w:hAnsi="仿宋" w:eastAsia="仿宋" w:cs="仿宋"/>
          <w:b/>
          <w:color w:val="auto"/>
          <w:kern w:val="0"/>
          <w:sz w:val="32"/>
          <w:szCs w:val="32"/>
          <w:highlight w:val="none"/>
        </w:rPr>
        <w:t xml:space="preserve"> 一、 符合参加政府采购活动应当具备的一般条件的承诺函</w:t>
      </w:r>
    </w:p>
    <w:p w14:paraId="4203D59C">
      <w:pPr>
        <w:rPr>
          <w:rFonts w:hint="eastAsia"/>
          <w:color w:val="auto"/>
          <w:highlight w:val="none"/>
        </w:rPr>
      </w:pPr>
    </w:p>
    <w:p w14:paraId="5AC4E52D">
      <w:p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杭州市公安局刑事侦查支队</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eastAsia="zh-CN"/>
        </w:rPr>
        <w:t>耀华建设管理有限公司</w:t>
      </w:r>
      <w:r>
        <w:rPr>
          <w:rFonts w:hint="eastAsia" w:ascii="仿宋" w:hAnsi="仿宋" w:eastAsia="仿宋" w:cs="仿宋"/>
          <w:color w:val="auto"/>
          <w:sz w:val="24"/>
          <w:highlight w:val="none"/>
        </w:rPr>
        <w:t>：</w:t>
      </w:r>
    </w:p>
    <w:p w14:paraId="7404F0DB">
      <w:pPr>
        <w:keepNext w:val="0"/>
        <w:keepLines w:val="0"/>
        <w:pageBreakBefore w:val="0"/>
        <w:widowControl w:val="0"/>
        <w:kinsoku/>
        <w:wordWrap/>
        <w:overflowPunct/>
        <w:topLinePunct w:val="0"/>
        <w:autoSpaceDE/>
        <w:autoSpaceDN/>
        <w:bidi w:val="0"/>
        <w:adjustRightInd w:val="0"/>
        <w:snapToGrid w:val="0"/>
        <w:spacing w:line="324"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我方参与</w:t>
      </w:r>
      <w:r>
        <w:rPr>
          <w:rFonts w:hint="eastAsia" w:ascii="仿宋" w:hAnsi="仿宋" w:eastAsia="仿宋" w:cs="仿宋"/>
          <w:color w:val="auto"/>
          <w:sz w:val="24"/>
          <w:highlight w:val="none"/>
          <w:u w:val="single"/>
          <w:lang w:eastAsia="zh-CN"/>
        </w:rPr>
        <w:t>反诈专项（涉网新型犯罪侦防数据服务）</w:t>
      </w:r>
      <w:r>
        <w:rPr>
          <w:rFonts w:hint="eastAsia" w:ascii="仿宋" w:hAnsi="仿宋" w:eastAsia="仿宋" w:cs="仿宋"/>
          <w:color w:val="auto"/>
          <w:sz w:val="24"/>
          <w:highlight w:val="none"/>
        </w:rPr>
        <w:t>【招标编号：</w:t>
      </w:r>
      <w:r>
        <w:rPr>
          <w:rFonts w:hint="eastAsia" w:ascii="仿宋" w:hAnsi="仿宋" w:eastAsia="仿宋" w:cs="仿宋"/>
          <w:color w:val="auto"/>
          <w:sz w:val="24"/>
          <w:highlight w:val="none"/>
          <w:u w:val="single"/>
          <w:lang w:eastAsia="zh-CN"/>
        </w:rPr>
        <w:t>YHDL-HZ-CG2025026</w:t>
      </w:r>
      <w:r>
        <w:rPr>
          <w:rFonts w:hint="eastAsia" w:ascii="仿宋" w:hAnsi="仿宋" w:eastAsia="仿宋" w:cs="仿宋"/>
          <w:color w:val="auto"/>
          <w:sz w:val="24"/>
          <w:highlight w:val="none"/>
        </w:rPr>
        <w:t>】政府采购活动，郑重承诺：</w:t>
      </w:r>
    </w:p>
    <w:p w14:paraId="74DD1F56">
      <w:pPr>
        <w:keepNext w:val="0"/>
        <w:keepLines w:val="0"/>
        <w:pageBreakBefore w:val="0"/>
        <w:widowControl w:val="0"/>
        <w:kinsoku/>
        <w:wordWrap/>
        <w:overflowPunct/>
        <w:topLinePunct w:val="0"/>
        <w:autoSpaceDE/>
        <w:autoSpaceDN/>
        <w:bidi w:val="0"/>
        <w:adjustRightInd w:val="0"/>
        <w:snapToGrid w:val="0"/>
        <w:spacing w:line="324" w:lineRule="auto"/>
        <w:ind w:firstLine="360" w:firstLineChars="15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（一）具备《中华人民共和国政府采购法》第二十二条第一款规定的条件：</w:t>
      </w:r>
    </w:p>
    <w:p w14:paraId="217475EB">
      <w:pPr>
        <w:keepNext w:val="0"/>
        <w:keepLines w:val="0"/>
        <w:pageBreakBefore w:val="0"/>
        <w:widowControl w:val="0"/>
        <w:kinsoku/>
        <w:wordWrap/>
        <w:overflowPunct/>
        <w:topLinePunct w:val="0"/>
        <w:autoSpaceDE/>
        <w:autoSpaceDN/>
        <w:bidi w:val="0"/>
        <w:adjustRightInd w:val="0"/>
        <w:snapToGrid w:val="0"/>
        <w:spacing w:line="324"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1、具有独立承担民事责任的能力；</w:t>
      </w:r>
    </w:p>
    <w:p w14:paraId="52A31881">
      <w:pPr>
        <w:keepNext w:val="0"/>
        <w:keepLines w:val="0"/>
        <w:pageBreakBefore w:val="0"/>
        <w:widowControl w:val="0"/>
        <w:kinsoku/>
        <w:wordWrap/>
        <w:overflowPunct/>
        <w:topLinePunct w:val="0"/>
        <w:autoSpaceDE/>
        <w:autoSpaceDN/>
        <w:bidi w:val="0"/>
        <w:adjustRightInd w:val="0"/>
        <w:snapToGrid w:val="0"/>
        <w:spacing w:line="324"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2、具有良好的商业信誉和健全的财务会计制度； </w:t>
      </w:r>
    </w:p>
    <w:p w14:paraId="43B63F06">
      <w:pPr>
        <w:keepNext w:val="0"/>
        <w:keepLines w:val="0"/>
        <w:pageBreakBefore w:val="0"/>
        <w:widowControl w:val="0"/>
        <w:kinsoku/>
        <w:wordWrap/>
        <w:overflowPunct/>
        <w:topLinePunct w:val="0"/>
        <w:autoSpaceDE/>
        <w:autoSpaceDN/>
        <w:bidi w:val="0"/>
        <w:adjustRightInd w:val="0"/>
        <w:snapToGrid w:val="0"/>
        <w:spacing w:line="324"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3、具有履行合同所必需的设备和专业技术能力；</w:t>
      </w:r>
    </w:p>
    <w:p w14:paraId="79D9A77A">
      <w:pPr>
        <w:keepNext w:val="0"/>
        <w:keepLines w:val="0"/>
        <w:pageBreakBefore w:val="0"/>
        <w:widowControl w:val="0"/>
        <w:kinsoku/>
        <w:wordWrap/>
        <w:overflowPunct/>
        <w:topLinePunct w:val="0"/>
        <w:autoSpaceDE/>
        <w:autoSpaceDN/>
        <w:bidi w:val="0"/>
        <w:adjustRightInd w:val="0"/>
        <w:snapToGrid w:val="0"/>
        <w:spacing w:line="324"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4、有依法缴纳税收和社会保障资金的良好记录；</w:t>
      </w:r>
    </w:p>
    <w:p w14:paraId="61F8837C">
      <w:pPr>
        <w:keepNext w:val="0"/>
        <w:keepLines w:val="0"/>
        <w:pageBreakBefore w:val="0"/>
        <w:widowControl w:val="0"/>
        <w:kinsoku/>
        <w:wordWrap/>
        <w:overflowPunct/>
        <w:topLinePunct w:val="0"/>
        <w:autoSpaceDE/>
        <w:autoSpaceDN/>
        <w:bidi w:val="0"/>
        <w:adjustRightInd w:val="0"/>
        <w:snapToGrid w:val="0"/>
        <w:spacing w:line="324"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5、参加政府采购活动前三年内，在经营活动中没有重大违法记录；</w:t>
      </w:r>
    </w:p>
    <w:p w14:paraId="24F94ED1">
      <w:pPr>
        <w:keepNext w:val="0"/>
        <w:keepLines w:val="0"/>
        <w:pageBreakBefore w:val="0"/>
        <w:widowControl w:val="0"/>
        <w:kinsoku/>
        <w:wordWrap/>
        <w:overflowPunct/>
        <w:topLinePunct w:val="0"/>
        <w:autoSpaceDE/>
        <w:autoSpaceDN/>
        <w:bidi w:val="0"/>
        <w:adjustRightInd w:val="0"/>
        <w:snapToGrid w:val="0"/>
        <w:spacing w:line="324"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6、具有法律、行政法规规定的其他条件。</w:t>
      </w:r>
    </w:p>
    <w:p w14:paraId="0DEC0551">
      <w:pPr>
        <w:keepNext w:val="0"/>
        <w:keepLines w:val="0"/>
        <w:pageBreakBefore w:val="0"/>
        <w:widowControl w:val="0"/>
        <w:kinsoku/>
        <w:wordWrap/>
        <w:overflowPunct/>
        <w:topLinePunct w:val="0"/>
        <w:autoSpaceDE/>
        <w:autoSpaceDN/>
        <w:bidi w:val="0"/>
        <w:adjustRightInd w:val="0"/>
        <w:snapToGrid w:val="0"/>
        <w:spacing w:line="324"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（二）未被信用中国（www.creditchina.gov.cn)、中国政府采购网（www.ccgp.gov.cn）列入失信被执行人、重大税收违法案件当事人名单、政府采购严重违法失信行为记录名单。</w:t>
      </w:r>
    </w:p>
    <w:p w14:paraId="7F4AA097">
      <w:pPr>
        <w:keepNext w:val="0"/>
        <w:keepLines w:val="0"/>
        <w:pageBreakBefore w:val="0"/>
        <w:widowControl w:val="0"/>
        <w:kinsoku/>
        <w:wordWrap/>
        <w:overflowPunct/>
        <w:topLinePunct w:val="0"/>
        <w:autoSpaceDE/>
        <w:autoSpaceDN/>
        <w:bidi w:val="0"/>
        <w:adjustRightInd w:val="0"/>
        <w:snapToGrid w:val="0"/>
        <w:spacing w:line="324"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（三）不存在以下情况：</w:t>
      </w:r>
    </w:p>
    <w:p w14:paraId="0FE08384">
      <w:pPr>
        <w:keepNext w:val="0"/>
        <w:keepLines w:val="0"/>
        <w:pageBreakBefore w:val="0"/>
        <w:widowControl w:val="0"/>
        <w:kinsoku/>
        <w:wordWrap/>
        <w:overflowPunct/>
        <w:topLinePunct w:val="0"/>
        <w:autoSpaceDE/>
        <w:autoSpaceDN/>
        <w:bidi w:val="0"/>
        <w:adjustRightInd w:val="0"/>
        <w:snapToGrid w:val="0"/>
        <w:spacing w:line="324"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1、单位负责人为同一人或者存在直接控股、管理关系的不同供应商参加同一合同项下的政府采购活动的；</w:t>
      </w:r>
    </w:p>
    <w:p w14:paraId="564FFB40">
      <w:pPr>
        <w:keepNext w:val="0"/>
        <w:keepLines w:val="0"/>
        <w:pageBreakBefore w:val="0"/>
        <w:widowControl w:val="0"/>
        <w:kinsoku/>
        <w:wordWrap/>
        <w:overflowPunct/>
        <w:topLinePunct w:val="0"/>
        <w:autoSpaceDE/>
        <w:autoSpaceDN/>
        <w:bidi w:val="0"/>
        <w:adjustRightInd w:val="0"/>
        <w:snapToGrid w:val="0"/>
        <w:spacing w:line="324"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2、为采购项目提供整体设计、规范编制或者项目管理、监理、检测等服务后再参加该采购项目的其他采购活动的。</w:t>
      </w:r>
    </w:p>
    <w:p w14:paraId="56E49FDC">
      <w:pPr>
        <w:pStyle w:val="30"/>
        <w:rPr>
          <w:rFonts w:hint="eastAsia" w:ascii="仿宋" w:hAnsi="仿宋" w:eastAsia="仿宋" w:cs="仿宋"/>
          <w:color w:val="auto"/>
          <w:highlight w:val="none"/>
        </w:rPr>
      </w:pPr>
    </w:p>
    <w:p w14:paraId="56A4803A">
      <w:pPr>
        <w:snapToGrid w:val="0"/>
        <w:spacing w:line="360" w:lineRule="auto"/>
        <w:ind w:firstLine="5520" w:firstLineChars="23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lang w:val="zh-CN"/>
        </w:rPr>
        <w:t>投标人名称(电子签名)：</w:t>
      </w:r>
    </w:p>
    <w:p w14:paraId="2A3A570F">
      <w:pPr>
        <w:snapToGrid w:val="0"/>
        <w:spacing w:line="360" w:lineRule="auto"/>
        <w:ind w:firstLine="5520" w:firstLineChars="2300"/>
        <w:rPr>
          <w:rFonts w:hint="eastAsia"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日</w:t>
      </w:r>
      <w:r>
        <w:rPr>
          <w:rFonts w:hint="eastAsia" w:ascii="仿宋" w:hAnsi="仿宋" w:eastAsia="仿宋" w:cs="仿宋"/>
          <w:color w:val="auto"/>
          <w:kern w:val="0"/>
          <w:sz w:val="24"/>
          <w:highlight w:val="none"/>
          <w:lang w:val="en-US" w:eastAsia="zh-CN"/>
        </w:rPr>
        <w:t xml:space="preserve">   </w:t>
      </w:r>
      <w:r>
        <w:rPr>
          <w:rFonts w:hint="eastAsia" w:ascii="仿宋" w:hAnsi="仿宋" w:eastAsia="仿宋" w:cs="仿宋"/>
          <w:color w:val="auto"/>
          <w:kern w:val="0"/>
          <w:sz w:val="24"/>
          <w:highlight w:val="none"/>
          <w:lang w:val="zh-CN"/>
        </w:rPr>
        <w:t>期：  年  月</w:t>
      </w:r>
      <w:r>
        <w:rPr>
          <w:rFonts w:hint="eastAsia" w:ascii="仿宋" w:hAnsi="仿宋" w:eastAsia="仿宋" w:cs="仿宋"/>
          <w:color w:val="auto"/>
          <w:kern w:val="0"/>
          <w:sz w:val="24"/>
          <w:highlight w:val="none"/>
          <w:lang w:val="en-US" w:eastAsia="zh-CN"/>
        </w:rPr>
        <w:t xml:space="preserve"> </w:t>
      </w:r>
      <w:r>
        <w:rPr>
          <w:rFonts w:hint="eastAsia" w:ascii="仿宋" w:hAnsi="仿宋" w:eastAsia="仿宋" w:cs="仿宋"/>
          <w:color w:val="auto"/>
          <w:kern w:val="0"/>
          <w:sz w:val="24"/>
          <w:highlight w:val="none"/>
          <w:lang w:val="zh-CN"/>
        </w:rPr>
        <w:t>日</w:t>
      </w:r>
    </w:p>
    <w:p w14:paraId="0BCE7E46">
      <w:pPr>
        <w:pStyle w:val="97"/>
        <w:rPr>
          <w:rFonts w:hint="eastAsia"/>
          <w:color w:val="auto"/>
          <w:highlight w:val="none"/>
        </w:rPr>
      </w:pPr>
    </w:p>
    <w:p w14:paraId="4FCBED04">
      <w:pPr>
        <w:keepNext w:val="0"/>
        <w:keepLines w:val="0"/>
        <w:pageBreakBefore w:val="0"/>
        <w:widowControl w:val="0"/>
        <w:kinsoku/>
        <w:wordWrap/>
        <w:overflowPunct/>
        <w:topLinePunct w:val="0"/>
        <w:autoSpaceDE/>
        <w:autoSpaceDN/>
        <w:bidi w:val="0"/>
        <w:adjustRightInd w:val="0"/>
        <w:snapToGrid w:val="0"/>
        <w:spacing w:line="300" w:lineRule="auto"/>
        <w:ind w:firstLine="480" w:firstLineChars="200"/>
        <w:textAlignment w:val="auto"/>
        <w:rPr>
          <w:rFonts w:hint="eastAsia" w:ascii="仿宋" w:hAnsi="仿宋" w:eastAsia="仿宋" w:cs="仿宋"/>
          <w:b/>
          <w:color w:val="auto"/>
          <w:sz w:val="24"/>
          <w:szCs w:val="24"/>
          <w:highlight w:val="none"/>
          <w:u w:val="single"/>
        </w:rPr>
      </w:pPr>
      <w:r>
        <w:rPr>
          <w:rFonts w:hint="eastAsia" w:ascii="仿宋" w:hAnsi="仿宋" w:eastAsia="仿宋" w:cs="仿宋"/>
          <w:color w:val="auto"/>
          <w:sz w:val="24"/>
          <w:szCs w:val="24"/>
          <w:highlight w:val="none"/>
        </w:rPr>
        <w:t>注：根据《关于规范政府采购供应商资格设定及资格审查的通知》（浙财采监[2013]24号）的相关规定，金融、保险、通讯等特定行业的全国性企业所设立的区域性分支机构，以及个体工商户、个人独资企业、合伙企业，参与政府采购活动，如果已经依法办理了工商、税务和社保登记手续，</w:t>
      </w:r>
      <w:r>
        <w:rPr>
          <w:rFonts w:hint="eastAsia" w:ascii="仿宋" w:hAnsi="仿宋" w:eastAsia="仿宋" w:cs="仿宋"/>
          <w:b/>
          <w:color w:val="auto"/>
          <w:sz w:val="24"/>
          <w:szCs w:val="24"/>
          <w:highlight w:val="none"/>
          <w:u w:val="single"/>
        </w:rPr>
        <w:t>除提供上述《符合参加政府采购活动应当具备的一般条件的承诺函》外，还需提供下列材料：总公司（总机构）的授权书或提供房产权证或其他有效财产证明材料，证明其具备实际承担责任的能力和法定的缔结合同能力，可以独立参加政府采购活动，由单位负责人签署相关文件材料。</w:t>
      </w:r>
    </w:p>
    <w:p w14:paraId="52BAA052">
      <w:pPr>
        <w:pStyle w:val="98"/>
        <w:rPr>
          <w:rFonts w:hint="eastAsia"/>
          <w:color w:val="auto"/>
          <w:highlight w:val="none"/>
        </w:rPr>
      </w:pPr>
    </w:p>
    <w:p w14:paraId="1F73C6BF">
      <w:pPr>
        <w:widowControl/>
        <w:adjustRightInd/>
        <w:jc w:val="left"/>
        <w:rPr>
          <w:rFonts w:hint="eastAsia" w:ascii="仿宋" w:hAnsi="仿宋" w:eastAsia="仿宋" w:cs="仿宋"/>
          <w:b/>
          <w:color w:val="auto"/>
          <w:kern w:val="0"/>
          <w:sz w:val="32"/>
          <w:szCs w:val="32"/>
          <w:highlight w:val="none"/>
        </w:rPr>
      </w:pPr>
    </w:p>
    <w:p w14:paraId="05AC82F0">
      <w:pPr>
        <w:widowControl/>
        <w:adjustRightInd/>
        <w:jc w:val="center"/>
        <w:rPr>
          <w:rFonts w:hint="eastAsia" w:ascii="仿宋" w:hAnsi="仿宋" w:eastAsia="仿宋" w:cs="仿宋"/>
          <w:b/>
          <w:color w:val="auto"/>
          <w:kern w:val="0"/>
          <w:sz w:val="32"/>
          <w:szCs w:val="32"/>
          <w:highlight w:val="none"/>
        </w:rPr>
      </w:pPr>
      <w:r>
        <w:rPr>
          <w:rFonts w:hint="eastAsia" w:ascii="仿宋" w:hAnsi="仿宋" w:eastAsia="仿宋" w:cs="仿宋"/>
          <w:b/>
          <w:color w:val="auto"/>
          <w:kern w:val="0"/>
          <w:sz w:val="32"/>
          <w:szCs w:val="32"/>
          <w:highlight w:val="none"/>
        </w:rPr>
        <w:t>二、联合协议（如果有）</w:t>
      </w:r>
    </w:p>
    <w:p w14:paraId="4A0B0728">
      <w:pPr>
        <w:widowControl/>
        <w:spacing w:line="360" w:lineRule="auto"/>
        <w:ind w:firstLine="482" w:firstLineChars="200"/>
        <w:jc w:val="left"/>
        <w:rPr>
          <w:rFonts w:hint="eastAsia" w:ascii="仿宋" w:hAnsi="仿宋" w:eastAsia="仿宋" w:cs="仿宋"/>
          <w:b/>
          <w:color w:val="auto"/>
          <w:sz w:val="24"/>
          <w:highlight w:val="none"/>
        </w:rPr>
      </w:pPr>
    </w:p>
    <w:p w14:paraId="26F05D9E">
      <w:pPr>
        <w:widowControl/>
        <w:spacing w:line="360" w:lineRule="auto"/>
        <w:ind w:firstLine="482" w:firstLineChars="200"/>
        <w:jc w:val="left"/>
        <w:rPr>
          <w:rFonts w:hint="eastAsia" w:ascii="仿宋" w:hAnsi="仿宋" w:eastAsia="仿宋" w:cs="仿宋"/>
          <w:b/>
          <w:color w:val="auto"/>
          <w:sz w:val="24"/>
          <w:highlight w:val="none"/>
        </w:rPr>
      </w:pPr>
      <w:r>
        <w:rPr>
          <w:rFonts w:hint="eastAsia" w:ascii="仿宋" w:hAnsi="仿宋" w:eastAsia="仿宋" w:cs="仿宋"/>
          <w:b/>
          <w:color w:val="auto"/>
          <w:sz w:val="24"/>
          <w:highlight w:val="none"/>
        </w:rPr>
        <w:t>[以联合体形式投标的，提供联合协议（附件5）；本项目不接受联合体投标或者投标人不以联合体形式投标的，则不需要提供）]</w:t>
      </w:r>
    </w:p>
    <w:p w14:paraId="47DFAA91">
      <w:pPr>
        <w:snapToGrid w:val="0"/>
        <w:spacing w:line="360" w:lineRule="auto"/>
        <w:ind w:right="480"/>
        <w:jc w:val="center"/>
        <w:rPr>
          <w:rFonts w:hint="eastAsia" w:ascii="仿宋" w:hAnsi="仿宋" w:eastAsia="仿宋" w:cs="仿宋"/>
          <w:b/>
          <w:color w:val="auto"/>
          <w:kern w:val="0"/>
          <w:sz w:val="32"/>
          <w:szCs w:val="32"/>
          <w:highlight w:val="none"/>
        </w:rPr>
      </w:pPr>
    </w:p>
    <w:p w14:paraId="42993B9D">
      <w:pPr>
        <w:snapToGrid w:val="0"/>
        <w:spacing w:line="360" w:lineRule="auto"/>
        <w:ind w:right="480"/>
        <w:jc w:val="center"/>
        <w:rPr>
          <w:rFonts w:hint="eastAsia" w:ascii="仿宋" w:hAnsi="仿宋" w:eastAsia="仿宋" w:cs="仿宋"/>
          <w:b/>
          <w:color w:val="auto"/>
          <w:kern w:val="0"/>
          <w:sz w:val="32"/>
          <w:szCs w:val="32"/>
          <w:highlight w:val="none"/>
        </w:rPr>
      </w:pPr>
    </w:p>
    <w:p w14:paraId="61EDB390">
      <w:pPr>
        <w:snapToGrid w:val="0"/>
        <w:spacing w:line="360" w:lineRule="auto"/>
        <w:ind w:right="480"/>
        <w:jc w:val="center"/>
        <w:rPr>
          <w:rFonts w:hint="eastAsia" w:ascii="仿宋" w:hAnsi="仿宋" w:eastAsia="仿宋" w:cs="仿宋"/>
          <w:b/>
          <w:color w:val="auto"/>
          <w:kern w:val="0"/>
          <w:sz w:val="32"/>
          <w:szCs w:val="32"/>
          <w:highlight w:val="none"/>
        </w:rPr>
      </w:pPr>
      <w:r>
        <w:rPr>
          <w:rFonts w:hint="eastAsia" w:ascii="仿宋" w:hAnsi="仿宋" w:eastAsia="仿宋" w:cs="仿宋"/>
          <w:b/>
          <w:color w:val="auto"/>
          <w:kern w:val="0"/>
          <w:sz w:val="32"/>
          <w:szCs w:val="32"/>
          <w:highlight w:val="none"/>
        </w:rPr>
        <w:t>三、落实政府采购政策需满足的资格要求</w:t>
      </w:r>
    </w:p>
    <w:p w14:paraId="2B7AF16A">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（根据招标公告落实政府采购政策需满足的资格要求选择提供相应的材料；未要求的，无需提供）</w:t>
      </w:r>
    </w:p>
    <w:p w14:paraId="1484374B">
      <w:pPr>
        <w:snapToGrid w:val="0"/>
        <w:spacing w:before="50" w:after="50" w:line="360" w:lineRule="auto"/>
        <w:ind w:firstLine="472" w:firstLineChars="196"/>
        <w:jc w:val="left"/>
        <w:rPr>
          <w:rFonts w:hint="eastAsia" w:ascii="仿宋" w:hAnsi="仿宋" w:eastAsia="仿宋" w:cs="仿宋"/>
          <w:color w:val="auto"/>
          <w:sz w:val="24"/>
          <w:highlight w:val="none"/>
        </w:rPr>
      </w:pPr>
      <w:r>
        <w:rPr>
          <w:rFonts w:hint="eastAsia" w:ascii="仿宋" w:hAnsi="仿宋" w:eastAsia="仿宋" w:cs="仿宋"/>
          <w:b/>
          <w:color w:val="auto"/>
          <w:sz w:val="24"/>
          <w:highlight w:val="none"/>
        </w:rPr>
        <w:t>A</w:t>
      </w:r>
      <w:r>
        <w:rPr>
          <w:rFonts w:hint="eastAsia" w:ascii="仿宋" w:hAnsi="仿宋" w:eastAsia="仿宋" w:cs="仿宋"/>
          <w:color w:val="auto"/>
          <w:sz w:val="24"/>
          <w:highlight w:val="none"/>
        </w:rPr>
        <w:t xml:space="preserve">.专门面向中小企业，服务全部由符合政策要求的中小企业（或小微企业）承接的，提供相应的中小企业声明函（附件7）。 </w:t>
      </w:r>
    </w:p>
    <w:p w14:paraId="3EA7241F">
      <w:pPr>
        <w:widowControl/>
        <w:spacing w:line="360" w:lineRule="auto"/>
        <w:ind w:firstLine="480"/>
        <w:jc w:val="left"/>
        <w:rPr>
          <w:rFonts w:hint="eastAsia" w:ascii="仿宋" w:hAnsi="仿宋" w:eastAsia="仿宋" w:cs="仿宋"/>
          <w:color w:val="auto"/>
          <w:sz w:val="24"/>
          <w:highlight w:val="none"/>
        </w:rPr>
      </w:pPr>
    </w:p>
    <w:p w14:paraId="11A6CE7D">
      <w:pPr>
        <w:widowControl/>
        <w:spacing w:line="360" w:lineRule="auto"/>
        <w:ind w:firstLine="472" w:firstLineChars="196"/>
        <w:jc w:val="left"/>
        <w:rPr>
          <w:rFonts w:hint="eastAsia" w:ascii="仿宋" w:hAnsi="仿宋" w:eastAsia="仿宋" w:cs="仿宋"/>
          <w:color w:val="auto"/>
          <w:sz w:val="24"/>
          <w:highlight w:val="none"/>
        </w:rPr>
      </w:pPr>
      <w:r>
        <w:rPr>
          <w:rFonts w:hint="eastAsia" w:ascii="仿宋" w:hAnsi="仿宋" w:eastAsia="仿宋" w:cs="仿宋"/>
          <w:b/>
          <w:color w:val="auto"/>
          <w:sz w:val="24"/>
          <w:highlight w:val="none"/>
        </w:rPr>
        <w:t>B.</w:t>
      </w:r>
      <w:r>
        <w:rPr>
          <w:rFonts w:hint="eastAsia" w:ascii="仿宋" w:hAnsi="仿宋" w:eastAsia="仿宋" w:cs="仿宋"/>
          <w:color w:val="auto"/>
          <w:sz w:val="24"/>
          <w:highlight w:val="none"/>
        </w:rPr>
        <w:t>要求以联合体形式参加的，提供联合协议（附件5）和中小企业声明函（附件7），联合协议中中小企业合同金额应当达到招标公告载明的比例；如果供应商本身提供所有标的均由中小企业承接的，</w:t>
      </w:r>
      <w:r>
        <w:rPr>
          <w:rFonts w:hint="eastAsia" w:ascii="仿宋" w:hAnsi="仿宋" w:eastAsia="仿宋" w:cs="仿宋"/>
          <w:color w:val="auto"/>
          <w:spacing w:val="8"/>
          <w:kern w:val="0"/>
          <w:sz w:val="24"/>
          <w:highlight w:val="none"/>
        </w:rPr>
        <w:t>并相应达到了前述比例要求，</w:t>
      </w:r>
      <w:r>
        <w:rPr>
          <w:rFonts w:hint="eastAsia" w:ascii="仿宋" w:hAnsi="仿宋" w:eastAsia="仿宋" w:cs="仿宋"/>
          <w:color w:val="auto"/>
          <w:sz w:val="24"/>
          <w:highlight w:val="none"/>
        </w:rPr>
        <w:t>视同符合了资格条件，无需再与其他中小企业组成联合体参加政府采购活动，无需提供联合协议。</w:t>
      </w:r>
    </w:p>
    <w:p w14:paraId="23E296E1">
      <w:pPr>
        <w:snapToGrid w:val="0"/>
        <w:spacing w:before="50" w:after="50" w:line="360" w:lineRule="auto"/>
        <w:jc w:val="center"/>
        <w:rPr>
          <w:rFonts w:hint="eastAsia" w:ascii="仿宋" w:hAnsi="仿宋" w:eastAsia="仿宋" w:cs="仿宋"/>
          <w:color w:val="auto"/>
          <w:sz w:val="24"/>
          <w:highlight w:val="none"/>
        </w:rPr>
      </w:pPr>
    </w:p>
    <w:p w14:paraId="5AA81AC0">
      <w:pPr>
        <w:spacing w:line="360" w:lineRule="auto"/>
        <w:ind w:firstLine="482" w:firstLineChars="200"/>
        <w:rPr>
          <w:rFonts w:hint="eastAsia" w:ascii="仿宋" w:hAnsi="仿宋" w:eastAsia="仿宋" w:cs="仿宋"/>
          <w:color w:val="auto"/>
          <w:sz w:val="24"/>
          <w:highlight w:val="none"/>
        </w:rPr>
      </w:pPr>
      <w:r>
        <w:rPr>
          <w:rFonts w:hint="eastAsia" w:ascii="仿宋" w:hAnsi="仿宋" w:eastAsia="仿宋" w:cs="仿宋"/>
          <w:b/>
          <w:color w:val="auto"/>
          <w:sz w:val="24"/>
          <w:highlight w:val="none"/>
        </w:rPr>
        <w:t>C、</w:t>
      </w:r>
      <w:r>
        <w:rPr>
          <w:rFonts w:hint="eastAsia" w:ascii="仿宋" w:hAnsi="仿宋" w:eastAsia="仿宋" w:cs="仿宋"/>
          <w:color w:val="auto"/>
          <w:sz w:val="24"/>
          <w:highlight w:val="none"/>
        </w:rPr>
        <w:t>要求合同分包的，提供分包意向协议（附件6）和中小企业声明函（附件7），分包意向协议中中小企业合同金额应当达到招标公告载明的比例；如果供应商本身提供所有标的均由中小企业承接的，</w:t>
      </w:r>
      <w:r>
        <w:rPr>
          <w:rFonts w:hint="eastAsia" w:ascii="仿宋" w:hAnsi="仿宋" w:eastAsia="仿宋" w:cs="仿宋"/>
          <w:color w:val="auto"/>
          <w:spacing w:val="8"/>
          <w:kern w:val="0"/>
          <w:sz w:val="24"/>
          <w:highlight w:val="none"/>
        </w:rPr>
        <w:t>并相应达到了前述比例要求，</w:t>
      </w:r>
      <w:r>
        <w:rPr>
          <w:rFonts w:hint="eastAsia" w:ascii="仿宋" w:hAnsi="仿宋" w:eastAsia="仿宋" w:cs="仿宋"/>
          <w:color w:val="auto"/>
          <w:sz w:val="24"/>
          <w:highlight w:val="none"/>
        </w:rPr>
        <w:t>视同符合了资格条件，无需再向中小企业分包，无需提供分包意向协议。</w:t>
      </w:r>
    </w:p>
    <w:p w14:paraId="792D1D98">
      <w:pPr>
        <w:widowControl/>
        <w:spacing w:line="360" w:lineRule="auto"/>
        <w:ind w:left="150"/>
        <w:jc w:val="center"/>
        <w:rPr>
          <w:rFonts w:hint="eastAsia" w:ascii="仿宋" w:hAnsi="仿宋" w:eastAsia="仿宋" w:cs="仿宋"/>
          <w:b/>
          <w:color w:val="auto"/>
          <w:kern w:val="0"/>
          <w:sz w:val="32"/>
          <w:szCs w:val="32"/>
          <w:highlight w:val="none"/>
        </w:rPr>
      </w:pPr>
    </w:p>
    <w:p w14:paraId="16AD7F1A">
      <w:pPr>
        <w:widowControl/>
        <w:spacing w:line="360" w:lineRule="auto"/>
        <w:ind w:left="150"/>
        <w:jc w:val="center"/>
        <w:rPr>
          <w:rFonts w:hint="eastAsia" w:ascii="仿宋" w:hAnsi="仿宋" w:eastAsia="仿宋" w:cs="仿宋"/>
          <w:b/>
          <w:color w:val="auto"/>
          <w:kern w:val="0"/>
          <w:sz w:val="32"/>
          <w:szCs w:val="32"/>
          <w:highlight w:val="none"/>
        </w:rPr>
      </w:pPr>
      <w:r>
        <w:rPr>
          <w:rFonts w:hint="eastAsia" w:ascii="仿宋" w:hAnsi="仿宋" w:eastAsia="仿宋" w:cs="仿宋"/>
          <w:b/>
          <w:color w:val="auto"/>
          <w:kern w:val="0"/>
          <w:sz w:val="32"/>
          <w:szCs w:val="32"/>
          <w:highlight w:val="none"/>
        </w:rPr>
        <w:t>四、本项目的特定资格要求</w:t>
      </w:r>
    </w:p>
    <w:p w14:paraId="36C5552C">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（根据招标公告本项目的特定资格要求提供相应的材料；未要求的，无需提供）</w:t>
      </w:r>
    </w:p>
    <w:p w14:paraId="4B4E6C3A">
      <w:pPr>
        <w:widowControl/>
        <w:adjustRightInd/>
        <w:jc w:val="left"/>
        <w:rPr>
          <w:rFonts w:hint="eastAsia" w:ascii="仿宋" w:hAnsi="仿宋" w:eastAsia="仿宋" w:cs="仿宋"/>
          <w:b/>
          <w:color w:val="auto"/>
          <w:kern w:val="0"/>
          <w:sz w:val="36"/>
          <w:szCs w:val="36"/>
          <w:highlight w:val="none"/>
        </w:rPr>
      </w:pPr>
      <w:r>
        <w:rPr>
          <w:rFonts w:hint="eastAsia" w:ascii="仿宋" w:hAnsi="仿宋" w:eastAsia="仿宋" w:cs="仿宋"/>
          <w:b/>
          <w:color w:val="auto"/>
          <w:kern w:val="0"/>
          <w:sz w:val="36"/>
          <w:szCs w:val="36"/>
          <w:highlight w:val="none"/>
        </w:rPr>
        <w:br w:type="page"/>
      </w:r>
    </w:p>
    <w:p w14:paraId="229A820F">
      <w:pPr>
        <w:spacing w:line="360" w:lineRule="auto"/>
        <w:ind w:right="420" w:firstLine="3614" w:firstLineChars="1000"/>
        <w:rPr>
          <w:rFonts w:hint="eastAsia" w:ascii="仿宋" w:hAnsi="仿宋" w:eastAsia="仿宋" w:cs="仿宋"/>
          <w:b/>
          <w:color w:val="auto"/>
          <w:kern w:val="0"/>
          <w:sz w:val="36"/>
          <w:szCs w:val="36"/>
          <w:highlight w:val="none"/>
        </w:rPr>
      </w:pPr>
    </w:p>
    <w:p w14:paraId="6D1C5325">
      <w:pPr>
        <w:keepNext w:val="0"/>
        <w:keepLines w:val="0"/>
        <w:pageBreakBefore w:val="0"/>
        <w:widowControl w:val="0"/>
        <w:kinsoku/>
        <w:wordWrap/>
        <w:overflowPunct/>
        <w:topLinePunct w:val="0"/>
        <w:autoSpaceDE/>
        <w:autoSpaceDN/>
        <w:bidi w:val="0"/>
        <w:adjustRightInd w:val="0"/>
        <w:snapToGrid/>
        <w:spacing w:line="360" w:lineRule="auto"/>
        <w:jc w:val="center"/>
        <w:textAlignment w:val="auto"/>
        <w:outlineLvl w:val="2"/>
        <w:rPr>
          <w:rFonts w:hint="eastAsia" w:ascii="仿宋" w:hAnsi="仿宋" w:eastAsia="仿宋" w:cs="仿宋"/>
          <w:b/>
          <w:color w:val="auto"/>
          <w:kern w:val="0"/>
          <w:sz w:val="36"/>
          <w:szCs w:val="36"/>
          <w:highlight w:val="none"/>
        </w:rPr>
      </w:pPr>
      <w:r>
        <w:rPr>
          <w:rFonts w:hint="eastAsia" w:ascii="仿宋" w:hAnsi="仿宋" w:eastAsia="仿宋" w:cs="仿宋"/>
          <w:b/>
          <w:color w:val="auto"/>
          <w:kern w:val="0"/>
          <w:sz w:val="36"/>
          <w:szCs w:val="36"/>
          <w:highlight w:val="none"/>
        </w:rPr>
        <w:t>商务技术文件部分</w:t>
      </w:r>
    </w:p>
    <w:p w14:paraId="5BA2FC07">
      <w:pPr>
        <w:rPr>
          <w:rFonts w:hint="eastAsia" w:ascii="仿宋" w:hAnsi="仿宋" w:eastAsia="仿宋" w:cs="仿宋"/>
          <w:color w:val="auto"/>
          <w:highlight w:val="none"/>
        </w:rPr>
      </w:pPr>
    </w:p>
    <w:p w14:paraId="7CA961A2">
      <w:pPr>
        <w:rPr>
          <w:rFonts w:hint="eastAsia" w:ascii="仿宋" w:hAnsi="仿宋" w:eastAsia="仿宋" w:cs="仿宋"/>
          <w:color w:val="auto"/>
          <w:highlight w:val="none"/>
        </w:rPr>
      </w:pPr>
    </w:p>
    <w:p w14:paraId="3A78C951">
      <w:pPr>
        <w:keepNext w:val="0"/>
        <w:keepLines w:val="0"/>
        <w:pageBreakBefore w:val="0"/>
        <w:widowControl w:val="0"/>
        <w:kinsoku/>
        <w:wordWrap/>
        <w:overflowPunct/>
        <w:topLinePunct w:val="0"/>
        <w:autoSpaceDE/>
        <w:autoSpaceDN/>
        <w:bidi w:val="0"/>
        <w:adjustRightInd w:val="0"/>
        <w:snapToGrid/>
        <w:spacing w:line="360" w:lineRule="auto"/>
        <w:jc w:val="center"/>
        <w:textAlignment w:val="auto"/>
        <w:outlineLvl w:val="9"/>
        <w:rPr>
          <w:rFonts w:hint="eastAsia" w:ascii="仿宋" w:hAnsi="仿宋" w:eastAsia="仿宋" w:cs="仿宋"/>
          <w:b/>
          <w:color w:val="auto"/>
          <w:kern w:val="0"/>
          <w:sz w:val="28"/>
          <w:szCs w:val="28"/>
          <w:highlight w:val="none"/>
        </w:rPr>
      </w:pPr>
      <w:r>
        <w:rPr>
          <w:rFonts w:hint="eastAsia" w:ascii="仿宋" w:hAnsi="仿宋" w:eastAsia="仿宋" w:cs="仿宋"/>
          <w:b/>
          <w:color w:val="auto"/>
          <w:kern w:val="0"/>
          <w:sz w:val="28"/>
          <w:szCs w:val="28"/>
          <w:highlight w:val="none"/>
        </w:rPr>
        <w:t>目</w:t>
      </w:r>
      <w:r>
        <w:rPr>
          <w:rFonts w:hint="eastAsia" w:ascii="仿宋" w:hAnsi="仿宋" w:eastAsia="仿宋" w:cs="仿宋"/>
          <w:b/>
          <w:color w:val="auto"/>
          <w:kern w:val="0"/>
          <w:sz w:val="28"/>
          <w:szCs w:val="28"/>
          <w:highlight w:val="none"/>
          <w:lang w:val="en-US" w:eastAsia="zh-CN"/>
        </w:rPr>
        <w:t xml:space="preserve">   </w:t>
      </w:r>
      <w:r>
        <w:rPr>
          <w:rFonts w:hint="eastAsia" w:ascii="仿宋" w:hAnsi="仿宋" w:eastAsia="仿宋" w:cs="仿宋"/>
          <w:b/>
          <w:color w:val="auto"/>
          <w:kern w:val="0"/>
          <w:sz w:val="28"/>
          <w:szCs w:val="28"/>
          <w:highlight w:val="none"/>
        </w:rPr>
        <w:t>录</w:t>
      </w:r>
    </w:p>
    <w:p w14:paraId="35FF3D4E">
      <w:pPr>
        <w:pStyle w:val="30"/>
        <w:rPr>
          <w:rFonts w:hint="eastAsia" w:ascii="仿宋" w:hAnsi="仿宋" w:eastAsia="仿宋" w:cs="仿宋"/>
          <w:color w:val="auto"/>
          <w:highlight w:val="none"/>
        </w:rPr>
      </w:pPr>
    </w:p>
    <w:p w14:paraId="06D8040C">
      <w:pPr>
        <w:snapToGrid w:val="0"/>
        <w:spacing w:line="360" w:lineRule="auto"/>
        <w:ind w:left="479" w:leftChars="228"/>
        <w:rPr>
          <w:rFonts w:hint="eastAsia" w:ascii="仿宋" w:hAnsi="仿宋" w:eastAsia="仿宋" w:cs="仿宋"/>
          <w:color w:val="auto"/>
          <w:highlight w:val="none"/>
        </w:rPr>
      </w:pPr>
      <w:r>
        <w:rPr>
          <w:rFonts w:hint="eastAsia" w:ascii="仿宋" w:hAnsi="仿宋" w:eastAsia="仿宋" w:cs="仿宋"/>
          <w:color w:val="auto"/>
          <w:sz w:val="24"/>
          <w:highlight w:val="none"/>
        </w:rPr>
        <w:t>（1）投标函</w:t>
      </w:r>
      <w:r>
        <w:rPr>
          <w:rFonts w:hint="eastAsia" w:ascii="仿宋" w:hAnsi="仿宋" w:eastAsia="仿宋" w:cs="仿宋"/>
          <w:color w:val="auto"/>
          <w:highlight w:val="none"/>
        </w:rPr>
        <w:t>…………………………………………………………………………………（页码）</w:t>
      </w:r>
      <w:r>
        <w:rPr>
          <w:rFonts w:hint="eastAsia" w:ascii="仿宋" w:hAnsi="仿宋" w:eastAsia="仿宋" w:cs="仿宋"/>
          <w:color w:val="auto"/>
          <w:sz w:val="24"/>
          <w:highlight w:val="none"/>
        </w:rPr>
        <w:t>（2）授权委托书或法定代表人（单位负责人、自然人本人）身份证明</w:t>
      </w:r>
      <w:r>
        <w:rPr>
          <w:rFonts w:hint="eastAsia" w:ascii="仿宋" w:hAnsi="仿宋" w:eastAsia="仿宋" w:cs="仿宋"/>
          <w:color w:val="auto"/>
          <w:highlight w:val="none"/>
        </w:rPr>
        <w:t>………（页码）</w:t>
      </w:r>
    </w:p>
    <w:p w14:paraId="4B35F08C">
      <w:pPr>
        <w:snapToGrid w:val="0"/>
        <w:spacing w:line="360" w:lineRule="auto"/>
        <w:ind w:left="479" w:leftChars="228"/>
        <w:rPr>
          <w:rFonts w:hint="eastAsia" w:ascii="仿宋" w:hAnsi="仿宋" w:eastAsia="仿宋" w:cs="仿宋"/>
          <w:color w:val="auto"/>
          <w:highlight w:val="none"/>
        </w:rPr>
      </w:pPr>
      <w:r>
        <w:rPr>
          <w:rFonts w:hint="eastAsia" w:ascii="仿宋" w:hAnsi="仿宋" w:eastAsia="仿宋" w:cs="仿宋"/>
          <w:color w:val="auto"/>
          <w:sz w:val="24"/>
          <w:highlight w:val="none"/>
        </w:rPr>
        <w:t>（3）分包意向协议</w:t>
      </w:r>
      <w:r>
        <w:rPr>
          <w:rFonts w:hint="eastAsia" w:ascii="仿宋" w:hAnsi="仿宋" w:eastAsia="仿宋" w:cs="仿宋"/>
          <w:color w:val="auto"/>
          <w:highlight w:val="none"/>
        </w:rPr>
        <w:t>…………………………………………………………………………（页码）</w:t>
      </w:r>
    </w:p>
    <w:p w14:paraId="6E94C761">
      <w:pPr>
        <w:snapToGrid w:val="0"/>
        <w:spacing w:line="360" w:lineRule="auto"/>
        <w:ind w:firstLine="480" w:firstLineChars="200"/>
        <w:rPr>
          <w:rFonts w:hint="eastAsia" w:ascii="仿宋" w:hAnsi="仿宋" w:eastAsia="仿宋" w:cs="仿宋"/>
          <w:color w:val="auto"/>
          <w:highlight w:val="none"/>
        </w:rPr>
      </w:pPr>
      <w:r>
        <w:rPr>
          <w:rFonts w:hint="eastAsia" w:ascii="仿宋" w:hAnsi="仿宋" w:eastAsia="仿宋" w:cs="仿宋"/>
          <w:color w:val="auto"/>
          <w:sz w:val="24"/>
          <w:highlight w:val="none"/>
        </w:rPr>
        <w:t>（4）符合性审查资料</w:t>
      </w:r>
      <w:r>
        <w:rPr>
          <w:rFonts w:hint="eastAsia" w:ascii="仿宋" w:hAnsi="仿宋" w:eastAsia="仿宋" w:cs="仿宋"/>
          <w:color w:val="auto"/>
          <w:highlight w:val="none"/>
        </w:rPr>
        <w:t>………………………………………………………………………（页码）</w:t>
      </w:r>
    </w:p>
    <w:p w14:paraId="308D79D8">
      <w:pPr>
        <w:snapToGrid w:val="0"/>
        <w:spacing w:line="360" w:lineRule="auto"/>
        <w:ind w:left="479" w:leftChars="228"/>
        <w:rPr>
          <w:rFonts w:hint="eastAsia" w:ascii="仿宋" w:hAnsi="仿宋" w:eastAsia="仿宋" w:cs="仿宋"/>
          <w:color w:val="auto"/>
          <w:highlight w:val="none"/>
        </w:rPr>
      </w:pPr>
      <w:r>
        <w:rPr>
          <w:rFonts w:hint="eastAsia" w:ascii="仿宋" w:hAnsi="仿宋" w:eastAsia="仿宋" w:cs="仿宋"/>
          <w:color w:val="auto"/>
          <w:sz w:val="24"/>
          <w:highlight w:val="none"/>
        </w:rPr>
        <w:t>（5）评标标准相应的商务技术资料</w:t>
      </w:r>
      <w:r>
        <w:rPr>
          <w:rFonts w:hint="eastAsia" w:ascii="仿宋" w:hAnsi="仿宋" w:eastAsia="仿宋" w:cs="仿宋"/>
          <w:color w:val="auto"/>
          <w:highlight w:val="none"/>
        </w:rPr>
        <w:t>…………………………</w:t>
      </w:r>
      <w:r>
        <w:rPr>
          <w:rFonts w:hint="eastAsia" w:ascii="仿宋" w:hAnsi="仿宋" w:eastAsia="仿宋" w:cs="仿宋"/>
          <w:color w:val="auto"/>
          <w:sz w:val="24"/>
          <w:highlight w:val="none"/>
        </w:rPr>
        <w:t>………</w:t>
      </w:r>
      <w:r>
        <w:rPr>
          <w:rFonts w:hint="eastAsia" w:ascii="仿宋" w:hAnsi="仿宋" w:eastAsia="仿宋" w:cs="仿宋"/>
          <w:color w:val="auto"/>
          <w:highlight w:val="none"/>
        </w:rPr>
        <w:t>…</w:t>
      </w:r>
      <w:r>
        <w:rPr>
          <w:rFonts w:hint="eastAsia" w:ascii="仿宋" w:hAnsi="仿宋" w:eastAsia="仿宋" w:cs="仿宋"/>
          <w:color w:val="auto"/>
          <w:sz w:val="24"/>
          <w:highlight w:val="none"/>
        </w:rPr>
        <w:t>…</w:t>
      </w:r>
      <w:r>
        <w:rPr>
          <w:rFonts w:hint="eastAsia" w:ascii="仿宋" w:hAnsi="仿宋" w:eastAsia="仿宋" w:cs="仿宋"/>
          <w:color w:val="auto"/>
          <w:highlight w:val="none"/>
        </w:rPr>
        <w:t>……………（页码）</w:t>
      </w:r>
      <w:r>
        <w:rPr>
          <w:rFonts w:hint="eastAsia" w:ascii="仿宋" w:hAnsi="仿宋" w:eastAsia="仿宋" w:cs="仿宋"/>
          <w:color w:val="auto"/>
          <w:sz w:val="24"/>
          <w:highlight w:val="none"/>
        </w:rPr>
        <w:t>（6）投标标的清单</w:t>
      </w:r>
      <w:r>
        <w:rPr>
          <w:rFonts w:hint="eastAsia" w:ascii="仿宋" w:hAnsi="仿宋" w:eastAsia="仿宋" w:cs="仿宋"/>
          <w:color w:val="auto"/>
          <w:highlight w:val="none"/>
        </w:rPr>
        <w:t>…………………………</w:t>
      </w:r>
      <w:r>
        <w:rPr>
          <w:rFonts w:hint="eastAsia" w:ascii="仿宋" w:hAnsi="仿宋" w:eastAsia="仿宋" w:cs="仿宋"/>
          <w:color w:val="auto"/>
          <w:sz w:val="24"/>
          <w:highlight w:val="none"/>
        </w:rPr>
        <w:t>………</w:t>
      </w:r>
      <w:r>
        <w:rPr>
          <w:rFonts w:hint="eastAsia" w:ascii="仿宋" w:hAnsi="仿宋" w:eastAsia="仿宋" w:cs="仿宋"/>
          <w:color w:val="auto"/>
          <w:highlight w:val="none"/>
        </w:rPr>
        <w:t>…</w:t>
      </w:r>
      <w:r>
        <w:rPr>
          <w:rFonts w:hint="eastAsia" w:ascii="仿宋" w:hAnsi="仿宋" w:eastAsia="仿宋" w:cs="仿宋"/>
          <w:color w:val="auto"/>
          <w:sz w:val="24"/>
          <w:highlight w:val="none"/>
        </w:rPr>
        <w:t>…</w:t>
      </w:r>
      <w:r>
        <w:rPr>
          <w:rFonts w:hint="eastAsia" w:ascii="仿宋" w:hAnsi="仿宋" w:eastAsia="仿宋" w:cs="仿宋"/>
          <w:color w:val="auto"/>
          <w:highlight w:val="none"/>
        </w:rPr>
        <w:t>…</w:t>
      </w:r>
      <w:r>
        <w:rPr>
          <w:rFonts w:hint="eastAsia" w:ascii="仿宋" w:hAnsi="仿宋" w:eastAsia="仿宋" w:cs="仿宋"/>
          <w:color w:val="auto"/>
          <w:sz w:val="24"/>
          <w:highlight w:val="none"/>
        </w:rPr>
        <w:t>…</w:t>
      </w:r>
      <w:r>
        <w:rPr>
          <w:rFonts w:hint="eastAsia" w:ascii="仿宋" w:hAnsi="仿宋" w:eastAsia="仿宋" w:cs="仿宋"/>
          <w:color w:val="auto"/>
          <w:highlight w:val="none"/>
        </w:rPr>
        <w:t>…</w:t>
      </w:r>
      <w:r>
        <w:rPr>
          <w:rFonts w:hint="eastAsia" w:ascii="仿宋" w:hAnsi="仿宋" w:eastAsia="仿宋" w:cs="仿宋"/>
          <w:color w:val="auto"/>
          <w:sz w:val="24"/>
          <w:highlight w:val="none"/>
        </w:rPr>
        <w:t>…</w:t>
      </w:r>
      <w:r>
        <w:rPr>
          <w:rFonts w:hint="eastAsia" w:ascii="仿宋" w:hAnsi="仿宋" w:eastAsia="仿宋" w:cs="仿宋"/>
          <w:color w:val="auto"/>
          <w:highlight w:val="none"/>
        </w:rPr>
        <w:t>…</w:t>
      </w:r>
      <w:r>
        <w:rPr>
          <w:rFonts w:hint="eastAsia" w:ascii="仿宋" w:hAnsi="仿宋" w:eastAsia="仿宋" w:cs="仿宋"/>
          <w:color w:val="auto"/>
          <w:sz w:val="24"/>
          <w:highlight w:val="none"/>
        </w:rPr>
        <w:t>…</w:t>
      </w:r>
      <w:r>
        <w:rPr>
          <w:rFonts w:hint="eastAsia" w:ascii="仿宋" w:hAnsi="仿宋" w:eastAsia="仿宋" w:cs="仿宋"/>
          <w:color w:val="auto"/>
          <w:highlight w:val="none"/>
        </w:rPr>
        <w:t>……………（页码）</w:t>
      </w:r>
      <w:r>
        <w:rPr>
          <w:rFonts w:hint="eastAsia" w:ascii="仿宋" w:hAnsi="仿宋" w:eastAsia="仿宋" w:cs="仿宋"/>
          <w:color w:val="auto"/>
          <w:sz w:val="24"/>
          <w:highlight w:val="none"/>
        </w:rPr>
        <w:t>（7）商务技术偏离表</w:t>
      </w:r>
      <w:r>
        <w:rPr>
          <w:rFonts w:hint="eastAsia" w:ascii="仿宋" w:hAnsi="仿宋" w:eastAsia="仿宋" w:cs="仿宋"/>
          <w:color w:val="auto"/>
          <w:highlight w:val="none"/>
        </w:rPr>
        <w:t>………………………………………………………………………（页码）</w:t>
      </w:r>
    </w:p>
    <w:p w14:paraId="787022F8">
      <w:pPr>
        <w:snapToGrid w:val="0"/>
        <w:spacing w:line="360" w:lineRule="auto"/>
        <w:ind w:left="479" w:leftChars="228"/>
        <w:rPr>
          <w:rFonts w:hint="eastAsia" w:ascii="仿宋" w:hAnsi="仿宋" w:eastAsia="仿宋" w:cs="仿宋"/>
          <w:color w:val="auto"/>
          <w:highlight w:val="none"/>
        </w:rPr>
      </w:pPr>
      <w:r>
        <w:rPr>
          <w:rFonts w:hint="eastAsia" w:ascii="仿宋" w:hAnsi="仿宋" w:eastAsia="仿宋" w:cs="仿宋"/>
          <w:color w:val="auto"/>
          <w:sz w:val="24"/>
          <w:highlight w:val="none"/>
          <w:lang w:val="zh-CN"/>
        </w:rPr>
        <w:t>（</w:t>
      </w:r>
      <w:r>
        <w:rPr>
          <w:rFonts w:hint="eastAsia" w:ascii="仿宋" w:hAnsi="仿宋" w:eastAsia="仿宋" w:cs="仿宋"/>
          <w:color w:val="auto"/>
          <w:sz w:val="24"/>
          <w:highlight w:val="none"/>
        </w:rPr>
        <w:t>8</w:t>
      </w:r>
      <w:r>
        <w:rPr>
          <w:rFonts w:hint="eastAsia" w:ascii="仿宋" w:hAnsi="仿宋" w:eastAsia="仿宋" w:cs="仿宋"/>
          <w:color w:val="auto"/>
          <w:sz w:val="24"/>
          <w:highlight w:val="none"/>
          <w:lang w:val="zh-CN"/>
        </w:rPr>
        <w:t>）政府采购供应商廉洁自律承诺书</w:t>
      </w:r>
      <w:r>
        <w:rPr>
          <w:rFonts w:hint="eastAsia" w:ascii="仿宋" w:hAnsi="仿宋" w:eastAsia="仿宋" w:cs="仿宋"/>
          <w:color w:val="auto"/>
          <w:highlight w:val="none"/>
        </w:rPr>
        <w:t>…………………………………………………（页码）</w:t>
      </w:r>
    </w:p>
    <w:p w14:paraId="2F1AFB38">
      <w:pPr>
        <w:snapToGrid w:val="0"/>
        <w:spacing w:line="360" w:lineRule="auto"/>
        <w:jc w:val="center"/>
        <w:rPr>
          <w:rFonts w:hint="eastAsia" w:ascii="仿宋" w:hAnsi="仿宋" w:eastAsia="仿宋" w:cs="仿宋"/>
          <w:b/>
          <w:color w:val="auto"/>
          <w:kern w:val="0"/>
          <w:sz w:val="32"/>
          <w:szCs w:val="32"/>
          <w:highlight w:val="none"/>
          <w:lang w:val="zh-CN"/>
        </w:rPr>
      </w:pPr>
    </w:p>
    <w:p w14:paraId="654546AB">
      <w:pPr>
        <w:snapToGrid w:val="0"/>
        <w:spacing w:line="360" w:lineRule="auto"/>
        <w:jc w:val="center"/>
        <w:rPr>
          <w:rFonts w:hint="eastAsia" w:ascii="仿宋" w:hAnsi="仿宋" w:eastAsia="仿宋" w:cs="仿宋"/>
          <w:b/>
          <w:color w:val="auto"/>
          <w:kern w:val="0"/>
          <w:sz w:val="32"/>
          <w:szCs w:val="32"/>
          <w:highlight w:val="none"/>
          <w:lang w:val="zh-CN"/>
        </w:rPr>
      </w:pPr>
    </w:p>
    <w:p w14:paraId="3CE48111">
      <w:pPr>
        <w:snapToGrid w:val="0"/>
        <w:spacing w:line="360" w:lineRule="auto"/>
        <w:jc w:val="center"/>
        <w:rPr>
          <w:rFonts w:hint="eastAsia" w:ascii="仿宋" w:hAnsi="仿宋" w:eastAsia="仿宋" w:cs="仿宋"/>
          <w:b/>
          <w:color w:val="auto"/>
          <w:kern w:val="0"/>
          <w:sz w:val="32"/>
          <w:szCs w:val="32"/>
          <w:highlight w:val="none"/>
          <w:lang w:val="zh-CN"/>
        </w:rPr>
      </w:pPr>
    </w:p>
    <w:p w14:paraId="5CBC398C">
      <w:pPr>
        <w:snapToGrid w:val="0"/>
        <w:spacing w:line="360" w:lineRule="auto"/>
        <w:jc w:val="center"/>
        <w:rPr>
          <w:rFonts w:hint="eastAsia" w:ascii="仿宋" w:hAnsi="仿宋" w:eastAsia="仿宋" w:cs="仿宋"/>
          <w:b/>
          <w:color w:val="auto"/>
          <w:kern w:val="0"/>
          <w:sz w:val="32"/>
          <w:szCs w:val="32"/>
          <w:highlight w:val="none"/>
          <w:lang w:val="zh-CN"/>
        </w:rPr>
      </w:pPr>
    </w:p>
    <w:p w14:paraId="4E812D5C">
      <w:pPr>
        <w:rPr>
          <w:rFonts w:hint="eastAsia" w:ascii="仿宋" w:hAnsi="仿宋" w:eastAsia="仿宋" w:cs="仿宋"/>
          <w:b/>
          <w:color w:val="auto"/>
          <w:kern w:val="0"/>
          <w:sz w:val="32"/>
          <w:szCs w:val="32"/>
          <w:highlight w:val="none"/>
          <w:lang w:val="zh-CN"/>
        </w:rPr>
      </w:pPr>
    </w:p>
    <w:p w14:paraId="23DEF4CF">
      <w:pPr>
        <w:widowControl/>
        <w:adjustRightInd/>
        <w:jc w:val="left"/>
        <w:rPr>
          <w:rFonts w:hint="eastAsia" w:ascii="仿宋" w:hAnsi="仿宋" w:eastAsia="仿宋" w:cs="仿宋"/>
          <w:b/>
          <w:color w:val="auto"/>
          <w:kern w:val="0"/>
          <w:sz w:val="32"/>
          <w:szCs w:val="32"/>
          <w:highlight w:val="none"/>
        </w:rPr>
      </w:pPr>
      <w:r>
        <w:rPr>
          <w:rFonts w:hint="eastAsia" w:ascii="仿宋" w:hAnsi="仿宋" w:eastAsia="仿宋" w:cs="仿宋"/>
          <w:b/>
          <w:color w:val="auto"/>
          <w:kern w:val="0"/>
          <w:sz w:val="32"/>
          <w:szCs w:val="32"/>
          <w:highlight w:val="none"/>
        </w:rPr>
        <w:br w:type="page"/>
      </w:r>
    </w:p>
    <w:p w14:paraId="39FAAFDC">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9"/>
        <w:rPr>
          <w:rFonts w:hint="eastAsia" w:ascii="仿宋" w:hAnsi="仿宋" w:eastAsia="仿宋" w:cs="仿宋"/>
          <w:b/>
          <w:color w:val="auto"/>
          <w:sz w:val="32"/>
          <w:szCs w:val="32"/>
          <w:highlight w:val="none"/>
        </w:rPr>
      </w:pPr>
      <w:r>
        <w:rPr>
          <w:rFonts w:hint="eastAsia" w:ascii="仿宋" w:hAnsi="仿宋" w:eastAsia="仿宋" w:cs="仿宋"/>
          <w:b/>
          <w:color w:val="auto"/>
          <w:kern w:val="0"/>
          <w:sz w:val="32"/>
          <w:szCs w:val="32"/>
          <w:highlight w:val="none"/>
        </w:rPr>
        <w:t>一、投标</w:t>
      </w:r>
      <w:r>
        <w:rPr>
          <w:rFonts w:hint="eastAsia" w:ascii="仿宋" w:hAnsi="仿宋" w:eastAsia="仿宋" w:cs="仿宋"/>
          <w:b/>
          <w:color w:val="auto"/>
          <w:sz w:val="32"/>
          <w:szCs w:val="32"/>
          <w:highlight w:val="none"/>
        </w:rPr>
        <w:t>函</w:t>
      </w:r>
    </w:p>
    <w:p w14:paraId="350B1C99">
      <w:p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杭州市公安局刑事侦查支队</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eastAsia="zh-CN"/>
        </w:rPr>
        <w:t>耀华建设管理有限公司</w:t>
      </w:r>
      <w:r>
        <w:rPr>
          <w:rFonts w:hint="eastAsia" w:ascii="仿宋" w:hAnsi="仿宋" w:eastAsia="仿宋" w:cs="仿宋"/>
          <w:color w:val="auto"/>
          <w:sz w:val="24"/>
          <w:highlight w:val="none"/>
        </w:rPr>
        <w:t>：</w:t>
      </w:r>
    </w:p>
    <w:p w14:paraId="29E29005">
      <w:pPr>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我方参加你方组织的</w:t>
      </w:r>
      <w:r>
        <w:rPr>
          <w:rFonts w:hint="eastAsia" w:ascii="仿宋" w:hAnsi="仿宋" w:eastAsia="仿宋" w:cs="仿宋"/>
          <w:color w:val="auto"/>
          <w:sz w:val="24"/>
          <w:highlight w:val="none"/>
          <w:u w:val="single"/>
          <w:lang w:eastAsia="zh-CN"/>
        </w:rPr>
        <w:t>反诈专项（涉网新型犯罪侦防数据服务）</w:t>
      </w:r>
      <w:r>
        <w:rPr>
          <w:rFonts w:hint="eastAsia" w:ascii="仿宋" w:hAnsi="仿宋" w:eastAsia="仿宋" w:cs="仿宋"/>
          <w:color w:val="auto"/>
          <w:sz w:val="24"/>
          <w:highlight w:val="none"/>
        </w:rPr>
        <w:t>【招标编号：</w:t>
      </w:r>
      <w:r>
        <w:rPr>
          <w:rFonts w:hint="eastAsia" w:ascii="仿宋" w:hAnsi="仿宋" w:eastAsia="仿宋" w:cs="仿宋"/>
          <w:color w:val="auto"/>
          <w:sz w:val="24"/>
          <w:highlight w:val="none"/>
          <w:u w:val="single"/>
          <w:lang w:eastAsia="zh-CN"/>
        </w:rPr>
        <w:t>YHDL-HZ-CG2025026</w:t>
      </w:r>
      <w:r>
        <w:rPr>
          <w:rFonts w:hint="eastAsia" w:ascii="仿宋" w:hAnsi="仿宋" w:eastAsia="仿宋" w:cs="仿宋"/>
          <w:color w:val="auto"/>
          <w:sz w:val="24"/>
          <w:highlight w:val="none"/>
        </w:rPr>
        <w:t>】招标的有关活动，并对此项目进行投标。为此：</w:t>
      </w:r>
    </w:p>
    <w:p w14:paraId="588B8A16">
      <w:pPr>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1、我方承诺投标有效期从提交投标文件的截止之日起</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90</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天（不少于90天）</w:t>
      </w:r>
      <w:r>
        <w:rPr>
          <w:rFonts w:hint="eastAsia" w:ascii="仿宋" w:hAnsi="仿宋" w:eastAsia="仿宋" w:cs="仿宋"/>
          <w:color w:val="auto"/>
          <w:highlight w:val="none"/>
        </w:rPr>
        <w:t>，</w:t>
      </w:r>
      <w:r>
        <w:rPr>
          <w:rFonts w:hint="eastAsia" w:ascii="仿宋" w:hAnsi="仿宋" w:eastAsia="仿宋" w:cs="仿宋"/>
          <w:color w:val="auto"/>
          <w:sz w:val="24"/>
          <w:highlight w:val="none"/>
        </w:rPr>
        <w:t>本投标文件在投标有效期满之前均具有约束力。</w:t>
      </w:r>
    </w:p>
    <w:p w14:paraId="432D1633">
      <w:pPr>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2、我方的投标文件包括以下内容：</w:t>
      </w:r>
    </w:p>
    <w:p w14:paraId="02A5CC76">
      <w:pPr>
        <w:snapToGrid w:val="0"/>
        <w:spacing w:line="360" w:lineRule="auto"/>
        <w:ind w:left="210" w:leftChars="100"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2.1资格文件：</w:t>
      </w:r>
    </w:p>
    <w:p w14:paraId="308489AF">
      <w:pPr>
        <w:snapToGrid w:val="0"/>
        <w:spacing w:line="360" w:lineRule="auto"/>
        <w:ind w:left="420" w:leftChars="200"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2.1.1承诺函；</w:t>
      </w:r>
    </w:p>
    <w:p w14:paraId="56610D54">
      <w:pPr>
        <w:snapToGrid w:val="0"/>
        <w:spacing w:line="360" w:lineRule="auto"/>
        <w:ind w:left="420" w:leftChars="200"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2.1.2</w:t>
      </w:r>
      <w:r>
        <w:rPr>
          <w:rFonts w:hint="eastAsia" w:ascii="仿宋" w:hAnsi="仿宋" w:eastAsia="仿宋" w:cs="仿宋"/>
          <w:snapToGrid w:val="0"/>
          <w:color w:val="auto"/>
          <w:kern w:val="28"/>
          <w:sz w:val="24"/>
          <w:szCs w:val="20"/>
          <w:highlight w:val="none"/>
        </w:rPr>
        <w:t>联合协议</w:t>
      </w:r>
      <w:bookmarkStart w:id="528" w:name="_Hlk101257010"/>
      <w:r>
        <w:rPr>
          <w:rFonts w:hint="eastAsia" w:ascii="仿宋" w:hAnsi="仿宋" w:eastAsia="仿宋" w:cs="仿宋"/>
          <w:color w:val="auto"/>
          <w:sz w:val="24"/>
          <w:highlight w:val="none"/>
        </w:rPr>
        <w:t>（如果有)</w:t>
      </w:r>
      <w:bookmarkEnd w:id="528"/>
      <w:r>
        <w:rPr>
          <w:rFonts w:hint="eastAsia" w:ascii="仿宋" w:hAnsi="仿宋" w:eastAsia="仿宋" w:cs="仿宋"/>
          <w:snapToGrid w:val="0"/>
          <w:color w:val="auto"/>
          <w:kern w:val="28"/>
          <w:sz w:val="24"/>
          <w:szCs w:val="20"/>
          <w:highlight w:val="none"/>
        </w:rPr>
        <w:t>；</w:t>
      </w:r>
    </w:p>
    <w:p w14:paraId="55E1B8B8">
      <w:pPr>
        <w:snapToGrid w:val="0"/>
        <w:spacing w:line="360" w:lineRule="auto"/>
        <w:ind w:left="420" w:leftChars="200"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2.1.3落实政府采购政策需满足的资格要求（如果有）；</w:t>
      </w:r>
    </w:p>
    <w:p w14:paraId="581CCA52">
      <w:pPr>
        <w:snapToGrid w:val="0"/>
        <w:spacing w:line="360" w:lineRule="auto"/>
        <w:ind w:left="420" w:leftChars="200"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2.1.4本项目的特定资格要求（如果有)。</w:t>
      </w:r>
    </w:p>
    <w:p w14:paraId="7EBF15AB">
      <w:pPr>
        <w:snapToGrid w:val="0"/>
        <w:spacing w:line="360" w:lineRule="auto"/>
        <w:ind w:left="210" w:leftChars="100" w:firstLine="480" w:firstLineChars="200"/>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2</w:t>
      </w:r>
      <w:r>
        <w:rPr>
          <w:rFonts w:hint="eastAsia" w:ascii="仿宋" w:hAnsi="仿宋" w:eastAsia="仿宋" w:cs="仿宋"/>
          <w:color w:val="auto"/>
          <w:sz w:val="24"/>
          <w:highlight w:val="none"/>
          <w:lang w:val="zh-CN"/>
        </w:rPr>
        <w:t>.</w:t>
      </w:r>
      <w:r>
        <w:rPr>
          <w:rFonts w:hint="eastAsia" w:ascii="仿宋" w:hAnsi="仿宋" w:eastAsia="仿宋" w:cs="仿宋"/>
          <w:color w:val="auto"/>
          <w:sz w:val="24"/>
          <w:highlight w:val="none"/>
        </w:rPr>
        <w:t>2商务技术</w:t>
      </w:r>
      <w:r>
        <w:rPr>
          <w:rFonts w:hint="eastAsia" w:ascii="仿宋" w:hAnsi="仿宋" w:eastAsia="仿宋" w:cs="仿宋"/>
          <w:color w:val="auto"/>
          <w:sz w:val="24"/>
          <w:highlight w:val="none"/>
          <w:lang w:val="zh-CN"/>
        </w:rPr>
        <w:t>文件：</w:t>
      </w:r>
    </w:p>
    <w:p w14:paraId="49D232C6">
      <w:pPr>
        <w:snapToGrid w:val="0"/>
        <w:spacing w:line="360" w:lineRule="auto"/>
        <w:ind w:left="420" w:leftChars="200"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2.2.1投标函；</w:t>
      </w:r>
    </w:p>
    <w:p w14:paraId="5F3578DC">
      <w:pPr>
        <w:snapToGrid w:val="0"/>
        <w:spacing w:line="360" w:lineRule="auto"/>
        <w:ind w:left="420" w:leftChars="200"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2.2.2授权委托书或法定代表人（单位负责人）身份证明；</w:t>
      </w:r>
    </w:p>
    <w:p w14:paraId="7F5CE77E">
      <w:pPr>
        <w:snapToGrid w:val="0"/>
        <w:spacing w:line="360" w:lineRule="auto"/>
        <w:ind w:left="420" w:leftChars="200"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2.2.3分包意向协议（如果有)；</w:t>
      </w:r>
    </w:p>
    <w:p w14:paraId="2BE8D3A2">
      <w:pPr>
        <w:snapToGrid w:val="0"/>
        <w:spacing w:line="360" w:lineRule="auto"/>
        <w:ind w:left="420" w:leftChars="200"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2.2.4符合性审查资料；</w:t>
      </w:r>
    </w:p>
    <w:p w14:paraId="739ECAD0">
      <w:pPr>
        <w:snapToGrid w:val="0"/>
        <w:spacing w:line="360" w:lineRule="auto"/>
        <w:ind w:left="420" w:leftChars="200"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2.2.5评标标准相应的商务技术资料；</w:t>
      </w:r>
    </w:p>
    <w:p w14:paraId="014E983D">
      <w:pPr>
        <w:snapToGrid w:val="0"/>
        <w:spacing w:line="360" w:lineRule="auto"/>
        <w:ind w:left="420" w:leftChars="200"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2.2.6投标标的清单；</w:t>
      </w:r>
    </w:p>
    <w:p w14:paraId="0813243E">
      <w:pPr>
        <w:snapToGrid w:val="0"/>
        <w:spacing w:line="360" w:lineRule="auto"/>
        <w:ind w:left="420" w:leftChars="200"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2.2.7商务技术偏离表；</w:t>
      </w:r>
    </w:p>
    <w:p w14:paraId="6AC3667A">
      <w:pPr>
        <w:snapToGrid w:val="0"/>
        <w:spacing w:line="360" w:lineRule="auto"/>
        <w:ind w:left="420" w:leftChars="200" w:firstLine="480" w:firstLineChars="200"/>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2</w:t>
      </w:r>
      <w:r>
        <w:rPr>
          <w:rFonts w:hint="eastAsia" w:ascii="仿宋" w:hAnsi="仿宋" w:eastAsia="仿宋" w:cs="仿宋"/>
          <w:color w:val="auto"/>
          <w:sz w:val="24"/>
          <w:highlight w:val="none"/>
          <w:lang w:val="zh-CN"/>
        </w:rPr>
        <w:t>.</w:t>
      </w:r>
      <w:r>
        <w:rPr>
          <w:rFonts w:hint="eastAsia" w:ascii="仿宋" w:hAnsi="仿宋" w:eastAsia="仿宋" w:cs="仿宋"/>
          <w:color w:val="auto"/>
          <w:sz w:val="24"/>
          <w:highlight w:val="none"/>
        </w:rPr>
        <w:t>2</w:t>
      </w:r>
      <w:r>
        <w:rPr>
          <w:rFonts w:hint="eastAsia" w:ascii="仿宋" w:hAnsi="仿宋" w:eastAsia="仿宋" w:cs="仿宋"/>
          <w:color w:val="auto"/>
          <w:sz w:val="24"/>
          <w:highlight w:val="none"/>
          <w:lang w:val="zh-CN"/>
        </w:rPr>
        <w:t>.</w:t>
      </w:r>
      <w:r>
        <w:rPr>
          <w:rFonts w:hint="eastAsia" w:ascii="仿宋" w:hAnsi="仿宋" w:eastAsia="仿宋" w:cs="仿宋"/>
          <w:color w:val="auto"/>
          <w:sz w:val="24"/>
          <w:highlight w:val="none"/>
        </w:rPr>
        <w:t>8</w:t>
      </w:r>
      <w:r>
        <w:rPr>
          <w:rFonts w:hint="eastAsia" w:ascii="仿宋" w:hAnsi="仿宋" w:eastAsia="仿宋" w:cs="仿宋"/>
          <w:color w:val="auto"/>
          <w:sz w:val="24"/>
          <w:highlight w:val="none"/>
          <w:lang w:val="zh-CN"/>
        </w:rPr>
        <w:t>政府采购供应商廉洁自律承诺书；</w:t>
      </w:r>
    </w:p>
    <w:p w14:paraId="1C9A0564">
      <w:pPr>
        <w:snapToGrid w:val="0"/>
        <w:spacing w:line="360" w:lineRule="auto"/>
        <w:ind w:left="210" w:leftChars="100"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w:t>
      </w:r>
      <w:r>
        <w:rPr>
          <w:rFonts w:hint="eastAsia" w:ascii="仿宋" w:hAnsi="仿宋" w:eastAsia="仿宋" w:cs="仿宋"/>
          <w:color w:val="auto"/>
          <w:sz w:val="24"/>
          <w:highlight w:val="none"/>
          <w:lang w:val="zh-CN"/>
        </w:rPr>
        <w:t>.</w:t>
      </w:r>
      <w:r>
        <w:rPr>
          <w:rFonts w:hint="eastAsia" w:ascii="仿宋" w:hAnsi="仿宋" w:eastAsia="仿宋" w:cs="仿宋"/>
          <w:color w:val="auto"/>
          <w:sz w:val="24"/>
          <w:highlight w:val="none"/>
        </w:rPr>
        <w:t>3报价文件</w:t>
      </w:r>
    </w:p>
    <w:p w14:paraId="4FB41827">
      <w:pPr>
        <w:snapToGrid w:val="0"/>
        <w:spacing w:line="360" w:lineRule="auto"/>
        <w:ind w:left="420" w:leftChars="200"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2.3.1开标一览表（报价表）；</w:t>
      </w:r>
    </w:p>
    <w:p w14:paraId="15CEB8C3">
      <w:pPr>
        <w:snapToGrid w:val="0"/>
        <w:spacing w:line="360" w:lineRule="auto"/>
        <w:ind w:left="420" w:leftChars="200"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2.3.2</w:t>
      </w:r>
      <w:r>
        <w:rPr>
          <w:rFonts w:hint="eastAsia" w:ascii="仿宋" w:hAnsi="仿宋" w:eastAsia="仿宋" w:cs="仿宋"/>
          <w:color w:val="auto"/>
          <w:sz w:val="24"/>
          <w:highlight w:val="none"/>
          <w:lang w:val="en-US" w:eastAsia="zh-CN"/>
        </w:rPr>
        <w:t>报价情况说明</w:t>
      </w:r>
      <w:r>
        <w:rPr>
          <w:rFonts w:hint="eastAsia" w:ascii="仿宋" w:hAnsi="仿宋" w:eastAsia="仿宋" w:cs="仿宋"/>
          <w:color w:val="auto"/>
          <w:sz w:val="24"/>
          <w:highlight w:val="none"/>
        </w:rPr>
        <w:t>（如果有）。</w:t>
      </w:r>
    </w:p>
    <w:p w14:paraId="60632DFF">
      <w:pPr>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w:t>
      </w:r>
      <w:r>
        <w:rPr>
          <w:rFonts w:hint="eastAsia" w:ascii="仿宋" w:hAnsi="仿宋" w:eastAsia="仿宋" w:cs="仿宋"/>
          <w:color w:val="auto"/>
          <w:sz w:val="24"/>
          <w:highlight w:val="none"/>
          <w:lang w:eastAsia="zh-CN"/>
        </w:rPr>
        <w:t>我方承诺除商务技术偏离表列出的偏离外，我方响应招标文件的全部要求。对投标文件中材料的真实性、合法性负责，积极配合采购人、采购代理机构复核投标文件中的资料。</w:t>
      </w:r>
    </w:p>
    <w:p w14:paraId="60FC2BDF">
      <w:pPr>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4、如我方中标，我方承诺：</w:t>
      </w:r>
    </w:p>
    <w:p w14:paraId="6060233A">
      <w:pPr>
        <w:snapToGrid w:val="0"/>
        <w:spacing w:line="360" w:lineRule="auto"/>
        <w:ind w:left="210" w:leftChars="100"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4.1在收到中标通知书后，在中标通知书规定的期限内与你方签订合同； </w:t>
      </w:r>
    </w:p>
    <w:p w14:paraId="20F3ED78">
      <w:pPr>
        <w:snapToGrid w:val="0"/>
        <w:spacing w:line="360" w:lineRule="auto"/>
        <w:ind w:left="210" w:leftChars="100"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4.2在签订合同时不向你方提出附加条件； </w:t>
      </w:r>
    </w:p>
    <w:p w14:paraId="07EC68A7">
      <w:pPr>
        <w:snapToGrid w:val="0"/>
        <w:spacing w:line="360" w:lineRule="auto"/>
        <w:ind w:left="210" w:leftChars="100"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4.3按照招标文件要求提交履约保证金； </w:t>
      </w:r>
    </w:p>
    <w:p w14:paraId="0009FA8B">
      <w:pPr>
        <w:snapToGrid w:val="0"/>
        <w:spacing w:line="360" w:lineRule="auto"/>
        <w:ind w:left="210" w:leftChars="100"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4.4在合同约定的期限内完成合同规定的全部义务。 </w:t>
      </w:r>
    </w:p>
    <w:p w14:paraId="69909580">
      <w:pPr>
        <w:snapToGrid w:val="0"/>
        <w:spacing w:line="360" w:lineRule="auto"/>
        <w:ind w:left="210" w:leftChars="10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rPr>
        <w:t>5、</w:t>
      </w:r>
      <w:r>
        <w:rPr>
          <w:rFonts w:hint="eastAsia" w:ascii="仿宋" w:hAnsi="仿宋" w:eastAsia="仿宋" w:cs="仿宋"/>
          <w:color w:val="auto"/>
          <w:sz w:val="24"/>
          <w:highlight w:val="none"/>
          <w:lang w:val="en-US" w:eastAsia="zh-CN"/>
        </w:rPr>
        <w:t>对通过政采云平台开展的质疑、投诉等活动，我方承诺并接受平台以电子送达的方式送达相关文书。我方认可电子送达与邮寄送达具有同等法律效力，以文书到达政采云平台日期为送达日期，本公司保证政采云平台账号真实有效。</w:t>
      </w:r>
    </w:p>
    <w:p w14:paraId="4BCEF093">
      <w:pPr>
        <w:snapToGrid w:val="0"/>
        <w:spacing w:line="360" w:lineRule="auto"/>
        <w:ind w:left="210" w:leftChars="100"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6</w:t>
      </w:r>
      <w:r>
        <w:rPr>
          <w:rFonts w:hint="eastAsia" w:ascii="仿宋" w:hAnsi="仿宋" w:eastAsia="仿宋" w:cs="仿宋"/>
          <w:color w:val="auto"/>
          <w:sz w:val="24"/>
          <w:highlight w:val="none"/>
        </w:rPr>
        <w:t>、其他补充说明</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w:t>
      </w:r>
    </w:p>
    <w:p w14:paraId="4DBAB57F">
      <w:pPr>
        <w:spacing w:line="360" w:lineRule="auto"/>
        <w:ind w:firstLine="3600" w:firstLineChars="1500"/>
        <w:rPr>
          <w:rFonts w:hint="eastAsia" w:ascii="仿宋" w:hAnsi="仿宋" w:eastAsia="仿宋" w:cs="仿宋"/>
          <w:color w:val="auto"/>
          <w:sz w:val="24"/>
          <w:highlight w:val="none"/>
        </w:rPr>
      </w:pPr>
    </w:p>
    <w:p w14:paraId="11B58F13">
      <w:pPr>
        <w:spacing w:line="360" w:lineRule="auto"/>
        <w:ind w:firstLine="3600" w:firstLineChars="1500"/>
        <w:rPr>
          <w:rFonts w:hint="eastAsia" w:ascii="仿宋" w:hAnsi="仿宋" w:eastAsia="仿宋" w:cs="仿宋"/>
          <w:color w:val="auto"/>
          <w:sz w:val="24"/>
          <w:highlight w:val="none"/>
        </w:rPr>
      </w:pPr>
    </w:p>
    <w:p w14:paraId="5177CDA9">
      <w:pPr>
        <w:spacing w:line="360" w:lineRule="auto"/>
        <w:ind w:firstLine="3600" w:firstLineChars="150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投标人名称（电子签名）：                          </w:t>
      </w:r>
    </w:p>
    <w:p w14:paraId="5A9CC87B">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日期：  年   月   日</w:t>
      </w:r>
    </w:p>
    <w:p w14:paraId="14F6D843">
      <w:pPr>
        <w:snapToGrid w:val="0"/>
        <w:spacing w:line="360" w:lineRule="auto"/>
        <w:ind w:left="420" w:leftChars="200" w:firstLine="4200" w:firstLineChars="1750"/>
        <w:rPr>
          <w:rFonts w:hint="eastAsia" w:ascii="仿宋" w:hAnsi="仿宋" w:eastAsia="仿宋" w:cs="仿宋"/>
          <w:color w:val="auto"/>
          <w:kern w:val="0"/>
          <w:sz w:val="24"/>
          <w:highlight w:val="none"/>
          <w:u w:val="single"/>
        </w:rPr>
      </w:pPr>
    </w:p>
    <w:p w14:paraId="77091B8D">
      <w:pPr>
        <w:spacing w:line="360" w:lineRule="auto"/>
        <w:ind w:right="420"/>
        <w:rPr>
          <w:rFonts w:hint="eastAsia" w:ascii="仿宋" w:hAnsi="仿宋" w:eastAsia="仿宋" w:cs="仿宋"/>
          <w:color w:val="auto"/>
          <w:sz w:val="24"/>
          <w:highlight w:val="none"/>
        </w:rPr>
      </w:pPr>
      <w:r>
        <w:rPr>
          <w:rFonts w:hint="eastAsia" w:ascii="仿宋" w:hAnsi="仿宋" w:eastAsia="仿宋" w:cs="仿宋"/>
          <w:color w:val="auto"/>
          <w:sz w:val="24"/>
          <w:highlight w:val="none"/>
        </w:rPr>
        <w:t>注：按本格式和要求提供。</w:t>
      </w:r>
    </w:p>
    <w:p w14:paraId="3247DF66">
      <w:pPr>
        <w:snapToGrid w:val="0"/>
        <w:spacing w:line="360" w:lineRule="auto"/>
        <w:jc w:val="center"/>
        <w:rPr>
          <w:rFonts w:hint="eastAsia" w:ascii="仿宋" w:hAnsi="仿宋" w:eastAsia="仿宋" w:cs="仿宋"/>
          <w:b/>
          <w:color w:val="auto"/>
          <w:kern w:val="0"/>
          <w:sz w:val="32"/>
          <w:szCs w:val="32"/>
          <w:highlight w:val="none"/>
        </w:rPr>
      </w:pPr>
    </w:p>
    <w:p w14:paraId="2B756776">
      <w:pPr>
        <w:snapToGrid w:val="0"/>
        <w:spacing w:line="360" w:lineRule="auto"/>
        <w:rPr>
          <w:rFonts w:hint="eastAsia" w:ascii="仿宋" w:hAnsi="仿宋" w:eastAsia="仿宋" w:cs="仿宋"/>
          <w:color w:val="auto"/>
          <w:sz w:val="24"/>
          <w:highlight w:val="none"/>
        </w:rPr>
      </w:pPr>
    </w:p>
    <w:p w14:paraId="059D8DC8">
      <w:pPr>
        <w:jc w:val="center"/>
        <w:rPr>
          <w:rFonts w:hint="eastAsia" w:ascii="仿宋" w:hAnsi="仿宋" w:eastAsia="仿宋" w:cs="仿宋"/>
          <w:b/>
          <w:color w:val="auto"/>
          <w:kern w:val="0"/>
          <w:sz w:val="32"/>
          <w:szCs w:val="32"/>
          <w:highlight w:val="none"/>
        </w:rPr>
      </w:pPr>
    </w:p>
    <w:p w14:paraId="52A2FD0C">
      <w:pPr>
        <w:jc w:val="center"/>
        <w:rPr>
          <w:rFonts w:hint="eastAsia" w:ascii="仿宋" w:hAnsi="仿宋" w:eastAsia="仿宋" w:cs="仿宋"/>
          <w:b/>
          <w:color w:val="auto"/>
          <w:kern w:val="0"/>
          <w:sz w:val="32"/>
          <w:szCs w:val="32"/>
          <w:highlight w:val="none"/>
        </w:rPr>
      </w:pPr>
    </w:p>
    <w:p w14:paraId="35C438D7">
      <w:pPr>
        <w:jc w:val="center"/>
        <w:rPr>
          <w:rFonts w:hint="eastAsia" w:ascii="仿宋" w:hAnsi="仿宋" w:eastAsia="仿宋" w:cs="仿宋"/>
          <w:b/>
          <w:color w:val="auto"/>
          <w:kern w:val="0"/>
          <w:sz w:val="32"/>
          <w:szCs w:val="32"/>
          <w:highlight w:val="none"/>
        </w:rPr>
      </w:pPr>
    </w:p>
    <w:p w14:paraId="0E27F2A6">
      <w:pPr>
        <w:rPr>
          <w:rFonts w:hint="eastAsia" w:ascii="仿宋" w:hAnsi="仿宋" w:eastAsia="仿宋" w:cs="仿宋"/>
          <w:color w:val="auto"/>
          <w:highlight w:val="none"/>
          <w:lang w:val="en-US"/>
        </w:rPr>
      </w:pPr>
    </w:p>
    <w:p w14:paraId="380BE710">
      <w:pPr>
        <w:rPr>
          <w:rFonts w:hint="eastAsia" w:ascii="仿宋" w:hAnsi="仿宋" w:eastAsia="仿宋" w:cs="仿宋"/>
          <w:b/>
          <w:color w:val="auto"/>
          <w:kern w:val="0"/>
          <w:sz w:val="32"/>
          <w:szCs w:val="32"/>
          <w:highlight w:val="none"/>
        </w:rPr>
      </w:pPr>
      <w:r>
        <w:rPr>
          <w:rFonts w:hint="eastAsia" w:ascii="仿宋" w:hAnsi="仿宋" w:eastAsia="仿宋" w:cs="仿宋"/>
          <w:b/>
          <w:color w:val="auto"/>
          <w:kern w:val="0"/>
          <w:sz w:val="32"/>
          <w:szCs w:val="32"/>
          <w:highlight w:val="none"/>
        </w:rPr>
        <w:br w:type="page"/>
      </w:r>
    </w:p>
    <w:p w14:paraId="6A9D8C8C">
      <w:pPr>
        <w:jc w:val="center"/>
        <w:rPr>
          <w:rFonts w:hint="eastAsia" w:ascii="仿宋" w:hAnsi="仿宋" w:eastAsia="仿宋" w:cs="仿宋"/>
          <w:b/>
          <w:color w:val="auto"/>
          <w:kern w:val="0"/>
          <w:sz w:val="32"/>
          <w:szCs w:val="32"/>
          <w:highlight w:val="none"/>
        </w:rPr>
      </w:pPr>
    </w:p>
    <w:p w14:paraId="4A5943E2">
      <w:pPr>
        <w:jc w:val="center"/>
        <w:rPr>
          <w:rFonts w:hint="eastAsia" w:ascii="仿宋" w:hAnsi="仿宋" w:eastAsia="仿宋" w:cs="仿宋"/>
          <w:b/>
          <w:color w:val="auto"/>
          <w:kern w:val="0"/>
          <w:sz w:val="32"/>
          <w:szCs w:val="32"/>
          <w:highlight w:val="none"/>
          <w:lang w:val="zh-CN"/>
        </w:rPr>
      </w:pPr>
      <w:r>
        <w:rPr>
          <w:rFonts w:hint="eastAsia" w:ascii="仿宋" w:hAnsi="仿宋" w:eastAsia="仿宋" w:cs="仿宋"/>
          <w:b/>
          <w:color w:val="auto"/>
          <w:kern w:val="0"/>
          <w:sz w:val="32"/>
          <w:szCs w:val="32"/>
          <w:highlight w:val="none"/>
          <w:lang w:val="zh-CN"/>
        </w:rPr>
        <w:t>二、授权委托书或法定代表人（单位负责人、自然人本人）身份证明</w:t>
      </w:r>
    </w:p>
    <w:p w14:paraId="23BE729F">
      <w:pPr>
        <w:snapToGrid w:val="0"/>
        <w:spacing w:line="360" w:lineRule="auto"/>
        <w:rPr>
          <w:rFonts w:hint="eastAsia" w:ascii="仿宋" w:hAnsi="仿宋" w:eastAsia="仿宋" w:cs="仿宋"/>
          <w:color w:val="auto"/>
          <w:sz w:val="24"/>
          <w:highlight w:val="none"/>
        </w:rPr>
      </w:pPr>
    </w:p>
    <w:p w14:paraId="180C88AB">
      <w:pPr>
        <w:snapToGrid w:val="0"/>
        <w:spacing w:line="360" w:lineRule="auto"/>
        <w:ind w:firstLine="2872" w:firstLineChars="894"/>
        <w:rPr>
          <w:rFonts w:hint="eastAsia" w:ascii="仿宋" w:hAnsi="仿宋" w:eastAsia="仿宋" w:cs="仿宋"/>
          <w:color w:val="auto"/>
          <w:highlight w:val="none"/>
        </w:rPr>
      </w:pPr>
      <w:r>
        <w:rPr>
          <w:rFonts w:hint="eastAsia" w:ascii="仿宋" w:hAnsi="仿宋" w:eastAsia="仿宋" w:cs="仿宋"/>
          <w:b/>
          <w:color w:val="auto"/>
          <w:kern w:val="0"/>
          <w:sz w:val="32"/>
          <w:szCs w:val="32"/>
          <w:highlight w:val="none"/>
          <w:lang w:val="zh-CN"/>
        </w:rPr>
        <w:t>授权委托书（适用于非联合体投标）</w:t>
      </w:r>
    </w:p>
    <w:p w14:paraId="72633FFA">
      <w:pPr>
        <w:snapToGrid w:val="0"/>
        <w:spacing w:line="360" w:lineRule="auto"/>
        <w:rPr>
          <w:rFonts w:hint="eastAsia" w:ascii="仿宋" w:hAnsi="仿宋" w:eastAsia="仿宋" w:cs="仿宋"/>
          <w:color w:val="auto"/>
          <w:kern w:val="0"/>
          <w:sz w:val="24"/>
          <w:highlight w:val="none"/>
          <w:u w:val="single"/>
        </w:rPr>
      </w:pPr>
      <w:r>
        <w:rPr>
          <w:rFonts w:hint="eastAsia" w:ascii="仿宋" w:hAnsi="仿宋" w:eastAsia="仿宋" w:cs="仿宋"/>
          <w:color w:val="auto"/>
          <w:sz w:val="24"/>
          <w:highlight w:val="none"/>
          <w:u w:val="single"/>
          <w:lang w:eastAsia="zh-CN"/>
        </w:rPr>
        <w:t>杭州市公安局刑事侦查支队</w:t>
      </w:r>
      <w:r>
        <w:rPr>
          <w:rFonts w:hint="eastAsia" w:ascii="仿宋" w:hAnsi="仿宋" w:eastAsia="仿宋" w:cs="仿宋"/>
          <w:color w:val="auto"/>
          <w:sz w:val="24"/>
          <w:highlight w:val="none"/>
          <w:u w:val="single"/>
        </w:rPr>
        <w:t>、耀华建设管理有限公司</w:t>
      </w:r>
      <w:r>
        <w:rPr>
          <w:rFonts w:hint="eastAsia" w:ascii="仿宋" w:hAnsi="仿宋" w:eastAsia="仿宋" w:cs="仿宋"/>
          <w:color w:val="auto"/>
          <w:kern w:val="0"/>
          <w:sz w:val="24"/>
          <w:highlight w:val="none"/>
          <w:u w:val="single"/>
          <w:lang w:val="zh-CN"/>
        </w:rPr>
        <w:t>：</w:t>
      </w:r>
    </w:p>
    <w:p w14:paraId="22EB5873">
      <w:pPr>
        <w:snapToGrid w:val="0"/>
        <w:spacing w:line="360" w:lineRule="auto"/>
        <w:ind w:firstLine="576"/>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现</w:t>
      </w:r>
      <w:r>
        <w:rPr>
          <w:rFonts w:hint="eastAsia" w:ascii="仿宋" w:hAnsi="仿宋" w:eastAsia="仿宋" w:cs="仿宋"/>
          <w:color w:val="auto"/>
          <w:kern w:val="0"/>
          <w:sz w:val="24"/>
          <w:highlight w:val="none"/>
          <w:lang w:val="zh-CN"/>
        </w:rPr>
        <w:t>委托</w:t>
      </w:r>
      <w:r>
        <w:rPr>
          <w:rFonts w:hint="eastAsia" w:ascii="仿宋" w:hAnsi="仿宋" w:eastAsia="仿宋" w:cs="仿宋"/>
          <w:color w:val="auto"/>
          <w:kern w:val="0"/>
          <w:sz w:val="24"/>
          <w:highlight w:val="none"/>
          <w:u w:val="single"/>
          <w:lang w:val="zh-CN"/>
        </w:rPr>
        <w:t xml:space="preserve">          </w:t>
      </w:r>
      <w:r>
        <w:rPr>
          <w:rFonts w:hint="eastAsia" w:ascii="仿宋" w:hAnsi="仿宋" w:eastAsia="仿宋" w:cs="仿宋"/>
          <w:color w:val="auto"/>
          <w:kern w:val="0"/>
          <w:sz w:val="24"/>
          <w:highlight w:val="none"/>
          <w:lang w:val="zh-CN"/>
        </w:rPr>
        <w:t>（姓名）为我方代理人（身份证号码：</w:t>
      </w:r>
      <w:r>
        <w:rPr>
          <w:rFonts w:hint="eastAsia" w:ascii="仿宋" w:hAnsi="仿宋" w:eastAsia="仿宋" w:cs="仿宋"/>
          <w:color w:val="auto"/>
          <w:kern w:val="0"/>
          <w:sz w:val="24"/>
          <w:highlight w:val="none"/>
          <w:u w:val="single"/>
          <w:lang w:val="zh-CN"/>
        </w:rPr>
        <w:t xml:space="preserve">          </w:t>
      </w:r>
      <w:r>
        <w:rPr>
          <w:rFonts w:hint="eastAsia" w:ascii="仿宋" w:hAnsi="仿宋" w:eastAsia="仿宋" w:cs="仿宋"/>
          <w:color w:val="auto"/>
          <w:kern w:val="0"/>
          <w:sz w:val="24"/>
          <w:highlight w:val="none"/>
          <w:lang w:val="zh-CN"/>
        </w:rPr>
        <w:t>，手机：</w:t>
      </w:r>
      <w:r>
        <w:rPr>
          <w:rFonts w:hint="eastAsia" w:ascii="仿宋" w:hAnsi="仿宋" w:eastAsia="仿宋" w:cs="仿宋"/>
          <w:color w:val="auto"/>
          <w:kern w:val="0"/>
          <w:sz w:val="24"/>
          <w:highlight w:val="none"/>
          <w:u w:val="single"/>
          <w:lang w:val="zh-CN"/>
        </w:rPr>
        <w:t xml:space="preserve">           </w:t>
      </w:r>
      <w:r>
        <w:rPr>
          <w:rFonts w:hint="eastAsia" w:ascii="仿宋" w:hAnsi="仿宋" w:eastAsia="仿宋" w:cs="仿宋"/>
          <w:color w:val="auto"/>
          <w:kern w:val="0"/>
          <w:sz w:val="24"/>
          <w:highlight w:val="none"/>
          <w:lang w:val="zh-CN"/>
        </w:rPr>
        <w:t>，所在单位：</w:t>
      </w:r>
      <w:r>
        <w:rPr>
          <w:rFonts w:hint="eastAsia" w:ascii="仿宋" w:hAnsi="仿宋" w:eastAsia="仿宋" w:cs="仿宋"/>
          <w:color w:val="auto"/>
          <w:kern w:val="0"/>
          <w:sz w:val="24"/>
          <w:highlight w:val="none"/>
          <w:u w:val="single"/>
          <w:lang w:val="zh-CN"/>
        </w:rPr>
        <w:t xml:space="preserve">         </w:t>
      </w:r>
      <w:r>
        <w:rPr>
          <w:rFonts w:hint="eastAsia" w:ascii="仿宋" w:hAnsi="仿宋" w:eastAsia="仿宋" w:cs="仿宋"/>
          <w:color w:val="auto"/>
          <w:kern w:val="0"/>
          <w:sz w:val="24"/>
          <w:highlight w:val="none"/>
          <w:lang w:val="zh-CN"/>
        </w:rPr>
        <w:t>），以我方名义处理</w:t>
      </w:r>
      <w:r>
        <w:rPr>
          <w:rFonts w:hint="eastAsia" w:ascii="仿宋" w:hAnsi="仿宋" w:eastAsia="仿宋" w:cs="仿宋"/>
          <w:color w:val="auto"/>
          <w:kern w:val="0"/>
          <w:sz w:val="24"/>
          <w:highlight w:val="none"/>
          <w:u w:val="single"/>
          <w:lang w:val="zh-CN"/>
        </w:rPr>
        <w:t>反诈专项（涉网新型犯罪侦防数据服务）</w:t>
      </w:r>
      <w:r>
        <w:rPr>
          <w:rFonts w:hint="eastAsia" w:ascii="仿宋" w:hAnsi="仿宋" w:eastAsia="仿宋" w:cs="仿宋"/>
          <w:color w:val="auto"/>
          <w:sz w:val="24"/>
          <w:highlight w:val="none"/>
        </w:rPr>
        <w:t>【招标编号：</w:t>
      </w:r>
      <w:r>
        <w:rPr>
          <w:rFonts w:hint="eastAsia" w:ascii="仿宋" w:hAnsi="仿宋" w:eastAsia="仿宋" w:cs="仿宋"/>
          <w:color w:val="auto"/>
          <w:sz w:val="24"/>
          <w:highlight w:val="none"/>
          <w:u w:val="single"/>
          <w:lang w:val="zh-CN"/>
        </w:rPr>
        <w:t>YHDL-HZ-CG2025026</w:t>
      </w:r>
      <w:r>
        <w:rPr>
          <w:rFonts w:hint="eastAsia" w:ascii="仿宋" w:hAnsi="仿宋" w:eastAsia="仿宋" w:cs="仿宋"/>
          <w:color w:val="auto"/>
          <w:sz w:val="24"/>
          <w:highlight w:val="none"/>
        </w:rPr>
        <w:t>】</w:t>
      </w:r>
      <w:r>
        <w:rPr>
          <w:rFonts w:hint="eastAsia" w:ascii="仿宋" w:hAnsi="仿宋" w:eastAsia="仿宋" w:cs="仿宋"/>
          <w:color w:val="auto"/>
          <w:kern w:val="0"/>
          <w:sz w:val="24"/>
          <w:highlight w:val="none"/>
          <w:lang w:val="zh-CN"/>
        </w:rPr>
        <w:t>政府采购投标的一切事项，其法律后果由我方承担。</w:t>
      </w:r>
    </w:p>
    <w:p w14:paraId="6333FAC6">
      <w:pPr>
        <w:snapToGrid w:val="0"/>
        <w:spacing w:line="360" w:lineRule="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    </w:t>
      </w:r>
      <w:r>
        <w:rPr>
          <w:rFonts w:hint="eastAsia" w:ascii="仿宋" w:hAnsi="仿宋" w:eastAsia="仿宋" w:cs="仿宋"/>
          <w:color w:val="auto"/>
          <w:kern w:val="0"/>
          <w:sz w:val="24"/>
          <w:highlight w:val="none"/>
          <w:lang w:val="zh-CN"/>
        </w:rPr>
        <w:t>委托期限</w:t>
      </w:r>
      <w:r>
        <w:rPr>
          <w:rFonts w:hint="eastAsia" w:ascii="仿宋" w:hAnsi="仿宋" w:eastAsia="仿宋" w:cs="仿宋"/>
          <w:color w:val="auto"/>
          <w:kern w:val="0"/>
          <w:sz w:val="24"/>
          <w:highlight w:val="none"/>
        </w:rPr>
        <w:t>：</w:t>
      </w:r>
      <w:r>
        <w:rPr>
          <w:rFonts w:hint="eastAsia" w:ascii="仿宋" w:hAnsi="仿宋" w:eastAsia="仿宋" w:cs="仿宋"/>
          <w:color w:val="auto"/>
          <w:kern w:val="0"/>
          <w:sz w:val="24"/>
          <w:highlight w:val="none"/>
          <w:u w:val="single"/>
          <w:lang w:val="zh-CN"/>
        </w:rPr>
        <w:t>自</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u w:val="single"/>
          <w:lang w:val="zh-CN"/>
        </w:rPr>
        <w:t>年</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u w:val="single"/>
          <w:lang w:val="zh-CN"/>
        </w:rPr>
        <w:t>月</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u w:val="single"/>
          <w:lang w:val="zh-CN"/>
        </w:rPr>
        <w:t>日起至</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u w:val="single"/>
          <w:lang w:val="zh-CN"/>
        </w:rPr>
        <w:t>年</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u w:val="single"/>
          <w:lang w:val="zh-CN"/>
        </w:rPr>
        <w:t>月</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u w:val="single"/>
          <w:lang w:val="zh-CN"/>
        </w:rPr>
        <w:t>日止。</w:t>
      </w:r>
    </w:p>
    <w:p w14:paraId="5780C2E6">
      <w:pPr>
        <w:snapToGrid w:val="0"/>
        <w:spacing w:line="360" w:lineRule="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    </w:t>
      </w:r>
      <w:r>
        <w:rPr>
          <w:rFonts w:hint="eastAsia" w:ascii="仿宋" w:hAnsi="仿宋" w:eastAsia="仿宋" w:cs="仿宋"/>
          <w:color w:val="auto"/>
          <w:kern w:val="0"/>
          <w:sz w:val="24"/>
          <w:highlight w:val="none"/>
          <w:lang w:val="zh-CN"/>
        </w:rPr>
        <w:t>特此告知。</w:t>
      </w:r>
    </w:p>
    <w:p w14:paraId="55AF4359">
      <w:pPr>
        <w:snapToGrid w:val="0"/>
        <w:spacing w:line="360" w:lineRule="auto"/>
        <w:rPr>
          <w:rFonts w:hint="eastAsia" w:ascii="仿宋" w:hAnsi="仿宋" w:eastAsia="仿宋" w:cs="仿宋"/>
          <w:color w:val="auto"/>
          <w:kern w:val="0"/>
          <w:sz w:val="24"/>
          <w:highlight w:val="none"/>
        </w:rPr>
      </w:pPr>
    </w:p>
    <w:p w14:paraId="228852BC">
      <w:pPr>
        <w:snapToGrid w:val="0"/>
        <w:spacing w:line="360" w:lineRule="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                                                 </w:t>
      </w:r>
      <w:r>
        <w:rPr>
          <w:rFonts w:hint="eastAsia" w:ascii="仿宋" w:hAnsi="仿宋" w:eastAsia="仿宋" w:cs="仿宋"/>
          <w:color w:val="auto"/>
          <w:kern w:val="0"/>
          <w:sz w:val="24"/>
          <w:highlight w:val="none"/>
          <w:lang w:val="zh-CN"/>
        </w:rPr>
        <w:t>投标人名称(电子签名)：</w:t>
      </w:r>
    </w:p>
    <w:p w14:paraId="4E2F1498">
      <w:pPr>
        <w:snapToGrid w:val="0"/>
        <w:spacing w:line="360" w:lineRule="auto"/>
        <w:rPr>
          <w:rFonts w:hint="eastAsia"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 xml:space="preserve">                                                 签发日期：  年  月   日</w:t>
      </w:r>
    </w:p>
    <w:p w14:paraId="05A06F8F">
      <w:pPr>
        <w:rPr>
          <w:rFonts w:hint="eastAsia" w:ascii="仿宋" w:hAnsi="仿宋" w:eastAsia="仿宋" w:cs="仿宋"/>
          <w:color w:val="auto"/>
          <w:highlight w:val="none"/>
        </w:rPr>
      </w:pPr>
    </w:p>
    <w:p w14:paraId="5156CD9C">
      <w:pPr>
        <w:pStyle w:val="30"/>
        <w:rPr>
          <w:rFonts w:hint="eastAsia" w:ascii="仿宋" w:hAnsi="仿宋" w:eastAsia="仿宋" w:cs="仿宋"/>
          <w:color w:val="auto"/>
          <w:highlight w:val="none"/>
        </w:rPr>
      </w:pPr>
    </w:p>
    <w:p w14:paraId="12C44BF4">
      <w:pPr>
        <w:snapToGrid w:val="0"/>
        <w:spacing w:line="360" w:lineRule="auto"/>
        <w:ind w:firstLine="2872" w:firstLineChars="894"/>
        <w:rPr>
          <w:rFonts w:hint="eastAsia" w:ascii="仿宋" w:hAnsi="仿宋" w:eastAsia="仿宋" w:cs="仿宋"/>
          <w:b/>
          <w:color w:val="auto"/>
          <w:kern w:val="0"/>
          <w:sz w:val="32"/>
          <w:szCs w:val="32"/>
          <w:highlight w:val="none"/>
          <w:lang w:val="zh-CN"/>
        </w:rPr>
      </w:pPr>
      <w:r>
        <w:rPr>
          <w:rFonts w:hint="eastAsia" w:ascii="仿宋" w:hAnsi="仿宋" w:eastAsia="仿宋" w:cs="仿宋"/>
          <w:b/>
          <w:color w:val="auto"/>
          <w:kern w:val="0"/>
          <w:sz w:val="32"/>
          <w:szCs w:val="32"/>
          <w:highlight w:val="none"/>
          <w:lang w:val="zh-CN"/>
        </w:rPr>
        <w:t>授权委托书（适用于联合体投标）</w:t>
      </w:r>
    </w:p>
    <w:p w14:paraId="7812AEA0">
      <w:pPr>
        <w:snapToGrid w:val="0"/>
        <w:spacing w:line="360" w:lineRule="auto"/>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lang w:eastAsia="zh-CN"/>
        </w:rPr>
        <w:t>杭州市公安局刑事侦查支队</w:t>
      </w:r>
      <w:r>
        <w:rPr>
          <w:rFonts w:hint="eastAsia" w:ascii="仿宋" w:hAnsi="仿宋" w:eastAsia="仿宋" w:cs="仿宋"/>
          <w:color w:val="auto"/>
          <w:sz w:val="24"/>
          <w:highlight w:val="none"/>
          <w:u w:val="single"/>
        </w:rPr>
        <w:t>、耀华建设管理有限公司：</w:t>
      </w:r>
    </w:p>
    <w:p w14:paraId="2E2816E8">
      <w:pPr>
        <w:snapToGrid w:val="0"/>
        <w:spacing w:line="360" w:lineRule="auto"/>
        <w:ind w:firstLine="576"/>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现</w:t>
      </w:r>
      <w:r>
        <w:rPr>
          <w:rFonts w:hint="eastAsia" w:ascii="仿宋" w:hAnsi="仿宋" w:eastAsia="仿宋" w:cs="仿宋"/>
          <w:color w:val="auto"/>
          <w:kern w:val="0"/>
          <w:sz w:val="24"/>
          <w:highlight w:val="none"/>
          <w:lang w:val="zh-CN"/>
        </w:rPr>
        <w:t>委托</w:t>
      </w:r>
      <w:r>
        <w:rPr>
          <w:rFonts w:hint="eastAsia" w:ascii="仿宋" w:hAnsi="仿宋" w:eastAsia="仿宋" w:cs="仿宋"/>
          <w:color w:val="auto"/>
          <w:kern w:val="0"/>
          <w:sz w:val="24"/>
          <w:highlight w:val="none"/>
          <w:u w:val="single"/>
          <w:lang w:val="zh-CN"/>
        </w:rPr>
        <w:t xml:space="preserve">          </w:t>
      </w:r>
      <w:r>
        <w:rPr>
          <w:rFonts w:hint="eastAsia" w:ascii="仿宋" w:hAnsi="仿宋" w:eastAsia="仿宋" w:cs="仿宋"/>
          <w:color w:val="auto"/>
          <w:kern w:val="0"/>
          <w:sz w:val="24"/>
          <w:highlight w:val="none"/>
          <w:lang w:val="zh-CN"/>
        </w:rPr>
        <w:t>（姓名）为我方代理人（身份证号码：</w:t>
      </w:r>
      <w:r>
        <w:rPr>
          <w:rFonts w:hint="eastAsia" w:ascii="仿宋" w:hAnsi="仿宋" w:eastAsia="仿宋" w:cs="仿宋"/>
          <w:color w:val="auto"/>
          <w:kern w:val="0"/>
          <w:sz w:val="24"/>
          <w:highlight w:val="none"/>
          <w:u w:val="single"/>
          <w:lang w:val="zh-CN"/>
        </w:rPr>
        <w:t xml:space="preserve">          </w:t>
      </w:r>
      <w:r>
        <w:rPr>
          <w:rFonts w:hint="eastAsia" w:ascii="仿宋" w:hAnsi="仿宋" w:eastAsia="仿宋" w:cs="仿宋"/>
          <w:color w:val="auto"/>
          <w:kern w:val="0"/>
          <w:sz w:val="24"/>
          <w:highlight w:val="none"/>
          <w:lang w:val="zh-CN"/>
        </w:rPr>
        <w:t>，手机：</w:t>
      </w:r>
      <w:r>
        <w:rPr>
          <w:rFonts w:hint="eastAsia" w:ascii="仿宋" w:hAnsi="仿宋" w:eastAsia="仿宋" w:cs="仿宋"/>
          <w:color w:val="auto"/>
          <w:kern w:val="0"/>
          <w:sz w:val="24"/>
          <w:highlight w:val="none"/>
          <w:u w:val="single"/>
          <w:lang w:val="zh-CN"/>
        </w:rPr>
        <w:t xml:space="preserve">          </w:t>
      </w:r>
      <w:r>
        <w:rPr>
          <w:rFonts w:hint="eastAsia" w:ascii="仿宋" w:hAnsi="仿宋" w:eastAsia="仿宋" w:cs="仿宋"/>
          <w:color w:val="auto"/>
          <w:kern w:val="0"/>
          <w:sz w:val="24"/>
          <w:highlight w:val="none"/>
          <w:lang w:val="zh-CN"/>
        </w:rPr>
        <w:t>，所在单位：</w:t>
      </w:r>
      <w:r>
        <w:rPr>
          <w:rFonts w:hint="eastAsia" w:ascii="仿宋" w:hAnsi="仿宋" w:eastAsia="仿宋" w:cs="仿宋"/>
          <w:color w:val="auto"/>
          <w:kern w:val="0"/>
          <w:sz w:val="24"/>
          <w:highlight w:val="none"/>
          <w:u w:val="single"/>
          <w:lang w:val="zh-CN"/>
        </w:rPr>
        <w:t xml:space="preserve">         </w:t>
      </w:r>
      <w:r>
        <w:rPr>
          <w:rFonts w:hint="eastAsia" w:ascii="仿宋" w:hAnsi="仿宋" w:eastAsia="仿宋" w:cs="仿宋"/>
          <w:color w:val="auto"/>
          <w:kern w:val="0"/>
          <w:sz w:val="24"/>
          <w:highlight w:val="none"/>
          <w:lang w:val="zh-CN"/>
        </w:rPr>
        <w:t>），以我方名义处理</w:t>
      </w:r>
      <w:r>
        <w:rPr>
          <w:rFonts w:hint="eastAsia" w:ascii="仿宋" w:hAnsi="仿宋" w:eastAsia="仿宋" w:cs="仿宋"/>
          <w:color w:val="auto"/>
          <w:sz w:val="24"/>
          <w:highlight w:val="none"/>
        </w:rPr>
        <w:t>（</w:t>
      </w:r>
      <w:r>
        <w:rPr>
          <w:rFonts w:hint="eastAsia" w:ascii="仿宋" w:hAnsi="仿宋" w:eastAsia="仿宋" w:cs="仿宋"/>
          <w:color w:val="auto"/>
          <w:kern w:val="0"/>
          <w:sz w:val="24"/>
          <w:highlight w:val="none"/>
          <w:u w:val="single"/>
          <w:lang w:val="zh-CN"/>
        </w:rPr>
        <w:t>反诈专项（涉网新型犯罪侦防数据服务）</w:t>
      </w:r>
      <w:r>
        <w:rPr>
          <w:rFonts w:hint="eastAsia" w:ascii="仿宋" w:hAnsi="仿宋" w:eastAsia="仿宋" w:cs="仿宋"/>
          <w:color w:val="auto"/>
          <w:sz w:val="24"/>
          <w:highlight w:val="none"/>
        </w:rPr>
        <w:t>）【招标编号：</w:t>
      </w:r>
      <w:r>
        <w:rPr>
          <w:rFonts w:hint="eastAsia" w:ascii="仿宋" w:hAnsi="仿宋" w:eastAsia="仿宋" w:cs="仿宋"/>
          <w:color w:val="auto"/>
          <w:sz w:val="24"/>
          <w:highlight w:val="none"/>
          <w:u w:val="single"/>
          <w:lang w:val="zh-CN"/>
        </w:rPr>
        <w:t>YHDL-HZ-CG2025026</w:t>
      </w:r>
      <w:r>
        <w:rPr>
          <w:rFonts w:hint="eastAsia" w:ascii="仿宋" w:hAnsi="仿宋" w:eastAsia="仿宋" w:cs="仿宋"/>
          <w:color w:val="auto"/>
          <w:sz w:val="24"/>
          <w:highlight w:val="none"/>
        </w:rPr>
        <w:t>】</w:t>
      </w:r>
      <w:r>
        <w:rPr>
          <w:rFonts w:hint="eastAsia" w:ascii="仿宋" w:hAnsi="仿宋" w:eastAsia="仿宋" w:cs="仿宋"/>
          <w:color w:val="auto"/>
          <w:kern w:val="0"/>
          <w:sz w:val="24"/>
          <w:highlight w:val="none"/>
          <w:lang w:val="zh-CN"/>
        </w:rPr>
        <w:t>政府采购投标的一切事项，其法律后果由我方承担。</w:t>
      </w:r>
    </w:p>
    <w:p w14:paraId="0EF9F317">
      <w:pPr>
        <w:snapToGrid w:val="0"/>
        <w:spacing w:line="360" w:lineRule="auto"/>
        <w:rPr>
          <w:rFonts w:hint="eastAsia" w:ascii="仿宋" w:hAnsi="仿宋" w:eastAsia="仿宋" w:cs="仿宋"/>
          <w:color w:val="auto"/>
          <w:kern w:val="0"/>
          <w:sz w:val="24"/>
          <w:highlight w:val="none"/>
          <w:u w:val="single"/>
        </w:rPr>
      </w:pPr>
      <w:r>
        <w:rPr>
          <w:rFonts w:hint="eastAsia" w:ascii="仿宋" w:hAnsi="仿宋" w:eastAsia="仿宋" w:cs="仿宋"/>
          <w:color w:val="auto"/>
          <w:kern w:val="0"/>
          <w:sz w:val="24"/>
          <w:highlight w:val="none"/>
        </w:rPr>
        <w:t xml:space="preserve">    </w:t>
      </w:r>
      <w:r>
        <w:rPr>
          <w:rFonts w:hint="eastAsia" w:ascii="仿宋" w:hAnsi="仿宋" w:eastAsia="仿宋" w:cs="仿宋"/>
          <w:color w:val="auto"/>
          <w:kern w:val="0"/>
          <w:sz w:val="24"/>
          <w:highlight w:val="none"/>
          <w:lang w:val="zh-CN"/>
        </w:rPr>
        <w:t>委托期限</w:t>
      </w:r>
      <w:r>
        <w:rPr>
          <w:rFonts w:hint="eastAsia" w:ascii="仿宋" w:hAnsi="仿宋" w:eastAsia="仿宋" w:cs="仿宋"/>
          <w:color w:val="auto"/>
          <w:kern w:val="0"/>
          <w:sz w:val="24"/>
          <w:highlight w:val="none"/>
        </w:rPr>
        <w:t>：</w:t>
      </w:r>
      <w:r>
        <w:rPr>
          <w:rFonts w:hint="eastAsia" w:ascii="仿宋" w:hAnsi="仿宋" w:eastAsia="仿宋" w:cs="仿宋"/>
          <w:color w:val="auto"/>
          <w:kern w:val="0"/>
          <w:sz w:val="24"/>
          <w:highlight w:val="none"/>
          <w:u w:val="single"/>
          <w:lang w:val="zh-CN"/>
        </w:rPr>
        <w:t>自</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u w:val="single"/>
          <w:lang w:val="zh-CN"/>
        </w:rPr>
        <w:t>年</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u w:val="single"/>
          <w:lang w:val="zh-CN"/>
        </w:rPr>
        <w:t>月</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u w:val="single"/>
          <w:lang w:val="zh-CN"/>
        </w:rPr>
        <w:t>日起至</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u w:val="single"/>
          <w:lang w:val="zh-CN"/>
        </w:rPr>
        <w:t>年</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u w:val="single"/>
          <w:lang w:val="zh-CN"/>
        </w:rPr>
        <w:t>月</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u w:val="single"/>
          <w:lang w:val="zh-CN"/>
        </w:rPr>
        <w:t>日止。</w:t>
      </w:r>
    </w:p>
    <w:p w14:paraId="12A8D5F7">
      <w:pPr>
        <w:snapToGrid w:val="0"/>
        <w:spacing w:line="360" w:lineRule="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    </w:t>
      </w:r>
      <w:r>
        <w:rPr>
          <w:rFonts w:hint="eastAsia" w:ascii="仿宋" w:hAnsi="仿宋" w:eastAsia="仿宋" w:cs="仿宋"/>
          <w:color w:val="auto"/>
          <w:kern w:val="0"/>
          <w:sz w:val="24"/>
          <w:highlight w:val="none"/>
          <w:lang w:val="zh-CN"/>
        </w:rPr>
        <w:t>特此告知。</w:t>
      </w:r>
    </w:p>
    <w:p w14:paraId="78F0D1C4">
      <w:pPr>
        <w:rPr>
          <w:rFonts w:hint="eastAsia" w:ascii="仿宋" w:hAnsi="仿宋" w:eastAsia="仿宋" w:cs="仿宋"/>
          <w:color w:val="auto"/>
          <w:highlight w:val="none"/>
        </w:rPr>
      </w:pPr>
    </w:p>
    <w:p w14:paraId="7CF6ABDE">
      <w:pPr>
        <w:snapToGrid w:val="0"/>
        <w:spacing w:line="360" w:lineRule="auto"/>
        <w:ind w:firstLine="5040" w:firstLineChars="2100"/>
        <w:rPr>
          <w:rFonts w:hint="eastAsia"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联合体成员名称(电子签名/公章)：</w:t>
      </w:r>
    </w:p>
    <w:p w14:paraId="7323763A">
      <w:pPr>
        <w:snapToGrid w:val="0"/>
        <w:spacing w:line="360" w:lineRule="auto"/>
        <w:ind w:firstLine="5040" w:firstLineChars="2100"/>
        <w:rPr>
          <w:rFonts w:hint="eastAsia"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联合体成员名称(电子签名/公章)：</w:t>
      </w:r>
    </w:p>
    <w:p w14:paraId="482D0CCA">
      <w:pPr>
        <w:snapToGrid w:val="0"/>
        <w:spacing w:line="360" w:lineRule="auto"/>
        <w:ind w:firstLine="5760" w:firstLineChars="2400"/>
        <w:rPr>
          <w:rFonts w:hint="eastAsia" w:ascii="仿宋" w:hAnsi="仿宋" w:eastAsia="仿宋" w:cs="仿宋"/>
          <w:color w:val="auto"/>
          <w:highlight w:val="none"/>
        </w:rPr>
      </w:pPr>
      <w:r>
        <w:rPr>
          <w:rFonts w:hint="eastAsia" w:ascii="仿宋" w:hAnsi="仿宋" w:eastAsia="仿宋" w:cs="仿宋"/>
          <w:color w:val="auto"/>
          <w:kern w:val="0"/>
          <w:sz w:val="24"/>
          <w:highlight w:val="none"/>
          <w:lang w:val="zh-CN"/>
        </w:rPr>
        <w:t>……</w:t>
      </w:r>
    </w:p>
    <w:p w14:paraId="39A0B23F">
      <w:pPr>
        <w:snapToGrid w:val="0"/>
        <w:spacing w:line="360" w:lineRule="auto"/>
        <w:rPr>
          <w:rFonts w:hint="eastAsia"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 xml:space="preserve">                                               日期：  年  月   日</w:t>
      </w:r>
    </w:p>
    <w:p w14:paraId="4EDD8AAD">
      <w:pPr>
        <w:rPr>
          <w:rFonts w:hint="eastAsia" w:ascii="仿宋" w:hAnsi="仿宋" w:eastAsia="仿宋" w:cs="仿宋"/>
          <w:b/>
          <w:color w:val="auto"/>
          <w:kern w:val="0"/>
          <w:sz w:val="32"/>
          <w:szCs w:val="32"/>
          <w:highlight w:val="none"/>
          <w:lang w:val="zh-CN"/>
        </w:rPr>
      </w:pPr>
      <w:r>
        <w:rPr>
          <w:rFonts w:hint="eastAsia" w:ascii="仿宋" w:hAnsi="仿宋" w:eastAsia="仿宋" w:cs="仿宋"/>
          <w:b/>
          <w:color w:val="auto"/>
          <w:kern w:val="0"/>
          <w:sz w:val="32"/>
          <w:szCs w:val="32"/>
          <w:highlight w:val="none"/>
          <w:lang w:val="zh-CN"/>
        </w:rPr>
        <w:br w:type="page"/>
      </w:r>
    </w:p>
    <w:p w14:paraId="003D852D">
      <w:pPr>
        <w:pStyle w:val="30"/>
        <w:rPr>
          <w:rFonts w:hint="eastAsia" w:ascii="仿宋" w:hAnsi="仿宋" w:eastAsia="仿宋" w:cs="仿宋"/>
          <w:color w:val="auto"/>
          <w:highlight w:val="none"/>
          <w:lang w:val="zh-CN"/>
        </w:rPr>
      </w:pPr>
    </w:p>
    <w:p w14:paraId="46DD1901">
      <w:pPr>
        <w:autoSpaceDE w:val="0"/>
        <w:autoSpaceDN w:val="0"/>
        <w:spacing w:line="360" w:lineRule="auto"/>
        <w:jc w:val="center"/>
        <w:rPr>
          <w:rFonts w:hint="eastAsia" w:ascii="仿宋" w:hAnsi="仿宋" w:eastAsia="仿宋" w:cs="仿宋"/>
          <w:b/>
          <w:color w:val="auto"/>
          <w:sz w:val="24"/>
          <w:highlight w:val="none"/>
        </w:rPr>
      </w:pPr>
      <w:r>
        <w:rPr>
          <w:rFonts w:hint="eastAsia" w:ascii="仿宋" w:hAnsi="仿宋" w:eastAsia="仿宋" w:cs="仿宋"/>
          <w:b/>
          <w:color w:val="auto"/>
          <w:kern w:val="0"/>
          <w:sz w:val="32"/>
          <w:szCs w:val="32"/>
          <w:highlight w:val="none"/>
          <w:lang w:val="zh-CN"/>
        </w:rPr>
        <w:t>法定代表人、单位负责人或自然人本人</w:t>
      </w:r>
      <w:r>
        <w:rPr>
          <w:rFonts w:hint="eastAsia" w:ascii="仿宋" w:hAnsi="仿宋" w:eastAsia="仿宋" w:cs="仿宋"/>
          <w:b/>
          <w:color w:val="auto"/>
          <w:sz w:val="30"/>
          <w:szCs w:val="30"/>
          <w:highlight w:val="none"/>
        </w:rPr>
        <w:t>的身份证明（适用于法定代表人、单位负责人或者自然人本人代表投标人参加投标）</w:t>
      </w:r>
    </w:p>
    <w:p w14:paraId="2DA7C5E2">
      <w:pPr>
        <w:pStyle w:val="166"/>
        <w:spacing w:line="360" w:lineRule="auto"/>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身份证件扫描件：</w:t>
      </w:r>
    </w:p>
    <w:tbl>
      <w:tblPr>
        <w:tblStyle w:val="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07"/>
      </w:tblGrid>
      <w:tr w14:paraId="4D31C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2" w:hRule="atLeast"/>
          <w:jc w:val="center"/>
        </w:trPr>
        <w:tc>
          <w:tcPr>
            <w:tcW w:w="9207" w:type="dxa"/>
          </w:tcPr>
          <w:p w14:paraId="6F066C02">
            <w:pPr>
              <w:pStyle w:val="166"/>
              <w:adjustRightInd w:val="0"/>
              <w:spacing w:line="360" w:lineRule="auto"/>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正面：                                 反面：</w:t>
            </w:r>
          </w:p>
          <w:p w14:paraId="1DA2655A">
            <w:pPr>
              <w:pStyle w:val="166"/>
              <w:adjustRightInd w:val="0"/>
              <w:spacing w:line="360" w:lineRule="auto"/>
              <w:rPr>
                <w:rFonts w:hint="eastAsia" w:ascii="仿宋" w:hAnsi="仿宋" w:eastAsia="仿宋" w:cs="仿宋"/>
                <w:bCs/>
                <w:color w:val="auto"/>
                <w:sz w:val="24"/>
                <w:highlight w:val="none"/>
              </w:rPr>
            </w:pPr>
          </w:p>
        </w:tc>
      </w:tr>
    </w:tbl>
    <w:p w14:paraId="7F413D53">
      <w:pPr>
        <w:snapToGrid w:val="0"/>
        <w:spacing w:line="360" w:lineRule="auto"/>
        <w:ind w:firstLine="576"/>
        <w:jc w:val="center"/>
        <w:rPr>
          <w:rFonts w:hint="eastAsia" w:ascii="仿宋" w:hAnsi="仿宋" w:eastAsia="仿宋" w:cs="仿宋"/>
          <w:color w:val="auto"/>
          <w:kern w:val="0"/>
          <w:sz w:val="24"/>
          <w:highlight w:val="none"/>
          <w:lang w:val="zh-CN"/>
        </w:rPr>
      </w:pPr>
    </w:p>
    <w:p w14:paraId="6B2BA67A">
      <w:pPr>
        <w:snapToGrid w:val="0"/>
        <w:spacing w:line="360" w:lineRule="auto"/>
        <w:ind w:firstLine="576"/>
        <w:jc w:val="center"/>
        <w:rPr>
          <w:rFonts w:hint="eastAsia"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 xml:space="preserve">                  投标人名称(电子签名)：                              </w:t>
      </w:r>
    </w:p>
    <w:p w14:paraId="60496AE2">
      <w:pPr>
        <w:spacing w:line="360" w:lineRule="auto"/>
        <w:jc w:val="center"/>
        <w:rPr>
          <w:rFonts w:hint="eastAsia"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 xml:space="preserve">                   日期：  年  月  日</w:t>
      </w:r>
    </w:p>
    <w:p w14:paraId="46241B3E">
      <w:pPr>
        <w:jc w:val="center"/>
        <w:rPr>
          <w:rFonts w:hint="eastAsia" w:ascii="仿宋" w:hAnsi="仿宋" w:eastAsia="仿宋" w:cs="仿宋"/>
          <w:b/>
          <w:color w:val="auto"/>
          <w:kern w:val="0"/>
          <w:sz w:val="32"/>
          <w:szCs w:val="32"/>
          <w:highlight w:val="none"/>
        </w:rPr>
      </w:pPr>
    </w:p>
    <w:p w14:paraId="273989A7">
      <w:pPr>
        <w:jc w:val="center"/>
        <w:rPr>
          <w:rFonts w:hint="eastAsia" w:ascii="仿宋" w:hAnsi="仿宋" w:eastAsia="仿宋" w:cs="仿宋"/>
          <w:b/>
          <w:color w:val="auto"/>
          <w:kern w:val="0"/>
          <w:sz w:val="32"/>
          <w:szCs w:val="32"/>
          <w:highlight w:val="none"/>
        </w:rPr>
      </w:pPr>
    </w:p>
    <w:p w14:paraId="2FDF21B8">
      <w:pPr>
        <w:jc w:val="center"/>
        <w:rPr>
          <w:rFonts w:hint="eastAsia" w:ascii="仿宋" w:hAnsi="仿宋" w:eastAsia="仿宋" w:cs="仿宋"/>
          <w:b/>
          <w:color w:val="auto"/>
          <w:kern w:val="0"/>
          <w:sz w:val="32"/>
          <w:szCs w:val="32"/>
          <w:highlight w:val="none"/>
        </w:rPr>
      </w:pPr>
    </w:p>
    <w:p w14:paraId="6DC47983">
      <w:pPr>
        <w:rPr>
          <w:rFonts w:hint="eastAsia" w:ascii="仿宋" w:hAnsi="仿宋" w:eastAsia="仿宋" w:cs="仿宋"/>
          <w:b/>
          <w:color w:val="auto"/>
          <w:kern w:val="0"/>
          <w:sz w:val="32"/>
          <w:szCs w:val="32"/>
          <w:highlight w:val="none"/>
        </w:rPr>
      </w:pPr>
      <w:r>
        <w:rPr>
          <w:rFonts w:hint="eastAsia" w:ascii="仿宋" w:hAnsi="仿宋" w:eastAsia="仿宋" w:cs="仿宋"/>
          <w:b/>
          <w:color w:val="auto"/>
          <w:kern w:val="0"/>
          <w:sz w:val="32"/>
          <w:szCs w:val="32"/>
          <w:highlight w:val="none"/>
        </w:rPr>
        <w:br w:type="page"/>
      </w:r>
    </w:p>
    <w:p w14:paraId="42910E84">
      <w:pPr>
        <w:pStyle w:val="30"/>
        <w:rPr>
          <w:rFonts w:hint="eastAsia"/>
          <w:color w:val="auto"/>
          <w:highlight w:val="none"/>
        </w:rPr>
      </w:pPr>
    </w:p>
    <w:p w14:paraId="2CE06137">
      <w:pPr>
        <w:snapToGrid w:val="0"/>
        <w:spacing w:line="360" w:lineRule="auto"/>
        <w:jc w:val="center"/>
        <w:rPr>
          <w:rFonts w:hint="eastAsia" w:ascii="仿宋" w:hAnsi="仿宋" w:eastAsia="仿宋" w:cs="仿宋"/>
          <w:b/>
          <w:color w:val="auto"/>
          <w:kern w:val="0"/>
          <w:sz w:val="32"/>
          <w:szCs w:val="32"/>
          <w:highlight w:val="none"/>
        </w:rPr>
      </w:pPr>
      <w:r>
        <w:rPr>
          <w:rFonts w:hint="eastAsia" w:ascii="仿宋" w:hAnsi="仿宋" w:eastAsia="仿宋" w:cs="仿宋"/>
          <w:b/>
          <w:color w:val="auto"/>
          <w:kern w:val="0"/>
          <w:sz w:val="32"/>
          <w:szCs w:val="32"/>
          <w:highlight w:val="none"/>
        </w:rPr>
        <w:t>三、分包意向协议（如果有）</w:t>
      </w:r>
    </w:p>
    <w:p w14:paraId="337A428E">
      <w:pPr>
        <w:widowControl/>
        <w:spacing w:line="360" w:lineRule="auto"/>
        <w:ind w:firstLine="120" w:firstLineChars="5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w:t>
      </w:r>
      <w:r>
        <w:rPr>
          <w:rFonts w:hint="eastAsia" w:ascii="仿宋" w:hAnsi="仿宋" w:eastAsia="仿宋" w:cs="仿宋"/>
          <w:b/>
          <w:color w:val="auto"/>
          <w:sz w:val="24"/>
          <w:highlight w:val="none"/>
        </w:rPr>
        <w:t>中标后以分包方式履行合同的，提供分包意向协议(附件6)；采购人不同意分包或者投标人中标后不以分包方式履行合同的，则不需要提供。</w:t>
      </w:r>
      <w:r>
        <w:rPr>
          <w:rFonts w:hint="eastAsia" w:ascii="仿宋" w:hAnsi="仿宋" w:eastAsia="仿宋" w:cs="仿宋"/>
          <w:color w:val="auto"/>
          <w:sz w:val="24"/>
          <w:highlight w:val="none"/>
        </w:rPr>
        <w:t>]</w:t>
      </w:r>
    </w:p>
    <w:p w14:paraId="5C58B72A">
      <w:pPr>
        <w:snapToGrid w:val="0"/>
        <w:spacing w:line="360" w:lineRule="auto"/>
        <w:rPr>
          <w:rFonts w:hint="eastAsia" w:ascii="仿宋" w:hAnsi="仿宋" w:eastAsia="仿宋" w:cs="仿宋"/>
          <w:color w:val="auto"/>
          <w:kern w:val="0"/>
          <w:sz w:val="24"/>
          <w:highlight w:val="none"/>
        </w:rPr>
      </w:pPr>
    </w:p>
    <w:p w14:paraId="145B1386">
      <w:pPr>
        <w:pStyle w:val="30"/>
        <w:rPr>
          <w:rFonts w:hint="eastAsia" w:ascii="仿宋" w:hAnsi="仿宋" w:eastAsia="仿宋" w:cs="仿宋"/>
          <w:color w:val="auto"/>
          <w:kern w:val="0"/>
          <w:sz w:val="24"/>
          <w:highlight w:val="none"/>
        </w:rPr>
      </w:pPr>
    </w:p>
    <w:p w14:paraId="40BD4100">
      <w:pPr>
        <w:rPr>
          <w:rFonts w:hint="eastAsia"/>
          <w:color w:val="auto"/>
          <w:highlight w:val="none"/>
        </w:rPr>
      </w:pPr>
    </w:p>
    <w:p w14:paraId="043E3B11">
      <w:pPr>
        <w:jc w:val="center"/>
        <w:rPr>
          <w:rFonts w:hint="eastAsia" w:ascii="仿宋" w:hAnsi="仿宋" w:eastAsia="仿宋" w:cs="仿宋"/>
          <w:b/>
          <w:color w:val="auto"/>
          <w:kern w:val="0"/>
          <w:sz w:val="32"/>
          <w:szCs w:val="32"/>
          <w:highlight w:val="none"/>
        </w:rPr>
      </w:pPr>
      <w:r>
        <w:rPr>
          <w:rFonts w:hint="eastAsia" w:ascii="仿宋" w:hAnsi="仿宋" w:eastAsia="仿宋" w:cs="仿宋"/>
          <w:b/>
          <w:color w:val="auto"/>
          <w:kern w:val="0"/>
          <w:sz w:val="32"/>
          <w:szCs w:val="32"/>
          <w:highlight w:val="none"/>
        </w:rPr>
        <w:t>四、符合性审查资料</w:t>
      </w:r>
    </w:p>
    <w:p w14:paraId="7AFBB72B">
      <w:pPr>
        <w:jc w:val="center"/>
        <w:rPr>
          <w:rFonts w:hint="eastAsia" w:ascii="仿宋" w:hAnsi="仿宋" w:eastAsia="仿宋" w:cs="仿宋"/>
          <w:b/>
          <w:color w:val="auto"/>
          <w:kern w:val="0"/>
          <w:sz w:val="32"/>
          <w:szCs w:val="32"/>
          <w:highlight w:val="none"/>
        </w:rPr>
      </w:pPr>
    </w:p>
    <w:tbl>
      <w:tblPr>
        <w:tblStyle w:val="80"/>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4991"/>
        <w:gridCol w:w="2551"/>
        <w:gridCol w:w="1418"/>
      </w:tblGrid>
      <w:tr w14:paraId="03EBAA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646" w:type="dxa"/>
            <w:vAlign w:val="center"/>
          </w:tcPr>
          <w:p w14:paraId="530D2890">
            <w:pPr>
              <w:snapToGrid w:val="0"/>
              <w:spacing w:line="240" w:lineRule="atLeast"/>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序号</w:t>
            </w:r>
          </w:p>
        </w:tc>
        <w:tc>
          <w:tcPr>
            <w:tcW w:w="4991" w:type="dxa"/>
            <w:vAlign w:val="center"/>
          </w:tcPr>
          <w:p w14:paraId="022759A2">
            <w:pPr>
              <w:snapToGrid w:val="0"/>
              <w:spacing w:line="240" w:lineRule="atLeast"/>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实质性要求</w:t>
            </w:r>
          </w:p>
        </w:tc>
        <w:tc>
          <w:tcPr>
            <w:tcW w:w="2551" w:type="dxa"/>
            <w:vAlign w:val="center"/>
          </w:tcPr>
          <w:p w14:paraId="54D84488">
            <w:pPr>
              <w:snapToGrid w:val="0"/>
              <w:spacing w:line="240" w:lineRule="atLeast"/>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需要提供的符合性审查资料</w:t>
            </w:r>
          </w:p>
        </w:tc>
        <w:tc>
          <w:tcPr>
            <w:tcW w:w="1418" w:type="dxa"/>
            <w:vAlign w:val="center"/>
          </w:tcPr>
          <w:p w14:paraId="6F59D139">
            <w:pPr>
              <w:snapToGrid w:val="0"/>
              <w:spacing w:line="240" w:lineRule="atLeast"/>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投标文件中的</w:t>
            </w:r>
          </w:p>
          <w:p w14:paraId="3DCCB3A2">
            <w:pPr>
              <w:snapToGrid w:val="0"/>
              <w:spacing w:line="240" w:lineRule="atLeast"/>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页码位置</w:t>
            </w:r>
          </w:p>
        </w:tc>
      </w:tr>
      <w:tr w14:paraId="3E0D7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151F856E">
            <w:pPr>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1</w:t>
            </w:r>
          </w:p>
        </w:tc>
        <w:tc>
          <w:tcPr>
            <w:tcW w:w="4991" w:type="dxa"/>
          </w:tcPr>
          <w:p w14:paraId="0F934229">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投标文件按照招标文件要求签署、盖章。</w:t>
            </w:r>
          </w:p>
        </w:tc>
        <w:tc>
          <w:tcPr>
            <w:tcW w:w="2551" w:type="dxa"/>
            <w:vAlign w:val="center"/>
          </w:tcPr>
          <w:p w14:paraId="23DD204C">
            <w:pPr>
              <w:rPr>
                <w:rFonts w:hint="eastAsia" w:ascii="仿宋" w:hAnsi="仿宋" w:eastAsia="仿宋" w:cs="仿宋"/>
                <w:color w:val="auto"/>
                <w:sz w:val="24"/>
                <w:highlight w:val="none"/>
              </w:rPr>
            </w:pPr>
            <w:r>
              <w:rPr>
                <w:rFonts w:hint="eastAsia" w:ascii="仿宋" w:hAnsi="仿宋" w:eastAsia="仿宋" w:cs="仿宋"/>
                <w:color w:val="auto"/>
                <w:sz w:val="24"/>
                <w:highlight w:val="none"/>
              </w:rPr>
              <w:t>需要使用电子签名或者签字盖章的投标文件的组成部分</w:t>
            </w:r>
          </w:p>
        </w:tc>
        <w:tc>
          <w:tcPr>
            <w:tcW w:w="1418" w:type="dxa"/>
          </w:tcPr>
          <w:p w14:paraId="6473C495">
            <w:pPr>
              <w:rPr>
                <w:rFonts w:hint="eastAsia" w:ascii="仿宋" w:hAnsi="仿宋" w:eastAsia="仿宋" w:cs="仿宋"/>
                <w:color w:val="auto"/>
                <w:sz w:val="24"/>
                <w:highlight w:val="none"/>
              </w:rPr>
            </w:pPr>
          </w:p>
          <w:p w14:paraId="2EFD984F">
            <w:pPr>
              <w:rPr>
                <w:rFonts w:hint="eastAsia" w:ascii="仿宋" w:hAnsi="仿宋" w:eastAsia="仿宋" w:cs="仿宋"/>
                <w:color w:val="auto"/>
                <w:sz w:val="24"/>
                <w:highlight w:val="none"/>
              </w:rPr>
            </w:pPr>
            <w:r>
              <w:rPr>
                <w:rFonts w:hint="eastAsia" w:ascii="仿宋" w:hAnsi="仿宋" w:eastAsia="仿宋" w:cs="仿宋"/>
                <w:color w:val="auto"/>
                <w:sz w:val="24"/>
                <w:highlight w:val="none"/>
              </w:rPr>
              <w:t>见投标文件</w:t>
            </w:r>
          </w:p>
          <w:p w14:paraId="4D40010C">
            <w:pPr>
              <w:rPr>
                <w:rFonts w:hint="eastAsia" w:ascii="仿宋" w:hAnsi="仿宋" w:eastAsia="仿宋" w:cs="仿宋"/>
                <w:color w:val="auto"/>
                <w:highlight w:val="none"/>
              </w:rPr>
            </w:pPr>
            <w:r>
              <w:rPr>
                <w:rFonts w:hint="eastAsia" w:ascii="仿宋" w:hAnsi="仿宋" w:eastAsia="仿宋" w:cs="仿宋"/>
                <w:color w:val="auto"/>
                <w:sz w:val="24"/>
                <w:highlight w:val="none"/>
              </w:rPr>
              <w:t>第</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页</w:t>
            </w:r>
          </w:p>
        </w:tc>
      </w:tr>
      <w:tr w14:paraId="05327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22EA2EA5">
            <w:pPr>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2</w:t>
            </w:r>
          </w:p>
        </w:tc>
        <w:tc>
          <w:tcPr>
            <w:tcW w:w="4991" w:type="dxa"/>
          </w:tcPr>
          <w:p w14:paraId="69497FC0">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投标文件中承诺的投标有效期不少于招标文件中载明的投标有效期。</w:t>
            </w:r>
          </w:p>
        </w:tc>
        <w:tc>
          <w:tcPr>
            <w:tcW w:w="2551" w:type="dxa"/>
            <w:vAlign w:val="center"/>
          </w:tcPr>
          <w:p w14:paraId="54FEB1B3">
            <w:pPr>
              <w:rPr>
                <w:rFonts w:hint="eastAsia" w:ascii="仿宋" w:hAnsi="仿宋" w:eastAsia="仿宋" w:cs="仿宋"/>
                <w:color w:val="auto"/>
                <w:sz w:val="24"/>
                <w:highlight w:val="none"/>
              </w:rPr>
            </w:pPr>
            <w:r>
              <w:rPr>
                <w:rFonts w:hint="eastAsia" w:ascii="仿宋" w:hAnsi="仿宋" w:eastAsia="仿宋" w:cs="仿宋"/>
                <w:color w:val="auto"/>
                <w:sz w:val="24"/>
                <w:highlight w:val="none"/>
              </w:rPr>
              <w:t>投标函</w:t>
            </w:r>
          </w:p>
        </w:tc>
        <w:tc>
          <w:tcPr>
            <w:tcW w:w="1418" w:type="dxa"/>
          </w:tcPr>
          <w:p w14:paraId="418A3ED7">
            <w:pPr>
              <w:rPr>
                <w:rFonts w:hint="eastAsia" w:ascii="仿宋" w:hAnsi="仿宋" w:eastAsia="仿宋" w:cs="仿宋"/>
                <w:color w:val="auto"/>
                <w:highlight w:val="none"/>
              </w:rPr>
            </w:pPr>
            <w:r>
              <w:rPr>
                <w:rFonts w:hint="eastAsia" w:ascii="仿宋" w:hAnsi="仿宋" w:eastAsia="仿宋" w:cs="仿宋"/>
                <w:color w:val="auto"/>
                <w:sz w:val="24"/>
                <w:highlight w:val="none"/>
              </w:rPr>
              <w:t>见投标文件第</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页</w:t>
            </w:r>
          </w:p>
        </w:tc>
      </w:tr>
      <w:tr w14:paraId="1F2F3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4A4B2A6E">
            <w:pPr>
              <w:jc w:val="center"/>
              <w:rPr>
                <w:rFonts w:hint="eastAsia" w:ascii="仿宋" w:hAnsi="仿宋" w:eastAsia="仿宋" w:cs="仿宋"/>
                <w:color w:val="auto"/>
                <w:sz w:val="24"/>
                <w:highlight w:val="none"/>
              </w:rPr>
            </w:pPr>
            <w:r>
              <w:rPr>
                <w:rFonts w:hint="eastAsia" w:ascii="仿宋" w:hAnsi="仿宋" w:eastAsia="仿宋" w:cs="仿宋"/>
                <w:b w:val="0"/>
                <w:bCs w:val="0"/>
                <w:color w:val="auto"/>
                <w:sz w:val="24"/>
                <w:highlight w:val="none"/>
                <w:lang w:val="en-US" w:eastAsia="zh-CN"/>
              </w:rPr>
              <w:t>3</w:t>
            </w:r>
          </w:p>
        </w:tc>
        <w:tc>
          <w:tcPr>
            <w:tcW w:w="4991" w:type="dxa"/>
            <w:vAlign w:val="top"/>
          </w:tcPr>
          <w:p w14:paraId="0816E62A">
            <w:pPr>
              <w:spacing w:line="360" w:lineRule="auto"/>
              <w:rPr>
                <w:rFonts w:hint="eastAsia" w:ascii="仿宋" w:hAnsi="仿宋" w:eastAsia="仿宋" w:cs="仿宋"/>
                <w:color w:val="auto"/>
                <w:sz w:val="24"/>
                <w:highlight w:val="none"/>
              </w:rPr>
            </w:pPr>
            <w:r>
              <w:rPr>
                <w:rFonts w:hint="eastAsia" w:ascii="仿宋" w:hAnsi="仿宋" w:eastAsia="仿宋" w:cs="仿宋"/>
                <w:b w:val="0"/>
                <w:bCs w:val="0"/>
                <w:snapToGrid w:val="0"/>
                <w:color w:val="auto"/>
                <w:sz w:val="24"/>
                <w:highlight w:val="none"/>
                <w:lang w:val="en-US" w:eastAsia="zh-CN"/>
              </w:rPr>
              <w:t>其他实质性要求1：</w:t>
            </w:r>
          </w:p>
        </w:tc>
        <w:tc>
          <w:tcPr>
            <w:tcW w:w="2551" w:type="dxa"/>
            <w:vMerge w:val="restart"/>
            <w:vAlign w:val="center"/>
          </w:tcPr>
          <w:p w14:paraId="5563D5BE">
            <w:pPr>
              <w:rPr>
                <w:rFonts w:hint="eastAsia" w:ascii="仿宋" w:hAnsi="仿宋" w:eastAsia="仿宋" w:cs="仿宋"/>
                <w:color w:val="auto"/>
                <w:sz w:val="24"/>
                <w:highlight w:val="none"/>
              </w:rPr>
            </w:pPr>
            <w:r>
              <w:rPr>
                <w:rFonts w:hint="eastAsia" w:ascii="仿宋" w:hAnsi="仿宋" w:eastAsia="仿宋" w:cs="仿宋"/>
                <w:b w:val="0"/>
                <w:bCs w:val="0"/>
                <w:color w:val="auto"/>
                <w:kern w:val="0"/>
                <w:sz w:val="24"/>
                <w:highlight w:val="none"/>
              </w:rPr>
              <w:t>招标文件其它实质性要求相应的材料（“▲” 系指实质性要求条款，招标文件无其它实质性要求的，无需提供）</w:t>
            </w:r>
          </w:p>
        </w:tc>
        <w:tc>
          <w:tcPr>
            <w:tcW w:w="1418" w:type="dxa"/>
            <w:vAlign w:val="top"/>
          </w:tcPr>
          <w:p w14:paraId="3FECB870">
            <w:pPr>
              <w:rPr>
                <w:rFonts w:hint="eastAsia" w:ascii="仿宋" w:hAnsi="仿宋" w:eastAsia="仿宋" w:cs="仿宋"/>
                <w:color w:val="auto"/>
                <w:highlight w:val="none"/>
              </w:rPr>
            </w:pPr>
            <w:r>
              <w:rPr>
                <w:rFonts w:hint="eastAsia" w:ascii="仿宋" w:hAnsi="仿宋" w:eastAsia="仿宋" w:cs="仿宋"/>
                <w:b w:val="0"/>
                <w:bCs w:val="0"/>
                <w:color w:val="auto"/>
                <w:sz w:val="24"/>
                <w:highlight w:val="none"/>
              </w:rPr>
              <w:t>见投标文件第</w:t>
            </w:r>
            <w:r>
              <w:rPr>
                <w:rFonts w:hint="eastAsia" w:ascii="仿宋" w:hAnsi="仿宋" w:eastAsia="仿宋" w:cs="仿宋"/>
                <w:b w:val="0"/>
                <w:bCs w:val="0"/>
                <w:color w:val="auto"/>
                <w:sz w:val="24"/>
                <w:highlight w:val="none"/>
                <w:u w:val="single"/>
              </w:rPr>
              <w:t xml:space="preserve"> </w:t>
            </w:r>
            <w:r>
              <w:rPr>
                <w:rFonts w:hint="eastAsia" w:ascii="仿宋" w:hAnsi="仿宋" w:eastAsia="仿宋" w:cs="仿宋"/>
                <w:b w:val="0"/>
                <w:bCs w:val="0"/>
                <w:color w:val="auto"/>
                <w:sz w:val="24"/>
                <w:highlight w:val="none"/>
                <w:u w:val="single"/>
                <w:lang w:val="en-US" w:eastAsia="zh-CN"/>
              </w:rPr>
              <w:t xml:space="preserve">  </w:t>
            </w:r>
            <w:r>
              <w:rPr>
                <w:rFonts w:hint="eastAsia" w:ascii="仿宋" w:hAnsi="仿宋" w:eastAsia="仿宋" w:cs="仿宋"/>
                <w:b w:val="0"/>
                <w:bCs w:val="0"/>
                <w:color w:val="auto"/>
                <w:sz w:val="24"/>
                <w:highlight w:val="none"/>
                <w:u w:val="single"/>
              </w:rPr>
              <w:t xml:space="preserve"> </w:t>
            </w:r>
            <w:r>
              <w:rPr>
                <w:rFonts w:hint="eastAsia" w:ascii="仿宋" w:hAnsi="仿宋" w:eastAsia="仿宋" w:cs="仿宋"/>
                <w:b w:val="0"/>
                <w:bCs w:val="0"/>
                <w:color w:val="auto"/>
                <w:sz w:val="24"/>
                <w:highlight w:val="none"/>
              </w:rPr>
              <w:t>页</w:t>
            </w:r>
          </w:p>
        </w:tc>
      </w:tr>
      <w:tr w14:paraId="20C22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58706DAC">
            <w:pPr>
              <w:jc w:val="center"/>
              <w:rPr>
                <w:rFonts w:hint="eastAsia" w:ascii="仿宋" w:hAnsi="仿宋" w:eastAsia="仿宋" w:cs="仿宋"/>
                <w:b w:val="0"/>
                <w:bCs w:val="0"/>
                <w:color w:val="auto"/>
                <w:sz w:val="24"/>
                <w:highlight w:val="none"/>
                <w:lang w:val="en-US" w:eastAsia="zh-CN"/>
              </w:rPr>
            </w:pPr>
            <w:r>
              <w:rPr>
                <w:rFonts w:hint="eastAsia" w:ascii="仿宋" w:hAnsi="仿宋" w:eastAsia="仿宋" w:cs="仿宋"/>
                <w:b w:val="0"/>
                <w:bCs w:val="0"/>
                <w:color w:val="auto"/>
                <w:sz w:val="24"/>
                <w:highlight w:val="none"/>
                <w:lang w:val="en-US" w:eastAsia="zh-CN"/>
              </w:rPr>
              <w:t>4</w:t>
            </w:r>
          </w:p>
        </w:tc>
        <w:tc>
          <w:tcPr>
            <w:tcW w:w="4991" w:type="dxa"/>
            <w:vAlign w:val="top"/>
          </w:tcPr>
          <w:p w14:paraId="1BD3FA50">
            <w:pPr>
              <w:spacing w:line="360" w:lineRule="auto"/>
              <w:rPr>
                <w:rFonts w:hint="eastAsia" w:ascii="仿宋" w:hAnsi="仿宋" w:eastAsia="仿宋" w:cs="仿宋"/>
                <w:color w:val="auto"/>
                <w:sz w:val="24"/>
                <w:highlight w:val="none"/>
              </w:rPr>
            </w:pPr>
            <w:r>
              <w:rPr>
                <w:rFonts w:hint="eastAsia" w:ascii="仿宋" w:hAnsi="仿宋" w:eastAsia="仿宋" w:cs="仿宋"/>
                <w:b w:val="0"/>
                <w:bCs w:val="0"/>
                <w:snapToGrid w:val="0"/>
                <w:color w:val="auto"/>
                <w:sz w:val="24"/>
                <w:highlight w:val="none"/>
                <w:lang w:val="en-US" w:eastAsia="zh-CN"/>
              </w:rPr>
              <w:t>其他实质性要求2：</w:t>
            </w:r>
          </w:p>
        </w:tc>
        <w:tc>
          <w:tcPr>
            <w:tcW w:w="2551" w:type="dxa"/>
            <w:vMerge w:val="continue"/>
            <w:vAlign w:val="center"/>
          </w:tcPr>
          <w:p w14:paraId="2B845AB5">
            <w:pPr>
              <w:rPr>
                <w:rFonts w:hint="eastAsia" w:ascii="仿宋" w:hAnsi="仿宋" w:eastAsia="仿宋" w:cs="仿宋"/>
                <w:b w:val="0"/>
                <w:bCs w:val="0"/>
                <w:color w:val="auto"/>
                <w:sz w:val="24"/>
                <w:highlight w:val="none"/>
                <w:lang w:val="en-US" w:eastAsia="zh-CN"/>
              </w:rPr>
            </w:pPr>
          </w:p>
        </w:tc>
        <w:tc>
          <w:tcPr>
            <w:tcW w:w="1418" w:type="dxa"/>
            <w:vAlign w:val="top"/>
          </w:tcPr>
          <w:p w14:paraId="05C42D45">
            <w:pPr>
              <w:rPr>
                <w:rFonts w:hint="eastAsia" w:ascii="仿宋" w:hAnsi="仿宋" w:eastAsia="仿宋" w:cs="仿宋"/>
                <w:b w:val="0"/>
                <w:bCs w:val="0"/>
                <w:color w:val="auto"/>
                <w:sz w:val="24"/>
                <w:highlight w:val="none"/>
                <w:lang w:val="en-US" w:eastAsia="zh-CN"/>
              </w:rPr>
            </w:pPr>
            <w:r>
              <w:rPr>
                <w:rFonts w:hint="eastAsia" w:ascii="仿宋" w:hAnsi="仿宋" w:eastAsia="仿宋" w:cs="仿宋"/>
                <w:b w:val="0"/>
                <w:bCs w:val="0"/>
                <w:color w:val="auto"/>
                <w:sz w:val="24"/>
                <w:highlight w:val="none"/>
              </w:rPr>
              <w:t>见投标文件第</w:t>
            </w:r>
            <w:r>
              <w:rPr>
                <w:rFonts w:hint="eastAsia" w:ascii="仿宋" w:hAnsi="仿宋" w:eastAsia="仿宋" w:cs="仿宋"/>
                <w:b w:val="0"/>
                <w:bCs w:val="0"/>
                <w:color w:val="auto"/>
                <w:sz w:val="24"/>
                <w:highlight w:val="none"/>
                <w:u w:val="single"/>
              </w:rPr>
              <w:t xml:space="preserve"> </w:t>
            </w:r>
            <w:r>
              <w:rPr>
                <w:rFonts w:hint="eastAsia" w:ascii="仿宋" w:hAnsi="仿宋" w:eastAsia="仿宋" w:cs="仿宋"/>
                <w:b w:val="0"/>
                <w:bCs w:val="0"/>
                <w:color w:val="auto"/>
                <w:sz w:val="24"/>
                <w:highlight w:val="none"/>
                <w:u w:val="single"/>
                <w:lang w:val="en-US" w:eastAsia="zh-CN"/>
              </w:rPr>
              <w:t xml:space="preserve">  </w:t>
            </w:r>
            <w:r>
              <w:rPr>
                <w:rFonts w:hint="eastAsia" w:ascii="仿宋" w:hAnsi="仿宋" w:eastAsia="仿宋" w:cs="仿宋"/>
                <w:b w:val="0"/>
                <w:bCs w:val="0"/>
                <w:color w:val="auto"/>
                <w:sz w:val="24"/>
                <w:highlight w:val="none"/>
                <w:u w:val="single"/>
              </w:rPr>
              <w:t xml:space="preserve"> </w:t>
            </w:r>
            <w:r>
              <w:rPr>
                <w:rFonts w:hint="eastAsia" w:ascii="仿宋" w:hAnsi="仿宋" w:eastAsia="仿宋" w:cs="仿宋"/>
                <w:b w:val="0"/>
                <w:bCs w:val="0"/>
                <w:color w:val="auto"/>
                <w:sz w:val="24"/>
                <w:highlight w:val="none"/>
              </w:rPr>
              <w:t>页</w:t>
            </w:r>
          </w:p>
        </w:tc>
      </w:tr>
      <w:tr w14:paraId="0D651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095912E1">
            <w:pPr>
              <w:jc w:val="center"/>
              <w:rPr>
                <w:rFonts w:hint="eastAsia" w:ascii="仿宋" w:hAnsi="仿宋" w:eastAsia="仿宋" w:cs="仿宋"/>
                <w:b w:val="0"/>
                <w:bCs w:val="0"/>
                <w:color w:val="auto"/>
                <w:sz w:val="24"/>
                <w:highlight w:val="none"/>
                <w:lang w:val="en-US" w:eastAsia="zh-CN"/>
              </w:rPr>
            </w:pPr>
            <w:r>
              <w:rPr>
                <w:rFonts w:hint="eastAsia" w:ascii="仿宋" w:hAnsi="仿宋" w:eastAsia="仿宋" w:cs="仿宋"/>
                <w:color w:val="auto"/>
                <w:kern w:val="0"/>
                <w:sz w:val="24"/>
                <w:highlight w:val="none"/>
              </w:rPr>
              <w:t>……</w:t>
            </w:r>
          </w:p>
        </w:tc>
        <w:tc>
          <w:tcPr>
            <w:tcW w:w="4991" w:type="dxa"/>
            <w:vAlign w:val="top"/>
          </w:tcPr>
          <w:p w14:paraId="1460D33A">
            <w:pPr>
              <w:spacing w:line="360" w:lineRule="auto"/>
              <w:rPr>
                <w:rFonts w:hint="eastAsia" w:ascii="仿宋" w:hAnsi="仿宋" w:eastAsia="仿宋" w:cs="仿宋"/>
                <w:color w:val="auto"/>
                <w:sz w:val="24"/>
                <w:highlight w:val="none"/>
              </w:rPr>
            </w:pPr>
            <w:r>
              <w:rPr>
                <w:rFonts w:hint="eastAsia" w:ascii="仿宋" w:hAnsi="仿宋" w:eastAsia="仿宋" w:cs="仿宋"/>
                <w:b w:val="0"/>
                <w:bCs w:val="0"/>
                <w:snapToGrid w:val="0"/>
                <w:color w:val="auto"/>
                <w:sz w:val="24"/>
                <w:highlight w:val="none"/>
                <w:lang w:val="en-US" w:eastAsia="zh-CN"/>
              </w:rPr>
              <w:t>其他实质性要求</w:t>
            </w:r>
            <w:r>
              <w:rPr>
                <w:rFonts w:hint="eastAsia" w:ascii="仿宋" w:hAnsi="仿宋" w:eastAsia="仿宋" w:cs="仿宋"/>
                <w:color w:val="auto"/>
                <w:kern w:val="0"/>
                <w:sz w:val="24"/>
                <w:highlight w:val="none"/>
              </w:rPr>
              <w:t>……</w:t>
            </w:r>
            <w:r>
              <w:rPr>
                <w:rFonts w:hint="eastAsia" w:ascii="仿宋" w:hAnsi="仿宋" w:eastAsia="仿宋" w:cs="仿宋"/>
                <w:b w:val="0"/>
                <w:bCs w:val="0"/>
                <w:snapToGrid w:val="0"/>
                <w:color w:val="auto"/>
                <w:sz w:val="24"/>
                <w:highlight w:val="none"/>
                <w:lang w:val="en-US" w:eastAsia="zh-CN"/>
              </w:rPr>
              <w:t>：</w:t>
            </w:r>
          </w:p>
        </w:tc>
        <w:tc>
          <w:tcPr>
            <w:tcW w:w="2551" w:type="dxa"/>
            <w:vMerge w:val="continue"/>
            <w:vAlign w:val="center"/>
          </w:tcPr>
          <w:p w14:paraId="5A7E1580">
            <w:pPr>
              <w:rPr>
                <w:rFonts w:hint="eastAsia" w:ascii="仿宋" w:hAnsi="仿宋" w:eastAsia="仿宋" w:cs="仿宋"/>
                <w:b w:val="0"/>
                <w:bCs w:val="0"/>
                <w:color w:val="auto"/>
                <w:sz w:val="24"/>
                <w:highlight w:val="none"/>
                <w:lang w:val="en-US" w:eastAsia="zh-CN"/>
              </w:rPr>
            </w:pPr>
          </w:p>
        </w:tc>
        <w:tc>
          <w:tcPr>
            <w:tcW w:w="1418" w:type="dxa"/>
            <w:vAlign w:val="top"/>
          </w:tcPr>
          <w:p w14:paraId="3228697A">
            <w:pPr>
              <w:rPr>
                <w:rFonts w:hint="eastAsia" w:ascii="仿宋" w:hAnsi="仿宋" w:eastAsia="仿宋" w:cs="仿宋"/>
                <w:b w:val="0"/>
                <w:bCs w:val="0"/>
                <w:color w:val="auto"/>
                <w:sz w:val="24"/>
                <w:highlight w:val="none"/>
                <w:lang w:val="en-US" w:eastAsia="zh-CN"/>
              </w:rPr>
            </w:pPr>
            <w:r>
              <w:rPr>
                <w:rFonts w:hint="eastAsia" w:ascii="仿宋" w:hAnsi="仿宋" w:eastAsia="仿宋" w:cs="仿宋"/>
                <w:b w:val="0"/>
                <w:bCs w:val="0"/>
                <w:color w:val="auto"/>
                <w:sz w:val="24"/>
                <w:highlight w:val="none"/>
              </w:rPr>
              <w:t>见投标文件第</w:t>
            </w:r>
            <w:r>
              <w:rPr>
                <w:rFonts w:hint="eastAsia" w:ascii="仿宋" w:hAnsi="仿宋" w:eastAsia="仿宋" w:cs="仿宋"/>
                <w:b w:val="0"/>
                <w:bCs w:val="0"/>
                <w:color w:val="auto"/>
                <w:sz w:val="24"/>
                <w:highlight w:val="none"/>
                <w:u w:val="single"/>
              </w:rPr>
              <w:t xml:space="preserve"> </w:t>
            </w:r>
            <w:r>
              <w:rPr>
                <w:rFonts w:hint="eastAsia" w:ascii="仿宋" w:hAnsi="仿宋" w:eastAsia="仿宋" w:cs="仿宋"/>
                <w:b w:val="0"/>
                <w:bCs w:val="0"/>
                <w:color w:val="auto"/>
                <w:sz w:val="24"/>
                <w:highlight w:val="none"/>
                <w:u w:val="single"/>
                <w:lang w:val="en-US" w:eastAsia="zh-CN"/>
              </w:rPr>
              <w:t xml:space="preserve">  </w:t>
            </w:r>
            <w:r>
              <w:rPr>
                <w:rFonts w:hint="eastAsia" w:ascii="仿宋" w:hAnsi="仿宋" w:eastAsia="仿宋" w:cs="仿宋"/>
                <w:b w:val="0"/>
                <w:bCs w:val="0"/>
                <w:color w:val="auto"/>
                <w:sz w:val="24"/>
                <w:highlight w:val="none"/>
                <w:u w:val="single"/>
              </w:rPr>
              <w:t xml:space="preserve"> </w:t>
            </w:r>
            <w:r>
              <w:rPr>
                <w:rFonts w:hint="eastAsia" w:ascii="仿宋" w:hAnsi="仿宋" w:eastAsia="仿宋" w:cs="仿宋"/>
                <w:b w:val="0"/>
                <w:bCs w:val="0"/>
                <w:color w:val="auto"/>
                <w:sz w:val="24"/>
                <w:highlight w:val="none"/>
              </w:rPr>
              <w:t>页</w:t>
            </w:r>
          </w:p>
        </w:tc>
      </w:tr>
    </w:tbl>
    <w:p w14:paraId="2DDB37EC">
      <w:pPr>
        <w:pStyle w:val="97"/>
        <w:rPr>
          <w:rFonts w:hint="eastAsia" w:ascii="仿宋" w:hAnsi="仿宋" w:eastAsia="仿宋" w:cs="仿宋"/>
          <w:b/>
          <w:color w:val="auto"/>
          <w:kern w:val="0"/>
          <w:sz w:val="32"/>
          <w:szCs w:val="32"/>
          <w:highlight w:val="none"/>
        </w:rPr>
      </w:pPr>
    </w:p>
    <w:p w14:paraId="6E22AC6A">
      <w:pPr>
        <w:spacing w:line="360" w:lineRule="auto"/>
        <w:ind w:right="420"/>
        <w:rPr>
          <w:rFonts w:hint="eastAsia" w:ascii="仿宋" w:hAnsi="仿宋" w:eastAsia="仿宋" w:cs="仿宋"/>
          <w:color w:val="auto"/>
          <w:sz w:val="24"/>
          <w:highlight w:val="none"/>
        </w:rPr>
      </w:pPr>
      <w:r>
        <w:rPr>
          <w:rFonts w:hint="eastAsia" w:ascii="仿宋" w:hAnsi="仿宋" w:eastAsia="仿宋" w:cs="仿宋"/>
          <w:color w:val="auto"/>
          <w:sz w:val="24"/>
          <w:highlight w:val="none"/>
        </w:rPr>
        <w:t>注：</w:t>
      </w:r>
      <w:r>
        <w:rPr>
          <w:rFonts w:hint="eastAsia" w:ascii="仿宋" w:hAnsi="仿宋" w:eastAsia="仿宋" w:cs="仿宋"/>
          <w:color w:val="auto"/>
          <w:sz w:val="24"/>
          <w:highlight w:val="none"/>
          <w:lang w:val="en-US" w:eastAsia="zh-CN"/>
        </w:rPr>
        <w:t>1.</w:t>
      </w:r>
      <w:r>
        <w:rPr>
          <w:rFonts w:hint="eastAsia" w:ascii="仿宋" w:hAnsi="仿宋" w:eastAsia="仿宋" w:cs="仿宋"/>
          <w:color w:val="auto"/>
          <w:sz w:val="24"/>
          <w:highlight w:val="none"/>
        </w:rPr>
        <w:t>按本格式和要求提供。</w:t>
      </w:r>
    </w:p>
    <w:p w14:paraId="44DFB423">
      <w:pPr>
        <w:spacing w:line="360" w:lineRule="auto"/>
        <w:ind w:right="420"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2、招标文件中实质性要求必须明确响应。</w:t>
      </w:r>
    </w:p>
    <w:p w14:paraId="7860DA12">
      <w:pPr>
        <w:jc w:val="center"/>
        <w:rPr>
          <w:rFonts w:hint="eastAsia" w:ascii="仿宋" w:hAnsi="仿宋" w:eastAsia="仿宋" w:cs="仿宋"/>
          <w:b/>
          <w:color w:val="auto"/>
          <w:kern w:val="0"/>
          <w:sz w:val="32"/>
          <w:szCs w:val="32"/>
          <w:highlight w:val="none"/>
        </w:rPr>
      </w:pPr>
    </w:p>
    <w:p w14:paraId="2E914BB9">
      <w:pPr>
        <w:jc w:val="center"/>
        <w:rPr>
          <w:rFonts w:hint="eastAsia" w:ascii="仿宋" w:hAnsi="仿宋" w:eastAsia="仿宋" w:cs="仿宋"/>
          <w:b/>
          <w:color w:val="auto"/>
          <w:kern w:val="0"/>
          <w:sz w:val="32"/>
          <w:szCs w:val="32"/>
          <w:highlight w:val="none"/>
        </w:rPr>
      </w:pPr>
    </w:p>
    <w:p w14:paraId="788CABBE">
      <w:pPr>
        <w:rPr>
          <w:rFonts w:hint="eastAsia" w:ascii="仿宋" w:hAnsi="仿宋" w:eastAsia="仿宋" w:cs="仿宋"/>
          <w:b/>
          <w:color w:val="auto"/>
          <w:kern w:val="0"/>
          <w:sz w:val="32"/>
          <w:szCs w:val="32"/>
          <w:highlight w:val="none"/>
        </w:rPr>
      </w:pPr>
      <w:r>
        <w:rPr>
          <w:rFonts w:hint="eastAsia" w:ascii="仿宋" w:hAnsi="仿宋" w:eastAsia="仿宋" w:cs="仿宋"/>
          <w:b/>
          <w:color w:val="auto"/>
          <w:kern w:val="0"/>
          <w:sz w:val="32"/>
          <w:szCs w:val="32"/>
          <w:highlight w:val="none"/>
        </w:rPr>
        <w:br w:type="page"/>
      </w:r>
    </w:p>
    <w:p w14:paraId="4476E7E0">
      <w:pPr>
        <w:jc w:val="center"/>
        <w:rPr>
          <w:rFonts w:hint="eastAsia" w:ascii="仿宋" w:hAnsi="仿宋" w:eastAsia="仿宋" w:cs="仿宋"/>
          <w:b/>
          <w:color w:val="auto"/>
          <w:kern w:val="0"/>
          <w:sz w:val="32"/>
          <w:szCs w:val="32"/>
          <w:highlight w:val="none"/>
        </w:rPr>
      </w:pPr>
    </w:p>
    <w:p w14:paraId="741DE53F">
      <w:pPr>
        <w:jc w:val="center"/>
        <w:rPr>
          <w:rFonts w:hint="eastAsia" w:ascii="仿宋" w:hAnsi="仿宋" w:eastAsia="仿宋" w:cs="仿宋"/>
          <w:color w:val="auto"/>
          <w:highlight w:val="none"/>
        </w:rPr>
      </w:pPr>
      <w:r>
        <w:rPr>
          <w:rFonts w:hint="eastAsia" w:ascii="仿宋" w:hAnsi="仿宋" w:eastAsia="仿宋" w:cs="仿宋"/>
          <w:b/>
          <w:color w:val="auto"/>
          <w:kern w:val="0"/>
          <w:sz w:val="32"/>
          <w:szCs w:val="32"/>
          <w:highlight w:val="none"/>
        </w:rPr>
        <w:t>五、评标标准相应的商务技术资料</w:t>
      </w:r>
    </w:p>
    <w:p w14:paraId="5987558B">
      <w:pPr>
        <w:snapToGrid w:val="0"/>
        <w:spacing w:line="360" w:lineRule="auto"/>
        <w:jc w:val="left"/>
        <w:rPr>
          <w:rFonts w:hint="eastAsia" w:ascii="仿宋" w:hAnsi="仿宋" w:eastAsia="仿宋" w:cs="仿宋"/>
          <w:b/>
          <w:color w:val="auto"/>
          <w:sz w:val="24"/>
          <w:highlight w:val="none"/>
        </w:rPr>
      </w:pPr>
      <w:r>
        <w:rPr>
          <w:rFonts w:hint="eastAsia" w:ascii="仿宋" w:hAnsi="仿宋" w:eastAsia="仿宋" w:cs="仿宋"/>
          <w:b/>
          <w:color w:val="auto"/>
          <w:sz w:val="24"/>
          <w:highlight w:val="none"/>
        </w:rPr>
        <w:t>（按招标文件第四部分评标办法前附表中“投标文件中评标标准相应的商务技术资料目录”提供资料。）</w:t>
      </w:r>
    </w:p>
    <w:p w14:paraId="79E31826">
      <w:pPr>
        <w:jc w:val="center"/>
        <w:rPr>
          <w:rFonts w:hint="eastAsia" w:ascii="仿宋" w:hAnsi="仿宋" w:eastAsia="仿宋" w:cs="仿宋"/>
          <w:b/>
          <w:color w:val="auto"/>
          <w:kern w:val="0"/>
          <w:sz w:val="32"/>
          <w:szCs w:val="32"/>
          <w:highlight w:val="none"/>
        </w:rPr>
      </w:pPr>
    </w:p>
    <w:p w14:paraId="06E7B2C3">
      <w:pPr>
        <w:pStyle w:val="30"/>
        <w:rPr>
          <w:rFonts w:hint="eastAsia" w:ascii="仿宋" w:hAnsi="仿宋" w:eastAsia="仿宋" w:cs="仿宋"/>
          <w:color w:val="auto"/>
          <w:highlight w:val="none"/>
        </w:rPr>
      </w:pPr>
    </w:p>
    <w:tbl>
      <w:tblPr>
        <w:tblStyle w:val="81"/>
        <w:tblW w:w="92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4"/>
        <w:gridCol w:w="5465"/>
        <w:gridCol w:w="3046"/>
      </w:tblGrid>
      <w:tr w14:paraId="7DD18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noWrap w:val="0"/>
            <w:vAlign w:val="center"/>
          </w:tcPr>
          <w:p w14:paraId="630D9990">
            <w:pPr>
              <w:snapToGrid w:val="0"/>
              <w:spacing w:line="360" w:lineRule="auto"/>
              <w:jc w:val="center"/>
              <w:rPr>
                <w:rFonts w:hint="default" w:ascii="仿宋" w:hAnsi="仿宋" w:eastAsia="仿宋" w:cs="仿宋"/>
                <w:b/>
                <w:bCs/>
                <w:color w:val="auto"/>
                <w:sz w:val="24"/>
                <w:highlight w:val="none"/>
                <w:lang w:val="en-US" w:eastAsia="zh-CN"/>
              </w:rPr>
            </w:pPr>
            <w:r>
              <w:rPr>
                <w:rFonts w:hint="default" w:ascii="仿宋" w:hAnsi="仿宋" w:eastAsia="仿宋" w:cs="仿宋"/>
                <w:b/>
                <w:bCs/>
                <w:color w:val="auto"/>
                <w:sz w:val="24"/>
                <w:highlight w:val="none"/>
                <w:lang w:val="en-US" w:eastAsia="zh-CN"/>
              </w:rPr>
              <w:t>序号</w:t>
            </w:r>
          </w:p>
        </w:tc>
        <w:tc>
          <w:tcPr>
            <w:tcW w:w="5465" w:type="dxa"/>
            <w:noWrap w:val="0"/>
            <w:vAlign w:val="center"/>
          </w:tcPr>
          <w:p w14:paraId="50F000C8">
            <w:pPr>
              <w:snapToGrid w:val="0"/>
              <w:spacing w:line="360" w:lineRule="auto"/>
              <w:jc w:val="center"/>
              <w:rPr>
                <w:rFonts w:hint="default" w:ascii="仿宋" w:hAnsi="仿宋" w:eastAsia="仿宋" w:cs="仿宋"/>
                <w:b/>
                <w:bCs/>
                <w:color w:val="auto"/>
                <w:sz w:val="24"/>
                <w:highlight w:val="none"/>
                <w:vertAlign w:val="baseline"/>
              </w:rPr>
            </w:pPr>
            <w:r>
              <w:rPr>
                <w:rFonts w:hint="default" w:ascii="仿宋" w:hAnsi="仿宋" w:eastAsia="仿宋" w:cs="仿宋"/>
                <w:b/>
                <w:bCs/>
                <w:color w:val="auto"/>
                <w:sz w:val="24"/>
                <w:highlight w:val="none"/>
              </w:rPr>
              <w:t>投标文件中评标标准相应的商务技术资料目录*</w:t>
            </w:r>
          </w:p>
        </w:tc>
        <w:tc>
          <w:tcPr>
            <w:tcW w:w="3046" w:type="dxa"/>
            <w:noWrap w:val="0"/>
            <w:vAlign w:val="center"/>
          </w:tcPr>
          <w:p w14:paraId="021FC4C5">
            <w:pPr>
              <w:snapToGrid w:val="0"/>
              <w:spacing w:line="360" w:lineRule="auto"/>
              <w:jc w:val="center"/>
              <w:rPr>
                <w:rFonts w:hint="default" w:ascii="仿宋" w:hAnsi="仿宋" w:eastAsia="仿宋" w:cs="仿宋"/>
                <w:b/>
                <w:bCs/>
                <w:color w:val="auto"/>
                <w:sz w:val="24"/>
                <w:highlight w:val="none"/>
                <w:vertAlign w:val="baseline"/>
                <w:lang w:val="en-US" w:eastAsia="zh-CN"/>
              </w:rPr>
            </w:pPr>
            <w:r>
              <w:rPr>
                <w:rFonts w:hint="default" w:ascii="仿宋" w:hAnsi="仿宋" w:eastAsia="仿宋" w:cs="仿宋"/>
                <w:b/>
                <w:bCs/>
                <w:color w:val="auto"/>
                <w:sz w:val="24"/>
                <w:highlight w:val="none"/>
              </w:rPr>
              <w:t>投标文件中的页码位置</w:t>
            </w:r>
          </w:p>
        </w:tc>
      </w:tr>
      <w:tr w14:paraId="5928B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noWrap w:val="0"/>
            <w:vAlign w:val="center"/>
          </w:tcPr>
          <w:p w14:paraId="78EC61B6">
            <w:pPr>
              <w:snapToGrid w:val="0"/>
              <w:spacing w:line="360" w:lineRule="auto"/>
              <w:jc w:val="center"/>
              <w:rPr>
                <w:rFonts w:hint="default" w:ascii="仿宋" w:hAnsi="仿宋" w:eastAsia="仿宋" w:cs="仿宋"/>
                <w:b/>
                <w:bCs/>
                <w:color w:val="auto"/>
                <w:sz w:val="24"/>
                <w:highlight w:val="none"/>
                <w:lang w:val="en-US" w:eastAsia="zh-CN"/>
              </w:rPr>
            </w:pPr>
            <w:r>
              <w:rPr>
                <w:rFonts w:hint="eastAsia" w:ascii="仿宋" w:hAnsi="仿宋" w:eastAsia="仿宋" w:cs="仿宋"/>
                <w:b/>
                <w:bCs/>
                <w:color w:val="auto"/>
                <w:sz w:val="24"/>
                <w:highlight w:val="none"/>
                <w:lang w:val="en-US" w:eastAsia="zh-CN"/>
              </w:rPr>
              <w:t>1</w:t>
            </w:r>
          </w:p>
        </w:tc>
        <w:tc>
          <w:tcPr>
            <w:tcW w:w="5465" w:type="dxa"/>
            <w:shd w:val="clear" w:color="auto" w:fill="auto"/>
            <w:noWrap w:val="0"/>
            <w:vAlign w:val="center"/>
          </w:tcPr>
          <w:p w14:paraId="6617B7D7">
            <w:pPr>
              <w:keepNext w:val="0"/>
              <w:keepLines w:val="0"/>
              <w:widowControl/>
              <w:suppressLineNumbers w:val="0"/>
              <w:spacing w:line="400" w:lineRule="exact"/>
              <w:jc w:val="left"/>
              <w:textAlignment w:val="center"/>
              <w:rPr>
                <w:rFonts w:hint="default" w:ascii="仿宋" w:hAnsi="仿宋" w:eastAsia="仿宋" w:cs="仿宋"/>
                <w:i w:val="0"/>
                <w:iCs w:val="0"/>
                <w:color w:val="auto"/>
                <w:kern w:val="2"/>
                <w:sz w:val="24"/>
                <w:szCs w:val="24"/>
                <w:highlight w:val="none"/>
                <w:u w:val="none"/>
                <w:lang w:val="en-US" w:eastAsia="zh-CN" w:bidi="ar-SA"/>
              </w:rPr>
            </w:pPr>
            <w:r>
              <w:rPr>
                <w:rFonts w:hint="eastAsia" w:ascii="仿宋" w:hAnsi="仿宋" w:eastAsia="仿宋" w:cs="仿宋"/>
                <w:b/>
                <w:color w:val="auto"/>
                <w:sz w:val="24"/>
                <w:szCs w:val="24"/>
                <w:highlight w:val="none"/>
              </w:rPr>
              <w:t>一、服务方案优势情况</w:t>
            </w:r>
          </w:p>
        </w:tc>
        <w:tc>
          <w:tcPr>
            <w:tcW w:w="3046" w:type="dxa"/>
            <w:noWrap w:val="0"/>
            <w:vAlign w:val="center"/>
          </w:tcPr>
          <w:p w14:paraId="44C68664">
            <w:pPr>
              <w:snapToGrid w:val="0"/>
              <w:spacing w:line="360" w:lineRule="auto"/>
              <w:jc w:val="center"/>
              <w:rPr>
                <w:rFonts w:hint="default" w:ascii="仿宋" w:hAnsi="仿宋" w:eastAsia="仿宋" w:cs="仿宋"/>
                <w:b/>
                <w:bCs/>
                <w:color w:val="auto"/>
                <w:sz w:val="24"/>
                <w:highlight w:val="none"/>
              </w:rPr>
            </w:pPr>
            <w:r>
              <w:rPr>
                <w:rFonts w:hint="default" w:ascii="仿宋" w:hAnsi="仿宋" w:eastAsia="仿宋" w:cs="仿宋"/>
                <w:b w:val="0"/>
                <w:bCs w:val="0"/>
                <w:color w:val="auto"/>
                <w:sz w:val="24"/>
                <w:highlight w:val="none"/>
              </w:rPr>
              <w:t>见投标文件第</w:t>
            </w:r>
            <w:r>
              <w:rPr>
                <w:rFonts w:hint="default" w:ascii="仿宋" w:hAnsi="仿宋" w:eastAsia="仿宋" w:cs="仿宋"/>
                <w:b w:val="0"/>
                <w:bCs w:val="0"/>
                <w:color w:val="auto"/>
                <w:sz w:val="24"/>
                <w:highlight w:val="none"/>
                <w:u w:val="single"/>
              </w:rPr>
              <w:t xml:space="preserve"> </w:t>
            </w:r>
            <w:r>
              <w:rPr>
                <w:rFonts w:hint="eastAsia" w:ascii="仿宋" w:hAnsi="仿宋" w:eastAsia="仿宋" w:cs="仿宋"/>
                <w:b w:val="0"/>
                <w:bCs w:val="0"/>
                <w:color w:val="auto"/>
                <w:sz w:val="24"/>
                <w:highlight w:val="none"/>
                <w:u w:val="single"/>
                <w:lang w:val="en-US" w:eastAsia="zh-CN"/>
              </w:rPr>
              <w:t xml:space="preserve">  </w:t>
            </w:r>
            <w:r>
              <w:rPr>
                <w:rFonts w:hint="default" w:ascii="仿宋" w:hAnsi="仿宋" w:eastAsia="仿宋" w:cs="仿宋"/>
                <w:b w:val="0"/>
                <w:bCs w:val="0"/>
                <w:color w:val="auto"/>
                <w:sz w:val="24"/>
                <w:highlight w:val="none"/>
                <w:u w:val="single"/>
              </w:rPr>
              <w:t xml:space="preserve"> </w:t>
            </w:r>
            <w:r>
              <w:rPr>
                <w:rFonts w:hint="default" w:ascii="仿宋" w:hAnsi="仿宋" w:eastAsia="仿宋" w:cs="仿宋"/>
                <w:b w:val="0"/>
                <w:bCs w:val="0"/>
                <w:color w:val="auto"/>
                <w:sz w:val="24"/>
                <w:highlight w:val="none"/>
              </w:rPr>
              <w:t>页</w:t>
            </w:r>
          </w:p>
        </w:tc>
      </w:tr>
      <w:tr w14:paraId="63C80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noWrap w:val="0"/>
            <w:vAlign w:val="center"/>
          </w:tcPr>
          <w:p w14:paraId="03959832">
            <w:pPr>
              <w:snapToGrid w:val="0"/>
              <w:spacing w:line="360" w:lineRule="auto"/>
              <w:jc w:val="center"/>
              <w:rPr>
                <w:rFonts w:hint="default" w:ascii="仿宋" w:hAnsi="仿宋" w:eastAsia="仿宋" w:cs="仿宋"/>
                <w:b w:val="0"/>
                <w:bCs w:val="0"/>
                <w:color w:val="auto"/>
                <w:sz w:val="24"/>
                <w:highlight w:val="none"/>
                <w:vertAlign w:val="baseline"/>
                <w:lang w:val="en-US" w:eastAsia="zh-CN"/>
              </w:rPr>
            </w:pPr>
            <w:r>
              <w:rPr>
                <w:rFonts w:hint="eastAsia" w:ascii="仿宋" w:hAnsi="仿宋" w:eastAsia="仿宋" w:cs="仿宋"/>
                <w:b w:val="0"/>
                <w:bCs w:val="0"/>
                <w:color w:val="auto"/>
                <w:sz w:val="24"/>
                <w:highlight w:val="none"/>
                <w:vertAlign w:val="baseline"/>
                <w:lang w:val="en-US" w:eastAsia="zh-CN"/>
              </w:rPr>
              <w:t>2</w:t>
            </w:r>
          </w:p>
        </w:tc>
        <w:tc>
          <w:tcPr>
            <w:tcW w:w="5465" w:type="dxa"/>
            <w:shd w:val="clear" w:color="auto" w:fill="auto"/>
            <w:noWrap w:val="0"/>
            <w:vAlign w:val="center"/>
          </w:tcPr>
          <w:p w14:paraId="36B793A4">
            <w:pPr>
              <w:keepNext w:val="0"/>
              <w:keepLines w:val="0"/>
              <w:widowControl/>
              <w:suppressLineNumbers w:val="0"/>
              <w:spacing w:line="400" w:lineRule="exact"/>
              <w:jc w:val="left"/>
              <w:textAlignment w:val="center"/>
              <w:rPr>
                <w:rFonts w:hint="default" w:ascii="仿宋" w:hAnsi="仿宋" w:eastAsia="仿宋" w:cs="仿宋"/>
                <w:i w:val="0"/>
                <w:iCs w:val="0"/>
                <w:color w:val="auto"/>
                <w:kern w:val="2"/>
                <w:sz w:val="24"/>
                <w:szCs w:val="24"/>
                <w:highlight w:val="none"/>
                <w:u w:val="none"/>
                <w:lang w:val="en-US" w:eastAsia="zh-CN" w:bidi="ar-SA"/>
              </w:rPr>
            </w:pPr>
            <w:r>
              <w:rPr>
                <w:rFonts w:hint="eastAsia" w:ascii="仿宋" w:hAnsi="仿宋" w:eastAsia="仿宋" w:cs="仿宋"/>
                <w:b/>
                <w:color w:val="auto"/>
                <w:sz w:val="24"/>
                <w:szCs w:val="24"/>
                <w:highlight w:val="none"/>
              </w:rPr>
              <w:t>二、服务次数、交付分析承诺</w:t>
            </w:r>
          </w:p>
        </w:tc>
        <w:tc>
          <w:tcPr>
            <w:tcW w:w="3046" w:type="dxa"/>
            <w:noWrap w:val="0"/>
            <w:vAlign w:val="center"/>
          </w:tcPr>
          <w:p w14:paraId="64B80491">
            <w:pPr>
              <w:snapToGrid w:val="0"/>
              <w:spacing w:line="360" w:lineRule="auto"/>
              <w:jc w:val="center"/>
              <w:rPr>
                <w:rFonts w:hint="default" w:ascii="仿宋" w:hAnsi="仿宋" w:eastAsia="仿宋" w:cs="仿宋"/>
                <w:b w:val="0"/>
                <w:bCs w:val="0"/>
                <w:color w:val="auto"/>
                <w:sz w:val="24"/>
                <w:highlight w:val="none"/>
                <w:vertAlign w:val="baseline"/>
              </w:rPr>
            </w:pPr>
            <w:r>
              <w:rPr>
                <w:rFonts w:hint="default" w:ascii="仿宋" w:hAnsi="仿宋" w:eastAsia="仿宋" w:cs="仿宋"/>
                <w:b w:val="0"/>
                <w:bCs w:val="0"/>
                <w:color w:val="auto"/>
                <w:sz w:val="24"/>
                <w:highlight w:val="none"/>
              </w:rPr>
              <w:t>见投标文件第</w:t>
            </w:r>
            <w:r>
              <w:rPr>
                <w:rFonts w:hint="default" w:ascii="仿宋" w:hAnsi="仿宋" w:eastAsia="仿宋" w:cs="仿宋"/>
                <w:b w:val="0"/>
                <w:bCs w:val="0"/>
                <w:color w:val="auto"/>
                <w:sz w:val="24"/>
                <w:highlight w:val="none"/>
                <w:u w:val="single"/>
              </w:rPr>
              <w:t xml:space="preserve"> </w:t>
            </w:r>
            <w:r>
              <w:rPr>
                <w:rFonts w:hint="eastAsia" w:ascii="仿宋" w:hAnsi="仿宋" w:eastAsia="仿宋" w:cs="仿宋"/>
                <w:b w:val="0"/>
                <w:bCs w:val="0"/>
                <w:color w:val="auto"/>
                <w:sz w:val="24"/>
                <w:highlight w:val="none"/>
                <w:u w:val="single"/>
                <w:lang w:val="en-US" w:eastAsia="zh-CN"/>
              </w:rPr>
              <w:t xml:space="preserve">  </w:t>
            </w:r>
            <w:r>
              <w:rPr>
                <w:rFonts w:hint="default" w:ascii="仿宋" w:hAnsi="仿宋" w:eastAsia="仿宋" w:cs="仿宋"/>
                <w:b w:val="0"/>
                <w:bCs w:val="0"/>
                <w:color w:val="auto"/>
                <w:sz w:val="24"/>
                <w:highlight w:val="none"/>
                <w:u w:val="single"/>
              </w:rPr>
              <w:t xml:space="preserve"> </w:t>
            </w:r>
            <w:r>
              <w:rPr>
                <w:rFonts w:hint="default" w:ascii="仿宋" w:hAnsi="仿宋" w:eastAsia="仿宋" w:cs="仿宋"/>
                <w:b w:val="0"/>
                <w:bCs w:val="0"/>
                <w:color w:val="auto"/>
                <w:sz w:val="24"/>
                <w:highlight w:val="none"/>
              </w:rPr>
              <w:t>页</w:t>
            </w:r>
          </w:p>
        </w:tc>
      </w:tr>
      <w:tr w14:paraId="01BAE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noWrap w:val="0"/>
            <w:vAlign w:val="center"/>
          </w:tcPr>
          <w:p w14:paraId="3984B51F">
            <w:pPr>
              <w:snapToGrid w:val="0"/>
              <w:spacing w:line="360" w:lineRule="auto"/>
              <w:jc w:val="center"/>
              <w:rPr>
                <w:rFonts w:hint="default" w:ascii="仿宋" w:hAnsi="仿宋" w:eastAsia="仿宋" w:cs="仿宋"/>
                <w:b w:val="0"/>
                <w:bCs w:val="0"/>
                <w:color w:val="auto"/>
                <w:sz w:val="24"/>
                <w:highlight w:val="none"/>
                <w:vertAlign w:val="baseline"/>
                <w:lang w:val="en-US" w:eastAsia="zh-CN"/>
              </w:rPr>
            </w:pPr>
            <w:r>
              <w:rPr>
                <w:rFonts w:hint="eastAsia" w:ascii="仿宋" w:hAnsi="仿宋" w:eastAsia="仿宋" w:cs="仿宋"/>
                <w:b w:val="0"/>
                <w:bCs w:val="0"/>
                <w:color w:val="auto"/>
                <w:sz w:val="24"/>
                <w:highlight w:val="none"/>
                <w:vertAlign w:val="baseline"/>
                <w:lang w:val="en-US" w:eastAsia="zh-CN"/>
              </w:rPr>
              <w:t>3</w:t>
            </w:r>
          </w:p>
        </w:tc>
        <w:tc>
          <w:tcPr>
            <w:tcW w:w="5465" w:type="dxa"/>
            <w:shd w:val="clear" w:color="auto" w:fill="auto"/>
            <w:noWrap w:val="0"/>
            <w:vAlign w:val="center"/>
          </w:tcPr>
          <w:p w14:paraId="58334299">
            <w:pPr>
              <w:keepNext w:val="0"/>
              <w:keepLines w:val="0"/>
              <w:widowControl/>
              <w:suppressLineNumbers w:val="0"/>
              <w:spacing w:line="400" w:lineRule="exact"/>
              <w:jc w:val="left"/>
              <w:textAlignment w:val="center"/>
              <w:rPr>
                <w:rFonts w:hint="default" w:ascii="仿宋" w:hAnsi="仿宋" w:eastAsia="仿宋" w:cs="仿宋"/>
                <w:i w:val="0"/>
                <w:iCs w:val="0"/>
                <w:color w:val="auto"/>
                <w:kern w:val="2"/>
                <w:sz w:val="24"/>
                <w:szCs w:val="24"/>
                <w:highlight w:val="none"/>
                <w:u w:val="none"/>
                <w:lang w:val="en-US" w:eastAsia="zh-CN" w:bidi="ar-SA"/>
              </w:rPr>
            </w:pPr>
            <w:r>
              <w:rPr>
                <w:rFonts w:hint="eastAsia" w:ascii="仿宋" w:hAnsi="仿宋" w:eastAsia="仿宋"/>
                <w:b/>
                <w:color w:val="auto"/>
                <w:sz w:val="24"/>
                <w:szCs w:val="24"/>
                <w:highlight w:val="none"/>
              </w:rPr>
              <w:t>三、保密承诺</w:t>
            </w:r>
          </w:p>
        </w:tc>
        <w:tc>
          <w:tcPr>
            <w:tcW w:w="3046" w:type="dxa"/>
            <w:noWrap w:val="0"/>
            <w:vAlign w:val="center"/>
          </w:tcPr>
          <w:p w14:paraId="53CDB13E">
            <w:pPr>
              <w:snapToGrid w:val="0"/>
              <w:spacing w:line="360" w:lineRule="auto"/>
              <w:jc w:val="center"/>
              <w:rPr>
                <w:rFonts w:hint="default" w:ascii="仿宋" w:hAnsi="仿宋" w:eastAsia="仿宋" w:cs="仿宋"/>
                <w:b w:val="0"/>
                <w:bCs w:val="0"/>
                <w:color w:val="auto"/>
                <w:sz w:val="24"/>
                <w:highlight w:val="none"/>
                <w:vertAlign w:val="baseline"/>
              </w:rPr>
            </w:pPr>
            <w:r>
              <w:rPr>
                <w:rFonts w:hint="default" w:ascii="仿宋" w:hAnsi="仿宋" w:eastAsia="仿宋" w:cs="仿宋"/>
                <w:b w:val="0"/>
                <w:bCs w:val="0"/>
                <w:color w:val="auto"/>
                <w:sz w:val="24"/>
                <w:highlight w:val="none"/>
              </w:rPr>
              <w:t>见投标文件第</w:t>
            </w:r>
            <w:r>
              <w:rPr>
                <w:rFonts w:hint="default" w:ascii="仿宋" w:hAnsi="仿宋" w:eastAsia="仿宋" w:cs="仿宋"/>
                <w:b w:val="0"/>
                <w:bCs w:val="0"/>
                <w:color w:val="auto"/>
                <w:sz w:val="24"/>
                <w:highlight w:val="none"/>
                <w:u w:val="single"/>
              </w:rPr>
              <w:t xml:space="preserve"> </w:t>
            </w:r>
            <w:r>
              <w:rPr>
                <w:rFonts w:hint="eastAsia" w:ascii="仿宋" w:hAnsi="仿宋" w:eastAsia="仿宋" w:cs="仿宋"/>
                <w:b w:val="0"/>
                <w:bCs w:val="0"/>
                <w:color w:val="auto"/>
                <w:sz w:val="24"/>
                <w:highlight w:val="none"/>
                <w:u w:val="single"/>
                <w:lang w:val="en-US" w:eastAsia="zh-CN"/>
              </w:rPr>
              <w:t xml:space="preserve">  </w:t>
            </w:r>
            <w:r>
              <w:rPr>
                <w:rFonts w:hint="default" w:ascii="仿宋" w:hAnsi="仿宋" w:eastAsia="仿宋" w:cs="仿宋"/>
                <w:b w:val="0"/>
                <w:bCs w:val="0"/>
                <w:color w:val="auto"/>
                <w:sz w:val="24"/>
                <w:highlight w:val="none"/>
                <w:u w:val="single"/>
              </w:rPr>
              <w:t xml:space="preserve"> </w:t>
            </w:r>
            <w:r>
              <w:rPr>
                <w:rFonts w:hint="default" w:ascii="仿宋" w:hAnsi="仿宋" w:eastAsia="仿宋" w:cs="仿宋"/>
                <w:b w:val="0"/>
                <w:bCs w:val="0"/>
                <w:color w:val="auto"/>
                <w:sz w:val="24"/>
                <w:highlight w:val="none"/>
              </w:rPr>
              <w:t>页</w:t>
            </w:r>
          </w:p>
        </w:tc>
      </w:tr>
      <w:tr w14:paraId="05914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noWrap w:val="0"/>
            <w:vAlign w:val="center"/>
          </w:tcPr>
          <w:p w14:paraId="47F6572C">
            <w:pPr>
              <w:snapToGrid w:val="0"/>
              <w:spacing w:line="360" w:lineRule="auto"/>
              <w:jc w:val="center"/>
              <w:rPr>
                <w:rFonts w:hint="default" w:ascii="仿宋" w:hAnsi="仿宋" w:eastAsia="仿宋" w:cs="仿宋"/>
                <w:b w:val="0"/>
                <w:bCs w:val="0"/>
                <w:color w:val="auto"/>
                <w:sz w:val="24"/>
                <w:highlight w:val="none"/>
                <w:vertAlign w:val="baseline"/>
                <w:lang w:val="en-US" w:eastAsia="zh-CN"/>
              </w:rPr>
            </w:pPr>
            <w:r>
              <w:rPr>
                <w:rFonts w:hint="eastAsia" w:ascii="仿宋" w:hAnsi="仿宋" w:eastAsia="仿宋" w:cs="仿宋"/>
                <w:b w:val="0"/>
                <w:bCs w:val="0"/>
                <w:color w:val="auto"/>
                <w:sz w:val="24"/>
                <w:highlight w:val="none"/>
                <w:vertAlign w:val="baseline"/>
                <w:lang w:val="en-US" w:eastAsia="zh-CN"/>
              </w:rPr>
              <w:t>4</w:t>
            </w:r>
          </w:p>
        </w:tc>
        <w:tc>
          <w:tcPr>
            <w:tcW w:w="5465" w:type="dxa"/>
            <w:shd w:val="clear" w:color="auto" w:fill="auto"/>
            <w:noWrap w:val="0"/>
            <w:vAlign w:val="center"/>
          </w:tcPr>
          <w:p w14:paraId="2F02E4C3">
            <w:pPr>
              <w:keepNext w:val="0"/>
              <w:keepLines w:val="0"/>
              <w:widowControl/>
              <w:suppressLineNumbers w:val="0"/>
              <w:spacing w:line="400" w:lineRule="exact"/>
              <w:jc w:val="left"/>
              <w:textAlignment w:val="center"/>
              <w:rPr>
                <w:rFonts w:hint="default" w:ascii="仿宋" w:hAnsi="仿宋" w:eastAsia="仿宋" w:cs="仿宋"/>
                <w:i w:val="0"/>
                <w:iCs w:val="0"/>
                <w:color w:val="auto"/>
                <w:kern w:val="2"/>
                <w:sz w:val="24"/>
                <w:szCs w:val="24"/>
                <w:highlight w:val="none"/>
                <w:u w:val="none"/>
                <w:lang w:val="en-US" w:eastAsia="zh-CN" w:bidi="ar-SA"/>
              </w:rPr>
            </w:pPr>
            <w:r>
              <w:rPr>
                <w:rFonts w:hint="eastAsia" w:ascii="仿宋" w:hAnsi="仿宋" w:eastAsia="仿宋"/>
                <w:b/>
                <w:color w:val="auto"/>
                <w:sz w:val="24"/>
                <w:szCs w:val="24"/>
                <w:highlight w:val="none"/>
              </w:rPr>
              <w:t>四、网络安全责任与义务承诺</w:t>
            </w:r>
          </w:p>
        </w:tc>
        <w:tc>
          <w:tcPr>
            <w:tcW w:w="3046" w:type="dxa"/>
            <w:noWrap w:val="0"/>
            <w:vAlign w:val="center"/>
          </w:tcPr>
          <w:p w14:paraId="6F93BD96">
            <w:pPr>
              <w:snapToGrid w:val="0"/>
              <w:spacing w:line="360" w:lineRule="auto"/>
              <w:jc w:val="center"/>
              <w:rPr>
                <w:rFonts w:hint="default" w:ascii="仿宋" w:hAnsi="仿宋" w:eastAsia="仿宋" w:cs="仿宋"/>
                <w:b w:val="0"/>
                <w:bCs w:val="0"/>
                <w:color w:val="auto"/>
                <w:sz w:val="24"/>
                <w:highlight w:val="none"/>
              </w:rPr>
            </w:pPr>
            <w:r>
              <w:rPr>
                <w:rFonts w:hint="default" w:ascii="仿宋" w:hAnsi="仿宋" w:eastAsia="仿宋" w:cs="仿宋"/>
                <w:b w:val="0"/>
                <w:bCs w:val="0"/>
                <w:color w:val="auto"/>
                <w:sz w:val="24"/>
                <w:highlight w:val="none"/>
              </w:rPr>
              <w:t>见投标文件第</w:t>
            </w:r>
            <w:r>
              <w:rPr>
                <w:rFonts w:hint="default" w:ascii="仿宋" w:hAnsi="仿宋" w:eastAsia="仿宋" w:cs="仿宋"/>
                <w:b w:val="0"/>
                <w:bCs w:val="0"/>
                <w:color w:val="auto"/>
                <w:sz w:val="24"/>
                <w:highlight w:val="none"/>
                <w:u w:val="single"/>
              </w:rPr>
              <w:t xml:space="preserve"> </w:t>
            </w:r>
            <w:r>
              <w:rPr>
                <w:rFonts w:hint="eastAsia" w:ascii="仿宋" w:hAnsi="仿宋" w:eastAsia="仿宋" w:cs="仿宋"/>
                <w:b w:val="0"/>
                <w:bCs w:val="0"/>
                <w:color w:val="auto"/>
                <w:sz w:val="24"/>
                <w:highlight w:val="none"/>
                <w:u w:val="single"/>
                <w:lang w:val="en-US" w:eastAsia="zh-CN"/>
              </w:rPr>
              <w:t xml:space="preserve">  </w:t>
            </w:r>
            <w:r>
              <w:rPr>
                <w:rFonts w:hint="default" w:ascii="仿宋" w:hAnsi="仿宋" w:eastAsia="仿宋" w:cs="仿宋"/>
                <w:b w:val="0"/>
                <w:bCs w:val="0"/>
                <w:color w:val="auto"/>
                <w:sz w:val="24"/>
                <w:highlight w:val="none"/>
                <w:u w:val="single"/>
              </w:rPr>
              <w:t xml:space="preserve"> </w:t>
            </w:r>
            <w:r>
              <w:rPr>
                <w:rFonts w:hint="default" w:ascii="仿宋" w:hAnsi="仿宋" w:eastAsia="仿宋" w:cs="仿宋"/>
                <w:b w:val="0"/>
                <w:bCs w:val="0"/>
                <w:color w:val="auto"/>
                <w:sz w:val="24"/>
                <w:highlight w:val="none"/>
              </w:rPr>
              <w:t>页</w:t>
            </w:r>
          </w:p>
        </w:tc>
      </w:tr>
      <w:tr w14:paraId="0E204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noWrap w:val="0"/>
            <w:vAlign w:val="center"/>
          </w:tcPr>
          <w:p w14:paraId="43CA1227">
            <w:pPr>
              <w:snapToGrid w:val="0"/>
              <w:spacing w:line="360" w:lineRule="auto"/>
              <w:jc w:val="center"/>
              <w:rPr>
                <w:rFonts w:hint="default" w:ascii="仿宋" w:hAnsi="仿宋" w:eastAsia="仿宋" w:cs="仿宋"/>
                <w:color w:val="auto"/>
                <w:kern w:val="2"/>
                <w:sz w:val="24"/>
                <w:highlight w:val="none"/>
                <w:lang w:val="en-US" w:eastAsia="zh-CN"/>
              </w:rPr>
            </w:pPr>
            <w:r>
              <w:rPr>
                <w:rFonts w:hint="eastAsia" w:ascii="仿宋" w:hAnsi="仿宋" w:eastAsia="仿宋" w:cs="仿宋"/>
                <w:color w:val="auto"/>
                <w:kern w:val="2"/>
                <w:sz w:val="24"/>
                <w:highlight w:val="none"/>
                <w:lang w:val="en-US" w:eastAsia="zh-CN"/>
              </w:rPr>
              <w:t>5</w:t>
            </w:r>
          </w:p>
        </w:tc>
        <w:tc>
          <w:tcPr>
            <w:tcW w:w="5465" w:type="dxa"/>
            <w:shd w:val="clear" w:color="auto" w:fill="auto"/>
            <w:noWrap w:val="0"/>
            <w:vAlign w:val="center"/>
          </w:tcPr>
          <w:p w14:paraId="35F5FF5C">
            <w:pPr>
              <w:keepNext w:val="0"/>
              <w:keepLines w:val="0"/>
              <w:widowControl/>
              <w:suppressLineNumbers w:val="0"/>
              <w:spacing w:line="400" w:lineRule="exact"/>
              <w:jc w:val="left"/>
              <w:textAlignment w:val="center"/>
              <w:rPr>
                <w:rFonts w:hint="default" w:ascii="仿宋" w:hAnsi="仿宋" w:eastAsia="仿宋" w:cs="仿宋"/>
                <w:i w:val="0"/>
                <w:iCs w:val="0"/>
                <w:color w:val="auto"/>
                <w:kern w:val="2"/>
                <w:sz w:val="24"/>
                <w:szCs w:val="24"/>
                <w:highlight w:val="none"/>
                <w:u w:val="none"/>
                <w:lang w:val="en-US" w:eastAsia="zh-CN" w:bidi="ar-SA"/>
              </w:rPr>
            </w:pPr>
            <w:r>
              <w:rPr>
                <w:rFonts w:hint="eastAsia" w:ascii="仿宋" w:hAnsi="仿宋" w:eastAsia="仿宋" w:cs="仿宋"/>
                <w:b/>
                <w:color w:val="auto"/>
                <w:sz w:val="24"/>
                <w:szCs w:val="24"/>
                <w:highlight w:val="none"/>
                <w:lang w:val="zh-CN"/>
              </w:rPr>
              <w:t>五、项目组人员素质和经验情况</w:t>
            </w:r>
          </w:p>
        </w:tc>
        <w:tc>
          <w:tcPr>
            <w:tcW w:w="3046" w:type="dxa"/>
            <w:noWrap w:val="0"/>
            <w:vAlign w:val="center"/>
          </w:tcPr>
          <w:p w14:paraId="22102CE0">
            <w:pPr>
              <w:snapToGrid w:val="0"/>
              <w:spacing w:line="360" w:lineRule="auto"/>
              <w:jc w:val="center"/>
              <w:rPr>
                <w:rFonts w:hint="default" w:ascii="仿宋" w:hAnsi="仿宋" w:eastAsia="仿宋" w:cs="仿宋"/>
                <w:b w:val="0"/>
                <w:bCs w:val="0"/>
                <w:color w:val="auto"/>
                <w:sz w:val="24"/>
                <w:highlight w:val="none"/>
              </w:rPr>
            </w:pPr>
            <w:r>
              <w:rPr>
                <w:rFonts w:hint="default" w:ascii="仿宋" w:hAnsi="仿宋" w:eastAsia="仿宋" w:cs="仿宋"/>
                <w:b w:val="0"/>
                <w:bCs w:val="0"/>
                <w:color w:val="auto"/>
                <w:sz w:val="24"/>
                <w:highlight w:val="none"/>
              </w:rPr>
              <w:t>见投标文件第</w:t>
            </w:r>
            <w:r>
              <w:rPr>
                <w:rFonts w:hint="default" w:ascii="仿宋" w:hAnsi="仿宋" w:eastAsia="仿宋" w:cs="仿宋"/>
                <w:b w:val="0"/>
                <w:bCs w:val="0"/>
                <w:color w:val="auto"/>
                <w:sz w:val="24"/>
                <w:highlight w:val="none"/>
                <w:u w:val="single"/>
              </w:rPr>
              <w:t xml:space="preserve"> </w:t>
            </w:r>
            <w:r>
              <w:rPr>
                <w:rFonts w:hint="eastAsia" w:ascii="仿宋" w:hAnsi="仿宋" w:eastAsia="仿宋" w:cs="仿宋"/>
                <w:b w:val="0"/>
                <w:bCs w:val="0"/>
                <w:color w:val="auto"/>
                <w:sz w:val="24"/>
                <w:highlight w:val="none"/>
                <w:u w:val="single"/>
                <w:lang w:val="en-US" w:eastAsia="zh-CN"/>
              </w:rPr>
              <w:t xml:space="preserve">  </w:t>
            </w:r>
            <w:r>
              <w:rPr>
                <w:rFonts w:hint="default" w:ascii="仿宋" w:hAnsi="仿宋" w:eastAsia="仿宋" w:cs="仿宋"/>
                <w:b w:val="0"/>
                <w:bCs w:val="0"/>
                <w:color w:val="auto"/>
                <w:sz w:val="24"/>
                <w:highlight w:val="none"/>
                <w:u w:val="single"/>
              </w:rPr>
              <w:t xml:space="preserve"> </w:t>
            </w:r>
            <w:r>
              <w:rPr>
                <w:rFonts w:hint="default" w:ascii="仿宋" w:hAnsi="仿宋" w:eastAsia="仿宋" w:cs="仿宋"/>
                <w:b w:val="0"/>
                <w:bCs w:val="0"/>
                <w:color w:val="auto"/>
                <w:sz w:val="24"/>
                <w:highlight w:val="none"/>
              </w:rPr>
              <w:t>页</w:t>
            </w:r>
          </w:p>
        </w:tc>
      </w:tr>
      <w:tr w14:paraId="0C867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noWrap w:val="0"/>
            <w:vAlign w:val="center"/>
          </w:tcPr>
          <w:p w14:paraId="0397C7AE">
            <w:pPr>
              <w:snapToGrid w:val="0"/>
              <w:spacing w:line="360" w:lineRule="auto"/>
              <w:jc w:val="center"/>
              <w:rPr>
                <w:rFonts w:hint="default" w:ascii="仿宋" w:hAnsi="仿宋" w:eastAsia="仿宋" w:cs="仿宋"/>
                <w:color w:val="auto"/>
                <w:kern w:val="2"/>
                <w:sz w:val="24"/>
                <w:highlight w:val="none"/>
                <w:lang w:val="en-US" w:eastAsia="zh-CN"/>
              </w:rPr>
            </w:pPr>
            <w:r>
              <w:rPr>
                <w:rFonts w:hint="eastAsia" w:ascii="仿宋" w:hAnsi="仿宋" w:eastAsia="仿宋" w:cs="仿宋"/>
                <w:color w:val="auto"/>
                <w:kern w:val="2"/>
                <w:sz w:val="24"/>
                <w:highlight w:val="none"/>
                <w:lang w:val="en-US" w:eastAsia="zh-CN"/>
              </w:rPr>
              <w:t>6</w:t>
            </w:r>
          </w:p>
        </w:tc>
        <w:tc>
          <w:tcPr>
            <w:tcW w:w="5465" w:type="dxa"/>
            <w:shd w:val="clear" w:color="auto" w:fill="auto"/>
            <w:noWrap w:val="0"/>
            <w:vAlign w:val="center"/>
          </w:tcPr>
          <w:p w14:paraId="1DDFB2E6">
            <w:pPr>
              <w:keepNext w:val="0"/>
              <w:keepLines w:val="0"/>
              <w:widowControl/>
              <w:suppressLineNumbers w:val="0"/>
              <w:spacing w:line="400" w:lineRule="exact"/>
              <w:jc w:val="left"/>
              <w:textAlignment w:val="center"/>
              <w:rPr>
                <w:rFonts w:hint="default" w:ascii="仿宋" w:hAnsi="仿宋" w:eastAsia="仿宋" w:cs="仿宋"/>
                <w:i w:val="0"/>
                <w:iCs w:val="0"/>
                <w:color w:val="auto"/>
                <w:kern w:val="2"/>
                <w:sz w:val="24"/>
                <w:szCs w:val="24"/>
                <w:highlight w:val="none"/>
                <w:u w:val="none"/>
                <w:lang w:val="en-US" w:eastAsia="zh-CN" w:bidi="ar-SA"/>
              </w:rPr>
            </w:pPr>
            <w:r>
              <w:rPr>
                <w:rFonts w:hint="eastAsia" w:ascii="仿宋" w:hAnsi="仿宋" w:eastAsia="仿宋" w:cs="仿宋"/>
                <w:b/>
                <w:color w:val="auto"/>
                <w:sz w:val="24"/>
                <w:szCs w:val="24"/>
                <w:highlight w:val="none"/>
                <w:lang w:val="zh-CN"/>
              </w:rPr>
              <w:t>六、</w:t>
            </w:r>
            <w:r>
              <w:rPr>
                <w:rFonts w:hint="eastAsia" w:ascii="仿宋" w:hAnsi="仿宋" w:eastAsia="仿宋" w:cs="仿宋"/>
                <w:b/>
                <w:color w:val="auto"/>
                <w:sz w:val="24"/>
                <w:szCs w:val="24"/>
                <w:highlight w:val="none"/>
              </w:rPr>
              <w:t>投标人服务承诺情况</w:t>
            </w:r>
            <w:r>
              <w:rPr>
                <w:rFonts w:ascii="仿宋" w:hAnsi="仿宋" w:eastAsia="仿宋" w:cs="仿宋"/>
                <w:b/>
                <w:color w:val="auto"/>
                <w:sz w:val="24"/>
                <w:szCs w:val="24"/>
                <w:highlight w:val="none"/>
              </w:rPr>
              <w:t xml:space="preserve"> </w:t>
            </w:r>
          </w:p>
        </w:tc>
        <w:tc>
          <w:tcPr>
            <w:tcW w:w="3046" w:type="dxa"/>
            <w:noWrap w:val="0"/>
            <w:vAlign w:val="center"/>
          </w:tcPr>
          <w:p w14:paraId="27E3053D">
            <w:pPr>
              <w:snapToGrid w:val="0"/>
              <w:spacing w:line="360" w:lineRule="auto"/>
              <w:jc w:val="center"/>
              <w:rPr>
                <w:rFonts w:hint="default" w:ascii="仿宋" w:hAnsi="仿宋" w:eastAsia="仿宋" w:cs="仿宋"/>
                <w:b w:val="0"/>
                <w:bCs w:val="0"/>
                <w:color w:val="auto"/>
                <w:sz w:val="24"/>
                <w:highlight w:val="none"/>
              </w:rPr>
            </w:pPr>
            <w:r>
              <w:rPr>
                <w:rFonts w:hint="default" w:ascii="仿宋" w:hAnsi="仿宋" w:eastAsia="仿宋" w:cs="仿宋"/>
                <w:b w:val="0"/>
                <w:bCs w:val="0"/>
                <w:color w:val="auto"/>
                <w:sz w:val="24"/>
                <w:highlight w:val="none"/>
              </w:rPr>
              <w:t>见投标文件第</w:t>
            </w:r>
            <w:r>
              <w:rPr>
                <w:rFonts w:hint="default" w:ascii="仿宋" w:hAnsi="仿宋" w:eastAsia="仿宋" w:cs="仿宋"/>
                <w:b w:val="0"/>
                <w:bCs w:val="0"/>
                <w:color w:val="auto"/>
                <w:sz w:val="24"/>
                <w:highlight w:val="none"/>
                <w:u w:val="single"/>
              </w:rPr>
              <w:t xml:space="preserve"> </w:t>
            </w:r>
            <w:r>
              <w:rPr>
                <w:rFonts w:hint="eastAsia" w:ascii="仿宋" w:hAnsi="仿宋" w:eastAsia="仿宋" w:cs="仿宋"/>
                <w:b w:val="0"/>
                <w:bCs w:val="0"/>
                <w:color w:val="auto"/>
                <w:sz w:val="24"/>
                <w:highlight w:val="none"/>
                <w:u w:val="single"/>
                <w:lang w:val="en-US" w:eastAsia="zh-CN"/>
              </w:rPr>
              <w:t xml:space="preserve">  </w:t>
            </w:r>
            <w:r>
              <w:rPr>
                <w:rFonts w:hint="default" w:ascii="仿宋" w:hAnsi="仿宋" w:eastAsia="仿宋" w:cs="仿宋"/>
                <w:b w:val="0"/>
                <w:bCs w:val="0"/>
                <w:color w:val="auto"/>
                <w:sz w:val="24"/>
                <w:highlight w:val="none"/>
                <w:u w:val="single"/>
              </w:rPr>
              <w:t xml:space="preserve"> </w:t>
            </w:r>
            <w:r>
              <w:rPr>
                <w:rFonts w:hint="default" w:ascii="仿宋" w:hAnsi="仿宋" w:eastAsia="仿宋" w:cs="仿宋"/>
                <w:b w:val="0"/>
                <w:bCs w:val="0"/>
                <w:color w:val="auto"/>
                <w:sz w:val="24"/>
                <w:highlight w:val="none"/>
              </w:rPr>
              <w:t>页</w:t>
            </w:r>
          </w:p>
        </w:tc>
      </w:tr>
      <w:tr w14:paraId="007A50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noWrap w:val="0"/>
            <w:vAlign w:val="center"/>
          </w:tcPr>
          <w:p w14:paraId="380C2CF2">
            <w:pPr>
              <w:snapToGrid w:val="0"/>
              <w:spacing w:line="360" w:lineRule="auto"/>
              <w:jc w:val="center"/>
              <w:rPr>
                <w:rFonts w:hint="default" w:ascii="仿宋" w:hAnsi="仿宋" w:eastAsia="仿宋" w:cs="仿宋"/>
                <w:color w:val="auto"/>
                <w:kern w:val="2"/>
                <w:sz w:val="24"/>
                <w:highlight w:val="none"/>
                <w:lang w:val="en-US" w:eastAsia="zh-CN"/>
              </w:rPr>
            </w:pPr>
            <w:r>
              <w:rPr>
                <w:rFonts w:hint="eastAsia" w:ascii="仿宋" w:hAnsi="仿宋" w:eastAsia="仿宋" w:cs="仿宋"/>
                <w:color w:val="auto"/>
                <w:kern w:val="2"/>
                <w:sz w:val="24"/>
                <w:highlight w:val="none"/>
                <w:lang w:val="en-US" w:eastAsia="zh-CN"/>
              </w:rPr>
              <w:t>7</w:t>
            </w:r>
          </w:p>
        </w:tc>
        <w:tc>
          <w:tcPr>
            <w:tcW w:w="5465" w:type="dxa"/>
            <w:shd w:val="clear" w:color="auto" w:fill="auto"/>
            <w:noWrap w:val="0"/>
            <w:vAlign w:val="center"/>
          </w:tcPr>
          <w:p w14:paraId="5D38236E">
            <w:pPr>
              <w:keepNext w:val="0"/>
              <w:keepLines w:val="0"/>
              <w:widowControl/>
              <w:suppressLineNumbers w:val="0"/>
              <w:spacing w:line="400" w:lineRule="exact"/>
              <w:jc w:val="left"/>
              <w:textAlignment w:val="center"/>
              <w:rPr>
                <w:rFonts w:hint="default" w:ascii="仿宋" w:hAnsi="仿宋" w:eastAsia="仿宋" w:cs="仿宋"/>
                <w:i w:val="0"/>
                <w:iCs w:val="0"/>
                <w:color w:val="auto"/>
                <w:kern w:val="2"/>
                <w:sz w:val="24"/>
                <w:szCs w:val="24"/>
                <w:highlight w:val="none"/>
                <w:u w:val="none"/>
                <w:lang w:val="en-US" w:eastAsia="zh-CN" w:bidi="ar-SA"/>
              </w:rPr>
            </w:pPr>
            <w:r>
              <w:rPr>
                <w:rFonts w:hint="eastAsia" w:ascii="仿宋" w:hAnsi="仿宋" w:eastAsia="仿宋" w:cs="仿宋"/>
                <w:b/>
                <w:color w:val="auto"/>
                <w:sz w:val="24"/>
                <w:szCs w:val="24"/>
                <w:highlight w:val="none"/>
                <w:lang w:val="zh-CN"/>
              </w:rPr>
              <w:t>七、投标人的资信和业绩情况</w:t>
            </w:r>
            <w:r>
              <w:rPr>
                <w:rFonts w:ascii="仿宋" w:hAnsi="仿宋" w:eastAsia="仿宋" w:cs="仿宋"/>
                <w:b/>
                <w:color w:val="auto"/>
                <w:sz w:val="24"/>
                <w:szCs w:val="24"/>
                <w:highlight w:val="none"/>
              </w:rPr>
              <w:t xml:space="preserve"> </w:t>
            </w:r>
          </w:p>
        </w:tc>
        <w:tc>
          <w:tcPr>
            <w:tcW w:w="3046" w:type="dxa"/>
            <w:noWrap w:val="0"/>
            <w:vAlign w:val="center"/>
          </w:tcPr>
          <w:p w14:paraId="2BEA99A5">
            <w:pPr>
              <w:snapToGrid w:val="0"/>
              <w:spacing w:line="360" w:lineRule="auto"/>
              <w:jc w:val="center"/>
              <w:rPr>
                <w:rFonts w:hint="default" w:ascii="仿宋" w:hAnsi="仿宋" w:eastAsia="仿宋" w:cs="仿宋"/>
                <w:b w:val="0"/>
                <w:bCs w:val="0"/>
                <w:color w:val="auto"/>
                <w:sz w:val="24"/>
                <w:highlight w:val="none"/>
              </w:rPr>
            </w:pPr>
            <w:r>
              <w:rPr>
                <w:rFonts w:hint="default" w:ascii="仿宋" w:hAnsi="仿宋" w:eastAsia="仿宋" w:cs="仿宋"/>
                <w:b w:val="0"/>
                <w:bCs w:val="0"/>
                <w:color w:val="auto"/>
                <w:sz w:val="24"/>
                <w:highlight w:val="none"/>
              </w:rPr>
              <w:t>见投标文件第</w:t>
            </w:r>
            <w:r>
              <w:rPr>
                <w:rFonts w:hint="default" w:ascii="仿宋" w:hAnsi="仿宋" w:eastAsia="仿宋" w:cs="仿宋"/>
                <w:b w:val="0"/>
                <w:bCs w:val="0"/>
                <w:color w:val="auto"/>
                <w:sz w:val="24"/>
                <w:highlight w:val="none"/>
                <w:u w:val="single"/>
              </w:rPr>
              <w:t xml:space="preserve"> </w:t>
            </w:r>
            <w:r>
              <w:rPr>
                <w:rFonts w:hint="eastAsia" w:ascii="仿宋" w:hAnsi="仿宋" w:eastAsia="仿宋" w:cs="仿宋"/>
                <w:b w:val="0"/>
                <w:bCs w:val="0"/>
                <w:color w:val="auto"/>
                <w:sz w:val="24"/>
                <w:highlight w:val="none"/>
                <w:u w:val="single"/>
                <w:lang w:val="en-US" w:eastAsia="zh-CN"/>
              </w:rPr>
              <w:t xml:space="preserve">  </w:t>
            </w:r>
            <w:r>
              <w:rPr>
                <w:rFonts w:hint="default" w:ascii="仿宋" w:hAnsi="仿宋" w:eastAsia="仿宋" w:cs="仿宋"/>
                <w:b w:val="0"/>
                <w:bCs w:val="0"/>
                <w:color w:val="auto"/>
                <w:sz w:val="24"/>
                <w:highlight w:val="none"/>
                <w:u w:val="single"/>
              </w:rPr>
              <w:t xml:space="preserve"> </w:t>
            </w:r>
            <w:r>
              <w:rPr>
                <w:rFonts w:hint="default" w:ascii="仿宋" w:hAnsi="仿宋" w:eastAsia="仿宋" w:cs="仿宋"/>
                <w:b w:val="0"/>
                <w:bCs w:val="0"/>
                <w:color w:val="auto"/>
                <w:sz w:val="24"/>
                <w:highlight w:val="none"/>
              </w:rPr>
              <w:t>页</w:t>
            </w:r>
          </w:p>
        </w:tc>
      </w:tr>
      <w:tr w14:paraId="5E4A4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shd w:val="clear" w:color="auto" w:fill="auto"/>
            <w:noWrap w:val="0"/>
            <w:vAlign w:val="center"/>
          </w:tcPr>
          <w:p w14:paraId="31B4F62B">
            <w:pPr>
              <w:snapToGrid w:val="0"/>
              <w:spacing w:line="360" w:lineRule="auto"/>
              <w:jc w:val="center"/>
              <w:rPr>
                <w:rFonts w:hint="default"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1"/>
                <w:szCs w:val="21"/>
                <w:highlight w:val="none"/>
                <w:lang w:val="en-US" w:eastAsia="zh-CN" w:bidi="ar-SA"/>
              </w:rPr>
              <w:t>……</w:t>
            </w:r>
          </w:p>
        </w:tc>
        <w:tc>
          <w:tcPr>
            <w:tcW w:w="5465" w:type="dxa"/>
            <w:shd w:val="clear" w:color="auto" w:fill="auto"/>
            <w:noWrap w:val="0"/>
            <w:vAlign w:val="center"/>
          </w:tcPr>
          <w:p w14:paraId="6C46207F">
            <w:pPr>
              <w:snapToGrid w:val="0"/>
              <w:spacing w:line="360" w:lineRule="auto"/>
              <w:jc w:val="center"/>
              <w:rPr>
                <w:rFonts w:hint="default" w:ascii="仿宋" w:hAnsi="仿宋" w:eastAsia="仿宋" w:cs="仿宋"/>
                <w:color w:val="auto"/>
                <w:kern w:val="2"/>
                <w:sz w:val="21"/>
                <w:szCs w:val="21"/>
                <w:highlight w:val="none"/>
                <w:lang w:val="en-US" w:eastAsia="zh-CN" w:bidi="ar-SA"/>
              </w:rPr>
            </w:pPr>
          </w:p>
        </w:tc>
        <w:tc>
          <w:tcPr>
            <w:tcW w:w="3046" w:type="dxa"/>
            <w:noWrap w:val="0"/>
            <w:vAlign w:val="center"/>
          </w:tcPr>
          <w:p w14:paraId="53DFAFAC">
            <w:pPr>
              <w:snapToGrid w:val="0"/>
              <w:spacing w:line="360" w:lineRule="auto"/>
              <w:jc w:val="center"/>
              <w:rPr>
                <w:rFonts w:hint="default" w:ascii="仿宋" w:hAnsi="仿宋" w:eastAsia="仿宋" w:cs="仿宋"/>
                <w:b w:val="0"/>
                <w:bCs w:val="0"/>
                <w:color w:val="auto"/>
                <w:sz w:val="24"/>
                <w:highlight w:val="none"/>
              </w:rPr>
            </w:pPr>
          </w:p>
        </w:tc>
      </w:tr>
      <w:tr w14:paraId="46974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noWrap w:val="0"/>
            <w:vAlign w:val="center"/>
          </w:tcPr>
          <w:p w14:paraId="777EC585">
            <w:pPr>
              <w:snapToGrid w:val="0"/>
              <w:spacing w:line="360" w:lineRule="auto"/>
              <w:jc w:val="center"/>
              <w:rPr>
                <w:rFonts w:hint="default" w:ascii="仿宋" w:hAnsi="仿宋" w:eastAsia="仿宋" w:cs="仿宋"/>
                <w:color w:val="auto"/>
                <w:kern w:val="2"/>
                <w:sz w:val="24"/>
                <w:highlight w:val="none"/>
                <w:lang w:val="en-US" w:eastAsia="zh-CN"/>
              </w:rPr>
            </w:pPr>
          </w:p>
        </w:tc>
        <w:tc>
          <w:tcPr>
            <w:tcW w:w="5465" w:type="dxa"/>
            <w:noWrap w:val="0"/>
            <w:vAlign w:val="center"/>
          </w:tcPr>
          <w:p w14:paraId="3E00EC00">
            <w:pPr>
              <w:snapToGrid w:val="0"/>
              <w:spacing w:line="360" w:lineRule="auto"/>
              <w:jc w:val="center"/>
              <w:rPr>
                <w:rFonts w:hint="default" w:ascii="仿宋" w:hAnsi="仿宋" w:eastAsia="仿宋" w:cs="仿宋"/>
                <w:color w:val="auto"/>
                <w:kern w:val="2"/>
                <w:sz w:val="21"/>
                <w:szCs w:val="21"/>
                <w:highlight w:val="none"/>
                <w:lang w:val="en-US" w:eastAsia="zh-CN" w:bidi="ar-SA"/>
              </w:rPr>
            </w:pPr>
          </w:p>
        </w:tc>
        <w:tc>
          <w:tcPr>
            <w:tcW w:w="3046" w:type="dxa"/>
            <w:noWrap w:val="0"/>
            <w:vAlign w:val="center"/>
          </w:tcPr>
          <w:p w14:paraId="171B608F">
            <w:pPr>
              <w:snapToGrid w:val="0"/>
              <w:spacing w:line="360" w:lineRule="auto"/>
              <w:jc w:val="center"/>
              <w:rPr>
                <w:rFonts w:hint="default" w:ascii="仿宋" w:hAnsi="仿宋" w:eastAsia="仿宋" w:cs="仿宋"/>
                <w:b w:val="0"/>
                <w:bCs w:val="0"/>
                <w:color w:val="auto"/>
                <w:sz w:val="24"/>
                <w:highlight w:val="none"/>
              </w:rPr>
            </w:pPr>
          </w:p>
        </w:tc>
      </w:tr>
    </w:tbl>
    <w:p w14:paraId="2253DF5C">
      <w:pPr>
        <w:pStyle w:val="98"/>
        <w:rPr>
          <w:rFonts w:hint="eastAsia"/>
          <w:color w:val="auto"/>
          <w:highlight w:val="none"/>
        </w:rPr>
      </w:pPr>
    </w:p>
    <w:p w14:paraId="37F6F263">
      <w:pPr>
        <w:ind w:left="0" w:leftChars="0" w:firstLine="0" w:firstLineChars="0"/>
        <w:jc w:val="center"/>
        <w:rPr>
          <w:rFonts w:hint="eastAsia" w:ascii="仿宋" w:hAnsi="仿宋" w:eastAsia="仿宋" w:cs="仿宋"/>
          <w:b/>
          <w:color w:val="auto"/>
          <w:kern w:val="0"/>
          <w:sz w:val="32"/>
          <w:szCs w:val="32"/>
          <w:highlight w:val="none"/>
        </w:rPr>
      </w:pPr>
      <w:r>
        <w:rPr>
          <w:rFonts w:hint="eastAsia" w:ascii="仿宋" w:hAnsi="仿宋" w:eastAsia="仿宋" w:cs="仿宋"/>
          <w:b/>
          <w:color w:val="auto"/>
          <w:kern w:val="0"/>
          <w:sz w:val="32"/>
          <w:szCs w:val="32"/>
          <w:highlight w:val="none"/>
        </w:rPr>
        <w:t>项目</w:t>
      </w:r>
      <w:r>
        <w:rPr>
          <w:rFonts w:hint="eastAsia" w:ascii="仿宋" w:hAnsi="仿宋" w:eastAsia="仿宋" w:cs="仿宋"/>
          <w:b/>
          <w:color w:val="auto"/>
          <w:kern w:val="0"/>
          <w:sz w:val="32"/>
          <w:szCs w:val="32"/>
          <w:highlight w:val="none"/>
          <w:lang w:val="en-US" w:eastAsia="zh-CN"/>
        </w:rPr>
        <w:t>服务</w:t>
      </w:r>
      <w:r>
        <w:rPr>
          <w:rFonts w:hint="eastAsia" w:ascii="仿宋" w:hAnsi="仿宋" w:eastAsia="仿宋" w:cs="仿宋"/>
          <w:b/>
          <w:color w:val="auto"/>
          <w:kern w:val="0"/>
          <w:sz w:val="32"/>
          <w:szCs w:val="32"/>
          <w:highlight w:val="none"/>
        </w:rPr>
        <w:t>人员清单</w:t>
      </w:r>
    </w:p>
    <w:tbl>
      <w:tblPr>
        <w:tblStyle w:val="8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76"/>
        <w:gridCol w:w="1018"/>
        <w:gridCol w:w="1174"/>
        <w:gridCol w:w="1276"/>
        <w:gridCol w:w="1426"/>
        <w:gridCol w:w="1276"/>
        <w:gridCol w:w="1272"/>
        <w:gridCol w:w="1268"/>
      </w:tblGrid>
      <w:tr w14:paraId="38B10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310" w:type="pct"/>
            <w:tcBorders>
              <w:top w:val="single" w:color="auto" w:sz="4" w:space="0"/>
              <w:left w:val="single" w:color="auto" w:sz="4" w:space="0"/>
              <w:bottom w:val="single" w:color="auto" w:sz="4" w:space="0"/>
              <w:right w:val="single" w:color="auto" w:sz="4" w:space="0"/>
            </w:tcBorders>
            <w:noWrap w:val="0"/>
            <w:vAlign w:val="center"/>
          </w:tcPr>
          <w:p w14:paraId="62EA1CD1">
            <w:pPr>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序号</w:t>
            </w:r>
          </w:p>
        </w:tc>
        <w:tc>
          <w:tcPr>
            <w:tcW w:w="548" w:type="pct"/>
            <w:tcBorders>
              <w:top w:val="single" w:color="auto" w:sz="4" w:space="0"/>
              <w:left w:val="single" w:color="auto" w:sz="4" w:space="0"/>
              <w:bottom w:val="single" w:color="auto" w:sz="4" w:space="0"/>
              <w:right w:val="single" w:color="auto" w:sz="4" w:space="0"/>
            </w:tcBorders>
            <w:noWrap w:val="0"/>
            <w:vAlign w:val="center"/>
          </w:tcPr>
          <w:p w14:paraId="1CD94239">
            <w:pPr>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姓名</w:t>
            </w:r>
          </w:p>
        </w:tc>
        <w:tc>
          <w:tcPr>
            <w:tcW w:w="632" w:type="pct"/>
            <w:tcBorders>
              <w:top w:val="single" w:color="auto" w:sz="4" w:space="0"/>
              <w:left w:val="single" w:color="auto" w:sz="4" w:space="0"/>
              <w:bottom w:val="single" w:color="auto" w:sz="4" w:space="0"/>
              <w:right w:val="single" w:color="auto" w:sz="4" w:space="0"/>
            </w:tcBorders>
            <w:noWrap w:val="0"/>
            <w:vAlign w:val="center"/>
          </w:tcPr>
          <w:p w14:paraId="24C1D501">
            <w:pPr>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联系方式</w:t>
            </w:r>
          </w:p>
        </w:tc>
        <w:tc>
          <w:tcPr>
            <w:tcW w:w="687" w:type="pct"/>
            <w:tcBorders>
              <w:top w:val="single" w:color="auto" w:sz="4" w:space="0"/>
              <w:left w:val="single" w:color="auto" w:sz="4" w:space="0"/>
              <w:bottom w:val="single" w:color="auto" w:sz="4" w:space="0"/>
              <w:right w:val="single" w:color="auto" w:sz="4" w:space="0"/>
            </w:tcBorders>
            <w:noWrap w:val="0"/>
            <w:vAlign w:val="center"/>
          </w:tcPr>
          <w:p w14:paraId="4D65D1F3">
            <w:pPr>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身份证号码</w:t>
            </w:r>
          </w:p>
        </w:tc>
        <w:tc>
          <w:tcPr>
            <w:tcW w:w="768" w:type="pct"/>
            <w:tcBorders>
              <w:top w:val="single" w:color="auto" w:sz="4" w:space="0"/>
              <w:left w:val="single" w:color="auto" w:sz="4" w:space="0"/>
              <w:bottom w:val="single" w:color="auto" w:sz="4" w:space="0"/>
              <w:right w:val="single" w:color="auto" w:sz="4" w:space="0"/>
            </w:tcBorders>
            <w:noWrap w:val="0"/>
            <w:vAlign w:val="center"/>
          </w:tcPr>
          <w:p w14:paraId="52B43E2D">
            <w:pPr>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本项目承担的岗位</w:t>
            </w:r>
          </w:p>
        </w:tc>
        <w:tc>
          <w:tcPr>
            <w:tcW w:w="687" w:type="pct"/>
            <w:tcBorders>
              <w:top w:val="single" w:color="auto" w:sz="4" w:space="0"/>
              <w:left w:val="single" w:color="auto" w:sz="4" w:space="0"/>
              <w:bottom w:val="single" w:color="auto" w:sz="4" w:space="0"/>
              <w:right w:val="single" w:color="auto" w:sz="4" w:space="0"/>
            </w:tcBorders>
            <w:noWrap w:val="0"/>
            <w:vAlign w:val="center"/>
          </w:tcPr>
          <w:p w14:paraId="17DB87D3">
            <w:pPr>
              <w:tabs>
                <w:tab w:val="left" w:pos="449"/>
              </w:tabs>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人员资历</w:t>
            </w:r>
          </w:p>
        </w:tc>
        <w:tc>
          <w:tcPr>
            <w:tcW w:w="685" w:type="pct"/>
            <w:tcBorders>
              <w:top w:val="single" w:color="auto" w:sz="4" w:space="0"/>
              <w:left w:val="single" w:color="auto" w:sz="4" w:space="0"/>
              <w:bottom w:val="single" w:color="auto" w:sz="4" w:space="0"/>
              <w:right w:val="single" w:color="auto" w:sz="4" w:space="0"/>
            </w:tcBorders>
            <w:noWrap w:val="0"/>
            <w:vAlign w:val="center"/>
          </w:tcPr>
          <w:p w14:paraId="61D0A011">
            <w:pPr>
              <w:tabs>
                <w:tab w:val="left" w:pos="449"/>
              </w:tabs>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人员资质证书</w:t>
            </w:r>
          </w:p>
        </w:tc>
        <w:tc>
          <w:tcPr>
            <w:tcW w:w="683" w:type="pct"/>
            <w:tcBorders>
              <w:top w:val="single" w:color="auto" w:sz="4" w:space="0"/>
              <w:left w:val="single" w:color="auto" w:sz="4" w:space="0"/>
              <w:bottom w:val="single" w:color="auto" w:sz="4" w:space="0"/>
              <w:right w:val="single" w:color="auto" w:sz="4" w:space="0"/>
            </w:tcBorders>
            <w:noWrap w:val="0"/>
            <w:vAlign w:val="center"/>
          </w:tcPr>
          <w:p w14:paraId="3C752E16">
            <w:pPr>
              <w:tabs>
                <w:tab w:val="left" w:pos="449"/>
              </w:tabs>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备注</w:t>
            </w:r>
          </w:p>
        </w:tc>
      </w:tr>
      <w:tr w14:paraId="4FE2F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jc w:val="center"/>
        </w:trPr>
        <w:tc>
          <w:tcPr>
            <w:tcW w:w="310" w:type="pct"/>
            <w:tcBorders>
              <w:top w:val="single" w:color="auto" w:sz="4" w:space="0"/>
              <w:left w:val="single" w:color="auto" w:sz="4" w:space="0"/>
              <w:bottom w:val="single" w:color="auto" w:sz="4" w:space="0"/>
              <w:right w:val="single" w:color="auto" w:sz="4" w:space="0"/>
            </w:tcBorders>
            <w:noWrap w:val="0"/>
            <w:vAlign w:val="center"/>
          </w:tcPr>
          <w:p w14:paraId="51DC7DAA">
            <w:pPr>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1</w:t>
            </w:r>
          </w:p>
        </w:tc>
        <w:tc>
          <w:tcPr>
            <w:tcW w:w="548" w:type="pct"/>
            <w:tcBorders>
              <w:top w:val="single" w:color="auto" w:sz="4" w:space="0"/>
              <w:left w:val="single" w:color="auto" w:sz="4" w:space="0"/>
              <w:bottom w:val="single" w:color="auto" w:sz="4" w:space="0"/>
              <w:right w:val="single" w:color="auto" w:sz="4" w:space="0"/>
            </w:tcBorders>
            <w:noWrap w:val="0"/>
            <w:vAlign w:val="center"/>
          </w:tcPr>
          <w:p w14:paraId="227F2DFC">
            <w:pPr>
              <w:jc w:val="center"/>
              <w:rPr>
                <w:rFonts w:hint="eastAsia" w:ascii="仿宋" w:hAnsi="仿宋" w:eastAsia="仿宋" w:cs="仿宋"/>
                <w:color w:val="auto"/>
                <w:szCs w:val="21"/>
                <w:highlight w:val="none"/>
              </w:rPr>
            </w:pPr>
          </w:p>
        </w:tc>
        <w:tc>
          <w:tcPr>
            <w:tcW w:w="632" w:type="pct"/>
            <w:tcBorders>
              <w:top w:val="single" w:color="auto" w:sz="4" w:space="0"/>
              <w:left w:val="single" w:color="auto" w:sz="4" w:space="0"/>
              <w:bottom w:val="single" w:color="auto" w:sz="4" w:space="0"/>
              <w:right w:val="single" w:color="auto" w:sz="4" w:space="0"/>
            </w:tcBorders>
            <w:noWrap w:val="0"/>
            <w:vAlign w:val="center"/>
          </w:tcPr>
          <w:p w14:paraId="204E2C4C">
            <w:pPr>
              <w:jc w:val="center"/>
              <w:rPr>
                <w:rFonts w:hint="eastAsia" w:ascii="仿宋" w:hAnsi="仿宋" w:eastAsia="仿宋" w:cs="仿宋"/>
                <w:color w:val="auto"/>
                <w:szCs w:val="21"/>
                <w:highlight w:val="none"/>
              </w:rPr>
            </w:pPr>
          </w:p>
        </w:tc>
        <w:tc>
          <w:tcPr>
            <w:tcW w:w="687" w:type="pct"/>
            <w:tcBorders>
              <w:top w:val="single" w:color="auto" w:sz="4" w:space="0"/>
              <w:left w:val="single" w:color="auto" w:sz="4" w:space="0"/>
              <w:bottom w:val="single" w:color="auto" w:sz="4" w:space="0"/>
              <w:right w:val="single" w:color="auto" w:sz="4" w:space="0"/>
            </w:tcBorders>
            <w:noWrap w:val="0"/>
            <w:vAlign w:val="center"/>
          </w:tcPr>
          <w:p w14:paraId="46169B0C">
            <w:pPr>
              <w:jc w:val="center"/>
              <w:rPr>
                <w:rFonts w:hint="eastAsia" w:ascii="仿宋" w:hAnsi="仿宋" w:eastAsia="仿宋" w:cs="仿宋"/>
                <w:color w:val="auto"/>
                <w:szCs w:val="21"/>
                <w:highlight w:val="none"/>
              </w:rPr>
            </w:pPr>
          </w:p>
        </w:tc>
        <w:tc>
          <w:tcPr>
            <w:tcW w:w="768" w:type="pct"/>
            <w:tcBorders>
              <w:top w:val="single" w:color="auto" w:sz="4" w:space="0"/>
              <w:left w:val="single" w:color="auto" w:sz="4" w:space="0"/>
              <w:bottom w:val="single" w:color="auto" w:sz="4" w:space="0"/>
              <w:right w:val="single" w:color="auto" w:sz="4" w:space="0"/>
            </w:tcBorders>
            <w:noWrap w:val="0"/>
            <w:vAlign w:val="center"/>
          </w:tcPr>
          <w:p w14:paraId="5D1C3F93">
            <w:pPr>
              <w:jc w:val="center"/>
              <w:rPr>
                <w:rFonts w:hint="eastAsia" w:ascii="仿宋" w:hAnsi="仿宋" w:eastAsia="仿宋" w:cs="仿宋"/>
                <w:color w:val="auto"/>
                <w:szCs w:val="21"/>
                <w:highlight w:val="none"/>
              </w:rPr>
            </w:pPr>
          </w:p>
        </w:tc>
        <w:tc>
          <w:tcPr>
            <w:tcW w:w="687" w:type="pct"/>
            <w:tcBorders>
              <w:top w:val="single" w:color="auto" w:sz="4" w:space="0"/>
              <w:left w:val="single" w:color="auto" w:sz="4" w:space="0"/>
              <w:bottom w:val="single" w:color="auto" w:sz="4" w:space="0"/>
              <w:right w:val="single" w:color="auto" w:sz="4" w:space="0"/>
            </w:tcBorders>
            <w:noWrap w:val="0"/>
            <w:vAlign w:val="top"/>
          </w:tcPr>
          <w:p w14:paraId="61E86BB9">
            <w:pPr>
              <w:jc w:val="center"/>
              <w:rPr>
                <w:rFonts w:hint="eastAsia" w:ascii="仿宋" w:hAnsi="仿宋" w:eastAsia="仿宋" w:cs="仿宋"/>
                <w:color w:val="auto"/>
                <w:szCs w:val="21"/>
                <w:highlight w:val="none"/>
              </w:rPr>
            </w:pPr>
          </w:p>
        </w:tc>
        <w:tc>
          <w:tcPr>
            <w:tcW w:w="685" w:type="pct"/>
            <w:tcBorders>
              <w:top w:val="single" w:color="auto" w:sz="4" w:space="0"/>
              <w:left w:val="single" w:color="auto" w:sz="4" w:space="0"/>
              <w:bottom w:val="single" w:color="auto" w:sz="4" w:space="0"/>
              <w:right w:val="single" w:color="auto" w:sz="4" w:space="0"/>
            </w:tcBorders>
            <w:noWrap w:val="0"/>
            <w:vAlign w:val="center"/>
          </w:tcPr>
          <w:p w14:paraId="371CBE81">
            <w:pPr>
              <w:jc w:val="center"/>
              <w:rPr>
                <w:rFonts w:hint="eastAsia" w:ascii="仿宋" w:hAnsi="仿宋" w:eastAsia="仿宋" w:cs="仿宋"/>
                <w:color w:val="auto"/>
                <w:szCs w:val="21"/>
                <w:highlight w:val="none"/>
              </w:rPr>
            </w:pPr>
          </w:p>
        </w:tc>
        <w:tc>
          <w:tcPr>
            <w:tcW w:w="683" w:type="pct"/>
            <w:tcBorders>
              <w:top w:val="single" w:color="auto" w:sz="4" w:space="0"/>
              <w:left w:val="single" w:color="auto" w:sz="4" w:space="0"/>
              <w:bottom w:val="single" w:color="auto" w:sz="4" w:space="0"/>
              <w:right w:val="single" w:color="auto" w:sz="4" w:space="0"/>
            </w:tcBorders>
            <w:noWrap w:val="0"/>
            <w:vAlign w:val="top"/>
          </w:tcPr>
          <w:p w14:paraId="02730870">
            <w:pPr>
              <w:jc w:val="center"/>
              <w:rPr>
                <w:rFonts w:hint="eastAsia" w:ascii="仿宋" w:hAnsi="仿宋" w:eastAsia="仿宋" w:cs="仿宋"/>
                <w:color w:val="auto"/>
                <w:szCs w:val="21"/>
                <w:highlight w:val="none"/>
              </w:rPr>
            </w:pPr>
          </w:p>
        </w:tc>
      </w:tr>
      <w:tr w14:paraId="4024C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jc w:val="center"/>
        </w:trPr>
        <w:tc>
          <w:tcPr>
            <w:tcW w:w="310" w:type="pct"/>
            <w:tcBorders>
              <w:top w:val="single" w:color="auto" w:sz="4" w:space="0"/>
              <w:left w:val="single" w:color="auto" w:sz="4" w:space="0"/>
              <w:bottom w:val="single" w:color="auto" w:sz="4" w:space="0"/>
              <w:right w:val="single" w:color="auto" w:sz="4" w:space="0"/>
            </w:tcBorders>
            <w:noWrap w:val="0"/>
            <w:vAlign w:val="center"/>
          </w:tcPr>
          <w:p w14:paraId="1D06621C">
            <w:pPr>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2</w:t>
            </w:r>
          </w:p>
        </w:tc>
        <w:tc>
          <w:tcPr>
            <w:tcW w:w="548" w:type="pct"/>
            <w:tcBorders>
              <w:top w:val="single" w:color="auto" w:sz="4" w:space="0"/>
              <w:left w:val="single" w:color="auto" w:sz="4" w:space="0"/>
              <w:bottom w:val="single" w:color="auto" w:sz="4" w:space="0"/>
              <w:right w:val="single" w:color="auto" w:sz="4" w:space="0"/>
            </w:tcBorders>
            <w:noWrap w:val="0"/>
            <w:vAlign w:val="center"/>
          </w:tcPr>
          <w:p w14:paraId="04507F6B">
            <w:pPr>
              <w:jc w:val="center"/>
              <w:rPr>
                <w:rFonts w:hint="eastAsia" w:ascii="仿宋" w:hAnsi="仿宋" w:eastAsia="仿宋" w:cs="仿宋"/>
                <w:color w:val="auto"/>
                <w:szCs w:val="21"/>
                <w:highlight w:val="none"/>
              </w:rPr>
            </w:pPr>
          </w:p>
        </w:tc>
        <w:tc>
          <w:tcPr>
            <w:tcW w:w="632" w:type="pct"/>
            <w:tcBorders>
              <w:top w:val="single" w:color="auto" w:sz="4" w:space="0"/>
              <w:left w:val="single" w:color="auto" w:sz="4" w:space="0"/>
              <w:bottom w:val="single" w:color="auto" w:sz="4" w:space="0"/>
              <w:right w:val="single" w:color="auto" w:sz="4" w:space="0"/>
            </w:tcBorders>
            <w:noWrap w:val="0"/>
            <w:vAlign w:val="center"/>
          </w:tcPr>
          <w:p w14:paraId="631BFD90">
            <w:pPr>
              <w:jc w:val="center"/>
              <w:rPr>
                <w:rFonts w:hint="eastAsia" w:ascii="仿宋" w:hAnsi="仿宋" w:eastAsia="仿宋" w:cs="仿宋"/>
                <w:color w:val="auto"/>
                <w:szCs w:val="21"/>
                <w:highlight w:val="none"/>
              </w:rPr>
            </w:pPr>
          </w:p>
        </w:tc>
        <w:tc>
          <w:tcPr>
            <w:tcW w:w="687" w:type="pct"/>
            <w:tcBorders>
              <w:top w:val="single" w:color="auto" w:sz="4" w:space="0"/>
              <w:left w:val="single" w:color="auto" w:sz="4" w:space="0"/>
              <w:bottom w:val="single" w:color="auto" w:sz="4" w:space="0"/>
              <w:right w:val="single" w:color="auto" w:sz="4" w:space="0"/>
            </w:tcBorders>
            <w:noWrap w:val="0"/>
            <w:vAlign w:val="center"/>
          </w:tcPr>
          <w:p w14:paraId="268F99AE">
            <w:pPr>
              <w:jc w:val="center"/>
              <w:rPr>
                <w:rFonts w:hint="eastAsia" w:ascii="仿宋" w:hAnsi="仿宋" w:eastAsia="仿宋" w:cs="仿宋"/>
                <w:color w:val="auto"/>
                <w:kern w:val="0"/>
                <w:szCs w:val="21"/>
                <w:highlight w:val="none"/>
              </w:rPr>
            </w:pPr>
          </w:p>
        </w:tc>
        <w:tc>
          <w:tcPr>
            <w:tcW w:w="768" w:type="pct"/>
            <w:tcBorders>
              <w:top w:val="single" w:color="auto" w:sz="4" w:space="0"/>
              <w:left w:val="single" w:color="auto" w:sz="4" w:space="0"/>
              <w:bottom w:val="single" w:color="auto" w:sz="4" w:space="0"/>
              <w:right w:val="single" w:color="auto" w:sz="4" w:space="0"/>
            </w:tcBorders>
            <w:noWrap w:val="0"/>
            <w:vAlign w:val="center"/>
          </w:tcPr>
          <w:p w14:paraId="57DFB949">
            <w:pPr>
              <w:jc w:val="center"/>
              <w:rPr>
                <w:rFonts w:hint="eastAsia" w:ascii="仿宋" w:hAnsi="仿宋" w:eastAsia="仿宋" w:cs="仿宋"/>
                <w:color w:val="auto"/>
                <w:kern w:val="0"/>
                <w:szCs w:val="21"/>
                <w:highlight w:val="none"/>
              </w:rPr>
            </w:pPr>
          </w:p>
        </w:tc>
        <w:tc>
          <w:tcPr>
            <w:tcW w:w="687" w:type="pct"/>
            <w:tcBorders>
              <w:top w:val="single" w:color="auto" w:sz="4" w:space="0"/>
              <w:left w:val="single" w:color="auto" w:sz="4" w:space="0"/>
              <w:bottom w:val="single" w:color="auto" w:sz="4" w:space="0"/>
              <w:right w:val="single" w:color="auto" w:sz="4" w:space="0"/>
            </w:tcBorders>
            <w:noWrap w:val="0"/>
            <w:vAlign w:val="top"/>
          </w:tcPr>
          <w:p w14:paraId="219F0D84">
            <w:pPr>
              <w:jc w:val="center"/>
              <w:rPr>
                <w:rFonts w:hint="eastAsia" w:ascii="仿宋" w:hAnsi="仿宋" w:eastAsia="仿宋" w:cs="仿宋"/>
                <w:color w:val="auto"/>
                <w:kern w:val="0"/>
                <w:szCs w:val="21"/>
                <w:highlight w:val="none"/>
              </w:rPr>
            </w:pPr>
          </w:p>
        </w:tc>
        <w:tc>
          <w:tcPr>
            <w:tcW w:w="685" w:type="pct"/>
            <w:tcBorders>
              <w:top w:val="single" w:color="auto" w:sz="4" w:space="0"/>
              <w:left w:val="single" w:color="auto" w:sz="4" w:space="0"/>
              <w:bottom w:val="single" w:color="auto" w:sz="4" w:space="0"/>
              <w:right w:val="single" w:color="auto" w:sz="4" w:space="0"/>
            </w:tcBorders>
            <w:noWrap w:val="0"/>
            <w:vAlign w:val="center"/>
          </w:tcPr>
          <w:p w14:paraId="50C36E78">
            <w:pPr>
              <w:jc w:val="center"/>
              <w:rPr>
                <w:rFonts w:hint="eastAsia" w:ascii="仿宋" w:hAnsi="仿宋" w:eastAsia="仿宋" w:cs="仿宋"/>
                <w:color w:val="auto"/>
                <w:kern w:val="0"/>
                <w:szCs w:val="21"/>
                <w:highlight w:val="none"/>
              </w:rPr>
            </w:pPr>
          </w:p>
        </w:tc>
        <w:tc>
          <w:tcPr>
            <w:tcW w:w="683" w:type="pct"/>
            <w:tcBorders>
              <w:top w:val="single" w:color="auto" w:sz="4" w:space="0"/>
              <w:left w:val="single" w:color="auto" w:sz="4" w:space="0"/>
              <w:bottom w:val="single" w:color="auto" w:sz="4" w:space="0"/>
              <w:right w:val="single" w:color="auto" w:sz="4" w:space="0"/>
            </w:tcBorders>
            <w:noWrap w:val="0"/>
            <w:vAlign w:val="top"/>
          </w:tcPr>
          <w:p w14:paraId="68AB306B">
            <w:pPr>
              <w:jc w:val="center"/>
              <w:rPr>
                <w:rFonts w:hint="eastAsia" w:ascii="仿宋" w:hAnsi="仿宋" w:eastAsia="仿宋" w:cs="仿宋"/>
                <w:color w:val="auto"/>
                <w:kern w:val="0"/>
                <w:szCs w:val="21"/>
                <w:highlight w:val="none"/>
              </w:rPr>
            </w:pPr>
          </w:p>
        </w:tc>
      </w:tr>
      <w:tr w14:paraId="26576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jc w:val="center"/>
        </w:trPr>
        <w:tc>
          <w:tcPr>
            <w:tcW w:w="310" w:type="pct"/>
            <w:tcBorders>
              <w:top w:val="single" w:color="auto" w:sz="4" w:space="0"/>
              <w:left w:val="single" w:color="auto" w:sz="4" w:space="0"/>
              <w:bottom w:val="single" w:color="auto" w:sz="4" w:space="0"/>
              <w:right w:val="single" w:color="auto" w:sz="4" w:space="0"/>
            </w:tcBorders>
            <w:noWrap w:val="0"/>
            <w:vAlign w:val="center"/>
          </w:tcPr>
          <w:p w14:paraId="2BD2E2CC">
            <w:pPr>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3</w:t>
            </w:r>
          </w:p>
        </w:tc>
        <w:tc>
          <w:tcPr>
            <w:tcW w:w="548" w:type="pct"/>
            <w:tcBorders>
              <w:top w:val="single" w:color="auto" w:sz="4" w:space="0"/>
              <w:left w:val="single" w:color="auto" w:sz="4" w:space="0"/>
              <w:bottom w:val="single" w:color="auto" w:sz="4" w:space="0"/>
              <w:right w:val="single" w:color="auto" w:sz="4" w:space="0"/>
            </w:tcBorders>
            <w:noWrap w:val="0"/>
            <w:vAlign w:val="center"/>
          </w:tcPr>
          <w:p w14:paraId="062DDABB">
            <w:pPr>
              <w:jc w:val="center"/>
              <w:rPr>
                <w:rFonts w:hint="eastAsia" w:ascii="仿宋" w:hAnsi="仿宋" w:eastAsia="仿宋" w:cs="仿宋"/>
                <w:color w:val="auto"/>
                <w:szCs w:val="21"/>
                <w:highlight w:val="none"/>
              </w:rPr>
            </w:pPr>
          </w:p>
        </w:tc>
        <w:tc>
          <w:tcPr>
            <w:tcW w:w="632" w:type="pct"/>
            <w:tcBorders>
              <w:top w:val="single" w:color="auto" w:sz="4" w:space="0"/>
              <w:left w:val="single" w:color="auto" w:sz="4" w:space="0"/>
              <w:bottom w:val="single" w:color="auto" w:sz="4" w:space="0"/>
              <w:right w:val="single" w:color="auto" w:sz="4" w:space="0"/>
            </w:tcBorders>
            <w:noWrap w:val="0"/>
            <w:vAlign w:val="center"/>
          </w:tcPr>
          <w:p w14:paraId="05A0B4B8">
            <w:pPr>
              <w:jc w:val="center"/>
              <w:rPr>
                <w:rFonts w:hint="eastAsia" w:ascii="仿宋" w:hAnsi="仿宋" w:eastAsia="仿宋" w:cs="仿宋"/>
                <w:color w:val="auto"/>
                <w:szCs w:val="21"/>
                <w:highlight w:val="none"/>
              </w:rPr>
            </w:pPr>
          </w:p>
        </w:tc>
        <w:tc>
          <w:tcPr>
            <w:tcW w:w="687" w:type="pct"/>
            <w:tcBorders>
              <w:top w:val="single" w:color="auto" w:sz="4" w:space="0"/>
              <w:left w:val="single" w:color="auto" w:sz="4" w:space="0"/>
              <w:bottom w:val="single" w:color="auto" w:sz="4" w:space="0"/>
              <w:right w:val="single" w:color="auto" w:sz="4" w:space="0"/>
            </w:tcBorders>
            <w:noWrap w:val="0"/>
            <w:vAlign w:val="center"/>
          </w:tcPr>
          <w:p w14:paraId="1D34F257">
            <w:pPr>
              <w:jc w:val="center"/>
              <w:rPr>
                <w:rFonts w:hint="eastAsia" w:ascii="仿宋" w:hAnsi="仿宋" w:eastAsia="仿宋" w:cs="仿宋"/>
                <w:color w:val="auto"/>
                <w:kern w:val="0"/>
                <w:szCs w:val="21"/>
                <w:highlight w:val="none"/>
              </w:rPr>
            </w:pPr>
          </w:p>
        </w:tc>
        <w:tc>
          <w:tcPr>
            <w:tcW w:w="768" w:type="pct"/>
            <w:tcBorders>
              <w:top w:val="single" w:color="auto" w:sz="4" w:space="0"/>
              <w:left w:val="single" w:color="auto" w:sz="4" w:space="0"/>
              <w:bottom w:val="single" w:color="auto" w:sz="4" w:space="0"/>
              <w:right w:val="single" w:color="auto" w:sz="4" w:space="0"/>
            </w:tcBorders>
            <w:noWrap w:val="0"/>
            <w:vAlign w:val="center"/>
          </w:tcPr>
          <w:p w14:paraId="5580F265">
            <w:pPr>
              <w:jc w:val="center"/>
              <w:rPr>
                <w:rFonts w:hint="eastAsia" w:ascii="仿宋" w:hAnsi="仿宋" w:eastAsia="仿宋" w:cs="仿宋"/>
                <w:color w:val="auto"/>
                <w:kern w:val="0"/>
                <w:szCs w:val="21"/>
                <w:highlight w:val="none"/>
              </w:rPr>
            </w:pPr>
          </w:p>
        </w:tc>
        <w:tc>
          <w:tcPr>
            <w:tcW w:w="687" w:type="pct"/>
            <w:tcBorders>
              <w:top w:val="single" w:color="auto" w:sz="4" w:space="0"/>
              <w:left w:val="single" w:color="auto" w:sz="4" w:space="0"/>
              <w:bottom w:val="single" w:color="auto" w:sz="4" w:space="0"/>
              <w:right w:val="single" w:color="auto" w:sz="4" w:space="0"/>
            </w:tcBorders>
            <w:noWrap w:val="0"/>
            <w:vAlign w:val="top"/>
          </w:tcPr>
          <w:p w14:paraId="345211A7">
            <w:pPr>
              <w:jc w:val="center"/>
              <w:rPr>
                <w:rFonts w:hint="eastAsia" w:ascii="仿宋" w:hAnsi="仿宋" w:eastAsia="仿宋" w:cs="仿宋"/>
                <w:color w:val="auto"/>
                <w:kern w:val="0"/>
                <w:szCs w:val="21"/>
                <w:highlight w:val="none"/>
              </w:rPr>
            </w:pPr>
          </w:p>
        </w:tc>
        <w:tc>
          <w:tcPr>
            <w:tcW w:w="685" w:type="pct"/>
            <w:tcBorders>
              <w:top w:val="single" w:color="auto" w:sz="4" w:space="0"/>
              <w:left w:val="single" w:color="auto" w:sz="4" w:space="0"/>
              <w:bottom w:val="single" w:color="auto" w:sz="4" w:space="0"/>
              <w:right w:val="single" w:color="auto" w:sz="4" w:space="0"/>
            </w:tcBorders>
            <w:noWrap w:val="0"/>
            <w:vAlign w:val="center"/>
          </w:tcPr>
          <w:p w14:paraId="5D799B94">
            <w:pPr>
              <w:jc w:val="center"/>
              <w:rPr>
                <w:rFonts w:hint="eastAsia" w:ascii="仿宋" w:hAnsi="仿宋" w:eastAsia="仿宋" w:cs="仿宋"/>
                <w:color w:val="auto"/>
                <w:kern w:val="0"/>
                <w:szCs w:val="21"/>
                <w:highlight w:val="none"/>
              </w:rPr>
            </w:pPr>
          </w:p>
        </w:tc>
        <w:tc>
          <w:tcPr>
            <w:tcW w:w="683" w:type="pct"/>
            <w:tcBorders>
              <w:top w:val="single" w:color="auto" w:sz="4" w:space="0"/>
              <w:left w:val="single" w:color="auto" w:sz="4" w:space="0"/>
              <w:bottom w:val="single" w:color="auto" w:sz="4" w:space="0"/>
              <w:right w:val="single" w:color="auto" w:sz="4" w:space="0"/>
            </w:tcBorders>
            <w:noWrap w:val="0"/>
            <w:vAlign w:val="top"/>
          </w:tcPr>
          <w:p w14:paraId="46F9900E">
            <w:pPr>
              <w:jc w:val="center"/>
              <w:rPr>
                <w:rFonts w:hint="eastAsia" w:ascii="仿宋" w:hAnsi="仿宋" w:eastAsia="仿宋" w:cs="仿宋"/>
                <w:color w:val="auto"/>
                <w:kern w:val="0"/>
                <w:szCs w:val="21"/>
                <w:highlight w:val="none"/>
              </w:rPr>
            </w:pPr>
          </w:p>
        </w:tc>
      </w:tr>
      <w:tr w14:paraId="77A79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jc w:val="center"/>
        </w:trPr>
        <w:tc>
          <w:tcPr>
            <w:tcW w:w="310" w:type="pct"/>
            <w:tcBorders>
              <w:top w:val="single" w:color="auto" w:sz="4" w:space="0"/>
              <w:left w:val="single" w:color="auto" w:sz="4" w:space="0"/>
              <w:bottom w:val="single" w:color="auto" w:sz="4" w:space="0"/>
              <w:right w:val="single" w:color="auto" w:sz="4" w:space="0"/>
            </w:tcBorders>
            <w:noWrap w:val="0"/>
            <w:vAlign w:val="center"/>
          </w:tcPr>
          <w:p w14:paraId="70477A7A">
            <w:pPr>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4</w:t>
            </w:r>
          </w:p>
        </w:tc>
        <w:tc>
          <w:tcPr>
            <w:tcW w:w="548" w:type="pct"/>
            <w:tcBorders>
              <w:top w:val="single" w:color="auto" w:sz="4" w:space="0"/>
              <w:left w:val="single" w:color="auto" w:sz="4" w:space="0"/>
              <w:bottom w:val="single" w:color="auto" w:sz="4" w:space="0"/>
              <w:right w:val="single" w:color="auto" w:sz="4" w:space="0"/>
            </w:tcBorders>
            <w:noWrap w:val="0"/>
            <w:vAlign w:val="center"/>
          </w:tcPr>
          <w:p w14:paraId="4CD2EFC4">
            <w:pPr>
              <w:jc w:val="center"/>
              <w:rPr>
                <w:rFonts w:hint="eastAsia" w:ascii="仿宋" w:hAnsi="仿宋" w:eastAsia="仿宋" w:cs="仿宋"/>
                <w:color w:val="auto"/>
                <w:szCs w:val="21"/>
                <w:highlight w:val="none"/>
              </w:rPr>
            </w:pPr>
          </w:p>
        </w:tc>
        <w:tc>
          <w:tcPr>
            <w:tcW w:w="632" w:type="pct"/>
            <w:tcBorders>
              <w:top w:val="single" w:color="auto" w:sz="4" w:space="0"/>
              <w:left w:val="single" w:color="auto" w:sz="4" w:space="0"/>
              <w:bottom w:val="single" w:color="auto" w:sz="4" w:space="0"/>
              <w:right w:val="single" w:color="auto" w:sz="4" w:space="0"/>
            </w:tcBorders>
            <w:noWrap w:val="0"/>
            <w:vAlign w:val="center"/>
          </w:tcPr>
          <w:p w14:paraId="5D97543D">
            <w:pPr>
              <w:jc w:val="center"/>
              <w:rPr>
                <w:rFonts w:hint="eastAsia" w:ascii="仿宋" w:hAnsi="仿宋" w:eastAsia="仿宋" w:cs="仿宋"/>
                <w:color w:val="auto"/>
                <w:szCs w:val="21"/>
                <w:highlight w:val="none"/>
              </w:rPr>
            </w:pPr>
          </w:p>
        </w:tc>
        <w:tc>
          <w:tcPr>
            <w:tcW w:w="687" w:type="pct"/>
            <w:tcBorders>
              <w:top w:val="single" w:color="auto" w:sz="4" w:space="0"/>
              <w:left w:val="single" w:color="auto" w:sz="4" w:space="0"/>
              <w:bottom w:val="single" w:color="auto" w:sz="4" w:space="0"/>
              <w:right w:val="single" w:color="auto" w:sz="4" w:space="0"/>
            </w:tcBorders>
            <w:noWrap w:val="0"/>
            <w:vAlign w:val="center"/>
          </w:tcPr>
          <w:p w14:paraId="3ABBBE09">
            <w:pPr>
              <w:jc w:val="center"/>
              <w:rPr>
                <w:rFonts w:hint="eastAsia" w:ascii="仿宋" w:hAnsi="仿宋" w:eastAsia="仿宋" w:cs="仿宋"/>
                <w:color w:val="auto"/>
                <w:kern w:val="0"/>
                <w:szCs w:val="21"/>
                <w:highlight w:val="none"/>
              </w:rPr>
            </w:pPr>
          </w:p>
        </w:tc>
        <w:tc>
          <w:tcPr>
            <w:tcW w:w="768" w:type="pct"/>
            <w:tcBorders>
              <w:top w:val="single" w:color="auto" w:sz="4" w:space="0"/>
              <w:left w:val="single" w:color="auto" w:sz="4" w:space="0"/>
              <w:bottom w:val="single" w:color="auto" w:sz="4" w:space="0"/>
              <w:right w:val="single" w:color="auto" w:sz="4" w:space="0"/>
            </w:tcBorders>
            <w:noWrap w:val="0"/>
            <w:vAlign w:val="center"/>
          </w:tcPr>
          <w:p w14:paraId="3F6101B7">
            <w:pPr>
              <w:jc w:val="center"/>
              <w:rPr>
                <w:rFonts w:hint="eastAsia" w:ascii="仿宋" w:hAnsi="仿宋" w:eastAsia="仿宋" w:cs="仿宋"/>
                <w:color w:val="auto"/>
                <w:kern w:val="0"/>
                <w:szCs w:val="21"/>
                <w:highlight w:val="none"/>
              </w:rPr>
            </w:pPr>
          </w:p>
        </w:tc>
        <w:tc>
          <w:tcPr>
            <w:tcW w:w="687" w:type="pct"/>
            <w:tcBorders>
              <w:top w:val="single" w:color="auto" w:sz="4" w:space="0"/>
              <w:left w:val="single" w:color="auto" w:sz="4" w:space="0"/>
              <w:bottom w:val="single" w:color="auto" w:sz="4" w:space="0"/>
              <w:right w:val="single" w:color="auto" w:sz="4" w:space="0"/>
            </w:tcBorders>
            <w:noWrap w:val="0"/>
            <w:vAlign w:val="top"/>
          </w:tcPr>
          <w:p w14:paraId="5A2A5B7B">
            <w:pPr>
              <w:jc w:val="center"/>
              <w:rPr>
                <w:rFonts w:hint="eastAsia" w:ascii="仿宋" w:hAnsi="仿宋" w:eastAsia="仿宋" w:cs="仿宋"/>
                <w:color w:val="auto"/>
                <w:kern w:val="0"/>
                <w:szCs w:val="21"/>
                <w:highlight w:val="none"/>
              </w:rPr>
            </w:pPr>
          </w:p>
        </w:tc>
        <w:tc>
          <w:tcPr>
            <w:tcW w:w="685" w:type="pct"/>
            <w:tcBorders>
              <w:top w:val="single" w:color="auto" w:sz="4" w:space="0"/>
              <w:left w:val="single" w:color="auto" w:sz="4" w:space="0"/>
              <w:bottom w:val="single" w:color="auto" w:sz="4" w:space="0"/>
              <w:right w:val="single" w:color="auto" w:sz="4" w:space="0"/>
            </w:tcBorders>
            <w:noWrap w:val="0"/>
            <w:vAlign w:val="center"/>
          </w:tcPr>
          <w:p w14:paraId="514B237D">
            <w:pPr>
              <w:jc w:val="center"/>
              <w:rPr>
                <w:rFonts w:hint="eastAsia" w:ascii="仿宋" w:hAnsi="仿宋" w:eastAsia="仿宋" w:cs="仿宋"/>
                <w:color w:val="auto"/>
                <w:kern w:val="0"/>
                <w:szCs w:val="21"/>
                <w:highlight w:val="none"/>
              </w:rPr>
            </w:pPr>
          </w:p>
        </w:tc>
        <w:tc>
          <w:tcPr>
            <w:tcW w:w="683" w:type="pct"/>
            <w:tcBorders>
              <w:top w:val="single" w:color="auto" w:sz="4" w:space="0"/>
              <w:left w:val="single" w:color="auto" w:sz="4" w:space="0"/>
              <w:bottom w:val="single" w:color="auto" w:sz="4" w:space="0"/>
              <w:right w:val="single" w:color="auto" w:sz="4" w:space="0"/>
            </w:tcBorders>
            <w:noWrap w:val="0"/>
            <w:vAlign w:val="top"/>
          </w:tcPr>
          <w:p w14:paraId="44CE30CA">
            <w:pPr>
              <w:jc w:val="center"/>
              <w:rPr>
                <w:rFonts w:hint="eastAsia" w:ascii="仿宋" w:hAnsi="仿宋" w:eastAsia="仿宋" w:cs="仿宋"/>
                <w:color w:val="auto"/>
                <w:kern w:val="0"/>
                <w:szCs w:val="21"/>
                <w:highlight w:val="none"/>
              </w:rPr>
            </w:pPr>
          </w:p>
        </w:tc>
      </w:tr>
      <w:tr w14:paraId="1EDF8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jc w:val="center"/>
        </w:trPr>
        <w:tc>
          <w:tcPr>
            <w:tcW w:w="310" w:type="pct"/>
            <w:tcBorders>
              <w:top w:val="single" w:color="auto" w:sz="4" w:space="0"/>
              <w:left w:val="single" w:color="auto" w:sz="4" w:space="0"/>
              <w:bottom w:val="single" w:color="auto" w:sz="4" w:space="0"/>
              <w:right w:val="single" w:color="auto" w:sz="4" w:space="0"/>
            </w:tcBorders>
            <w:noWrap w:val="0"/>
            <w:vAlign w:val="center"/>
          </w:tcPr>
          <w:p w14:paraId="13E85063">
            <w:pPr>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5</w:t>
            </w:r>
          </w:p>
        </w:tc>
        <w:tc>
          <w:tcPr>
            <w:tcW w:w="548" w:type="pct"/>
            <w:tcBorders>
              <w:top w:val="single" w:color="auto" w:sz="4" w:space="0"/>
              <w:left w:val="single" w:color="auto" w:sz="4" w:space="0"/>
              <w:bottom w:val="single" w:color="auto" w:sz="4" w:space="0"/>
              <w:right w:val="single" w:color="auto" w:sz="4" w:space="0"/>
            </w:tcBorders>
            <w:noWrap w:val="0"/>
            <w:vAlign w:val="center"/>
          </w:tcPr>
          <w:p w14:paraId="7385A697">
            <w:pPr>
              <w:jc w:val="center"/>
              <w:rPr>
                <w:rFonts w:hint="eastAsia" w:ascii="仿宋" w:hAnsi="仿宋" w:eastAsia="仿宋" w:cs="仿宋"/>
                <w:color w:val="auto"/>
                <w:szCs w:val="21"/>
                <w:highlight w:val="none"/>
              </w:rPr>
            </w:pPr>
          </w:p>
        </w:tc>
        <w:tc>
          <w:tcPr>
            <w:tcW w:w="632" w:type="pct"/>
            <w:tcBorders>
              <w:top w:val="single" w:color="auto" w:sz="4" w:space="0"/>
              <w:left w:val="single" w:color="auto" w:sz="4" w:space="0"/>
              <w:bottom w:val="single" w:color="auto" w:sz="4" w:space="0"/>
              <w:right w:val="single" w:color="auto" w:sz="4" w:space="0"/>
            </w:tcBorders>
            <w:noWrap w:val="0"/>
            <w:vAlign w:val="center"/>
          </w:tcPr>
          <w:p w14:paraId="5B3CCD9E">
            <w:pPr>
              <w:jc w:val="center"/>
              <w:rPr>
                <w:rFonts w:hint="eastAsia" w:ascii="仿宋" w:hAnsi="仿宋" w:eastAsia="仿宋" w:cs="仿宋"/>
                <w:color w:val="auto"/>
                <w:szCs w:val="21"/>
                <w:highlight w:val="none"/>
              </w:rPr>
            </w:pPr>
          </w:p>
        </w:tc>
        <w:tc>
          <w:tcPr>
            <w:tcW w:w="687" w:type="pct"/>
            <w:tcBorders>
              <w:top w:val="single" w:color="auto" w:sz="4" w:space="0"/>
              <w:left w:val="single" w:color="auto" w:sz="4" w:space="0"/>
              <w:bottom w:val="single" w:color="auto" w:sz="4" w:space="0"/>
              <w:right w:val="single" w:color="auto" w:sz="4" w:space="0"/>
            </w:tcBorders>
            <w:noWrap w:val="0"/>
            <w:vAlign w:val="center"/>
          </w:tcPr>
          <w:p w14:paraId="134500BF">
            <w:pPr>
              <w:jc w:val="center"/>
              <w:rPr>
                <w:rFonts w:hint="eastAsia" w:ascii="仿宋" w:hAnsi="仿宋" w:eastAsia="仿宋" w:cs="仿宋"/>
                <w:color w:val="auto"/>
                <w:kern w:val="0"/>
                <w:szCs w:val="21"/>
                <w:highlight w:val="none"/>
              </w:rPr>
            </w:pPr>
          </w:p>
        </w:tc>
        <w:tc>
          <w:tcPr>
            <w:tcW w:w="768" w:type="pct"/>
            <w:tcBorders>
              <w:top w:val="single" w:color="auto" w:sz="4" w:space="0"/>
              <w:left w:val="single" w:color="auto" w:sz="4" w:space="0"/>
              <w:bottom w:val="single" w:color="auto" w:sz="4" w:space="0"/>
              <w:right w:val="single" w:color="auto" w:sz="4" w:space="0"/>
            </w:tcBorders>
            <w:noWrap w:val="0"/>
            <w:vAlign w:val="center"/>
          </w:tcPr>
          <w:p w14:paraId="1952CE9C">
            <w:pPr>
              <w:jc w:val="center"/>
              <w:rPr>
                <w:rFonts w:hint="eastAsia" w:ascii="仿宋" w:hAnsi="仿宋" w:eastAsia="仿宋" w:cs="仿宋"/>
                <w:color w:val="auto"/>
                <w:kern w:val="0"/>
                <w:szCs w:val="21"/>
                <w:highlight w:val="none"/>
              </w:rPr>
            </w:pPr>
          </w:p>
        </w:tc>
        <w:tc>
          <w:tcPr>
            <w:tcW w:w="687" w:type="pct"/>
            <w:tcBorders>
              <w:top w:val="single" w:color="auto" w:sz="4" w:space="0"/>
              <w:left w:val="single" w:color="auto" w:sz="4" w:space="0"/>
              <w:bottom w:val="single" w:color="auto" w:sz="4" w:space="0"/>
              <w:right w:val="single" w:color="auto" w:sz="4" w:space="0"/>
            </w:tcBorders>
            <w:noWrap w:val="0"/>
            <w:vAlign w:val="top"/>
          </w:tcPr>
          <w:p w14:paraId="04A9239F">
            <w:pPr>
              <w:jc w:val="center"/>
              <w:rPr>
                <w:rFonts w:hint="eastAsia" w:ascii="仿宋" w:hAnsi="仿宋" w:eastAsia="仿宋" w:cs="仿宋"/>
                <w:color w:val="auto"/>
                <w:kern w:val="0"/>
                <w:szCs w:val="21"/>
                <w:highlight w:val="none"/>
              </w:rPr>
            </w:pPr>
          </w:p>
        </w:tc>
        <w:tc>
          <w:tcPr>
            <w:tcW w:w="685" w:type="pct"/>
            <w:tcBorders>
              <w:top w:val="single" w:color="auto" w:sz="4" w:space="0"/>
              <w:left w:val="single" w:color="auto" w:sz="4" w:space="0"/>
              <w:bottom w:val="single" w:color="auto" w:sz="4" w:space="0"/>
              <w:right w:val="single" w:color="auto" w:sz="4" w:space="0"/>
            </w:tcBorders>
            <w:noWrap w:val="0"/>
            <w:vAlign w:val="center"/>
          </w:tcPr>
          <w:p w14:paraId="10E3849E">
            <w:pPr>
              <w:jc w:val="center"/>
              <w:rPr>
                <w:rFonts w:hint="eastAsia" w:ascii="仿宋" w:hAnsi="仿宋" w:eastAsia="仿宋" w:cs="仿宋"/>
                <w:color w:val="auto"/>
                <w:kern w:val="0"/>
                <w:szCs w:val="21"/>
                <w:highlight w:val="none"/>
              </w:rPr>
            </w:pPr>
          </w:p>
        </w:tc>
        <w:tc>
          <w:tcPr>
            <w:tcW w:w="683" w:type="pct"/>
            <w:tcBorders>
              <w:top w:val="single" w:color="auto" w:sz="4" w:space="0"/>
              <w:left w:val="single" w:color="auto" w:sz="4" w:space="0"/>
              <w:bottom w:val="single" w:color="auto" w:sz="4" w:space="0"/>
              <w:right w:val="single" w:color="auto" w:sz="4" w:space="0"/>
            </w:tcBorders>
            <w:noWrap w:val="0"/>
            <w:vAlign w:val="top"/>
          </w:tcPr>
          <w:p w14:paraId="73F21679">
            <w:pPr>
              <w:jc w:val="center"/>
              <w:rPr>
                <w:rFonts w:hint="eastAsia" w:ascii="仿宋" w:hAnsi="仿宋" w:eastAsia="仿宋" w:cs="仿宋"/>
                <w:color w:val="auto"/>
                <w:kern w:val="0"/>
                <w:szCs w:val="21"/>
                <w:highlight w:val="none"/>
              </w:rPr>
            </w:pPr>
          </w:p>
        </w:tc>
      </w:tr>
      <w:tr w14:paraId="6E2AE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jc w:val="center"/>
        </w:trPr>
        <w:tc>
          <w:tcPr>
            <w:tcW w:w="310" w:type="pct"/>
            <w:tcBorders>
              <w:top w:val="single" w:color="auto" w:sz="4" w:space="0"/>
              <w:left w:val="single" w:color="auto" w:sz="4" w:space="0"/>
              <w:bottom w:val="single" w:color="auto" w:sz="4" w:space="0"/>
              <w:right w:val="single" w:color="auto" w:sz="4" w:space="0"/>
            </w:tcBorders>
            <w:noWrap w:val="0"/>
            <w:vAlign w:val="center"/>
          </w:tcPr>
          <w:p w14:paraId="6FDF0FD8">
            <w:pPr>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6</w:t>
            </w:r>
          </w:p>
        </w:tc>
        <w:tc>
          <w:tcPr>
            <w:tcW w:w="548" w:type="pct"/>
            <w:tcBorders>
              <w:top w:val="single" w:color="auto" w:sz="4" w:space="0"/>
              <w:left w:val="single" w:color="auto" w:sz="4" w:space="0"/>
              <w:bottom w:val="single" w:color="auto" w:sz="4" w:space="0"/>
              <w:right w:val="single" w:color="auto" w:sz="4" w:space="0"/>
            </w:tcBorders>
            <w:noWrap w:val="0"/>
            <w:vAlign w:val="center"/>
          </w:tcPr>
          <w:p w14:paraId="7DDAAFCE">
            <w:pPr>
              <w:jc w:val="center"/>
              <w:rPr>
                <w:rFonts w:hint="eastAsia" w:ascii="仿宋" w:hAnsi="仿宋" w:eastAsia="仿宋" w:cs="仿宋"/>
                <w:color w:val="auto"/>
                <w:szCs w:val="21"/>
                <w:highlight w:val="none"/>
              </w:rPr>
            </w:pPr>
          </w:p>
        </w:tc>
        <w:tc>
          <w:tcPr>
            <w:tcW w:w="632" w:type="pct"/>
            <w:tcBorders>
              <w:top w:val="single" w:color="auto" w:sz="4" w:space="0"/>
              <w:left w:val="single" w:color="auto" w:sz="4" w:space="0"/>
              <w:bottom w:val="single" w:color="auto" w:sz="4" w:space="0"/>
              <w:right w:val="single" w:color="auto" w:sz="4" w:space="0"/>
            </w:tcBorders>
            <w:noWrap w:val="0"/>
            <w:vAlign w:val="center"/>
          </w:tcPr>
          <w:p w14:paraId="71ECAC2F">
            <w:pPr>
              <w:jc w:val="center"/>
              <w:rPr>
                <w:rFonts w:hint="eastAsia" w:ascii="仿宋" w:hAnsi="仿宋" w:eastAsia="仿宋" w:cs="仿宋"/>
                <w:color w:val="auto"/>
                <w:szCs w:val="21"/>
                <w:highlight w:val="none"/>
              </w:rPr>
            </w:pPr>
          </w:p>
        </w:tc>
        <w:tc>
          <w:tcPr>
            <w:tcW w:w="687" w:type="pct"/>
            <w:tcBorders>
              <w:top w:val="single" w:color="auto" w:sz="4" w:space="0"/>
              <w:left w:val="single" w:color="auto" w:sz="4" w:space="0"/>
              <w:bottom w:val="single" w:color="auto" w:sz="4" w:space="0"/>
              <w:right w:val="single" w:color="auto" w:sz="4" w:space="0"/>
            </w:tcBorders>
            <w:noWrap w:val="0"/>
            <w:vAlign w:val="center"/>
          </w:tcPr>
          <w:p w14:paraId="0E545769">
            <w:pPr>
              <w:jc w:val="center"/>
              <w:rPr>
                <w:rFonts w:hint="eastAsia" w:ascii="仿宋" w:hAnsi="仿宋" w:eastAsia="仿宋" w:cs="仿宋"/>
                <w:color w:val="auto"/>
                <w:kern w:val="0"/>
                <w:szCs w:val="21"/>
                <w:highlight w:val="none"/>
              </w:rPr>
            </w:pPr>
          </w:p>
        </w:tc>
        <w:tc>
          <w:tcPr>
            <w:tcW w:w="768" w:type="pct"/>
            <w:tcBorders>
              <w:top w:val="single" w:color="auto" w:sz="4" w:space="0"/>
              <w:left w:val="single" w:color="auto" w:sz="4" w:space="0"/>
              <w:bottom w:val="single" w:color="auto" w:sz="4" w:space="0"/>
              <w:right w:val="single" w:color="auto" w:sz="4" w:space="0"/>
            </w:tcBorders>
            <w:noWrap w:val="0"/>
            <w:vAlign w:val="center"/>
          </w:tcPr>
          <w:p w14:paraId="2444F527">
            <w:pPr>
              <w:jc w:val="center"/>
              <w:rPr>
                <w:rFonts w:hint="eastAsia" w:ascii="仿宋" w:hAnsi="仿宋" w:eastAsia="仿宋" w:cs="仿宋"/>
                <w:color w:val="auto"/>
                <w:kern w:val="0"/>
                <w:szCs w:val="21"/>
                <w:highlight w:val="none"/>
              </w:rPr>
            </w:pPr>
          </w:p>
        </w:tc>
        <w:tc>
          <w:tcPr>
            <w:tcW w:w="687" w:type="pct"/>
            <w:tcBorders>
              <w:top w:val="single" w:color="auto" w:sz="4" w:space="0"/>
              <w:left w:val="single" w:color="auto" w:sz="4" w:space="0"/>
              <w:bottom w:val="single" w:color="auto" w:sz="4" w:space="0"/>
              <w:right w:val="single" w:color="auto" w:sz="4" w:space="0"/>
            </w:tcBorders>
            <w:noWrap w:val="0"/>
            <w:vAlign w:val="top"/>
          </w:tcPr>
          <w:p w14:paraId="78534C39">
            <w:pPr>
              <w:jc w:val="center"/>
              <w:rPr>
                <w:rFonts w:hint="eastAsia" w:ascii="仿宋" w:hAnsi="仿宋" w:eastAsia="仿宋" w:cs="仿宋"/>
                <w:color w:val="auto"/>
                <w:kern w:val="0"/>
                <w:szCs w:val="21"/>
                <w:highlight w:val="none"/>
              </w:rPr>
            </w:pPr>
          </w:p>
        </w:tc>
        <w:tc>
          <w:tcPr>
            <w:tcW w:w="685" w:type="pct"/>
            <w:tcBorders>
              <w:top w:val="single" w:color="auto" w:sz="4" w:space="0"/>
              <w:left w:val="single" w:color="auto" w:sz="4" w:space="0"/>
              <w:bottom w:val="single" w:color="auto" w:sz="4" w:space="0"/>
              <w:right w:val="single" w:color="auto" w:sz="4" w:space="0"/>
            </w:tcBorders>
            <w:noWrap w:val="0"/>
            <w:vAlign w:val="center"/>
          </w:tcPr>
          <w:p w14:paraId="06AA6D23">
            <w:pPr>
              <w:jc w:val="center"/>
              <w:rPr>
                <w:rFonts w:hint="eastAsia" w:ascii="仿宋" w:hAnsi="仿宋" w:eastAsia="仿宋" w:cs="仿宋"/>
                <w:color w:val="auto"/>
                <w:kern w:val="0"/>
                <w:szCs w:val="21"/>
                <w:highlight w:val="none"/>
              </w:rPr>
            </w:pPr>
          </w:p>
        </w:tc>
        <w:tc>
          <w:tcPr>
            <w:tcW w:w="683" w:type="pct"/>
            <w:tcBorders>
              <w:top w:val="single" w:color="auto" w:sz="4" w:space="0"/>
              <w:left w:val="single" w:color="auto" w:sz="4" w:space="0"/>
              <w:bottom w:val="single" w:color="auto" w:sz="4" w:space="0"/>
              <w:right w:val="single" w:color="auto" w:sz="4" w:space="0"/>
            </w:tcBorders>
            <w:noWrap w:val="0"/>
            <w:vAlign w:val="top"/>
          </w:tcPr>
          <w:p w14:paraId="04DE3E88">
            <w:pPr>
              <w:jc w:val="center"/>
              <w:rPr>
                <w:rFonts w:hint="eastAsia" w:ascii="仿宋" w:hAnsi="仿宋" w:eastAsia="仿宋" w:cs="仿宋"/>
                <w:color w:val="auto"/>
                <w:kern w:val="0"/>
                <w:szCs w:val="21"/>
                <w:highlight w:val="none"/>
              </w:rPr>
            </w:pPr>
          </w:p>
        </w:tc>
      </w:tr>
      <w:tr w14:paraId="0F312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jc w:val="center"/>
        </w:trPr>
        <w:tc>
          <w:tcPr>
            <w:tcW w:w="310" w:type="pct"/>
            <w:tcBorders>
              <w:top w:val="single" w:color="auto" w:sz="4" w:space="0"/>
              <w:left w:val="single" w:color="auto" w:sz="4" w:space="0"/>
              <w:bottom w:val="single" w:color="auto" w:sz="4" w:space="0"/>
              <w:right w:val="single" w:color="auto" w:sz="4" w:space="0"/>
            </w:tcBorders>
            <w:noWrap w:val="0"/>
            <w:vAlign w:val="center"/>
          </w:tcPr>
          <w:p w14:paraId="336C86CA">
            <w:pPr>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7</w:t>
            </w:r>
          </w:p>
        </w:tc>
        <w:tc>
          <w:tcPr>
            <w:tcW w:w="548" w:type="pct"/>
            <w:tcBorders>
              <w:top w:val="single" w:color="auto" w:sz="4" w:space="0"/>
              <w:left w:val="single" w:color="auto" w:sz="4" w:space="0"/>
              <w:bottom w:val="single" w:color="auto" w:sz="4" w:space="0"/>
              <w:right w:val="single" w:color="auto" w:sz="4" w:space="0"/>
            </w:tcBorders>
            <w:noWrap w:val="0"/>
            <w:vAlign w:val="center"/>
          </w:tcPr>
          <w:p w14:paraId="753BE4AF">
            <w:pPr>
              <w:jc w:val="center"/>
              <w:rPr>
                <w:rFonts w:hint="eastAsia" w:ascii="仿宋" w:hAnsi="仿宋" w:eastAsia="仿宋" w:cs="仿宋"/>
                <w:color w:val="auto"/>
                <w:szCs w:val="21"/>
                <w:highlight w:val="none"/>
              </w:rPr>
            </w:pPr>
          </w:p>
        </w:tc>
        <w:tc>
          <w:tcPr>
            <w:tcW w:w="632" w:type="pct"/>
            <w:tcBorders>
              <w:top w:val="single" w:color="auto" w:sz="4" w:space="0"/>
              <w:left w:val="single" w:color="auto" w:sz="4" w:space="0"/>
              <w:bottom w:val="single" w:color="auto" w:sz="4" w:space="0"/>
              <w:right w:val="single" w:color="auto" w:sz="4" w:space="0"/>
            </w:tcBorders>
            <w:noWrap w:val="0"/>
            <w:vAlign w:val="center"/>
          </w:tcPr>
          <w:p w14:paraId="0BB9D3C6">
            <w:pPr>
              <w:jc w:val="center"/>
              <w:rPr>
                <w:rFonts w:hint="eastAsia" w:ascii="仿宋" w:hAnsi="仿宋" w:eastAsia="仿宋" w:cs="仿宋"/>
                <w:color w:val="auto"/>
                <w:szCs w:val="21"/>
                <w:highlight w:val="none"/>
              </w:rPr>
            </w:pPr>
          </w:p>
        </w:tc>
        <w:tc>
          <w:tcPr>
            <w:tcW w:w="687" w:type="pct"/>
            <w:tcBorders>
              <w:top w:val="single" w:color="auto" w:sz="4" w:space="0"/>
              <w:left w:val="single" w:color="auto" w:sz="4" w:space="0"/>
              <w:bottom w:val="single" w:color="auto" w:sz="4" w:space="0"/>
              <w:right w:val="single" w:color="auto" w:sz="4" w:space="0"/>
            </w:tcBorders>
            <w:noWrap w:val="0"/>
            <w:vAlign w:val="center"/>
          </w:tcPr>
          <w:p w14:paraId="72D07F7F">
            <w:pPr>
              <w:jc w:val="center"/>
              <w:rPr>
                <w:rFonts w:hint="eastAsia" w:ascii="仿宋" w:hAnsi="仿宋" w:eastAsia="仿宋" w:cs="仿宋"/>
                <w:color w:val="auto"/>
                <w:kern w:val="0"/>
                <w:szCs w:val="21"/>
                <w:highlight w:val="none"/>
              </w:rPr>
            </w:pPr>
          </w:p>
        </w:tc>
        <w:tc>
          <w:tcPr>
            <w:tcW w:w="768" w:type="pct"/>
            <w:tcBorders>
              <w:top w:val="single" w:color="auto" w:sz="4" w:space="0"/>
              <w:left w:val="single" w:color="auto" w:sz="4" w:space="0"/>
              <w:bottom w:val="single" w:color="auto" w:sz="4" w:space="0"/>
              <w:right w:val="single" w:color="auto" w:sz="4" w:space="0"/>
            </w:tcBorders>
            <w:noWrap w:val="0"/>
            <w:vAlign w:val="center"/>
          </w:tcPr>
          <w:p w14:paraId="34F28436">
            <w:pPr>
              <w:jc w:val="center"/>
              <w:rPr>
                <w:rFonts w:hint="eastAsia" w:ascii="仿宋" w:hAnsi="仿宋" w:eastAsia="仿宋" w:cs="仿宋"/>
                <w:color w:val="auto"/>
                <w:kern w:val="0"/>
                <w:szCs w:val="21"/>
                <w:highlight w:val="none"/>
              </w:rPr>
            </w:pPr>
          </w:p>
        </w:tc>
        <w:tc>
          <w:tcPr>
            <w:tcW w:w="687" w:type="pct"/>
            <w:tcBorders>
              <w:top w:val="single" w:color="auto" w:sz="4" w:space="0"/>
              <w:left w:val="single" w:color="auto" w:sz="4" w:space="0"/>
              <w:bottom w:val="single" w:color="auto" w:sz="4" w:space="0"/>
              <w:right w:val="single" w:color="auto" w:sz="4" w:space="0"/>
            </w:tcBorders>
            <w:noWrap w:val="0"/>
            <w:vAlign w:val="top"/>
          </w:tcPr>
          <w:p w14:paraId="0133A48C">
            <w:pPr>
              <w:jc w:val="center"/>
              <w:rPr>
                <w:rFonts w:hint="eastAsia" w:ascii="仿宋" w:hAnsi="仿宋" w:eastAsia="仿宋" w:cs="仿宋"/>
                <w:color w:val="auto"/>
                <w:kern w:val="0"/>
                <w:szCs w:val="21"/>
                <w:highlight w:val="none"/>
              </w:rPr>
            </w:pPr>
          </w:p>
        </w:tc>
        <w:tc>
          <w:tcPr>
            <w:tcW w:w="685" w:type="pct"/>
            <w:tcBorders>
              <w:top w:val="single" w:color="auto" w:sz="4" w:space="0"/>
              <w:left w:val="single" w:color="auto" w:sz="4" w:space="0"/>
              <w:bottom w:val="single" w:color="auto" w:sz="4" w:space="0"/>
              <w:right w:val="single" w:color="auto" w:sz="4" w:space="0"/>
            </w:tcBorders>
            <w:noWrap w:val="0"/>
            <w:vAlign w:val="center"/>
          </w:tcPr>
          <w:p w14:paraId="31F0F2BC">
            <w:pPr>
              <w:jc w:val="center"/>
              <w:rPr>
                <w:rFonts w:hint="eastAsia" w:ascii="仿宋" w:hAnsi="仿宋" w:eastAsia="仿宋" w:cs="仿宋"/>
                <w:color w:val="auto"/>
                <w:kern w:val="0"/>
                <w:szCs w:val="21"/>
                <w:highlight w:val="none"/>
              </w:rPr>
            </w:pPr>
          </w:p>
        </w:tc>
        <w:tc>
          <w:tcPr>
            <w:tcW w:w="683" w:type="pct"/>
            <w:tcBorders>
              <w:top w:val="single" w:color="auto" w:sz="4" w:space="0"/>
              <w:left w:val="single" w:color="auto" w:sz="4" w:space="0"/>
              <w:bottom w:val="single" w:color="auto" w:sz="4" w:space="0"/>
              <w:right w:val="single" w:color="auto" w:sz="4" w:space="0"/>
            </w:tcBorders>
            <w:noWrap w:val="0"/>
            <w:vAlign w:val="top"/>
          </w:tcPr>
          <w:p w14:paraId="157DE670">
            <w:pPr>
              <w:jc w:val="center"/>
              <w:rPr>
                <w:rFonts w:hint="eastAsia" w:ascii="仿宋" w:hAnsi="仿宋" w:eastAsia="仿宋" w:cs="仿宋"/>
                <w:color w:val="auto"/>
                <w:kern w:val="0"/>
                <w:szCs w:val="21"/>
                <w:highlight w:val="none"/>
              </w:rPr>
            </w:pPr>
          </w:p>
        </w:tc>
      </w:tr>
    </w:tbl>
    <w:p w14:paraId="2C9D5CE9">
      <w:pPr>
        <w:rPr>
          <w:rFonts w:hint="eastAsia" w:ascii="仿宋" w:hAnsi="仿宋" w:eastAsia="仿宋" w:cs="仿宋"/>
          <w:b/>
          <w:color w:val="auto"/>
          <w:kern w:val="0"/>
          <w:sz w:val="32"/>
          <w:szCs w:val="32"/>
          <w:highlight w:val="none"/>
        </w:rPr>
      </w:pPr>
      <w:r>
        <w:rPr>
          <w:rFonts w:hint="eastAsia" w:ascii="仿宋" w:hAnsi="仿宋" w:eastAsia="仿宋" w:cs="仿宋"/>
          <w:b/>
          <w:color w:val="auto"/>
          <w:kern w:val="0"/>
          <w:sz w:val="32"/>
          <w:szCs w:val="32"/>
          <w:highlight w:val="none"/>
        </w:rPr>
        <w:br w:type="page"/>
      </w:r>
    </w:p>
    <w:p w14:paraId="2253F5A0">
      <w:pPr>
        <w:pStyle w:val="98"/>
        <w:rPr>
          <w:rFonts w:hint="eastAsia"/>
          <w:color w:val="auto"/>
          <w:highlight w:val="none"/>
        </w:rPr>
      </w:pPr>
    </w:p>
    <w:p w14:paraId="4102BF82">
      <w:pPr>
        <w:jc w:val="center"/>
        <w:rPr>
          <w:rFonts w:hint="eastAsia" w:ascii="仿宋" w:hAnsi="仿宋" w:eastAsia="仿宋" w:cs="仿宋"/>
          <w:b/>
          <w:color w:val="auto"/>
          <w:kern w:val="0"/>
          <w:sz w:val="32"/>
          <w:szCs w:val="32"/>
          <w:highlight w:val="none"/>
        </w:rPr>
      </w:pPr>
    </w:p>
    <w:p w14:paraId="1B477014">
      <w:pPr>
        <w:ind w:left="0" w:leftChars="0" w:firstLine="0" w:firstLineChars="0"/>
        <w:jc w:val="center"/>
        <w:rPr>
          <w:rFonts w:hint="eastAsia" w:ascii="仿宋" w:hAnsi="仿宋" w:eastAsia="仿宋" w:cs="仿宋"/>
          <w:b/>
          <w:color w:val="auto"/>
          <w:kern w:val="0"/>
          <w:sz w:val="32"/>
          <w:szCs w:val="32"/>
          <w:highlight w:val="none"/>
        </w:rPr>
      </w:pPr>
      <w:r>
        <w:rPr>
          <w:rFonts w:hint="eastAsia" w:ascii="仿宋" w:hAnsi="仿宋" w:eastAsia="仿宋" w:cs="仿宋"/>
          <w:b/>
          <w:color w:val="auto"/>
          <w:kern w:val="0"/>
          <w:sz w:val="32"/>
          <w:szCs w:val="32"/>
          <w:highlight w:val="none"/>
        </w:rPr>
        <w:t>六、投标标的清单</w:t>
      </w:r>
    </w:p>
    <w:tbl>
      <w:tblPr>
        <w:tblStyle w:val="80"/>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1310"/>
        <w:gridCol w:w="1065"/>
        <w:gridCol w:w="1204"/>
        <w:gridCol w:w="2653"/>
        <w:gridCol w:w="888"/>
        <w:gridCol w:w="1458"/>
      </w:tblGrid>
      <w:tr w14:paraId="40BBC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jc w:val="center"/>
        </w:trPr>
        <w:tc>
          <w:tcPr>
            <w:tcW w:w="379" w:type="pct"/>
            <w:tcBorders>
              <w:top w:val="single" w:color="auto" w:sz="4" w:space="0"/>
              <w:left w:val="single" w:color="auto" w:sz="4" w:space="0"/>
              <w:bottom w:val="single" w:color="auto" w:sz="4" w:space="0"/>
              <w:right w:val="single" w:color="auto" w:sz="4" w:space="0"/>
            </w:tcBorders>
            <w:vAlign w:val="center"/>
          </w:tcPr>
          <w:p w14:paraId="3563A475">
            <w:pPr>
              <w:spacing w:line="360" w:lineRule="auto"/>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序号</w:t>
            </w:r>
          </w:p>
        </w:tc>
        <w:tc>
          <w:tcPr>
            <w:tcW w:w="705" w:type="pct"/>
            <w:tcBorders>
              <w:top w:val="single" w:color="auto" w:sz="4" w:space="0"/>
              <w:left w:val="single" w:color="auto" w:sz="4" w:space="0"/>
              <w:bottom w:val="single" w:color="auto" w:sz="4" w:space="0"/>
              <w:right w:val="single" w:color="auto" w:sz="4" w:space="0"/>
            </w:tcBorders>
            <w:vAlign w:val="center"/>
          </w:tcPr>
          <w:p w14:paraId="4844C26D">
            <w:pPr>
              <w:spacing w:line="360" w:lineRule="auto"/>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名称</w:t>
            </w:r>
          </w:p>
        </w:tc>
        <w:tc>
          <w:tcPr>
            <w:tcW w:w="573" w:type="pct"/>
            <w:tcBorders>
              <w:top w:val="single" w:color="auto" w:sz="4" w:space="0"/>
              <w:left w:val="single" w:color="auto" w:sz="4" w:space="0"/>
              <w:bottom w:val="single" w:color="auto" w:sz="4" w:space="0"/>
              <w:right w:val="single" w:color="auto" w:sz="4" w:space="0"/>
            </w:tcBorders>
          </w:tcPr>
          <w:p w14:paraId="6A16BFD6">
            <w:pPr>
              <w:spacing w:line="360" w:lineRule="auto"/>
              <w:jc w:val="center"/>
              <w:rPr>
                <w:rFonts w:hint="eastAsia" w:ascii="仿宋" w:hAnsi="仿宋" w:eastAsia="仿宋" w:cs="仿宋"/>
                <w:b/>
                <w:color w:val="auto"/>
                <w:sz w:val="24"/>
                <w:highlight w:val="none"/>
              </w:rPr>
            </w:pPr>
          </w:p>
          <w:p w14:paraId="7E6D635D">
            <w:pPr>
              <w:spacing w:line="360" w:lineRule="auto"/>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服务范围</w:t>
            </w:r>
          </w:p>
        </w:tc>
        <w:tc>
          <w:tcPr>
            <w:tcW w:w="648" w:type="pct"/>
            <w:tcBorders>
              <w:top w:val="single" w:color="auto" w:sz="4" w:space="0"/>
              <w:left w:val="single" w:color="auto" w:sz="4" w:space="0"/>
              <w:bottom w:val="single" w:color="auto" w:sz="4" w:space="0"/>
              <w:right w:val="single" w:color="auto" w:sz="4" w:space="0"/>
            </w:tcBorders>
            <w:vAlign w:val="center"/>
          </w:tcPr>
          <w:p w14:paraId="0EF4F034">
            <w:pPr>
              <w:spacing w:line="360" w:lineRule="auto"/>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服务要求</w:t>
            </w:r>
          </w:p>
        </w:tc>
        <w:tc>
          <w:tcPr>
            <w:tcW w:w="1428" w:type="pct"/>
            <w:tcBorders>
              <w:top w:val="single" w:color="auto" w:sz="4" w:space="0"/>
              <w:left w:val="single" w:color="auto" w:sz="4" w:space="0"/>
              <w:bottom w:val="single" w:color="auto" w:sz="4" w:space="0"/>
              <w:right w:val="single" w:color="auto" w:sz="4" w:space="0"/>
            </w:tcBorders>
            <w:vAlign w:val="center"/>
          </w:tcPr>
          <w:p w14:paraId="75D65A95">
            <w:pPr>
              <w:spacing w:line="360" w:lineRule="auto"/>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服务时间</w:t>
            </w:r>
          </w:p>
        </w:tc>
        <w:tc>
          <w:tcPr>
            <w:tcW w:w="478" w:type="pct"/>
            <w:tcBorders>
              <w:top w:val="single" w:color="auto" w:sz="4" w:space="0"/>
              <w:left w:val="single" w:color="auto" w:sz="4" w:space="0"/>
              <w:bottom w:val="single" w:color="auto" w:sz="4" w:space="0"/>
              <w:right w:val="single" w:color="auto" w:sz="4" w:space="0"/>
            </w:tcBorders>
            <w:vAlign w:val="center"/>
          </w:tcPr>
          <w:p w14:paraId="227C95FA">
            <w:pPr>
              <w:spacing w:line="360" w:lineRule="auto"/>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服务标准</w:t>
            </w:r>
          </w:p>
        </w:tc>
        <w:tc>
          <w:tcPr>
            <w:tcW w:w="785" w:type="pct"/>
            <w:tcBorders>
              <w:top w:val="single" w:color="auto" w:sz="4" w:space="0"/>
              <w:left w:val="single" w:color="auto" w:sz="4" w:space="0"/>
              <w:bottom w:val="single" w:color="auto" w:sz="4" w:space="0"/>
              <w:right w:val="single" w:color="auto" w:sz="4" w:space="0"/>
            </w:tcBorders>
            <w:vAlign w:val="center"/>
          </w:tcPr>
          <w:p w14:paraId="10A99A38">
            <w:pPr>
              <w:spacing w:line="360" w:lineRule="auto"/>
              <w:jc w:val="center"/>
              <w:rPr>
                <w:rFonts w:hint="eastAsia" w:ascii="仿宋" w:hAnsi="仿宋" w:eastAsia="仿宋" w:cs="仿宋"/>
                <w:b/>
                <w:color w:val="auto"/>
                <w:sz w:val="24"/>
                <w:highlight w:val="none"/>
              </w:rPr>
            </w:pPr>
          </w:p>
          <w:p w14:paraId="777B2A57">
            <w:pPr>
              <w:spacing w:line="360" w:lineRule="auto"/>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备注（如果有）</w:t>
            </w:r>
          </w:p>
          <w:p w14:paraId="5B3031CF">
            <w:pPr>
              <w:spacing w:line="360" w:lineRule="auto"/>
              <w:jc w:val="center"/>
              <w:rPr>
                <w:rFonts w:hint="eastAsia" w:ascii="仿宋" w:hAnsi="仿宋" w:eastAsia="仿宋" w:cs="仿宋"/>
                <w:b/>
                <w:color w:val="auto"/>
                <w:sz w:val="24"/>
                <w:highlight w:val="none"/>
              </w:rPr>
            </w:pPr>
          </w:p>
        </w:tc>
      </w:tr>
      <w:tr w14:paraId="72C72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379" w:type="pct"/>
            <w:tcBorders>
              <w:top w:val="single" w:color="auto" w:sz="4" w:space="0"/>
              <w:left w:val="single" w:color="auto" w:sz="4" w:space="0"/>
              <w:bottom w:val="single" w:color="auto" w:sz="4" w:space="0"/>
              <w:right w:val="single" w:color="auto" w:sz="4" w:space="0"/>
            </w:tcBorders>
            <w:vAlign w:val="center"/>
          </w:tcPr>
          <w:p w14:paraId="0D1B3343">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1</w:t>
            </w:r>
          </w:p>
        </w:tc>
        <w:tc>
          <w:tcPr>
            <w:tcW w:w="705" w:type="pct"/>
            <w:tcBorders>
              <w:top w:val="single" w:color="auto" w:sz="4" w:space="0"/>
              <w:left w:val="single" w:color="auto" w:sz="4" w:space="0"/>
              <w:bottom w:val="single" w:color="auto" w:sz="4" w:space="0"/>
              <w:right w:val="single" w:color="auto" w:sz="4" w:space="0"/>
            </w:tcBorders>
            <w:vAlign w:val="center"/>
          </w:tcPr>
          <w:p w14:paraId="38DC17CB">
            <w:pPr>
              <w:snapToGrid w:val="0"/>
              <w:spacing w:line="360" w:lineRule="auto"/>
              <w:jc w:val="center"/>
              <w:rPr>
                <w:rFonts w:hint="eastAsia" w:ascii="仿宋" w:hAnsi="仿宋" w:eastAsia="仿宋" w:cs="仿宋"/>
                <w:color w:val="auto"/>
                <w:sz w:val="24"/>
                <w:highlight w:val="none"/>
              </w:rPr>
            </w:pPr>
          </w:p>
        </w:tc>
        <w:tc>
          <w:tcPr>
            <w:tcW w:w="573" w:type="pct"/>
            <w:tcBorders>
              <w:top w:val="single" w:color="auto" w:sz="4" w:space="0"/>
              <w:left w:val="single" w:color="auto" w:sz="4" w:space="0"/>
              <w:bottom w:val="single" w:color="auto" w:sz="4" w:space="0"/>
              <w:right w:val="single" w:color="auto" w:sz="4" w:space="0"/>
            </w:tcBorders>
            <w:vAlign w:val="center"/>
          </w:tcPr>
          <w:p w14:paraId="637279D3">
            <w:pPr>
              <w:snapToGrid w:val="0"/>
              <w:spacing w:line="360" w:lineRule="auto"/>
              <w:jc w:val="center"/>
              <w:rPr>
                <w:rFonts w:hint="eastAsia" w:ascii="仿宋" w:hAnsi="仿宋" w:eastAsia="仿宋" w:cs="仿宋"/>
                <w:color w:val="auto"/>
                <w:sz w:val="24"/>
                <w:highlight w:val="none"/>
              </w:rPr>
            </w:pPr>
          </w:p>
        </w:tc>
        <w:tc>
          <w:tcPr>
            <w:tcW w:w="648" w:type="pct"/>
            <w:tcBorders>
              <w:top w:val="single" w:color="auto" w:sz="4" w:space="0"/>
              <w:left w:val="single" w:color="auto" w:sz="4" w:space="0"/>
              <w:bottom w:val="single" w:color="auto" w:sz="4" w:space="0"/>
              <w:right w:val="single" w:color="auto" w:sz="4" w:space="0"/>
            </w:tcBorders>
            <w:vAlign w:val="center"/>
          </w:tcPr>
          <w:p w14:paraId="6D262098">
            <w:pPr>
              <w:snapToGrid w:val="0"/>
              <w:spacing w:line="360" w:lineRule="auto"/>
              <w:jc w:val="center"/>
              <w:rPr>
                <w:rFonts w:hint="eastAsia" w:ascii="仿宋" w:hAnsi="仿宋" w:eastAsia="仿宋" w:cs="仿宋"/>
                <w:color w:val="auto"/>
                <w:sz w:val="24"/>
                <w:highlight w:val="none"/>
              </w:rPr>
            </w:pPr>
          </w:p>
        </w:tc>
        <w:tc>
          <w:tcPr>
            <w:tcW w:w="1428" w:type="pct"/>
            <w:tcBorders>
              <w:top w:val="single" w:color="auto" w:sz="4" w:space="0"/>
              <w:left w:val="single" w:color="auto" w:sz="4" w:space="0"/>
              <w:bottom w:val="single" w:color="auto" w:sz="4" w:space="0"/>
              <w:right w:val="single" w:color="auto" w:sz="4" w:space="0"/>
            </w:tcBorders>
            <w:vAlign w:val="center"/>
          </w:tcPr>
          <w:p w14:paraId="7D81822A">
            <w:pPr>
              <w:spacing w:line="360" w:lineRule="auto"/>
              <w:jc w:val="center"/>
              <w:rPr>
                <w:rFonts w:hint="eastAsia" w:ascii="仿宋" w:hAnsi="仿宋" w:eastAsia="仿宋" w:cs="仿宋"/>
                <w:color w:val="auto"/>
                <w:sz w:val="24"/>
                <w:highlight w:val="none"/>
              </w:rPr>
            </w:pPr>
          </w:p>
        </w:tc>
        <w:tc>
          <w:tcPr>
            <w:tcW w:w="478" w:type="pct"/>
            <w:tcBorders>
              <w:top w:val="single" w:color="auto" w:sz="4" w:space="0"/>
              <w:left w:val="single" w:color="auto" w:sz="4" w:space="0"/>
              <w:bottom w:val="single" w:color="auto" w:sz="4" w:space="0"/>
              <w:right w:val="single" w:color="auto" w:sz="4" w:space="0"/>
            </w:tcBorders>
            <w:vAlign w:val="center"/>
          </w:tcPr>
          <w:p w14:paraId="612738CB">
            <w:pPr>
              <w:spacing w:line="360" w:lineRule="auto"/>
              <w:jc w:val="center"/>
              <w:rPr>
                <w:rFonts w:hint="eastAsia" w:ascii="仿宋" w:hAnsi="仿宋" w:eastAsia="仿宋" w:cs="仿宋"/>
                <w:color w:val="auto"/>
                <w:sz w:val="24"/>
                <w:highlight w:val="none"/>
              </w:rPr>
            </w:pPr>
          </w:p>
        </w:tc>
        <w:tc>
          <w:tcPr>
            <w:tcW w:w="785" w:type="pct"/>
            <w:tcBorders>
              <w:top w:val="single" w:color="auto" w:sz="4" w:space="0"/>
              <w:left w:val="single" w:color="auto" w:sz="4" w:space="0"/>
              <w:bottom w:val="single" w:color="auto" w:sz="4" w:space="0"/>
              <w:right w:val="single" w:color="auto" w:sz="4" w:space="0"/>
            </w:tcBorders>
            <w:vAlign w:val="center"/>
          </w:tcPr>
          <w:p w14:paraId="720AA9A9">
            <w:pPr>
              <w:spacing w:line="360" w:lineRule="auto"/>
              <w:jc w:val="center"/>
              <w:rPr>
                <w:rFonts w:hint="eastAsia" w:ascii="仿宋" w:hAnsi="仿宋" w:eastAsia="仿宋" w:cs="仿宋"/>
                <w:color w:val="auto"/>
                <w:sz w:val="24"/>
                <w:highlight w:val="none"/>
              </w:rPr>
            </w:pPr>
          </w:p>
        </w:tc>
      </w:tr>
      <w:tr w14:paraId="17158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379" w:type="pct"/>
            <w:tcBorders>
              <w:top w:val="single" w:color="auto" w:sz="4" w:space="0"/>
              <w:left w:val="single" w:color="auto" w:sz="4" w:space="0"/>
              <w:bottom w:val="single" w:color="auto" w:sz="4" w:space="0"/>
              <w:right w:val="single" w:color="auto" w:sz="4" w:space="0"/>
            </w:tcBorders>
            <w:vAlign w:val="center"/>
          </w:tcPr>
          <w:p w14:paraId="51981AAC">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2</w:t>
            </w:r>
          </w:p>
        </w:tc>
        <w:tc>
          <w:tcPr>
            <w:tcW w:w="705" w:type="pct"/>
            <w:tcBorders>
              <w:top w:val="single" w:color="auto" w:sz="4" w:space="0"/>
              <w:left w:val="single" w:color="auto" w:sz="4" w:space="0"/>
              <w:bottom w:val="single" w:color="auto" w:sz="4" w:space="0"/>
              <w:right w:val="single" w:color="auto" w:sz="4" w:space="0"/>
            </w:tcBorders>
            <w:vAlign w:val="center"/>
          </w:tcPr>
          <w:p w14:paraId="19897062">
            <w:pPr>
              <w:snapToGrid w:val="0"/>
              <w:spacing w:line="360" w:lineRule="auto"/>
              <w:jc w:val="center"/>
              <w:rPr>
                <w:rFonts w:hint="eastAsia" w:ascii="仿宋" w:hAnsi="仿宋" w:eastAsia="仿宋" w:cs="仿宋"/>
                <w:color w:val="auto"/>
                <w:sz w:val="24"/>
                <w:highlight w:val="none"/>
              </w:rPr>
            </w:pPr>
          </w:p>
        </w:tc>
        <w:tc>
          <w:tcPr>
            <w:tcW w:w="573" w:type="pct"/>
            <w:tcBorders>
              <w:top w:val="single" w:color="auto" w:sz="4" w:space="0"/>
              <w:left w:val="single" w:color="auto" w:sz="4" w:space="0"/>
              <w:bottom w:val="single" w:color="auto" w:sz="4" w:space="0"/>
              <w:right w:val="single" w:color="auto" w:sz="4" w:space="0"/>
            </w:tcBorders>
            <w:vAlign w:val="center"/>
          </w:tcPr>
          <w:p w14:paraId="18DE6282">
            <w:pPr>
              <w:snapToGrid w:val="0"/>
              <w:spacing w:line="360" w:lineRule="auto"/>
              <w:jc w:val="center"/>
              <w:rPr>
                <w:rFonts w:hint="eastAsia" w:ascii="仿宋" w:hAnsi="仿宋" w:eastAsia="仿宋" w:cs="仿宋"/>
                <w:color w:val="auto"/>
                <w:sz w:val="24"/>
                <w:highlight w:val="none"/>
              </w:rPr>
            </w:pPr>
          </w:p>
        </w:tc>
        <w:tc>
          <w:tcPr>
            <w:tcW w:w="648" w:type="pct"/>
            <w:tcBorders>
              <w:top w:val="single" w:color="auto" w:sz="4" w:space="0"/>
              <w:left w:val="single" w:color="auto" w:sz="4" w:space="0"/>
              <w:bottom w:val="single" w:color="auto" w:sz="4" w:space="0"/>
              <w:right w:val="single" w:color="auto" w:sz="4" w:space="0"/>
            </w:tcBorders>
            <w:vAlign w:val="center"/>
          </w:tcPr>
          <w:p w14:paraId="19000EBC">
            <w:pPr>
              <w:snapToGrid w:val="0"/>
              <w:spacing w:line="360" w:lineRule="auto"/>
              <w:jc w:val="center"/>
              <w:rPr>
                <w:rFonts w:hint="eastAsia" w:ascii="仿宋" w:hAnsi="仿宋" w:eastAsia="仿宋" w:cs="仿宋"/>
                <w:color w:val="auto"/>
                <w:sz w:val="24"/>
                <w:highlight w:val="none"/>
              </w:rPr>
            </w:pPr>
          </w:p>
        </w:tc>
        <w:tc>
          <w:tcPr>
            <w:tcW w:w="1428" w:type="pct"/>
            <w:tcBorders>
              <w:top w:val="single" w:color="auto" w:sz="4" w:space="0"/>
              <w:left w:val="single" w:color="auto" w:sz="4" w:space="0"/>
              <w:bottom w:val="single" w:color="auto" w:sz="4" w:space="0"/>
              <w:right w:val="single" w:color="auto" w:sz="4" w:space="0"/>
            </w:tcBorders>
            <w:vAlign w:val="center"/>
          </w:tcPr>
          <w:p w14:paraId="58B80516">
            <w:pPr>
              <w:spacing w:line="360" w:lineRule="auto"/>
              <w:jc w:val="center"/>
              <w:rPr>
                <w:rFonts w:hint="eastAsia" w:ascii="仿宋" w:hAnsi="仿宋" w:eastAsia="仿宋" w:cs="仿宋"/>
                <w:color w:val="auto"/>
                <w:sz w:val="24"/>
                <w:highlight w:val="none"/>
              </w:rPr>
            </w:pPr>
          </w:p>
        </w:tc>
        <w:tc>
          <w:tcPr>
            <w:tcW w:w="478" w:type="pct"/>
            <w:tcBorders>
              <w:top w:val="single" w:color="auto" w:sz="4" w:space="0"/>
              <w:left w:val="single" w:color="auto" w:sz="4" w:space="0"/>
              <w:bottom w:val="single" w:color="auto" w:sz="4" w:space="0"/>
              <w:right w:val="single" w:color="auto" w:sz="4" w:space="0"/>
            </w:tcBorders>
            <w:vAlign w:val="center"/>
          </w:tcPr>
          <w:p w14:paraId="49590F2D">
            <w:pPr>
              <w:spacing w:line="360" w:lineRule="auto"/>
              <w:jc w:val="center"/>
              <w:rPr>
                <w:rFonts w:hint="eastAsia" w:ascii="仿宋" w:hAnsi="仿宋" w:eastAsia="仿宋" w:cs="仿宋"/>
                <w:color w:val="auto"/>
                <w:sz w:val="24"/>
                <w:highlight w:val="none"/>
              </w:rPr>
            </w:pPr>
          </w:p>
        </w:tc>
        <w:tc>
          <w:tcPr>
            <w:tcW w:w="785" w:type="pct"/>
            <w:tcBorders>
              <w:top w:val="single" w:color="auto" w:sz="4" w:space="0"/>
              <w:left w:val="single" w:color="auto" w:sz="4" w:space="0"/>
              <w:bottom w:val="single" w:color="auto" w:sz="4" w:space="0"/>
              <w:right w:val="single" w:color="auto" w:sz="4" w:space="0"/>
            </w:tcBorders>
            <w:vAlign w:val="center"/>
          </w:tcPr>
          <w:p w14:paraId="7F12F277">
            <w:pPr>
              <w:spacing w:line="360" w:lineRule="auto"/>
              <w:jc w:val="center"/>
              <w:rPr>
                <w:rFonts w:hint="eastAsia" w:ascii="仿宋" w:hAnsi="仿宋" w:eastAsia="仿宋" w:cs="仿宋"/>
                <w:color w:val="auto"/>
                <w:sz w:val="24"/>
                <w:highlight w:val="none"/>
              </w:rPr>
            </w:pPr>
          </w:p>
        </w:tc>
      </w:tr>
      <w:tr w14:paraId="30BEE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379" w:type="pct"/>
            <w:tcBorders>
              <w:top w:val="single" w:color="auto" w:sz="4" w:space="0"/>
              <w:left w:val="single" w:color="auto" w:sz="4" w:space="0"/>
              <w:bottom w:val="single" w:color="auto" w:sz="4" w:space="0"/>
              <w:right w:val="single" w:color="auto" w:sz="4" w:space="0"/>
            </w:tcBorders>
            <w:vAlign w:val="center"/>
          </w:tcPr>
          <w:p w14:paraId="353F77D6">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w:t>
            </w:r>
          </w:p>
        </w:tc>
        <w:tc>
          <w:tcPr>
            <w:tcW w:w="705" w:type="pct"/>
            <w:tcBorders>
              <w:top w:val="single" w:color="auto" w:sz="4" w:space="0"/>
              <w:left w:val="single" w:color="auto" w:sz="4" w:space="0"/>
              <w:bottom w:val="single" w:color="auto" w:sz="4" w:space="0"/>
              <w:right w:val="single" w:color="auto" w:sz="4" w:space="0"/>
            </w:tcBorders>
            <w:vAlign w:val="center"/>
          </w:tcPr>
          <w:p w14:paraId="0254B132">
            <w:pPr>
              <w:snapToGrid w:val="0"/>
              <w:spacing w:line="360" w:lineRule="auto"/>
              <w:jc w:val="center"/>
              <w:rPr>
                <w:rFonts w:hint="eastAsia" w:ascii="仿宋" w:hAnsi="仿宋" w:eastAsia="仿宋" w:cs="仿宋"/>
                <w:color w:val="auto"/>
                <w:sz w:val="24"/>
                <w:highlight w:val="none"/>
              </w:rPr>
            </w:pPr>
          </w:p>
        </w:tc>
        <w:tc>
          <w:tcPr>
            <w:tcW w:w="573" w:type="pct"/>
            <w:tcBorders>
              <w:top w:val="single" w:color="auto" w:sz="4" w:space="0"/>
              <w:left w:val="single" w:color="auto" w:sz="4" w:space="0"/>
              <w:bottom w:val="single" w:color="auto" w:sz="4" w:space="0"/>
              <w:right w:val="single" w:color="auto" w:sz="4" w:space="0"/>
            </w:tcBorders>
            <w:vAlign w:val="center"/>
          </w:tcPr>
          <w:p w14:paraId="4C8441B5">
            <w:pPr>
              <w:snapToGrid w:val="0"/>
              <w:spacing w:line="360" w:lineRule="auto"/>
              <w:jc w:val="center"/>
              <w:rPr>
                <w:rFonts w:hint="eastAsia" w:ascii="仿宋" w:hAnsi="仿宋" w:eastAsia="仿宋" w:cs="仿宋"/>
                <w:color w:val="auto"/>
                <w:sz w:val="24"/>
                <w:highlight w:val="none"/>
              </w:rPr>
            </w:pPr>
          </w:p>
        </w:tc>
        <w:tc>
          <w:tcPr>
            <w:tcW w:w="648" w:type="pct"/>
            <w:tcBorders>
              <w:top w:val="single" w:color="auto" w:sz="4" w:space="0"/>
              <w:left w:val="single" w:color="auto" w:sz="4" w:space="0"/>
              <w:bottom w:val="single" w:color="auto" w:sz="4" w:space="0"/>
              <w:right w:val="single" w:color="auto" w:sz="4" w:space="0"/>
            </w:tcBorders>
            <w:vAlign w:val="center"/>
          </w:tcPr>
          <w:p w14:paraId="722FC77F">
            <w:pPr>
              <w:snapToGrid w:val="0"/>
              <w:spacing w:line="360" w:lineRule="auto"/>
              <w:jc w:val="center"/>
              <w:rPr>
                <w:rFonts w:hint="eastAsia" w:ascii="仿宋" w:hAnsi="仿宋" w:eastAsia="仿宋" w:cs="仿宋"/>
                <w:color w:val="auto"/>
                <w:sz w:val="24"/>
                <w:highlight w:val="none"/>
              </w:rPr>
            </w:pPr>
          </w:p>
        </w:tc>
        <w:tc>
          <w:tcPr>
            <w:tcW w:w="1428" w:type="pct"/>
            <w:tcBorders>
              <w:top w:val="single" w:color="auto" w:sz="4" w:space="0"/>
              <w:left w:val="single" w:color="auto" w:sz="4" w:space="0"/>
              <w:bottom w:val="single" w:color="auto" w:sz="4" w:space="0"/>
              <w:right w:val="single" w:color="auto" w:sz="4" w:space="0"/>
            </w:tcBorders>
            <w:vAlign w:val="center"/>
          </w:tcPr>
          <w:p w14:paraId="7686F268">
            <w:pPr>
              <w:spacing w:line="360" w:lineRule="auto"/>
              <w:jc w:val="center"/>
              <w:rPr>
                <w:rFonts w:hint="eastAsia" w:ascii="仿宋" w:hAnsi="仿宋" w:eastAsia="仿宋" w:cs="仿宋"/>
                <w:color w:val="auto"/>
                <w:sz w:val="24"/>
                <w:highlight w:val="none"/>
              </w:rPr>
            </w:pPr>
          </w:p>
        </w:tc>
        <w:tc>
          <w:tcPr>
            <w:tcW w:w="478" w:type="pct"/>
            <w:tcBorders>
              <w:top w:val="single" w:color="auto" w:sz="4" w:space="0"/>
              <w:left w:val="single" w:color="auto" w:sz="4" w:space="0"/>
              <w:bottom w:val="single" w:color="auto" w:sz="4" w:space="0"/>
              <w:right w:val="single" w:color="auto" w:sz="4" w:space="0"/>
            </w:tcBorders>
            <w:vAlign w:val="center"/>
          </w:tcPr>
          <w:p w14:paraId="2E14E7A2">
            <w:pPr>
              <w:spacing w:line="360" w:lineRule="auto"/>
              <w:jc w:val="center"/>
              <w:rPr>
                <w:rFonts w:hint="eastAsia" w:ascii="仿宋" w:hAnsi="仿宋" w:eastAsia="仿宋" w:cs="仿宋"/>
                <w:color w:val="auto"/>
                <w:sz w:val="24"/>
                <w:highlight w:val="none"/>
              </w:rPr>
            </w:pPr>
          </w:p>
        </w:tc>
        <w:tc>
          <w:tcPr>
            <w:tcW w:w="785" w:type="pct"/>
            <w:tcBorders>
              <w:top w:val="single" w:color="auto" w:sz="4" w:space="0"/>
              <w:left w:val="single" w:color="auto" w:sz="4" w:space="0"/>
              <w:bottom w:val="single" w:color="auto" w:sz="4" w:space="0"/>
              <w:right w:val="single" w:color="auto" w:sz="4" w:space="0"/>
            </w:tcBorders>
            <w:vAlign w:val="center"/>
          </w:tcPr>
          <w:p w14:paraId="06288DB5">
            <w:pPr>
              <w:spacing w:line="360" w:lineRule="auto"/>
              <w:jc w:val="center"/>
              <w:rPr>
                <w:rFonts w:hint="eastAsia" w:ascii="仿宋" w:hAnsi="仿宋" w:eastAsia="仿宋" w:cs="仿宋"/>
                <w:color w:val="auto"/>
                <w:sz w:val="24"/>
                <w:highlight w:val="none"/>
              </w:rPr>
            </w:pPr>
          </w:p>
        </w:tc>
      </w:tr>
    </w:tbl>
    <w:p w14:paraId="1AE1952B">
      <w:pPr>
        <w:spacing w:line="360" w:lineRule="auto"/>
        <w:ind w:right="420"/>
        <w:rPr>
          <w:rFonts w:hint="eastAsia" w:ascii="仿宋" w:hAnsi="仿宋" w:eastAsia="仿宋" w:cs="仿宋"/>
          <w:color w:val="auto"/>
          <w:sz w:val="24"/>
          <w:highlight w:val="none"/>
        </w:rPr>
      </w:pPr>
      <w:r>
        <w:rPr>
          <w:rFonts w:hint="eastAsia" w:ascii="仿宋" w:hAnsi="仿宋" w:eastAsia="仿宋" w:cs="仿宋"/>
          <w:color w:val="auto"/>
          <w:sz w:val="24"/>
          <w:highlight w:val="none"/>
        </w:rPr>
        <w:t>注：按本格式和要求提供。</w:t>
      </w:r>
    </w:p>
    <w:p w14:paraId="74D2BEDB">
      <w:pPr>
        <w:jc w:val="center"/>
        <w:rPr>
          <w:rFonts w:hint="eastAsia" w:ascii="仿宋" w:hAnsi="仿宋" w:eastAsia="仿宋" w:cs="仿宋"/>
          <w:b/>
          <w:color w:val="auto"/>
          <w:kern w:val="0"/>
          <w:sz w:val="32"/>
          <w:szCs w:val="32"/>
          <w:highlight w:val="none"/>
        </w:rPr>
      </w:pPr>
    </w:p>
    <w:p w14:paraId="23EF8EDB">
      <w:pPr>
        <w:jc w:val="center"/>
        <w:rPr>
          <w:rFonts w:hint="eastAsia" w:ascii="仿宋" w:hAnsi="仿宋" w:eastAsia="仿宋" w:cs="仿宋"/>
          <w:b/>
          <w:color w:val="auto"/>
          <w:kern w:val="0"/>
          <w:sz w:val="32"/>
          <w:szCs w:val="32"/>
          <w:highlight w:val="none"/>
        </w:rPr>
      </w:pPr>
    </w:p>
    <w:p w14:paraId="7CE233B7">
      <w:pPr>
        <w:jc w:val="center"/>
        <w:rPr>
          <w:rFonts w:hint="eastAsia" w:ascii="仿宋" w:hAnsi="仿宋" w:eastAsia="仿宋" w:cs="仿宋"/>
          <w:b/>
          <w:color w:val="auto"/>
          <w:kern w:val="0"/>
          <w:sz w:val="32"/>
          <w:szCs w:val="32"/>
          <w:highlight w:val="none"/>
        </w:rPr>
      </w:pPr>
      <w:r>
        <w:rPr>
          <w:rFonts w:hint="eastAsia" w:ascii="仿宋" w:hAnsi="仿宋" w:eastAsia="仿宋" w:cs="仿宋"/>
          <w:b/>
          <w:color w:val="auto"/>
          <w:kern w:val="0"/>
          <w:sz w:val="32"/>
          <w:szCs w:val="32"/>
          <w:highlight w:val="none"/>
        </w:rPr>
        <w:t>七、商务技术偏离表</w:t>
      </w:r>
    </w:p>
    <w:tbl>
      <w:tblPr>
        <w:tblStyle w:val="81"/>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9"/>
        <w:gridCol w:w="3683"/>
        <w:gridCol w:w="3546"/>
        <w:gridCol w:w="1276"/>
      </w:tblGrid>
      <w:tr w14:paraId="7B32E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5548D2B0">
            <w:pPr>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序号</w:t>
            </w:r>
          </w:p>
        </w:tc>
        <w:tc>
          <w:tcPr>
            <w:tcW w:w="3683" w:type="dxa"/>
          </w:tcPr>
          <w:p w14:paraId="7309D279">
            <w:pPr>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招标文件章节及具体内容</w:t>
            </w:r>
          </w:p>
        </w:tc>
        <w:tc>
          <w:tcPr>
            <w:tcW w:w="3546" w:type="dxa"/>
          </w:tcPr>
          <w:p w14:paraId="0AFAB254">
            <w:pPr>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投标文件章节及具体内容</w:t>
            </w:r>
          </w:p>
        </w:tc>
        <w:tc>
          <w:tcPr>
            <w:tcW w:w="1276" w:type="dxa"/>
          </w:tcPr>
          <w:p w14:paraId="65C96D7E">
            <w:pPr>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偏离说明</w:t>
            </w:r>
          </w:p>
        </w:tc>
      </w:tr>
      <w:tr w14:paraId="58240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38AAF5BA">
            <w:pPr>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w:t>
            </w:r>
          </w:p>
        </w:tc>
        <w:tc>
          <w:tcPr>
            <w:tcW w:w="3683" w:type="dxa"/>
          </w:tcPr>
          <w:p w14:paraId="17D39FA8">
            <w:pPr>
              <w:jc w:val="center"/>
              <w:rPr>
                <w:rFonts w:hint="eastAsia" w:ascii="仿宋" w:hAnsi="仿宋" w:eastAsia="仿宋" w:cs="仿宋"/>
                <w:b/>
                <w:color w:val="auto"/>
                <w:kern w:val="0"/>
                <w:sz w:val="32"/>
                <w:szCs w:val="32"/>
                <w:highlight w:val="none"/>
              </w:rPr>
            </w:pPr>
          </w:p>
        </w:tc>
        <w:tc>
          <w:tcPr>
            <w:tcW w:w="3546" w:type="dxa"/>
          </w:tcPr>
          <w:p w14:paraId="6D06E9C2">
            <w:pPr>
              <w:jc w:val="center"/>
              <w:rPr>
                <w:rFonts w:hint="eastAsia" w:ascii="仿宋" w:hAnsi="仿宋" w:eastAsia="仿宋" w:cs="仿宋"/>
                <w:b/>
                <w:color w:val="auto"/>
                <w:kern w:val="0"/>
                <w:sz w:val="32"/>
                <w:szCs w:val="32"/>
                <w:highlight w:val="none"/>
              </w:rPr>
            </w:pPr>
          </w:p>
        </w:tc>
        <w:tc>
          <w:tcPr>
            <w:tcW w:w="1276" w:type="dxa"/>
          </w:tcPr>
          <w:p w14:paraId="07A044F3">
            <w:pPr>
              <w:jc w:val="center"/>
              <w:rPr>
                <w:rFonts w:hint="eastAsia" w:ascii="仿宋" w:hAnsi="仿宋" w:eastAsia="仿宋" w:cs="仿宋"/>
                <w:b/>
                <w:color w:val="auto"/>
                <w:kern w:val="0"/>
                <w:sz w:val="32"/>
                <w:szCs w:val="32"/>
                <w:highlight w:val="none"/>
              </w:rPr>
            </w:pPr>
          </w:p>
        </w:tc>
      </w:tr>
      <w:tr w14:paraId="37184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166AB988">
            <w:pPr>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w:t>
            </w:r>
          </w:p>
        </w:tc>
        <w:tc>
          <w:tcPr>
            <w:tcW w:w="3683" w:type="dxa"/>
          </w:tcPr>
          <w:p w14:paraId="2727B845">
            <w:pPr>
              <w:jc w:val="center"/>
              <w:rPr>
                <w:rFonts w:hint="eastAsia" w:ascii="仿宋" w:hAnsi="仿宋" w:eastAsia="仿宋" w:cs="仿宋"/>
                <w:b/>
                <w:color w:val="auto"/>
                <w:kern w:val="0"/>
                <w:sz w:val="32"/>
                <w:szCs w:val="32"/>
                <w:highlight w:val="none"/>
              </w:rPr>
            </w:pPr>
          </w:p>
        </w:tc>
        <w:tc>
          <w:tcPr>
            <w:tcW w:w="3546" w:type="dxa"/>
          </w:tcPr>
          <w:p w14:paraId="45C4AEB3">
            <w:pPr>
              <w:jc w:val="center"/>
              <w:rPr>
                <w:rFonts w:hint="eastAsia" w:ascii="仿宋" w:hAnsi="仿宋" w:eastAsia="仿宋" w:cs="仿宋"/>
                <w:b/>
                <w:color w:val="auto"/>
                <w:kern w:val="0"/>
                <w:sz w:val="32"/>
                <w:szCs w:val="32"/>
                <w:highlight w:val="none"/>
              </w:rPr>
            </w:pPr>
          </w:p>
        </w:tc>
        <w:tc>
          <w:tcPr>
            <w:tcW w:w="1276" w:type="dxa"/>
          </w:tcPr>
          <w:p w14:paraId="6BB43F58">
            <w:pPr>
              <w:jc w:val="center"/>
              <w:rPr>
                <w:rFonts w:hint="eastAsia" w:ascii="仿宋" w:hAnsi="仿宋" w:eastAsia="仿宋" w:cs="仿宋"/>
                <w:b/>
                <w:color w:val="auto"/>
                <w:kern w:val="0"/>
                <w:sz w:val="32"/>
                <w:szCs w:val="32"/>
                <w:highlight w:val="none"/>
              </w:rPr>
            </w:pPr>
          </w:p>
        </w:tc>
      </w:tr>
      <w:tr w14:paraId="15A51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7CEC7696">
            <w:pPr>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w:t>
            </w:r>
          </w:p>
        </w:tc>
        <w:tc>
          <w:tcPr>
            <w:tcW w:w="3683" w:type="dxa"/>
          </w:tcPr>
          <w:p w14:paraId="409C08B3">
            <w:pPr>
              <w:jc w:val="center"/>
              <w:rPr>
                <w:rFonts w:hint="eastAsia" w:ascii="仿宋" w:hAnsi="仿宋" w:eastAsia="仿宋" w:cs="仿宋"/>
                <w:b/>
                <w:color w:val="auto"/>
                <w:kern w:val="0"/>
                <w:sz w:val="32"/>
                <w:szCs w:val="32"/>
                <w:highlight w:val="none"/>
              </w:rPr>
            </w:pPr>
          </w:p>
        </w:tc>
        <w:tc>
          <w:tcPr>
            <w:tcW w:w="3546" w:type="dxa"/>
          </w:tcPr>
          <w:p w14:paraId="74B46EE0">
            <w:pPr>
              <w:jc w:val="center"/>
              <w:rPr>
                <w:rFonts w:hint="eastAsia" w:ascii="仿宋" w:hAnsi="仿宋" w:eastAsia="仿宋" w:cs="仿宋"/>
                <w:b/>
                <w:color w:val="auto"/>
                <w:kern w:val="0"/>
                <w:sz w:val="32"/>
                <w:szCs w:val="32"/>
                <w:highlight w:val="none"/>
              </w:rPr>
            </w:pPr>
          </w:p>
        </w:tc>
        <w:tc>
          <w:tcPr>
            <w:tcW w:w="1276" w:type="dxa"/>
          </w:tcPr>
          <w:p w14:paraId="495F40EE">
            <w:pPr>
              <w:jc w:val="center"/>
              <w:rPr>
                <w:rFonts w:hint="eastAsia" w:ascii="仿宋" w:hAnsi="仿宋" w:eastAsia="仿宋" w:cs="仿宋"/>
                <w:b/>
                <w:color w:val="auto"/>
                <w:kern w:val="0"/>
                <w:sz w:val="32"/>
                <w:szCs w:val="32"/>
                <w:highlight w:val="none"/>
              </w:rPr>
            </w:pPr>
          </w:p>
        </w:tc>
      </w:tr>
    </w:tbl>
    <w:p w14:paraId="7A260D10">
      <w:pPr>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投标人保证：除商务技术偏离表列出的偏离外，投标人响应招标文件的全部要求</w:t>
      </w:r>
      <w:r>
        <w:rPr>
          <w:rFonts w:hint="eastAsia" w:ascii="仿宋" w:hAnsi="仿宋" w:eastAsia="仿宋" w:cs="仿宋"/>
          <w:color w:val="auto"/>
          <w:sz w:val="24"/>
          <w:highlight w:val="none"/>
          <w:lang w:eastAsia="zh-CN"/>
        </w:rPr>
        <w:t>。</w:t>
      </w:r>
    </w:p>
    <w:p w14:paraId="7212D5C9">
      <w:pPr>
        <w:rPr>
          <w:rFonts w:hint="eastAsia" w:ascii="仿宋" w:hAnsi="仿宋" w:eastAsia="仿宋" w:cs="仿宋"/>
          <w:color w:val="auto"/>
          <w:sz w:val="24"/>
          <w:highlight w:val="none"/>
        </w:rPr>
      </w:pPr>
      <w:r>
        <w:rPr>
          <w:rFonts w:hint="eastAsia" w:ascii="仿宋" w:hAnsi="仿宋" w:eastAsia="仿宋" w:cs="仿宋"/>
          <w:color w:val="auto"/>
          <w:sz w:val="24"/>
          <w:highlight w:val="none"/>
        </w:rPr>
        <w:t>注：</w:t>
      </w:r>
      <w:r>
        <w:rPr>
          <w:rFonts w:hint="eastAsia" w:ascii="仿宋" w:hAnsi="仿宋" w:eastAsia="仿宋" w:cs="仿宋"/>
          <w:color w:val="auto"/>
          <w:sz w:val="24"/>
          <w:highlight w:val="none"/>
          <w:lang w:val="en-US" w:eastAsia="zh-CN"/>
        </w:rPr>
        <w:t>1.</w:t>
      </w:r>
      <w:r>
        <w:rPr>
          <w:rFonts w:hint="eastAsia" w:ascii="仿宋" w:hAnsi="仿宋" w:eastAsia="仿宋" w:cs="仿宋"/>
          <w:color w:val="auto"/>
          <w:sz w:val="24"/>
          <w:highlight w:val="none"/>
        </w:rPr>
        <w:t>按本格式和要求提供。</w:t>
      </w:r>
    </w:p>
    <w:p w14:paraId="5FB69C6E">
      <w:pPr>
        <w:ind w:firstLine="420" w:firstLineChars="175"/>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2.本表格所反映的偏离情况与“符合性审查资料”、“评标标准相应的商务技术资料”不一致的，以“符合性审查资料”、“评标标准相应的商务技术资料”为准。</w:t>
      </w:r>
    </w:p>
    <w:p w14:paraId="298C4841">
      <w:pPr>
        <w:ind w:firstLine="420" w:firstLineChars="175"/>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3.投标人须保证：除商务技术偏离表列出的偏离外，投标人响应招标文件的全部非实质性要求。</w:t>
      </w:r>
    </w:p>
    <w:p w14:paraId="3A25484E">
      <w:pPr>
        <w:rPr>
          <w:rFonts w:hint="eastAsia" w:ascii="仿宋" w:hAnsi="仿宋" w:eastAsia="仿宋" w:cs="仿宋"/>
          <w:color w:val="auto"/>
          <w:sz w:val="24"/>
          <w:highlight w:val="none"/>
        </w:rPr>
      </w:pPr>
      <w:r>
        <w:rPr>
          <w:rFonts w:hint="eastAsia" w:ascii="仿宋" w:hAnsi="仿宋" w:eastAsia="仿宋" w:cs="仿宋"/>
          <w:color w:val="auto"/>
          <w:sz w:val="24"/>
          <w:highlight w:val="none"/>
        </w:rPr>
        <w:br w:type="page"/>
      </w:r>
    </w:p>
    <w:p w14:paraId="607BD178">
      <w:pPr>
        <w:pStyle w:val="30"/>
        <w:rPr>
          <w:rFonts w:hint="eastAsia" w:ascii="仿宋" w:hAnsi="仿宋" w:eastAsia="仿宋" w:cs="仿宋"/>
          <w:color w:val="auto"/>
          <w:highlight w:val="none"/>
        </w:rPr>
      </w:pPr>
    </w:p>
    <w:p w14:paraId="7DA761E0">
      <w:pPr>
        <w:widowControl/>
        <w:adjustRightInd/>
        <w:ind w:firstLine="0" w:firstLineChars="0"/>
        <w:jc w:val="center"/>
        <w:rPr>
          <w:rFonts w:hint="eastAsia" w:ascii="仿宋" w:hAnsi="仿宋" w:eastAsia="仿宋" w:cs="仿宋"/>
          <w:b/>
          <w:color w:val="auto"/>
          <w:kern w:val="0"/>
          <w:sz w:val="32"/>
          <w:szCs w:val="32"/>
          <w:highlight w:val="none"/>
        </w:rPr>
      </w:pPr>
      <w:r>
        <w:rPr>
          <w:rFonts w:hint="eastAsia" w:ascii="仿宋" w:hAnsi="仿宋" w:eastAsia="仿宋" w:cs="仿宋"/>
          <w:b/>
          <w:bCs/>
          <w:color w:val="auto"/>
          <w:sz w:val="32"/>
          <w:szCs w:val="32"/>
          <w:highlight w:val="none"/>
        </w:rPr>
        <w:t>八</w:t>
      </w:r>
      <w:r>
        <w:rPr>
          <w:rFonts w:hint="eastAsia" w:ascii="仿宋" w:hAnsi="仿宋" w:eastAsia="仿宋" w:cs="仿宋"/>
          <w:b/>
          <w:color w:val="auto"/>
          <w:kern w:val="0"/>
          <w:sz w:val="32"/>
          <w:szCs w:val="32"/>
          <w:highlight w:val="none"/>
        </w:rPr>
        <w:t>、</w:t>
      </w:r>
      <w:r>
        <w:rPr>
          <w:rFonts w:hint="eastAsia" w:ascii="仿宋" w:hAnsi="仿宋" w:eastAsia="仿宋" w:cs="仿宋"/>
          <w:b/>
          <w:color w:val="auto"/>
          <w:kern w:val="0"/>
          <w:sz w:val="32"/>
          <w:szCs w:val="32"/>
          <w:highlight w:val="none"/>
          <w:lang w:val="zh-CN"/>
        </w:rPr>
        <w:t>政府采购供应商廉洁自律承诺书</w:t>
      </w:r>
    </w:p>
    <w:p w14:paraId="646B01AD">
      <w:pPr>
        <w:snapToGrid w:val="0"/>
        <w:spacing w:line="360" w:lineRule="auto"/>
        <w:rPr>
          <w:rFonts w:hint="eastAsia" w:ascii="仿宋" w:hAnsi="仿宋" w:eastAsia="仿宋" w:cs="仿宋"/>
          <w:color w:val="auto"/>
          <w:sz w:val="24"/>
          <w:highlight w:val="none"/>
        </w:rPr>
      </w:pPr>
    </w:p>
    <w:p w14:paraId="1BEF3DDE">
      <w:pPr>
        <w:keepNext w:val="0"/>
        <w:keepLines w:val="0"/>
        <w:pageBreakBefore w:val="0"/>
        <w:widowControl w:val="0"/>
        <w:kinsoku/>
        <w:wordWrap/>
        <w:overflowPunct/>
        <w:topLinePunct w:val="0"/>
        <w:bidi w:val="0"/>
        <w:adjustRightInd w:val="0"/>
        <w:snapToGrid/>
        <w:spacing w:line="360" w:lineRule="auto"/>
        <w:textAlignment w:val="auto"/>
        <w:rPr>
          <w:rFonts w:hint="eastAsia" w:ascii="仿宋" w:hAnsi="仿宋" w:eastAsia="仿宋" w:cs="仿宋"/>
          <w:color w:val="auto"/>
          <w:kern w:val="0"/>
          <w:sz w:val="24"/>
          <w:highlight w:val="none"/>
        </w:rPr>
      </w:pPr>
      <w:r>
        <w:rPr>
          <w:rFonts w:hint="eastAsia" w:ascii="仿宋" w:hAnsi="仿宋" w:eastAsia="仿宋" w:cs="仿宋"/>
          <w:color w:val="auto"/>
          <w:sz w:val="24"/>
          <w:highlight w:val="none"/>
          <w:lang w:eastAsia="zh-CN"/>
        </w:rPr>
        <w:t>杭州市公安局刑事侦查支队</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eastAsia="zh-CN"/>
        </w:rPr>
        <w:t>耀华建设管理有限公司</w:t>
      </w:r>
      <w:r>
        <w:rPr>
          <w:rFonts w:hint="eastAsia" w:ascii="仿宋" w:hAnsi="仿宋" w:eastAsia="仿宋" w:cs="仿宋"/>
          <w:color w:val="auto"/>
          <w:kern w:val="0"/>
          <w:sz w:val="24"/>
          <w:highlight w:val="none"/>
          <w:lang w:val="zh-CN"/>
        </w:rPr>
        <w:t>：</w:t>
      </w:r>
    </w:p>
    <w:p w14:paraId="62F496AF">
      <w:pPr>
        <w:keepNext w:val="0"/>
        <w:keepLines w:val="0"/>
        <w:pageBreakBefore w:val="0"/>
        <w:widowControl w:val="0"/>
        <w:kinsoku/>
        <w:wordWrap/>
        <w:overflowPunct/>
        <w:topLinePunct w:val="0"/>
        <w:autoSpaceDE w:val="0"/>
        <w:autoSpaceDN w:val="0"/>
        <w:bidi w:val="0"/>
        <w:adjustRightInd w:val="0"/>
        <w:snapToGrid/>
        <w:spacing w:line="360" w:lineRule="auto"/>
        <w:ind w:left="2" w:leftChars="1" w:firstLine="480" w:firstLineChars="200"/>
        <w:jc w:val="left"/>
        <w:textAlignment w:val="auto"/>
        <w:rPr>
          <w:rFonts w:hint="eastAsia"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我单位响应你</w:t>
      </w:r>
      <w:r>
        <w:rPr>
          <w:rFonts w:hint="eastAsia" w:ascii="仿宋" w:hAnsi="仿宋" w:eastAsia="仿宋" w:cs="仿宋"/>
          <w:color w:val="auto"/>
          <w:sz w:val="24"/>
          <w:highlight w:val="none"/>
        </w:rPr>
        <w:t>单位</w:t>
      </w:r>
      <w:r>
        <w:rPr>
          <w:rFonts w:hint="eastAsia" w:ascii="仿宋" w:hAnsi="仿宋" w:eastAsia="仿宋" w:cs="仿宋"/>
          <w:color w:val="auto"/>
          <w:kern w:val="0"/>
          <w:sz w:val="24"/>
          <w:highlight w:val="none"/>
          <w:lang w:val="zh-CN"/>
        </w:rPr>
        <w:t>项目招标要求参加投标。在这次投标过程中和中标后，我们将严格遵守国家法律法规要求，并郑重承诺：</w:t>
      </w:r>
    </w:p>
    <w:p w14:paraId="568802EA">
      <w:pPr>
        <w:keepNext w:val="0"/>
        <w:keepLines w:val="0"/>
        <w:pageBreakBefore w:val="0"/>
        <w:widowControl w:val="0"/>
        <w:kinsoku/>
        <w:wordWrap/>
        <w:overflowPunct/>
        <w:topLinePunct w:val="0"/>
        <w:autoSpaceDE w:val="0"/>
        <w:autoSpaceDN w:val="0"/>
        <w:bidi w:val="0"/>
        <w:adjustRightInd w:val="0"/>
        <w:snapToGrid/>
        <w:spacing w:line="360" w:lineRule="auto"/>
        <w:ind w:left="2" w:leftChars="1" w:firstLine="480" w:firstLineChars="200"/>
        <w:jc w:val="left"/>
        <w:textAlignment w:val="auto"/>
        <w:rPr>
          <w:rFonts w:hint="eastAsia"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 xml:space="preserve">一、不向项目有关人员及部门赠送礼金礼物、有价证券、回扣以及中介费、介绍费、咨询费等好处费； </w:t>
      </w:r>
    </w:p>
    <w:p w14:paraId="701BC758">
      <w:pPr>
        <w:keepNext w:val="0"/>
        <w:keepLines w:val="0"/>
        <w:pageBreakBefore w:val="0"/>
        <w:widowControl w:val="0"/>
        <w:kinsoku/>
        <w:wordWrap/>
        <w:overflowPunct/>
        <w:topLinePunct w:val="0"/>
        <w:autoSpaceDE w:val="0"/>
        <w:autoSpaceDN w:val="0"/>
        <w:bidi w:val="0"/>
        <w:adjustRightInd w:val="0"/>
        <w:snapToGrid/>
        <w:spacing w:line="360" w:lineRule="auto"/>
        <w:ind w:left="2" w:leftChars="1" w:firstLine="480" w:firstLineChars="200"/>
        <w:jc w:val="left"/>
        <w:textAlignment w:val="auto"/>
        <w:rPr>
          <w:rFonts w:hint="eastAsia"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 xml:space="preserve">二、不为项目有关人员及部门报销应由你方单位或个人支付的费用； </w:t>
      </w:r>
    </w:p>
    <w:p w14:paraId="4ED656E3">
      <w:pPr>
        <w:keepNext w:val="0"/>
        <w:keepLines w:val="0"/>
        <w:pageBreakBefore w:val="0"/>
        <w:widowControl w:val="0"/>
        <w:kinsoku/>
        <w:wordWrap/>
        <w:overflowPunct/>
        <w:topLinePunct w:val="0"/>
        <w:autoSpaceDE w:val="0"/>
        <w:autoSpaceDN w:val="0"/>
        <w:bidi w:val="0"/>
        <w:adjustRightInd w:val="0"/>
        <w:snapToGrid/>
        <w:spacing w:line="360" w:lineRule="auto"/>
        <w:ind w:left="2" w:leftChars="1" w:firstLine="480" w:firstLineChars="200"/>
        <w:jc w:val="left"/>
        <w:textAlignment w:val="auto"/>
        <w:rPr>
          <w:rFonts w:hint="eastAsia"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 xml:space="preserve">三、不向项目有关人员及部门提供有可能影响公正的宴请和健身娱乐等活动； </w:t>
      </w:r>
    </w:p>
    <w:p w14:paraId="0EA1D9EF">
      <w:pPr>
        <w:keepNext w:val="0"/>
        <w:keepLines w:val="0"/>
        <w:pageBreakBefore w:val="0"/>
        <w:widowControl w:val="0"/>
        <w:kinsoku/>
        <w:wordWrap/>
        <w:overflowPunct/>
        <w:topLinePunct w:val="0"/>
        <w:autoSpaceDE w:val="0"/>
        <w:autoSpaceDN w:val="0"/>
        <w:bidi w:val="0"/>
        <w:adjustRightInd w:val="0"/>
        <w:snapToGrid/>
        <w:spacing w:line="360" w:lineRule="auto"/>
        <w:ind w:left="2" w:leftChars="1" w:firstLine="480" w:firstLineChars="200"/>
        <w:jc w:val="left"/>
        <w:textAlignment w:val="auto"/>
        <w:rPr>
          <w:rFonts w:hint="eastAsia"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四、不为项目有关人员及部门出国（境）、旅游等提供方便；</w:t>
      </w:r>
    </w:p>
    <w:p w14:paraId="781E025D">
      <w:pPr>
        <w:keepNext w:val="0"/>
        <w:keepLines w:val="0"/>
        <w:pageBreakBefore w:val="0"/>
        <w:widowControl w:val="0"/>
        <w:kinsoku/>
        <w:wordWrap/>
        <w:overflowPunct/>
        <w:topLinePunct w:val="0"/>
        <w:autoSpaceDE w:val="0"/>
        <w:autoSpaceDN w:val="0"/>
        <w:bidi w:val="0"/>
        <w:adjustRightInd w:val="0"/>
        <w:snapToGrid/>
        <w:spacing w:line="360" w:lineRule="auto"/>
        <w:ind w:left="2" w:leftChars="1" w:firstLine="480" w:firstLineChars="200"/>
        <w:jc w:val="left"/>
        <w:textAlignment w:val="auto"/>
        <w:rPr>
          <w:rFonts w:hint="eastAsia"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五、不为项目有关人员个人装修住房、婚丧嫁娶、配偶子女工作安排等提供好处；</w:t>
      </w:r>
    </w:p>
    <w:p w14:paraId="550C50FA">
      <w:pPr>
        <w:keepNext w:val="0"/>
        <w:keepLines w:val="0"/>
        <w:pageBreakBefore w:val="0"/>
        <w:widowControl w:val="0"/>
        <w:kinsoku/>
        <w:wordWrap/>
        <w:overflowPunct/>
        <w:topLinePunct w:val="0"/>
        <w:autoSpaceDE w:val="0"/>
        <w:autoSpaceDN w:val="0"/>
        <w:bidi w:val="0"/>
        <w:adjustRightInd w:val="0"/>
        <w:snapToGrid/>
        <w:spacing w:line="360" w:lineRule="auto"/>
        <w:ind w:left="2" w:leftChars="1" w:firstLine="480" w:firstLineChars="200"/>
        <w:jc w:val="left"/>
        <w:textAlignment w:val="auto"/>
        <w:rPr>
          <w:rFonts w:hint="eastAsia"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 xml:space="preserve">六、严格遵守《中华人民共和国政府采购法》《中华人民共和国招标投标法》《中华人民共和国民法典》等法律法规，诚实守信，合法经营，坚决抵制各种违法违纪行为。 </w:t>
      </w:r>
    </w:p>
    <w:p w14:paraId="65161D61">
      <w:pPr>
        <w:keepNext w:val="0"/>
        <w:keepLines w:val="0"/>
        <w:pageBreakBefore w:val="0"/>
        <w:widowControl w:val="0"/>
        <w:kinsoku/>
        <w:wordWrap/>
        <w:overflowPunct/>
        <w:topLinePunct w:val="0"/>
        <w:autoSpaceDE w:val="0"/>
        <w:autoSpaceDN w:val="0"/>
        <w:bidi w:val="0"/>
        <w:adjustRightInd w:val="0"/>
        <w:snapToGrid/>
        <w:spacing w:line="360" w:lineRule="auto"/>
        <w:ind w:left="2" w:leftChars="1" w:firstLine="480" w:firstLineChars="200"/>
        <w:jc w:val="left"/>
        <w:textAlignment w:val="auto"/>
        <w:rPr>
          <w:rFonts w:hint="eastAsia"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如违反上述承诺，你单位有权立即取消我单位投标、中标或在建项目的建设资格，有权拒绝我单位在一定时期内进入你单位进行项目建设或其他经营活动，并通报市财政局。由此引起的相应损失均由我单位承担。</w:t>
      </w:r>
    </w:p>
    <w:p w14:paraId="78D550B7">
      <w:pPr>
        <w:autoSpaceDE w:val="0"/>
        <w:autoSpaceDN w:val="0"/>
        <w:spacing w:line="360" w:lineRule="auto"/>
        <w:ind w:left="2"/>
        <w:jc w:val="left"/>
        <w:rPr>
          <w:rFonts w:hint="eastAsia" w:ascii="仿宋" w:hAnsi="仿宋" w:eastAsia="仿宋" w:cs="仿宋"/>
          <w:color w:val="auto"/>
          <w:kern w:val="0"/>
          <w:sz w:val="24"/>
          <w:highlight w:val="none"/>
          <w:lang w:val="zh-CN"/>
        </w:rPr>
      </w:pPr>
    </w:p>
    <w:p w14:paraId="02D26311">
      <w:pPr>
        <w:autoSpaceDE w:val="0"/>
        <w:autoSpaceDN w:val="0"/>
        <w:spacing w:line="360" w:lineRule="auto"/>
        <w:ind w:left="2"/>
        <w:jc w:val="left"/>
        <w:rPr>
          <w:rFonts w:hint="eastAsia" w:ascii="仿宋" w:hAnsi="仿宋" w:eastAsia="仿宋" w:cs="仿宋"/>
          <w:color w:val="auto"/>
          <w:kern w:val="0"/>
          <w:sz w:val="24"/>
          <w:highlight w:val="none"/>
          <w:lang w:val="zh-CN"/>
        </w:rPr>
      </w:pPr>
    </w:p>
    <w:p w14:paraId="1D25E0B4">
      <w:pPr>
        <w:autoSpaceDE w:val="0"/>
        <w:autoSpaceDN w:val="0"/>
        <w:spacing w:line="360" w:lineRule="auto"/>
        <w:ind w:left="2"/>
        <w:jc w:val="left"/>
        <w:rPr>
          <w:rFonts w:hint="eastAsia" w:ascii="仿宋" w:hAnsi="仿宋" w:eastAsia="仿宋" w:cs="仿宋"/>
          <w:color w:val="auto"/>
          <w:kern w:val="0"/>
          <w:sz w:val="24"/>
          <w:highlight w:val="none"/>
          <w:lang w:val="zh-CN"/>
        </w:rPr>
      </w:pPr>
    </w:p>
    <w:p w14:paraId="1014C40B">
      <w:pPr>
        <w:autoSpaceDE w:val="0"/>
        <w:autoSpaceDN w:val="0"/>
        <w:spacing w:line="360" w:lineRule="auto"/>
        <w:ind w:left="2" w:leftChars="1" w:right="1120" w:firstLine="4560" w:firstLineChars="1900"/>
        <w:jc w:val="left"/>
        <w:rPr>
          <w:rFonts w:hint="eastAsia"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投标人名称（</w:t>
      </w:r>
      <w:r>
        <w:rPr>
          <w:rFonts w:hint="eastAsia" w:ascii="仿宋" w:hAnsi="仿宋" w:eastAsia="仿宋" w:cs="仿宋"/>
          <w:color w:val="auto"/>
          <w:sz w:val="24"/>
          <w:highlight w:val="none"/>
        </w:rPr>
        <w:t>电子签名</w:t>
      </w:r>
      <w:r>
        <w:rPr>
          <w:rFonts w:hint="eastAsia" w:ascii="仿宋" w:hAnsi="仿宋" w:eastAsia="仿宋" w:cs="仿宋"/>
          <w:color w:val="auto"/>
          <w:kern w:val="0"/>
          <w:sz w:val="24"/>
          <w:highlight w:val="none"/>
          <w:lang w:val="zh-CN"/>
        </w:rPr>
        <w:t xml:space="preserve">）：                                                                                                                                                                                                               </w:t>
      </w:r>
    </w:p>
    <w:p w14:paraId="6247AD51">
      <w:pPr>
        <w:spacing w:line="360" w:lineRule="auto"/>
        <w:ind w:left="4620" w:leftChars="2200"/>
        <w:rPr>
          <w:rFonts w:hint="eastAsia" w:ascii="仿宋" w:hAnsi="仿宋" w:eastAsia="仿宋" w:cs="仿宋"/>
          <w:color w:val="auto"/>
          <w:sz w:val="24"/>
          <w:highlight w:val="none"/>
        </w:rPr>
      </w:pPr>
      <w:r>
        <w:rPr>
          <w:rFonts w:hint="eastAsia" w:ascii="仿宋" w:hAnsi="仿宋" w:eastAsia="仿宋" w:cs="仿宋"/>
          <w:color w:val="auto"/>
          <w:kern w:val="0"/>
          <w:sz w:val="24"/>
          <w:highlight w:val="none"/>
          <w:lang w:val="zh-CN"/>
        </w:rPr>
        <w:t>日期</w:t>
      </w:r>
      <w:r>
        <w:rPr>
          <w:rFonts w:hint="eastAsia" w:ascii="仿宋" w:hAnsi="仿宋" w:eastAsia="仿宋" w:cs="仿宋"/>
          <w:color w:val="auto"/>
          <w:kern w:val="0"/>
          <w:sz w:val="24"/>
          <w:highlight w:val="none"/>
        </w:rPr>
        <w:t>：</w:t>
      </w:r>
      <w:r>
        <w:rPr>
          <w:rFonts w:hint="eastAsia" w:ascii="仿宋" w:hAnsi="仿宋" w:eastAsia="仿宋" w:cs="仿宋"/>
          <w:color w:val="auto"/>
          <w:kern w:val="0"/>
          <w:sz w:val="24"/>
          <w:highlight w:val="none"/>
          <w:lang w:val="zh-CN"/>
        </w:rPr>
        <w:t xml:space="preserve">   年   月   日</w:t>
      </w:r>
    </w:p>
    <w:p w14:paraId="285E3A21">
      <w:pPr>
        <w:spacing w:line="360" w:lineRule="auto"/>
        <w:jc w:val="center"/>
        <w:rPr>
          <w:rFonts w:hint="eastAsia" w:ascii="仿宋" w:hAnsi="仿宋" w:eastAsia="仿宋" w:cs="仿宋"/>
          <w:b/>
          <w:bCs/>
          <w:color w:val="auto"/>
          <w:sz w:val="24"/>
          <w:highlight w:val="none"/>
        </w:rPr>
      </w:pPr>
    </w:p>
    <w:p w14:paraId="61771DBC">
      <w:pPr>
        <w:spacing w:line="360" w:lineRule="auto"/>
        <w:ind w:right="420"/>
        <w:rPr>
          <w:rFonts w:hint="eastAsia" w:ascii="仿宋" w:hAnsi="仿宋" w:eastAsia="仿宋" w:cs="仿宋"/>
          <w:color w:val="auto"/>
          <w:sz w:val="24"/>
          <w:highlight w:val="none"/>
        </w:rPr>
      </w:pPr>
      <w:r>
        <w:rPr>
          <w:rFonts w:hint="eastAsia" w:ascii="仿宋" w:hAnsi="仿宋" w:eastAsia="仿宋" w:cs="仿宋"/>
          <w:color w:val="auto"/>
          <w:sz w:val="24"/>
          <w:highlight w:val="none"/>
        </w:rPr>
        <w:t>注：按本格式和要求提供。</w:t>
      </w:r>
    </w:p>
    <w:p w14:paraId="5EAD1409">
      <w:pPr>
        <w:pStyle w:val="30"/>
        <w:rPr>
          <w:rFonts w:hint="eastAsia" w:ascii="仿宋" w:hAnsi="仿宋" w:eastAsia="仿宋" w:cs="仿宋"/>
          <w:color w:val="auto"/>
          <w:sz w:val="24"/>
          <w:highlight w:val="none"/>
        </w:rPr>
      </w:pPr>
    </w:p>
    <w:p w14:paraId="41CD6B25">
      <w:pPr>
        <w:rPr>
          <w:rFonts w:hint="eastAsia"/>
          <w:color w:val="auto"/>
          <w:highlight w:val="none"/>
        </w:rPr>
      </w:pPr>
    </w:p>
    <w:p w14:paraId="036F1428">
      <w:pPr>
        <w:rPr>
          <w:rFonts w:hint="eastAsia"/>
          <w:color w:val="auto"/>
          <w:highlight w:val="none"/>
        </w:rPr>
      </w:pPr>
      <w:r>
        <w:rPr>
          <w:rFonts w:hint="eastAsia"/>
          <w:color w:val="auto"/>
          <w:highlight w:val="none"/>
        </w:rPr>
        <w:br w:type="page"/>
      </w:r>
    </w:p>
    <w:p w14:paraId="5A77A585">
      <w:pPr>
        <w:pStyle w:val="30"/>
        <w:rPr>
          <w:rFonts w:hint="eastAsia"/>
          <w:color w:val="auto"/>
          <w:highlight w:val="none"/>
        </w:rPr>
      </w:pPr>
    </w:p>
    <w:p w14:paraId="2A59079D">
      <w:pPr>
        <w:keepNext w:val="0"/>
        <w:keepLines w:val="0"/>
        <w:pageBreakBefore w:val="0"/>
        <w:widowControl w:val="0"/>
        <w:kinsoku/>
        <w:wordWrap/>
        <w:overflowPunct/>
        <w:topLinePunct w:val="0"/>
        <w:autoSpaceDE/>
        <w:autoSpaceDN/>
        <w:bidi w:val="0"/>
        <w:adjustRightInd w:val="0"/>
        <w:snapToGrid/>
        <w:spacing w:line="360" w:lineRule="auto"/>
        <w:jc w:val="center"/>
        <w:textAlignment w:val="auto"/>
        <w:outlineLvl w:val="2"/>
        <w:rPr>
          <w:rFonts w:hint="eastAsia" w:ascii="仿宋" w:hAnsi="仿宋" w:eastAsia="仿宋" w:cs="仿宋"/>
          <w:b/>
          <w:color w:val="auto"/>
          <w:kern w:val="0"/>
          <w:sz w:val="36"/>
          <w:szCs w:val="36"/>
          <w:highlight w:val="none"/>
        </w:rPr>
      </w:pPr>
      <w:r>
        <w:rPr>
          <w:rFonts w:hint="eastAsia" w:ascii="仿宋" w:hAnsi="仿宋" w:eastAsia="仿宋" w:cs="仿宋"/>
          <w:b/>
          <w:color w:val="auto"/>
          <w:kern w:val="0"/>
          <w:sz w:val="36"/>
          <w:szCs w:val="36"/>
          <w:highlight w:val="none"/>
        </w:rPr>
        <w:t>报价文件部分</w:t>
      </w:r>
    </w:p>
    <w:p w14:paraId="6D35150A">
      <w:pPr>
        <w:keepNext w:val="0"/>
        <w:keepLines w:val="0"/>
        <w:pageBreakBefore w:val="0"/>
        <w:widowControl w:val="0"/>
        <w:kinsoku/>
        <w:wordWrap/>
        <w:overflowPunct/>
        <w:topLinePunct w:val="0"/>
        <w:autoSpaceDE/>
        <w:autoSpaceDN/>
        <w:bidi w:val="0"/>
        <w:adjustRightInd w:val="0"/>
        <w:snapToGrid/>
        <w:spacing w:line="360" w:lineRule="auto"/>
        <w:jc w:val="center"/>
        <w:textAlignment w:val="auto"/>
        <w:outlineLvl w:val="9"/>
        <w:rPr>
          <w:rFonts w:hint="eastAsia" w:ascii="仿宋" w:hAnsi="仿宋" w:eastAsia="仿宋" w:cs="仿宋"/>
          <w:b/>
          <w:color w:val="auto"/>
          <w:kern w:val="0"/>
          <w:sz w:val="36"/>
          <w:szCs w:val="36"/>
          <w:highlight w:val="none"/>
        </w:rPr>
      </w:pPr>
      <w:r>
        <w:rPr>
          <w:rFonts w:hint="eastAsia" w:ascii="仿宋" w:hAnsi="仿宋" w:eastAsia="仿宋" w:cs="仿宋"/>
          <w:b/>
          <w:color w:val="auto"/>
          <w:kern w:val="0"/>
          <w:sz w:val="36"/>
          <w:szCs w:val="36"/>
          <w:highlight w:val="none"/>
        </w:rPr>
        <w:t>目</w:t>
      </w:r>
      <w:r>
        <w:rPr>
          <w:rFonts w:hint="eastAsia" w:ascii="仿宋" w:hAnsi="仿宋" w:eastAsia="仿宋" w:cs="仿宋"/>
          <w:b/>
          <w:color w:val="auto"/>
          <w:kern w:val="0"/>
          <w:sz w:val="36"/>
          <w:szCs w:val="36"/>
          <w:highlight w:val="none"/>
          <w:lang w:val="en-US" w:eastAsia="zh-CN"/>
        </w:rPr>
        <w:t xml:space="preserve">  </w:t>
      </w:r>
      <w:r>
        <w:rPr>
          <w:rFonts w:hint="eastAsia" w:ascii="仿宋" w:hAnsi="仿宋" w:eastAsia="仿宋" w:cs="仿宋"/>
          <w:b/>
          <w:color w:val="auto"/>
          <w:kern w:val="0"/>
          <w:sz w:val="36"/>
          <w:szCs w:val="36"/>
          <w:highlight w:val="none"/>
        </w:rPr>
        <w:t>录</w:t>
      </w:r>
    </w:p>
    <w:p w14:paraId="5CA3EF2D">
      <w:pPr>
        <w:rPr>
          <w:rFonts w:hint="eastAsia"/>
          <w:color w:val="auto"/>
          <w:highlight w:val="none"/>
        </w:rPr>
      </w:pPr>
    </w:p>
    <w:p w14:paraId="4B36ABBD">
      <w:p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（1）开标一览表（报价表）………………………………………………………（页码）</w:t>
      </w:r>
    </w:p>
    <w:p w14:paraId="0C4AEA48">
      <w:p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2</w:t>
      </w:r>
      <w:r>
        <w:rPr>
          <w:rFonts w:hint="eastAsia" w:ascii="仿宋" w:hAnsi="仿宋" w:eastAsia="仿宋" w:cs="仿宋"/>
          <w:color w:val="auto"/>
          <w:sz w:val="24"/>
          <w:highlight w:val="none"/>
        </w:rPr>
        <w:t>）</w:t>
      </w:r>
      <w:r>
        <w:rPr>
          <w:rFonts w:hint="eastAsia" w:ascii="仿宋" w:hAnsi="仿宋" w:eastAsia="仿宋" w:cs="仿宋"/>
          <w:color w:val="auto"/>
          <w:sz w:val="24"/>
          <w:highlight w:val="none"/>
        </w:rPr>
        <w:t>报价情况说明…………………………………………………………………（页码）</w:t>
      </w:r>
    </w:p>
    <w:p w14:paraId="4606D165">
      <w:pPr>
        <w:snapToGrid w:val="0"/>
        <w:spacing w:line="360" w:lineRule="auto"/>
        <w:ind w:right="480"/>
        <w:jc w:val="center"/>
        <w:rPr>
          <w:rFonts w:hint="eastAsia" w:ascii="仿宋" w:hAnsi="仿宋" w:eastAsia="仿宋" w:cs="仿宋"/>
          <w:b/>
          <w:color w:val="auto"/>
          <w:kern w:val="0"/>
          <w:sz w:val="32"/>
          <w:szCs w:val="32"/>
          <w:highlight w:val="none"/>
        </w:rPr>
      </w:pPr>
    </w:p>
    <w:p w14:paraId="5C5C6352">
      <w:pPr>
        <w:snapToGrid w:val="0"/>
        <w:spacing w:line="360" w:lineRule="auto"/>
        <w:ind w:right="480"/>
        <w:jc w:val="center"/>
        <w:rPr>
          <w:rFonts w:hint="eastAsia" w:ascii="仿宋" w:hAnsi="仿宋" w:eastAsia="仿宋" w:cs="仿宋"/>
          <w:b/>
          <w:color w:val="auto"/>
          <w:kern w:val="0"/>
          <w:sz w:val="32"/>
          <w:szCs w:val="32"/>
          <w:highlight w:val="none"/>
        </w:rPr>
      </w:pPr>
    </w:p>
    <w:p w14:paraId="2D8AA395">
      <w:pPr>
        <w:snapToGrid w:val="0"/>
        <w:spacing w:line="360" w:lineRule="auto"/>
        <w:ind w:right="480"/>
        <w:jc w:val="center"/>
        <w:rPr>
          <w:rFonts w:hint="eastAsia" w:ascii="仿宋" w:hAnsi="仿宋" w:eastAsia="仿宋" w:cs="仿宋"/>
          <w:b/>
          <w:color w:val="auto"/>
          <w:kern w:val="0"/>
          <w:sz w:val="32"/>
          <w:szCs w:val="32"/>
          <w:highlight w:val="none"/>
        </w:rPr>
      </w:pPr>
    </w:p>
    <w:p w14:paraId="1E3E38A9">
      <w:pPr>
        <w:snapToGrid w:val="0"/>
        <w:spacing w:line="360" w:lineRule="auto"/>
        <w:ind w:right="480"/>
        <w:jc w:val="center"/>
        <w:rPr>
          <w:rFonts w:hint="eastAsia" w:ascii="仿宋" w:hAnsi="仿宋" w:eastAsia="仿宋" w:cs="仿宋"/>
          <w:b/>
          <w:color w:val="auto"/>
          <w:kern w:val="0"/>
          <w:sz w:val="32"/>
          <w:szCs w:val="32"/>
          <w:highlight w:val="none"/>
        </w:rPr>
      </w:pPr>
    </w:p>
    <w:p w14:paraId="5FD4C6E0">
      <w:pPr>
        <w:snapToGrid w:val="0"/>
        <w:spacing w:line="360" w:lineRule="auto"/>
        <w:ind w:right="480"/>
        <w:jc w:val="center"/>
        <w:rPr>
          <w:rFonts w:hint="eastAsia" w:ascii="仿宋" w:hAnsi="仿宋" w:eastAsia="仿宋" w:cs="仿宋"/>
          <w:b/>
          <w:color w:val="auto"/>
          <w:kern w:val="0"/>
          <w:sz w:val="32"/>
          <w:szCs w:val="32"/>
          <w:highlight w:val="none"/>
        </w:rPr>
      </w:pPr>
    </w:p>
    <w:p w14:paraId="3D27E08F">
      <w:pPr>
        <w:snapToGrid w:val="0"/>
        <w:spacing w:line="360" w:lineRule="auto"/>
        <w:ind w:right="480"/>
        <w:jc w:val="center"/>
        <w:rPr>
          <w:rFonts w:hint="eastAsia" w:ascii="仿宋" w:hAnsi="仿宋" w:eastAsia="仿宋" w:cs="仿宋"/>
          <w:b/>
          <w:color w:val="auto"/>
          <w:kern w:val="0"/>
          <w:sz w:val="32"/>
          <w:szCs w:val="32"/>
          <w:highlight w:val="none"/>
        </w:rPr>
      </w:pPr>
    </w:p>
    <w:p w14:paraId="72C12FE2">
      <w:pPr>
        <w:pStyle w:val="710"/>
        <w:keepNext w:val="0"/>
        <w:pageBreakBefore w:val="0"/>
        <w:tabs>
          <w:tab w:val="clear" w:pos="720"/>
        </w:tabs>
        <w:snapToGrid w:val="0"/>
        <w:spacing w:before="120" w:after="120"/>
        <w:ind w:firstLine="643"/>
        <w:outlineLvl w:val="9"/>
        <w:rPr>
          <w:rFonts w:hint="eastAsia" w:ascii="仿宋" w:hAnsi="仿宋" w:eastAsia="仿宋" w:cs="仿宋"/>
          <w:color w:val="auto"/>
          <w:kern w:val="2"/>
          <w:sz w:val="32"/>
          <w:szCs w:val="32"/>
          <w:highlight w:val="none"/>
        </w:rPr>
        <w:sectPr>
          <w:headerReference r:id="rId4" w:type="first"/>
          <w:footerReference r:id="rId6" w:type="first"/>
          <w:headerReference r:id="rId3" w:type="default"/>
          <w:footerReference r:id="rId5" w:type="default"/>
          <w:pgSz w:w="11906" w:h="16838"/>
          <w:pgMar w:top="1417" w:right="1418" w:bottom="1417" w:left="1418" w:header="794" w:footer="850" w:gutter="0"/>
          <w:cols w:space="0" w:num="1"/>
          <w:titlePg/>
          <w:rtlGutter w:val="0"/>
          <w:docGrid w:linePitch="312" w:charSpace="0"/>
        </w:sectPr>
      </w:pPr>
    </w:p>
    <w:p w14:paraId="6C6FAB59">
      <w:pPr>
        <w:pStyle w:val="710"/>
        <w:keepNext w:val="0"/>
        <w:pageBreakBefore w:val="0"/>
        <w:tabs>
          <w:tab w:val="clear" w:pos="720"/>
        </w:tabs>
        <w:snapToGrid w:val="0"/>
        <w:spacing w:before="120" w:after="120"/>
        <w:ind w:firstLine="643"/>
        <w:outlineLvl w:val="9"/>
        <w:rPr>
          <w:rFonts w:hint="eastAsia" w:ascii="仿宋" w:hAnsi="仿宋" w:eastAsia="仿宋" w:cs="仿宋"/>
          <w:color w:val="auto"/>
          <w:kern w:val="2"/>
          <w:sz w:val="32"/>
          <w:szCs w:val="32"/>
          <w:highlight w:val="none"/>
        </w:rPr>
      </w:pPr>
      <w:r>
        <w:rPr>
          <w:rFonts w:hint="eastAsia" w:ascii="仿宋" w:hAnsi="仿宋" w:eastAsia="仿宋" w:cs="仿宋"/>
          <w:color w:val="auto"/>
          <w:kern w:val="2"/>
          <w:sz w:val="32"/>
          <w:szCs w:val="32"/>
          <w:highlight w:val="none"/>
        </w:rPr>
        <w:t>一、开标一览表（报价表）</w:t>
      </w:r>
    </w:p>
    <w:p w14:paraId="7F2558AE">
      <w:pPr>
        <w:snapToGrid w:val="0"/>
        <w:spacing w:line="360" w:lineRule="auto"/>
        <w:rPr>
          <w:rFonts w:hint="eastAsia" w:ascii="仿宋" w:hAnsi="仿宋" w:eastAsia="仿宋" w:cs="仿宋"/>
          <w:color w:val="auto"/>
          <w:kern w:val="0"/>
          <w:sz w:val="24"/>
          <w:highlight w:val="none"/>
        </w:rPr>
      </w:pPr>
      <w:r>
        <w:rPr>
          <w:rFonts w:hint="eastAsia" w:ascii="仿宋" w:hAnsi="仿宋" w:eastAsia="仿宋" w:cs="仿宋"/>
          <w:color w:val="auto"/>
          <w:sz w:val="24"/>
          <w:highlight w:val="none"/>
          <w:lang w:eastAsia="zh-CN"/>
        </w:rPr>
        <w:t>杭州市公安局刑事侦查支队</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eastAsia="zh-CN"/>
        </w:rPr>
        <w:t>耀华建设管理有限公司</w:t>
      </w:r>
      <w:r>
        <w:rPr>
          <w:rFonts w:hint="eastAsia" w:ascii="仿宋" w:hAnsi="仿宋" w:eastAsia="仿宋" w:cs="仿宋"/>
          <w:color w:val="auto"/>
          <w:kern w:val="0"/>
          <w:sz w:val="24"/>
          <w:highlight w:val="none"/>
          <w:lang w:val="zh-CN"/>
        </w:rPr>
        <w:t>：</w:t>
      </w:r>
    </w:p>
    <w:p w14:paraId="080EE605">
      <w:pPr>
        <w:snapToGrid w:val="0"/>
        <w:spacing w:line="360" w:lineRule="auto"/>
        <w:ind w:firstLine="482"/>
        <w:rPr>
          <w:rFonts w:hint="eastAsia"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按你方招标文件要求，我们，本投标文件签字方，谨此向你方发出要约如下：如你方接受本投标，我方承诺按照如下开标一览表（报价表）的价格完成</w:t>
      </w:r>
      <w:r>
        <w:rPr>
          <w:rFonts w:hint="eastAsia" w:ascii="仿宋" w:hAnsi="仿宋" w:eastAsia="仿宋" w:cs="仿宋"/>
          <w:color w:val="auto"/>
          <w:sz w:val="24"/>
          <w:highlight w:val="none"/>
          <w:lang w:eastAsia="zh-CN"/>
        </w:rPr>
        <w:t>反诈专项（涉网新型犯罪侦防数据服务）</w:t>
      </w:r>
      <w:r>
        <w:rPr>
          <w:rFonts w:hint="eastAsia" w:ascii="仿宋" w:hAnsi="仿宋" w:eastAsia="仿宋" w:cs="仿宋"/>
          <w:color w:val="auto"/>
          <w:kern w:val="0"/>
          <w:sz w:val="24"/>
          <w:highlight w:val="none"/>
          <w:lang w:val="zh-CN"/>
        </w:rPr>
        <w:t>【招标编号：</w:t>
      </w:r>
      <w:r>
        <w:rPr>
          <w:rFonts w:hint="eastAsia" w:ascii="仿宋" w:hAnsi="仿宋" w:eastAsia="仿宋" w:cs="仿宋"/>
          <w:color w:val="auto"/>
          <w:sz w:val="24"/>
          <w:highlight w:val="none"/>
          <w:lang w:eastAsia="zh-CN"/>
        </w:rPr>
        <w:t>YHDL-HZ-CG2025026</w:t>
      </w:r>
      <w:r>
        <w:rPr>
          <w:rFonts w:hint="eastAsia" w:ascii="仿宋" w:hAnsi="仿宋" w:eastAsia="仿宋" w:cs="仿宋"/>
          <w:color w:val="auto"/>
          <w:sz w:val="24"/>
          <w:highlight w:val="none"/>
        </w:rPr>
        <w:t>】的实施</w:t>
      </w:r>
      <w:r>
        <w:rPr>
          <w:rFonts w:hint="eastAsia" w:ascii="仿宋" w:hAnsi="仿宋" w:eastAsia="仿宋" w:cs="仿宋"/>
          <w:color w:val="auto"/>
          <w:kern w:val="0"/>
          <w:sz w:val="24"/>
          <w:highlight w:val="none"/>
          <w:lang w:val="zh-CN"/>
        </w:rPr>
        <w:t>。</w:t>
      </w:r>
    </w:p>
    <w:p w14:paraId="1A5D873C">
      <w:pPr>
        <w:spacing w:line="360" w:lineRule="auto"/>
        <w:jc w:val="center"/>
        <w:rPr>
          <w:rFonts w:hint="eastAsia" w:ascii="仿宋" w:hAnsi="仿宋" w:eastAsia="仿宋" w:cs="仿宋"/>
          <w:b/>
          <w:color w:val="auto"/>
          <w:kern w:val="0"/>
          <w:sz w:val="24"/>
          <w:highlight w:val="none"/>
          <w:lang w:val="zh-CN"/>
        </w:rPr>
      </w:pPr>
      <w:r>
        <w:rPr>
          <w:rFonts w:hint="eastAsia" w:ascii="仿宋" w:hAnsi="仿宋" w:eastAsia="仿宋" w:cs="仿宋"/>
          <w:b/>
          <w:color w:val="auto"/>
          <w:kern w:val="0"/>
          <w:sz w:val="24"/>
          <w:highlight w:val="none"/>
          <w:lang w:val="zh-CN"/>
        </w:rPr>
        <w:t>开标一览表（报价表）(单位均为人民币元)</w:t>
      </w:r>
    </w:p>
    <w:tbl>
      <w:tblPr>
        <w:tblStyle w:val="80"/>
        <w:tblW w:w="1029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67"/>
        <w:gridCol w:w="1418"/>
        <w:gridCol w:w="2942"/>
        <w:gridCol w:w="39"/>
        <w:gridCol w:w="1134"/>
        <w:gridCol w:w="733"/>
        <w:gridCol w:w="867"/>
        <w:gridCol w:w="709"/>
        <w:gridCol w:w="892"/>
        <w:gridCol w:w="992"/>
      </w:tblGrid>
      <w:tr w14:paraId="1933F6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7" w:hRule="atLeast"/>
          <w:jc w:val="center"/>
        </w:trPr>
        <w:tc>
          <w:tcPr>
            <w:tcW w:w="567" w:type="dxa"/>
            <w:tcBorders>
              <w:top w:val="single" w:color="000000" w:sz="4" w:space="0"/>
              <w:left w:val="single" w:color="000000" w:sz="4" w:space="0"/>
              <w:bottom w:val="single" w:color="000000" w:sz="4" w:space="0"/>
              <w:right w:val="single" w:color="000000" w:sz="4" w:space="0"/>
            </w:tcBorders>
            <w:noWrap w:val="0"/>
            <w:vAlign w:val="center"/>
          </w:tcPr>
          <w:p w14:paraId="2CBC8F4A">
            <w:pPr>
              <w:widowControl/>
              <w:jc w:val="center"/>
              <w:textAlignment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序号</w:t>
            </w:r>
          </w:p>
        </w:tc>
        <w:tc>
          <w:tcPr>
            <w:tcW w:w="1418" w:type="dxa"/>
            <w:tcBorders>
              <w:top w:val="single" w:color="000000" w:sz="4" w:space="0"/>
              <w:left w:val="single" w:color="000000" w:sz="4" w:space="0"/>
              <w:bottom w:val="single" w:color="000000" w:sz="4" w:space="0"/>
              <w:right w:val="single" w:color="000000" w:sz="4" w:space="0"/>
            </w:tcBorders>
            <w:noWrap w:val="0"/>
            <w:vAlign w:val="center"/>
          </w:tcPr>
          <w:p w14:paraId="0272E502">
            <w:pPr>
              <w:widowControl/>
              <w:jc w:val="center"/>
              <w:textAlignment w:val="center"/>
              <w:rPr>
                <w:rFonts w:ascii="仿宋" w:hAnsi="仿宋" w:eastAsia="仿宋" w:cs="仿宋"/>
                <w:b/>
                <w:bCs/>
                <w:color w:val="auto"/>
                <w:szCs w:val="21"/>
                <w:highlight w:val="none"/>
              </w:rPr>
            </w:pPr>
            <w:r>
              <w:rPr>
                <w:rFonts w:hint="eastAsia" w:ascii="仿宋" w:hAnsi="仿宋" w:eastAsia="仿宋" w:cs="仿宋"/>
                <w:b/>
                <w:bCs/>
                <w:color w:val="auto"/>
                <w:kern w:val="0"/>
                <w:szCs w:val="21"/>
                <w:highlight w:val="none"/>
                <w:lang w:bidi="ar"/>
              </w:rPr>
              <w:t>服务名称</w:t>
            </w:r>
          </w:p>
        </w:tc>
        <w:tc>
          <w:tcPr>
            <w:tcW w:w="2981" w:type="dxa"/>
            <w:gridSpan w:val="2"/>
            <w:tcBorders>
              <w:top w:val="single" w:color="000000" w:sz="4" w:space="0"/>
              <w:left w:val="single" w:color="000000" w:sz="4" w:space="0"/>
              <w:bottom w:val="single" w:color="000000" w:sz="4" w:space="0"/>
              <w:right w:val="single" w:color="000000" w:sz="4" w:space="0"/>
            </w:tcBorders>
            <w:noWrap w:val="0"/>
            <w:vAlign w:val="center"/>
          </w:tcPr>
          <w:p w14:paraId="17D4BF89">
            <w:pPr>
              <w:widowControl/>
              <w:jc w:val="center"/>
              <w:textAlignment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内容</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14:paraId="49BB0C5A">
            <w:pPr>
              <w:jc w:val="center"/>
              <w:textAlignment w:val="center"/>
              <w:rPr>
                <w:rFonts w:ascii="仿宋" w:hAnsi="仿宋" w:eastAsia="仿宋" w:cs="仿宋"/>
                <w:b/>
                <w:bCs/>
                <w:color w:val="auto"/>
                <w:kern w:val="0"/>
                <w:szCs w:val="21"/>
                <w:highlight w:val="none"/>
                <w:lang w:bidi="ar"/>
              </w:rPr>
            </w:pPr>
            <w:r>
              <w:rPr>
                <w:rFonts w:hint="eastAsia" w:ascii="仿宋" w:hAnsi="仿宋" w:eastAsia="仿宋" w:cs="仿宋"/>
                <w:b/>
                <w:bCs/>
                <w:color w:val="auto"/>
                <w:kern w:val="0"/>
                <w:szCs w:val="21"/>
                <w:highlight w:val="none"/>
                <w:lang w:bidi="ar"/>
              </w:rPr>
              <w:t>报告</w:t>
            </w:r>
          </w:p>
          <w:p w14:paraId="1F694FEC">
            <w:pPr>
              <w:jc w:val="center"/>
              <w:textAlignment w:val="center"/>
              <w:rPr>
                <w:rFonts w:ascii="仿宋" w:hAnsi="仿宋" w:eastAsia="仿宋" w:cs="仿宋"/>
                <w:b/>
                <w:bCs/>
                <w:color w:val="auto"/>
                <w:kern w:val="0"/>
                <w:szCs w:val="21"/>
                <w:highlight w:val="none"/>
                <w:lang w:bidi="ar"/>
              </w:rPr>
            </w:pPr>
            <w:r>
              <w:rPr>
                <w:rFonts w:hint="eastAsia" w:ascii="仿宋" w:hAnsi="仿宋" w:eastAsia="仿宋" w:cs="仿宋"/>
                <w:b/>
                <w:bCs/>
                <w:color w:val="auto"/>
                <w:kern w:val="0"/>
                <w:szCs w:val="21"/>
                <w:highlight w:val="none"/>
                <w:lang w:bidi="ar"/>
              </w:rPr>
              <w:t>类型</w:t>
            </w:r>
          </w:p>
        </w:tc>
        <w:tc>
          <w:tcPr>
            <w:tcW w:w="733" w:type="dxa"/>
            <w:tcBorders>
              <w:top w:val="single" w:color="000000" w:sz="4" w:space="0"/>
              <w:left w:val="single" w:color="000000" w:sz="4" w:space="0"/>
              <w:bottom w:val="single" w:color="000000" w:sz="4" w:space="0"/>
              <w:right w:val="single" w:color="000000" w:sz="4" w:space="0"/>
            </w:tcBorders>
            <w:noWrap w:val="0"/>
            <w:vAlign w:val="center"/>
          </w:tcPr>
          <w:p w14:paraId="455FF51B">
            <w:pPr>
              <w:jc w:val="center"/>
              <w:textAlignment w:val="center"/>
              <w:rPr>
                <w:rFonts w:hint="eastAsia" w:ascii="仿宋" w:hAnsi="仿宋" w:eastAsia="仿宋" w:cs="仿宋"/>
                <w:b/>
                <w:bCs/>
                <w:color w:val="auto"/>
                <w:kern w:val="0"/>
                <w:szCs w:val="21"/>
                <w:highlight w:val="none"/>
                <w:lang w:bidi="ar"/>
              </w:rPr>
            </w:pPr>
            <w:r>
              <w:rPr>
                <w:rFonts w:hint="eastAsia" w:ascii="仿宋" w:hAnsi="仿宋" w:eastAsia="仿宋" w:cs="仿宋"/>
                <w:b/>
                <w:bCs/>
                <w:color w:val="auto"/>
                <w:kern w:val="0"/>
                <w:szCs w:val="21"/>
                <w:highlight w:val="none"/>
                <w:lang w:bidi="ar"/>
              </w:rPr>
              <w:t>单位</w:t>
            </w:r>
          </w:p>
        </w:tc>
        <w:tc>
          <w:tcPr>
            <w:tcW w:w="867" w:type="dxa"/>
            <w:tcBorders>
              <w:top w:val="single" w:color="000000" w:sz="4" w:space="0"/>
              <w:left w:val="single" w:color="000000" w:sz="4" w:space="0"/>
              <w:bottom w:val="single" w:color="000000" w:sz="4" w:space="0"/>
              <w:right w:val="single" w:color="000000" w:sz="4" w:space="0"/>
            </w:tcBorders>
            <w:noWrap w:val="0"/>
            <w:vAlign w:val="center"/>
          </w:tcPr>
          <w:p w14:paraId="5A9FD105">
            <w:pPr>
              <w:jc w:val="center"/>
              <w:textAlignment w:val="center"/>
              <w:rPr>
                <w:rFonts w:ascii="仿宋" w:hAnsi="仿宋" w:eastAsia="仿宋" w:cs="仿宋"/>
                <w:b/>
                <w:bCs/>
                <w:color w:val="auto"/>
                <w:kern w:val="0"/>
                <w:szCs w:val="21"/>
                <w:highlight w:val="none"/>
                <w:lang w:bidi="ar"/>
              </w:rPr>
            </w:pPr>
            <w:r>
              <w:rPr>
                <w:rFonts w:hint="eastAsia" w:ascii="仿宋" w:hAnsi="仿宋" w:eastAsia="仿宋" w:cs="仿宋"/>
                <w:b/>
                <w:bCs/>
                <w:color w:val="auto"/>
                <w:kern w:val="0"/>
                <w:szCs w:val="21"/>
                <w:highlight w:val="none"/>
                <w:lang w:bidi="ar"/>
              </w:rPr>
              <w:t>数量</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14:paraId="51686204">
            <w:pPr>
              <w:jc w:val="center"/>
              <w:textAlignment w:val="center"/>
              <w:rPr>
                <w:rFonts w:ascii="仿宋" w:hAnsi="仿宋" w:eastAsia="仿宋" w:cs="仿宋"/>
                <w:b/>
                <w:bCs/>
                <w:color w:val="auto"/>
                <w:kern w:val="0"/>
                <w:szCs w:val="21"/>
                <w:highlight w:val="none"/>
                <w:lang w:bidi="ar"/>
              </w:rPr>
            </w:pPr>
            <w:r>
              <w:rPr>
                <w:rFonts w:hint="eastAsia" w:ascii="仿宋" w:hAnsi="仿宋" w:eastAsia="仿宋" w:cs="仿宋"/>
                <w:b/>
                <w:bCs/>
                <w:color w:val="auto"/>
                <w:kern w:val="0"/>
                <w:szCs w:val="21"/>
                <w:highlight w:val="none"/>
                <w:lang w:bidi="ar"/>
              </w:rPr>
              <w:t>单价</w:t>
            </w:r>
          </w:p>
          <w:p w14:paraId="4D4BFDF5">
            <w:pPr>
              <w:jc w:val="center"/>
              <w:textAlignment w:val="center"/>
              <w:rPr>
                <w:rFonts w:ascii="仿宋" w:hAnsi="仿宋" w:eastAsia="仿宋" w:cs="仿宋"/>
                <w:b/>
                <w:bCs/>
                <w:color w:val="auto"/>
                <w:kern w:val="0"/>
                <w:szCs w:val="21"/>
                <w:highlight w:val="none"/>
                <w:lang w:bidi="ar"/>
              </w:rPr>
            </w:pPr>
            <w:r>
              <w:rPr>
                <w:rFonts w:hint="eastAsia" w:ascii="仿宋" w:hAnsi="仿宋" w:eastAsia="仿宋" w:cs="仿宋"/>
                <w:b/>
                <w:bCs/>
                <w:color w:val="auto"/>
                <w:kern w:val="0"/>
                <w:szCs w:val="21"/>
                <w:highlight w:val="none"/>
                <w:lang w:bidi="ar"/>
              </w:rPr>
              <w:t>(元</w:t>
            </w:r>
            <w:r>
              <w:rPr>
                <w:rFonts w:ascii="仿宋" w:hAnsi="仿宋" w:eastAsia="仿宋" w:cs="仿宋"/>
                <w:b/>
                <w:bCs/>
                <w:color w:val="auto"/>
                <w:kern w:val="0"/>
                <w:szCs w:val="21"/>
                <w:highlight w:val="none"/>
                <w:lang w:bidi="ar"/>
              </w:rPr>
              <w:t>)</w:t>
            </w:r>
          </w:p>
        </w:tc>
        <w:tc>
          <w:tcPr>
            <w:tcW w:w="892" w:type="dxa"/>
            <w:tcBorders>
              <w:top w:val="single" w:color="000000" w:sz="4" w:space="0"/>
              <w:left w:val="single" w:color="000000" w:sz="4" w:space="0"/>
              <w:bottom w:val="single" w:color="000000" w:sz="4" w:space="0"/>
              <w:right w:val="single" w:color="000000" w:sz="4" w:space="0"/>
            </w:tcBorders>
            <w:noWrap w:val="0"/>
            <w:vAlign w:val="center"/>
          </w:tcPr>
          <w:p w14:paraId="1D7EDB13">
            <w:pPr>
              <w:jc w:val="center"/>
              <w:textAlignment w:val="center"/>
              <w:rPr>
                <w:rFonts w:ascii="仿宋" w:hAnsi="仿宋" w:eastAsia="仿宋" w:cs="仿宋"/>
                <w:b/>
                <w:bCs/>
                <w:color w:val="auto"/>
                <w:kern w:val="0"/>
                <w:szCs w:val="21"/>
                <w:highlight w:val="none"/>
                <w:lang w:bidi="ar"/>
              </w:rPr>
            </w:pPr>
            <w:r>
              <w:rPr>
                <w:rFonts w:hint="eastAsia" w:ascii="仿宋" w:hAnsi="仿宋" w:eastAsia="仿宋" w:cs="仿宋"/>
                <w:b/>
                <w:bCs/>
                <w:color w:val="auto"/>
                <w:kern w:val="0"/>
                <w:szCs w:val="21"/>
                <w:highlight w:val="none"/>
                <w:lang w:bidi="ar"/>
              </w:rPr>
              <w:t>合计</w:t>
            </w:r>
          </w:p>
          <w:p w14:paraId="21DDA11B">
            <w:pPr>
              <w:jc w:val="center"/>
              <w:textAlignment w:val="center"/>
              <w:rPr>
                <w:rFonts w:ascii="仿宋" w:hAnsi="仿宋" w:eastAsia="仿宋" w:cs="仿宋"/>
                <w:b/>
                <w:bCs/>
                <w:color w:val="auto"/>
                <w:kern w:val="0"/>
                <w:szCs w:val="21"/>
                <w:highlight w:val="none"/>
                <w:lang w:bidi="ar"/>
              </w:rPr>
            </w:pPr>
            <w:r>
              <w:rPr>
                <w:rFonts w:hint="eastAsia" w:ascii="仿宋" w:hAnsi="仿宋" w:eastAsia="仿宋" w:cs="仿宋"/>
                <w:b/>
                <w:bCs/>
                <w:color w:val="auto"/>
                <w:kern w:val="0"/>
                <w:szCs w:val="21"/>
                <w:highlight w:val="none"/>
                <w:lang w:bidi="ar"/>
              </w:rPr>
              <w:t>(元</w:t>
            </w:r>
            <w:r>
              <w:rPr>
                <w:rFonts w:ascii="仿宋" w:hAnsi="仿宋" w:eastAsia="仿宋" w:cs="仿宋"/>
                <w:b/>
                <w:bCs/>
                <w:color w:val="auto"/>
                <w:kern w:val="0"/>
                <w:szCs w:val="21"/>
                <w:highlight w:val="none"/>
                <w:lang w:bidi="ar"/>
              </w:rPr>
              <w:t>)</w:t>
            </w:r>
          </w:p>
        </w:tc>
        <w:tc>
          <w:tcPr>
            <w:tcW w:w="992" w:type="dxa"/>
            <w:tcBorders>
              <w:top w:val="single" w:color="000000" w:sz="4" w:space="0"/>
              <w:left w:val="single" w:color="000000" w:sz="4" w:space="0"/>
              <w:bottom w:val="single" w:color="000000" w:sz="4" w:space="0"/>
              <w:right w:val="single" w:color="000000" w:sz="4" w:space="0"/>
            </w:tcBorders>
            <w:noWrap w:val="0"/>
            <w:vAlign w:val="center"/>
          </w:tcPr>
          <w:p w14:paraId="2DC63120">
            <w:pPr>
              <w:jc w:val="center"/>
              <w:textAlignment w:val="center"/>
              <w:rPr>
                <w:rFonts w:hint="eastAsia" w:ascii="仿宋" w:hAnsi="仿宋" w:eastAsia="仿宋" w:cs="仿宋"/>
                <w:b/>
                <w:bCs/>
                <w:color w:val="auto"/>
                <w:kern w:val="0"/>
                <w:szCs w:val="21"/>
                <w:highlight w:val="none"/>
                <w:lang w:bidi="ar"/>
              </w:rPr>
            </w:pPr>
            <w:r>
              <w:rPr>
                <w:rFonts w:hint="eastAsia" w:ascii="仿宋" w:hAnsi="仿宋" w:eastAsia="仿宋" w:cs="仿宋"/>
                <w:b/>
                <w:bCs/>
                <w:color w:val="auto"/>
                <w:kern w:val="0"/>
                <w:szCs w:val="21"/>
                <w:highlight w:val="none"/>
                <w:lang w:bidi="ar"/>
              </w:rPr>
              <w:t>备注(请备注中小微企业提供的服务）</w:t>
            </w:r>
          </w:p>
        </w:tc>
      </w:tr>
      <w:tr w14:paraId="269E00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0" w:hRule="atLeast"/>
          <w:jc w:val="center"/>
        </w:trPr>
        <w:tc>
          <w:tcPr>
            <w:tcW w:w="567" w:type="dxa"/>
            <w:vMerge w:val="restart"/>
            <w:tcBorders>
              <w:top w:val="single" w:color="000000" w:sz="4" w:space="0"/>
              <w:left w:val="single" w:color="000000" w:sz="4" w:space="0"/>
              <w:bottom w:val="single" w:color="000000" w:sz="4" w:space="0"/>
              <w:right w:val="single" w:color="000000" w:sz="4" w:space="0"/>
            </w:tcBorders>
            <w:noWrap w:val="0"/>
            <w:vAlign w:val="center"/>
          </w:tcPr>
          <w:p w14:paraId="5618AD9E">
            <w:pPr>
              <w:widowControl/>
              <w:jc w:val="center"/>
              <w:textAlignment w:val="center"/>
              <w:rPr>
                <w:rFonts w:ascii="仿宋" w:hAnsi="仿宋" w:eastAsia="仿宋" w:cs="仿宋"/>
                <w:color w:val="auto"/>
                <w:szCs w:val="21"/>
                <w:highlight w:val="none"/>
              </w:rPr>
            </w:pPr>
            <w:r>
              <w:rPr>
                <w:rFonts w:hint="eastAsia" w:ascii="仿宋" w:hAnsi="仿宋" w:eastAsia="仿宋" w:cs="仿宋"/>
                <w:color w:val="auto"/>
                <w:szCs w:val="21"/>
                <w:highlight w:val="none"/>
              </w:rPr>
              <w:t>1</w:t>
            </w:r>
          </w:p>
        </w:tc>
        <w:tc>
          <w:tcPr>
            <w:tcW w:w="1418" w:type="dxa"/>
            <w:vMerge w:val="restart"/>
            <w:tcBorders>
              <w:top w:val="single" w:color="000000" w:sz="4" w:space="0"/>
              <w:left w:val="single" w:color="000000" w:sz="4" w:space="0"/>
              <w:bottom w:val="single" w:color="000000" w:sz="4" w:space="0"/>
              <w:right w:val="single" w:color="000000" w:sz="4" w:space="0"/>
            </w:tcBorders>
            <w:noWrap w:val="0"/>
            <w:vAlign w:val="center"/>
          </w:tcPr>
          <w:p w14:paraId="45D60E1F">
            <w:pPr>
              <w:pStyle w:val="31"/>
              <w:ind w:firstLine="0" w:firstLineChars="0"/>
              <w:jc w:val="center"/>
              <w:rPr>
                <w:color w:val="auto"/>
                <w:sz w:val="21"/>
                <w:szCs w:val="21"/>
                <w:highlight w:val="none"/>
                <w:lang w:bidi="ar"/>
              </w:rPr>
            </w:pPr>
            <w:r>
              <w:rPr>
                <w:rFonts w:hint="eastAsia" w:ascii="仿宋" w:hAnsi="仿宋" w:eastAsia="仿宋" w:cs="仿宋"/>
                <w:color w:val="auto"/>
                <w:sz w:val="21"/>
                <w:szCs w:val="18"/>
                <w:highlight w:val="none"/>
              </w:rPr>
              <w:t>案件侦查打击服务</w:t>
            </w:r>
          </w:p>
        </w:tc>
        <w:tc>
          <w:tcPr>
            <w:tcW w:w="2981" w:type="dxa"/>
            <w:gridSpan w:val="2"/>
            <w:tcBorders>
              <w:top w:val="single" w:color="000000" w:sz="4" w:space="0"/>
              <w:left w:val="single" w:color="000000" w:sz="4" w:space="0"/>
              <w:bottom w:val="single" w:color="000000" w:sz="4" w:space="0"/>
              <w:right w:val="single" w:color="000000" w:sz="4" w:space="0"/>
            </w:tcBorders>
            <w:noWrap w:val="0"/>
            <w:vAlign w:val="center"/>
          </w:tcPr>
          <w:p w14:paraId="0C6A4621">
            <w:pPr>
              <w:widowControl/>
              <w:jc w:val="center"/>
              <w:textAlignment w:val="center"/>
              <w:rPr>
                <w:rFonts w:ascii="仿宋" w:hAnsi="仿宋" w:eastAsia="仿宋" w:cs="仿宋"/>
                <w:color w:val="auto"/>
                <w:szCs w:val="21"/>
                <w:highlight w:val="none"/>
              </w:rPr>
            </w:pPr>
            <w:r>
              <w:rPr>
                <w:rFonts w:hint="eastAsia" w:ascii="仿宋" w:hAnsi="仿宋" w:eastAsia="仿宋" w:cs="仿宋"/>
                <w:color w:val="auto"/>
                <w:kern w:val="0"/>
                <w:szCs w:val="21"/>
                <w:highlight w:val="none"/>
                <w:lang w:bidi="ar"/>
              </w:rPr>
              <w:t>提供涉网新型犯罪案件任务管理、案件侦查、案件支撑、研判分析等服务，</w:t>
            </w:r>
            <w:r>
              <w:rPr>
                <w:rFonts w:hint="eastAsia" w:ascii="仿宋" w:hAnsi="仿宋" w:eastAsia="仿宋"/>
                <w:color w:val="auto"/>
                <w:szCs w:val="21"/>
                <w:highlight w:val="none"/>
              </w:rPr>
              <w:t>提供</w:t>
            </w:r>
            <w:r>
              <w:rPr>
                <w:rFonts w:hint="eastAsia" w:ascii="仿宋" w:hAnsi="仿宋" w:eastAsia="仿宋" w:cs="仿宋"/>
                <w:color w:val="auto"/>
                <w:kern w:val="0"/>
                <w:szCs w:val="21"/>
                <w:highlight w:val="none"/>
                <w:lang w:bidi="ar"/>
              </w:rPr>
              <w:t>重特大案件线索不少于</w:t>
            </w:r>
            <w:r>
              <w:rPr>
                <w:rFonts w:hint="eastAsia" w:ascii="仿宋" w:hAnsi="仿宋" w:eastAsia="仿宋" w:cs="仿宋"/>
                <w:color w:val="auto"/>
                <w:kern w:val="0"/>
                <w:szCs w:val="21"/>
                <w:highlight w:val="none"/>
                <w:lang w:val="en-US" w:eastAsia="zh-CN" w:bidi="ar"/>
              </w:rPr>
              <w:t>5</w:t>
            </w:r>
            <w:r>
              <w:rPr>
                <w:rFonts w:hint="eastAsia" w:ascii="仿宋" w:hAnsi="仿宋" w:eastAsia="仿宋" w:cs="仿宋"/>
                <w:color w:val="auto"/>
                <w:kern w:val="0"/>
                <w:szCs w:val="21"/>
                <w:highlight w:val="none"/>
                <w:lang w:bidi="ar"/>
              </w:rPr>
              <w:t>起</w:t>
            </w:r>
            <w:r>
              <w:rPr>
                <w:rFonts w:hint="eastAsia" w:ascii="仿宋" w:hAnsi="仿宋" w:eastAsia="仿宋" w:cs="仿宋"/>
                <w:color w:val="auto"/>
                <w:kern w:val="0"/>
                <w:szCs w:val="21"/>
                <w:highlight w:val="none"/>
                <w:lang w:bidi="ar"/>
              </w:rPr>
              <w:t>，</w:t>
            </w:r>
            <w:r>
              <w:rPr>
                <w:rFonts w:hint="eastAsia" w:ascii="仿宋" w:hAnsi="仿宋" w:eastAsia="仿宋" w:cs="仿宋"/>
                <w:color w:val="auto"/>
                <w:kern w:val="0"/>
                <w:szCs w:val="21"/>
                <w:highlight w:val="none"/>
                <w:lang w:bidi="ar"/>
              </w:rPr>
              <w:t>输出分析报告</w:t>
            </w:r>
            <w:r>
              <w:rPr>
                <w:rFonts w:hint="eastAsia" w:ascii="仿宋" w:hAnsi="仿宋" w:eastAsia="仿宋" w:cs="仿宋"/>
                <w:color w:val="auto"/>
                <w:kern w:val="0"/>
                <w:szCs w:val="21"/>
                <w:highlight w:val="none"/>
                <w:lang w:val="en-US" w:eastAsia="zh-CN" w:bidi="ar"/>
              </w:rPr>
              <w:t>8</w:t>
            </w:r>
            <w:r>
              <w:rPr>
                <w:rFonts w:hint="eastAsia" w:ascii="仿宋" w:hAnsi="仿宋" w:eastAsia="仿宋" w:cs="仿宋"/>
                <w:color w:val="auto"/>
                <w:kern w:val="0"/>
                <w:szCs w:val="21"/>
                <w:highlight w:val="none"/>
                <w:lang w:bidi="ar"/>
              </w:rPr>
              <w:t>份</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14:paraId="3BC15BEC">
            <w:pPr>
              <w:widowControl/>
              <w:jc w:val="center"/>
              <w:textAlignment w:val="center"/>
              <w:rPr>
                <w:rFonts w:ascii="仿宋" w:hAnsi="仿宋" w:eastAsia="仿宋" w:cs="仿宋"/>
                <w:color w:val="auto"/>
                <w:kern w:val="0"/>
                <w:szCs w:val="21"/>
                <w:highlight w:val="none"/>
                <w:lang w:bidi="ar"/>
              </w:rPr>
            </w:pPr>
            <w:r>
              <w:rPr>
                <w:rFonts w:hint="eastAsia" w:ascii="仿宋" w:hAnsi="仿宋" w:eastAsia="仿宋" w:cs="仿宋"/>
                <w:color w:val="auto"/>
                <w:kern w:val="0"/>
                <w:szCs w:val="21"/>
                <w:highlight w:val="none"/>
                <w:lang w:bidi="ar"/>
              </w:rPr>
              <w:t>A类报告</w:t>
            </w:r>
          </w:p>
        </w:tc>
        <w:tc>
          <w:tcPr>
            <w:tcW w:w="733" w:type="dxa"/>
            <w:tcBorders>
              <w:top w:val="single" w:color="000000" w:sz="4" w:space="0"/>
              <w:left w:val="single" w:color="000000" w:sz="4" w:space="0"/>
              <w:bottom w:val="single" w:color="000000" w:sz="4" w:space="0"/>
              <w:right w:val="single" w:color="000000" w:sz="4" w:space="0"/>
            </w:tcBorders>
            <w:noWrap w:val="0"/>
            <w:vAlign w:val="center"/>
          </w:tcPr>
          <w:p w14:paraId="1070FA47">
            <w:pPr>
              <w:jc w:val="center"/>
              <w:rPr>
                <w:color w:val="auto"/>
                <w:highlight w:val="none"/>
              </w:rPr>
            </w:pPr>
            <w:r>
              <w:rPr>
                <w:rFonts w:hint="eastAsia" w:ascii="仿宋" w:hAnsi="仿宋" w:eastAsia="仿宋" w:cs="仿宋"/>
                <w:b/>
                <w:bCs/>
                <w:color w:val="auto"/>
                <w:kern w:val="0"/>
                <w:szCs w:val="21"/>
                <w:highlight w:val="none"/>
                <w:lang w:bidi="ar"/>
              </w:rPr>
              <w:t>份</w:t>
            </w:r>
          </w:p>
        </w:tc>
        <w:tc>
          <w:tcPr>
            <w:tcW w:w="867" w:type="dxa"/>
            <w:tcBorders>
              <w:top w:val="single" w:color="000000" w:sz="4" w:space="0"/>
              <w:left w:val="single" w:color="000000" w:sz="4" w:space="0"/>
              <w:bottom w:val="single" w:color="000000" w:sz="4" w:space="0"/>
              <w:right w:val="single" w:color="000000" w:sz="4" w:space="0"/>
            </w:tcBorders>
            <w:noWrap w:val="0"/>
            <w:vAlign w:val="center"/>
          </w:tcPr>
          <w:p w14:paraId="5A762D23">
            <w:pPr>
              <w:widowControl/>
              <w:jc w:val="center"/>
              <w:textAlignment w:val="center"/>
              <w:rPr>
                <w:rFonts w:hint="eastAsia" w:ascii="仿宋" w:hAnsi="仿宋" w:eastAsia="仿宋" w:cs="仿宋"/>
                <w:b/>
                <w:bCs/>
                <w:color w:val="auto"/>
                <w:szCs w:val="21"/>
                <w:highlight w:val="none"/>
                <w:lang w:eastAsia="zh-CN"/>
              </w:rPr>
            </w:pPr>
            <w:r>
              <w:rPr>
                <w:rFonts w:hint="eastAsia" w:ascii="仿宋" w:hAnsi="仿宋" w:eastAsia="仿宋" w:cs="仿宋"/>
                <w:b/>
                <w:bCs/>
                <w:color w:val="auto"/>
                <w:kern w:val="0"/>
                <w:szCs w:val="21"/>
                <w:highlight w:val="none"/>
                <w:lang w:val="en-US" w:eastAsia="zh-CN" w:bidi="ar"/>
              </w:rPr>
              <w:t>8</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14:paraId="6FE68036">
            <w:pPr>
              <w:widowControl/>
              <w:jc w:val="center"/>
              <w:textAlignment w:val="center"/>
              <w:rPr>
                <w:rFonts w:ascii="仿宋" w:hAnsi="仿宋" w:eastAsia="仿宋" w:cs="仿宋"/>
                <w:color w:val="auto"/>
                <w:kern w:val="0"/>
                <w:szCs w:val="21"/>
                <w:highlight w:val="none"/>
                <w:lang w:bidi="ar"/>
              </w:rPr>
            </w:pPr>
          </w:p>
        </w:tc>
        <w:tc>
          <w:tcPr>
            <w:tcW w:w="892" w:type="dxa"/>
            <w:tcBorders>
              <w:top w:val="single" w:color="000000" w:sz="4" w:space="0"/>
              <w:left w:val="single" w:color="000000" w:sz="4" w:space="0"/>
              <w:bottom w:val="single" w:color="000000" w:sz="4" w:space="0"/>
              <w:right w:val="single" w:color="000000" w:sz="4" w:space="0"/>
            </w:tcBorders>
            <w:noWrap w:val="0"/>
            <w:vAlign w:val="center"/>
          </w:tcPr>
          <w:p w14:paraId="611CB14E">
            <w:pPr>
              <w:widowControl/>
              <w:jc w:val="center"/>
              <w:textAlignment w:val="center"/>
              <w:rPr>
                <w:rFonts w:ascii="仿宋" w:hAnsi="仿宋" w:eastAsia="仿宋" w:cs="仿宋"/>
                <w:color w:val="auto"/>
                <w:kern w:val="0"/>
                <w:szCs w:val="21"/>
                <w:highlight w:val="none"/>
                <w:lang w:bidi="ar"/>
              </w:rPr>
            </w:pPr>
          </w:p>
        </w:tc>
        <w:tc>
          <w:tcPr>
            <w:tcW w:w="992" w:type="dxa"/>
            <w:tcBorders>
              <w:top w:val="single" w:color="000000" w:sz="4" w:space="0"/>
              <w:left w:val="single" w:color="000000" w:sz="4" w:space="0"/>
              <w:bottom w:val="single" w:color="000000" w:sz="4" w:space="0"/>
              <w:right w:val="single" w:color="000000" w:sz="4" w:space="0"/>
            </w:tcBorders>
            <w:noWrap w:val="0"/>
            <w:vAlign w:val="center"/>
          </w:tcPr>
          <w:p w14:paraId="533A3BA7">
            <w:pPr>
              <w:widowControl/>
              <w:jc w:val="center"/>
              <w:textAlignment w:val="center"/>
              <w:rPr>
                <w:rFonts w:ascii="仿宋" w:hAnsi="仿宋" w:eastAsia="仿宋" w:cs="仿宋"/>
                <w:color w:val="auto"/>
                <w:kern w:val="0"/>
                <w:szCs w:val="21"/>
                <w:highlight w:val="none"/>
                <w:lang w:bidi="ar"/>
              </w:rPr>
            </w:pPr>
          </w:p>
        </w:tc>
      </w:tr>
      <w:tr w14:paraId="5B532D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83" w:hRule="atLeast"/>
          <w:jc w:val="center"/>
        </w:trPr>
        <w:tc>
          <w:tcPr>
            <w:tcW w:w="567" w:type="dxa"/>
            <w:vMerge w:val="continue"/>
            <w:tcBorders>
              <w:top w:val="single" w:color="000000" w:sz="4" w:space="0"/>
              <w:left w:val="single" w:color="000000" w:sz="4" w:space="0"/>
              <w:bottom w:val="single" w:color="000000" w:sz="4" w:space="0"/>
              <w:right w:val="single" w:color="000000" w:sz="4" w:space="0"/>
            </w:tcBorders>
            <w:noWrap w:val="0"/>
            <w:vAlign w:val="center"/>
          </w:tcPr>
          <w:p w14:paraId="35CEB6A8">
            <w:pPr>
              <w:widowControl/>
              <w:spacing w:beforeAutospacing="1" w:afterAutospacing="1"/>
              <w:jc w:val="left"/>
              <w:rPr>
                <w:rFonts w:ascii="仿宋" w:hAnsi="仿宋" w:eastAsia="仿宋" w:cs="仿宋"/>
                <w:color w:val="auto"/>
                <w:szCs w:val="21"/>
                <w:highlight w:val="none"/>
              </w:rPr>
            </w:pPr>
          </w:p>
        </w:tc>
        <w:tc>
          <w:tcPr>
            <w:tcW w:w="1418" w:type="dxa"/>
            <w:vMerge w:val="continue"/>
            <w:tcBorders>
              <w:top w:val="single" w:color="000000" w:sz="4" w:space="0"/>
              <w:left w:val="single" w:color="000000" w:sz="4" w:space="0"/>
              <w:bottom w:val="single" w:color="000000" w:sz="4" w:space="0"/>
              <w:right w:val="single" w:color="000000" w:sz="4" w:space="0"/>
            </w:tcBorders>
            <w:noWrap w:val="0"/>
            <w:vAlign w:val="center"/>
          </w:tcPr>
          <w:p w14:paraId="65C48D11">
            <w:pPr>
              <w:widowControl/>
              <w:spacing w:beforeAutospacing="1" w:afterAutospacing="1"/>
              <w:jc w:val="left"/>
              <w:rPr>
                <w:color w:val="auto"/>
                <w:szCs w:val="21"/>
                <w:highlight w:val="none"/>
                <w:lang w:bidi="ar"/>
              </w:rPr>
            </w:pPr>
          </w:p>
        </w:tc>
        <w:tc>
          <w:tcPr>
            <w:tcW w:w="2981"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5882C7E7">
            <w:pPr>
              <w:widowControl/>
              <w:jc w:val="center"/>
              <w:textAlignment w:val="center"/>
              <w:rPr>
                <w:rFonts w:ascii="仿宋" w:hAnsi="仿宋" w:eastAsia="仿宋" w:cs="仿宋"/>
                <w:color w:val="auto"/>
                <w:szCs w:val="21"/>
                <w:highlight w:val="none"/>
              </w:rPr>
            </w:pPr>
            <w:r>
              <w:rPr>
                <w:rFonts w:hint="eastAsia" w:ascii="仿宋" w:hAnsi="仿宋" w:eastAsia="仿宋" w:cs="仿宋"/>
                <w:color w:val="auto"/>
                <w:kern w:val="0"/>
                <w:szCs w:val="21"/>
                <w:highlight w:val="none"/>
                <w:lang w:bidi="ar"/>
              </w:rPr>
              <w:t>提供涉网新型犯罪案件数据还原、数据分析、侦查协助等服务，服务器内提供不少于20起案件侦查打击服务，</w:t>
            </w:r>
            <w:r>
              <w:rPr>
                <w:rFonts w:hint="eastAsia" w:ascii="仿宋" w:hAnsi="仿宋" w:eastAsia="仿宋" w:cs="仿宋"/>
                <w:color w:val="auto"/>
                <w:kern w:val="0"/>
                <w:szCs w:val="21"/>
                <w:highlight w:val="none"/>
                <w:lang w:bidi="ar"/>
              </w:rPr>
              <w:t>输出分析报告</w:t>
            </w:r>
            <w:r>
              <w:rPr>
                <w:rFonts w:hint="eastAsia" w:ascii="仿宋" w:hAnsi="仿宋" w:eastAsia="仿宋" w:cs="仿宋"/>
                <w:color w:val="auto"/>
                <w:kern w:val="0"/>
                <w:szCs w:val="21"/>
                <w:highlight w:val="none"/>
                <w:lang w:val="en-US" w:eastAsia="zh-CN" w:bidi="ar"/>
              </w:rPr>
              <w:t>4</w:t>
            </w:r>
            <w:r>
              <w:rPr>
                <w:rFonts w:hint="eastAsia" w:ascii="仿宋" w:hAnsi="仿宋" w:eastAsia="仿宋" w:cs="仿宋"/>
                <w:color w:val="auto"/>
                <w:kern w:val="0"/>
                <w:szCs w:val="21"/>
                <w:highlight w:val="none"/>
                <w:lang w:bidi="ar"/>
              </w:rPr>
              <w:t>8份</w:t>
            </w:r>
          </w:p>
        </w:tc>
        <w:tc>
          <w:tcPr>
            <w:tcW w:w="1134" w:type="dxa"/>
            <w:tcBorders>
              <w:top w:val="single" w:color="000000" w:sz="4" w:space="0"/>
              <w:left w:val="single" w:color="000000" w:sz="4" w:space="0"/>
              <w:bottom w:val="single" w:color="auto" w:sz="4" w:space="0"/>
              <w:right w:val="single" w:color="000000" w:sz="4" w:space="0"/>
            </w:tcBorders>
            <w:noWrap w:val="0"/>
            <w:vAlign w:val="center"/>
          </w:tcPr>
          <w:p w14:paraId="783766F5">
            <w:pPr>
              <w:widowControl/>
              <w:jc w:val="center"/>
              <w:textAlignment w:val="center"/>
              <w:rPr>
                <w:rFonts w:ascii="仿宋" w:hAnsi="仿宋" w:eastAsia="仿宋" w:cs="仿宋"/>
                <w:color w:val="auto"/>
                <w:kern w:val="0"/>
                <w:szCs w:val="21"/>
                <w:highlight w:val="none"/>
                <w:lang w:bidi="ar"/>
              </w:rPr>
            </w:pPr>
            <w:r>
              <w:rPr>
                <w:rFonts w:hint="eastAsia" w:ascii="仿宋" w:hAnsi="仿宋" w:eastAsia="仿宋" w:cs="仿宋"/>
                <w:color w:val="auto"/>
                <w:kern w:val="0"/>
                <w:szCs w:val="21"/>
                <w:highlight w:val="none"/>
                <w:lang w:bidi="ar"/>
              </w:rPr>
              <w:t>B类报告</w:t>
            </w:r>
          </w:p>
        </w:tc>
        <w:tc>
          <w:tcPr>
            <w:tcW w:w="733" w:type="dxa"/>
            <w:tcBorders>
              <w:top w:val="single" w:color="000000" w:sz="4" w:space="0"/>
              <w:left w:val="single" w:color="000000" w:sz="4" w:space="0"/>
              <w:bottom w:val="single" w:color="auto" w:sz="4" w:space="0"/>
              <w:right w:val="single" w:color="000000" w:sz="4" w:space="0"/>
            </w:tcBorders>
            <w:noWrap w:val="0"/>
            <w:vAlign w:val="center"/>
          </w:tcPr>
          <w:p w14:paraId="1E788209">
            <w:pPr>
              <w:jc w:val="center"/>
              <w:rPr>
                <w:color w:val="auto"/>
                <w:highlight w:val="none"/>
              </w:rPr>
            </w:pPr>
            <w:r>
              <w:rPr>
                <w:rFonts w:hint="eastAsia" w:ascii="仿宋" w:hAnsi="仿宋" w:eastAsia="仿宋" w:cs="仿宋"/>
                <w:b/>
                <w:bCs/>
                <w:color w:val="auto"/>
                <w:kern w:val="0"/>
                <w:szCs w:val="21"/>
                <w:highlight w:val="none"/>
                <w:lang w:bidi="ar"/>
              </w:rPr>
              <w:t>份</w:t>
            </w:r>
          </w:p>
        </w:tc>
        <w:tc>
          <w:tcPr>
            <w:tcW w:w="867" w:type="dxa"/>
            <w:tcBorders>
              <w:top w:val="single" w:color="000000" w:sz="4" w:space="0"/>
              <w:left w:val="single" w:color="000000" w:sz="4" w:space="0"/>
              <w:bottom w:val="single" w:color="auto" w:sz="4" w:space="0"/>
              <w:right w:val="single" w:color="000000" w:sz="4" w:space="0"/>
            </w:tcBorders>
            <w:noWrap w:val="0"/>
            <w:vAlign w:val="center"/>
          </w:tcPr>
          <w:p w14:paraId="57755FB0">
            <w:pPr>
              <w:widowControl/>
              <w:jc w:val="center"/>
              <w:textAlignment w:val="center"/>
              <w:rPr>
                <w:rFonts w:ascii="仿宋" w:hAnsi="仿宋" w:eastAsia="仿宋" w:cs="仿宋"/>
                <w:b/>
                <w:bCs/>
                <w:color w:val="auto"/>
                <w:szCs w:val="21"/>
                <w:highlight w:val="none"/>
              </w:rPr>
            </w:pPr>
            <w:r>
              <w:rPr>
                <w:rFonts w:hint="eastAsia" w:ascii="仿宋" w:hAnsi="仿宋" w:eastAsia="仿宋" w:cs="仿宋"/>
                <w:b/>
                <w:bCs/>
                <w:color w:val="auto"/>
                <w:kern w:val="0"/>
                <w:szCs w:val="21"/>
                <w:highlight w:val="none"/>
                <w:lang w:val="en-US" w:eastAsia="zh-CN" w:bidi="ar"/>
              </w:rPr>
              <w:t>1</w:t>
            </w:r>
            <w:r>
              <w:rPr>
                <w:rFonts w:ascii="仿宋" w:hAnsi="仿宋" w:eastAsia="仿宋" w:cs="仿宋"/>
                <w:b/>
                <w:bCs/>
                <w:color w:val="auto"/>
                <w:kern w:val="0"/>
                <w:szCs w:val="21"/>
                <w:highlight w:val="none"/>
                <w:lang w:bidi="ar"/>
              </w:rPr>
              <w:t>8</w:t>
            </w:r>
          </w:p>
        </w:tc>
        <w:tc>
          <w:tcPr>
            <w:tcW w:w="709" w:type="dxa"/>
            <w:tcBorders>
              <w:top w:val="single" w:color="000000" w:sz="4" w:space="0"/>
              <w:left w:val="single" w:color="000000" w:sz="4" w:space="0"/>
              <w:bottom w:val="single" w:color="auto" w:sz="4" w:space="0"/>
              <w:right w:val="single" w:color="000000" w:sz="4" w:space="0"/>
            </w:tcBorders>
            <w:noWrap w:val="0"/>
            <w:vAlign w:val="center"/>
          </w:tcPr>
          <w:p w14:paraId="682B2C5E">
            <w:pPr>
              <w:widowControl/>
              <w:jc w:val="center"/>
              <w:textAlignment w:val="center"/>
              <w:rPr>
                <w:rFonts w:ascii="仿宋" w:hAnsi="仿宋" w:eastAsia="仿宋" w:cs="仿宋"/>
                <w:color w:val="auto"/>
                <w:kern w:val="0"/>
                <w:szCs w:val="21"/>
                <w:highlight w:val="none"/>
                <w:lang w:bidi="ar"/>
              </w:rPr>
            </w:pPr>
          </w:p>
        </w:tc>
        <w:tc>
          <w:tcPr>
            <w:tcW w:w="892" w:type="dxa"/>
            <w:tcBorders>
              <w:top w:val="single" w:color="000000" w:sz="4" w:space="0"/>
              <w:left w:val="single" w:color="000000" w:sz="4" w:space="0"/>
              <w:bottom w:val="single" w:color="auto" w:sz="4" w:space="0"/>
              <w:right w:val="single" w:color="000000" w:sz="4" w:space="0"/>
            </w:tcBorders>
            <w:noWrap w:val="0"/>
            <w:vAlign w:val="center"/>
          </w:tcPr>
          <w:p w14:paraId="5480EBAB">
            <w:pPr>
              <w:widowControl/>
              <w:jc w:val="center"/>
              <w:textAlignment w:val="center"/>
              <w:rPr>
                <w:rFonts w:ascii="仿宋" w:hAnsi="仿宋" w:eastAsia="仿宋" w:cs="仿宋"/>
                <w:color w:val="auto"/>
                <w:kern w:val="0"/>
                <w:szCs w:val="21"/>
                <w:highlight w:val="none"/>
                <w:lang w:bidi="ar"/>
              </w:rPr>
            </w:pPr>
          </w:p>
        </w:tc>
        <w:tc>
          <w:tcPr>
            <w:tcW w:w="992" w:type="dxa"/>
            <w:tcBorders>
              <w:top w:val="single" w:color="000000" w:sz="4" w:space="0"/>
              <w:left w:val="single" w:color="000000" w:sz="4" w:space="0"/>
              <w:bottom w:val="single" w:color="auto" w:sz="4" w:space="0"/>
              <w:right w:val="single" w:color="000000" w:sz="4" w:space="0"/>
            </w:tcBorders>
            <w:noWrap w:val="0"/>
            <w:vAlign w:val="center"/>
          </w:tcPr>
          <w:p w14:paraId="07E1E050">
            <w:pPr>
              <w:widowControl/>
              <w:jc w:val="center"/>
              <w:textAlignment w:val="center"/>
              <w:rPr>
                <w:rFonts w:ascii="仿宋" w:hAnsi="仿宋" w:eastAsia="仿宋" w:cs="仿宋"/>
                <w:color w:val="auto"/>
                <w:kern w:val="0"/>
                <w:szCs w:val="21"/>
                <w:highlight w:val="none"/>
                <w:lang w:bidi="ar"/>
              </w:rPr>
            </w:pPr>
          </w:p>
        </w:tc>
      </w:tr>
      <w:tr w14:paraId="30B231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4" w:hRule="atLeast"/>
          <w:jc w:val="center"/>
        </w:trPr>
        <w:tc>
          <w:tcPr>
            <w:tcW w:w="567" w:type="dxa"/>
            <w:vMerge w:val="continue"/>
            <w:tcBorders>
              <w:top w:val="single" w:color="000000" w:sz="4" w:space="0"/>
              <w:left w:val="single" w:color="000000" w:sz="4" w:space="0"/>
              <w:bottom w:val="single" w:color="000000" w:sz="4" w:space="0"/>
              <w:right w:val="single" w:color="000000" w:sz="4" w:space="0"/>
            </w:tcBorders>
            <w:noWrap w:val="0"/>
            <w:vAlign w:val="center"/>
          </w:tcPr>
          <w:p w14:paraId="1E813688">
            <w:pPr>
              <w:widowControl/>
              <w:spacing w:beforeAutospacing="1" w:afterAutospacing="1"/>
              <w:jc w:val="left"/>
              <w:rPr>
                <w:rFonts w:ascii="仿宋" w:hAnsi="仿宋" w:eastAsia="仿宋" w:cs="仿宋"/>
                <w:color w:val="auto"/>
                <w:szCs w:val="21"/>
                <w:highlight w:val="none"/>
              </w:rPr>
            </w:pPr>
          </w:p>
        </w:tc>
        <w:tc>
          <w:tcPr>
            <w:tcW w:w="1418" w:type="dxa"/>
            <w:vMerge w:val="continue"/>
            <w:tcBorders>
              <w:top w:val="single" w:color="000000" w:sz="4" w:space="0"/>
              <w:left w:val="single" w:color="000000" w:sz="4" w:space="0"/>
              <w:bottom w:val="single" w:color="000000" w:sz="4" w:space="0"/>
              <w:right w:val="single" w:color="000000" w:sz="4" w:space="0"/>
            </w:tcBorders>
            <w:noWrap w:val="0"/>
            <w:vAlign w:val="center"/>
          </w:tcPr>
          <w:p w14:paraId="6B953147">
            <w:pPr>
              <w:widowControl/>
              <w:spacing w:beforeAutospacing="1" w:afterAutospacing="1"/>
              <w:jc w:val="left"/>
              <w:rPr>
                <w:color w:val="auto"/>
                <w:szCs w:val="21"/>
                <w:highlight w:val="none"/>
                <w:lang w:bidi="ar"/>
              </w:rPr>
            </w:pPr>
          </w:p>
        </w:tc>
        <w:tc>
          <w:tcPr>
            <w:tcW w:w="2981"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162E49B">
            <w:pPr>
              <w:widowControl/>
              <w:spacing w:beforeAutospacing="1" w:afterAutospacing="1"/>
              <w:jc w:val="left"/>
              <w:rPr>
                <w:rFonts w:ascii="仿宋" w:hAnsi="仿宋" w:eastAsia="仿宋" w:cs="仿宋"/>
                <w:color w:val="auto"/>
                <w:szCs w:val="21"/>
                <w:highlight w:val="none"/>
              </w:rPr>
            </w:pPr>
          </w:p>
        </w:tc>
        <w:tc>
          <w:tcPr>
            <w:tcW w:w="1134" w:type="dxa"/>
            <w:tcBorders>
              <w:top w:val="single" w:color="auto" w:sz="4" w:space="0"/>
              <w:left w:val="single" w:color="000000" w:sz="4" w:space="0"/>
              <w:bottom w:val="single" w:color="000000" w:sz="4" w:space="0"/>
              <w:right w:val="single" w:color="000000" w:sz="4" w:space="0"/>
            </w:tcBorders>
            <w:noWrap w:val="0"/>
            <w:vAlign w:val="center"/>
          </w:tcPr>
          <w:p w14:paraId="5994C4DF">
            <w:pPr>
              <w:jc w:val="center"/>
              <w:textAlignment w:val="center"/>
              <w:rPr>
                <w:rFonts w:ascii="仿宋" w:hAnsi="仿宋" w:eastAsia="仿宋" w:cs="仿宋"/>
                <w:color w:val="auto"/>
                <w:kern w:val="0"/>
                <w:szCs w:val="21"/>
                <w:highlight w:val="none"/>
                <w:lang w:bidi="ar"/>
              </w:rPr>
            </w:pPr>
            <w:r>
              <w:rPr>
                <w:rFonts w:hint="eastAsia" w:ascii="仿宋" w:hAnsi="仿宋" w:eastAsia="仿宋" w:cs="仿宋"/>
                <w:color w:val="auto"/>
                <w:kern w:val="0"/>
                <w:szCs w:val="21"/>
                <w:highlight w:val="none"/>
                <w:lang w:bidi="ar"/>
              </w:rPr>
              <w:t>C类报告</w:t>
            </w:r>
          </w:p>
        </w:tc>
        <w:tc>
          <w:tcPr>
            <w:tcW w:w="733" w:type="dxa"/>
            <w:tcBorders>
              <w:top w:val="single" w:color="auto" w:sz="4" w:space="0"/>
              <w:left w:val="single" w:color="000000" w:sz="4" w:space="0"/>
              <w:bottom w:val="single" w:color="000000" w:sz="4" w:space="0"/>
              <w:right w:val="single" w:color="000000" w:sz="4" w:space="0"/>
            </w:tcBorders>
            <w:noWrap w:val="0"/>
            <w:vAlign w:val="center"/>
          </w:tcPr>
          <w:p w14:paraId="4D034907">
            <w:pPr>
              <w:jc w:val="center"/>
              <w:rPr>
                <w:color w:val="auto"/>
                <w:highlight w:val="none"/>
              </w:rPr>
            </w:pPr>
            <w:r>
              <w:rPr>
                <w:rFonts w:hint="eastAsia" w:ascii="仿宋" w:hAnsi="仿宋" w:eastAsia="仿宋" w:cs="仿宋"/>
                <w:b/>
                <w:bCs/>
                <w:color w:val="auto"/>
                <w:kern w:val="0"/>
                <w:szCs w:val="21"/>
                <w:highlight w:val="none"/>
                <w:lang w:bidi="ar"/>
              </w:rPr>
              <w:t>份</w:t>
            </w:r>
          </w:p>
        </w:tc>
        <w:tc>
          <w:tcPr>
            <w:tcW w:w="867" w:type="dxa"/>
            <w:tcBorders>
              <w:top w:val="single" w:color="auto" w:sz="4" w:space="0"/>
              <w:left w:val="single" w:color="000000" w:sz="4" w:space="0"/>
              <w:bottom w:val="single" w:color="000000" w:sz="4" w:space="0"/>
              <w:right w:val="single" w:color="000000" w:sz="4" w:space="0"/>
            </w:tcBorders>
            <w:noWrap w:val="0"/>
            <w:vAlign w:val="center"/>
          </w:tcPr>
          <w:p w14:paraId="14A26AF8">
            <w:pPr>
              <w:jc w:val="center"/>
              <w:textAlignment w:val="center"/>
              <w:rPr>
                <w:rFonts w:hint="default" w:ascii="仿宋" w:hAnsi="仿宋" w:eastAsia="仿宋" w:cs="仿宋"/>
                <w:b/>
                <w:bCs/>
                <w:color w:val="auto"/>
                <w:kern w:val="0"/>
                <w:szCs w:val="21"/>
                <w:highlight w:val="none"/>
                <w:lang w:val="en-US" w:eastAsia="zh-CN" w:bidi="ar"/>
              </w:rPr>
            </w:pPr>
            <w:r>
              <w:rPr>
                <w:rFonts w:hint="eastAsia" w:ascii="仿宋" w:hAnsi="仿宋" w:eastAsia="仿宋" w:cs="仿宋"/>
                <w:b/>
                <w:bCs/>
                <w:color w:val="auto"/>
                <w:kern w:val="0"/>
                <w:szCs w:val="21"/>
                <w:highlight w:val="none"/>
                <w:lang w:val="en-US" w:eastAsia="zh-CN" w:bidi="ar"/>
              </w:rPr>
              <w:t>30</w:t>
            </w:r>
          </w:p>
        </w:tc>
        <w:tc>
          <w:tcPr>
            <w:tcW w:w="709" w:type="dxa"/>
            <w:tcBorders>
              <w:top w:val="single" w:color="auto" w:sz="4" w:space="0"/>
              <w:left w:val="single" w:color="000000" w:sz="4" w:space="0"/>
              <w:bottom w:val="single" w:color="000000" w:sz="4" w:space="0"/>
              <w:right w:val="single" w:color="000000" w:sz="4" w:space="0"/>
            </w:tcBorders>
            <w:noWrap w:val="0"/>
            <w:vAlign w:val="center"/>
          </w:tcPr>
          <w:p w14:paraId="338B9D31">
            <w:pPr>
              <w:jc w:val="center"/>
              <w:textAlignment w:val="center"/>
              <w:rPr>
                <w:rFonts w:ascii="仿宋" w:hAnsi="仿宋" w:eastAsia="仿宋" w:cs="仿宋"/>
                <w:color w:val="auto"/>
                <w:kern w:val="0"/>
                <w:szCs w:val="21"/>
                <w:highlight w:val="none"/>
                <w:lang w:bidi="ar"/>
              </w:rPr>
            </w:pPr>
          </w:p>
        </w:tc>
        <w:tc>
          <w:tcPr>
            <w:tcW w:w="892" w:type="dxa"/>
            <w:tcBorders>
              <w:top w:val="single" w:color="auto" w:sz="4" w:space="0"/>
              <w:left w:val="single" w:color="000000" w:sz="4" w:space="0"/>
              <w:bottom w:val="single" w:color="000000" w:sz="4" w:space="0"/>
              <w:right w:val="single" w:color="000000" w:sz="4" w:space="0"/>
            </w:tcBorders>
            <w:noWrap w:val="0"/>
            <w:vAlign w:val="center"/>
          </w:tcPr>
          <w:p w14:paraId="37CD0846">
            <w:pPr>
              <w:jc w:val="center"/>
              <w:textAlignment w:val="center"/>
              <w:rPr>
                <w:rFonts w:ascii="仿宋" w:hAnsi="仿宋" w:eastAsia="仿宋" w:cs="仿宋"/>
                <w:color w:val="auto"/>
                <w:kern w:val="0"/>
                <w:szCs w:val="21"/>
                <w:highlight w:val="none"/>
                <w:lang w:bidi="ar"/>
              </w:rPr>
            </w:pPr>
          </w:p>
        </w:tc>
        <w:tc>
          <w:tcPr>
            <w:tcW w:w="992" w:type="dxa"/>
            <w:tcBorders>
              <w:top w:val="single" w:color="auto" w:sz="4" w:space="0"/>
              <w:left w:val="single" w:color="000000" w:sz="4" w:space="0"/>
              <w:bottom w:val="single" w:color="000000" w:sz="4" w:space="0"/>
              <w:right w:val="single" w:color="000000" w:sz="4" w:space="0"/>
            </w:tcBorders>
            <w:noWrap w:val="0"/>
            <w:vAlign w:val="center"/>
          </w:tcPr>
          <w:p w14:paraId="01FCDFEA">
            <w:pPr>
              <w:jc w:val="center"/>
              <w:textAlignment w:val="center"/>
              <w:rPr>
                <w:rFonts w:ascii="仿宋" w:hAnsi="仿宋" w:eastAsia="仿宋" w:cs="仿宋"/>
                <w:color w:val="auto"/>
                <w:kern w:val="0"/>
                <w:szCs w:val="21"/>
                <w:highlight w:val="none"/>
                <w:lang w:bidi="ar"/>
              </w:rPr>
            </w:pPr>
          </w:p>
        </w:tc>
      </w:tr>
      <w:tr w14:paraId="393F2D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72" w:hRule="atLeast"/>
          <w:jc w:val="center"/>
        </w:trPr>
        <w:tc>
          <w:tcPr>
            <w:tcW w:w="567" w:type="dxa"/>
            <w:vMerge w:val="restart"/>
            <w:tcBorders>
              <w:top w:val="single" w:color="000000" w:sz="4" w:space="0"/>
              <w:left w:val="single" w:color="000000" w:sz="4" w:space="0"/>
              <w:right w:val="single" w:color="000000" w:sz="4" w:space="0"/>
            </w:tcBorders>
            <w:noWrap w:val="0"/>
            <w:vAlign w:val="center"/>
          </w:tcPr>
          <w:p w14:paraId="48C13536">
            <w:pPr>
              <w:jc w:val="center"/>
              <w:textAlignment w:val="center"/>
              <w:rPr>
                <w:rFonts w:ascii="仿宋" w:hAnsi="仿宋" w:eastAsia="仿宋" w:cs="仿宋"/>
                <w:color w:val="auto"/>
                <w:szCs w:val="21"/>
                <w:highlight w:val="none"/>
              </w:rPr>
            </w:pPr>
            <w:r>
              <w:rPr>
                <w:rFonts w:ascii="仿宋" w:hAnsi="仿宋" w:eastAsia="仿宋" w:cs="仿宋"/>
                <w:color w:val="auto"/>
                <w:szCs w:val="21"/>
                <w:highlight w:val="none"/>
              </w:rPr>
              <w:t>2</w:t>
            </w:r>
          </w:p>
        </w:tc>
        <w:tc>
          <w:tcPr>
            <w:tcW w:w="1418" w:type="dxa"/>
            <w:vMerge w:val="restart"/>
            <w:tcBorders>
              <w:top w:val="single" w:color="000000" w:sz="4" w:space="0"/>
              <w:left w:val="single" w:color="000000" w:sz="4" w:space="0"/>
              <w:right w:val="single" w:color="000000" w:sz="4" w:space="0"/>
            </w:tcBorders>
            <w:noWrap w:val="0"/>
            <w:vAlign w:val="center"/>
          </w:tcPr>
          <w:p w14:paraId="616E346C">
            <w:pPr>
              <w:widowControl/>
              <w:spacing w:beforeAutospacing="1" w:afterAutospacing="1"/>
              <w:jc w:val="left"/>
              <w:rPr>
                <w:color w:val="auto"/>
                <w:szCs w:val="21"/>
                <w:highlight w:val="none"/>
                <w:lang w:bidi="ar"/>
              </w:rPr>
            </w:pPr>
            <w:r>
              <w:rPr>
                <w:rFonts w:hint="eastAsia" w:ascii="仿宋" w:hAnsi="仿宋" w:eastAsia="仿宋" w:cs="仿宋"/>
                <w:color w:val="auto"/>
                <w:kern w:val="0"/>
                <w:szCs w:val="21"/>
                <w:highlight w:val="none"/>
                <w:lang w:bidi="ar"/>
              </w:rPr>
              <w:t>大数据智能查控服务</w:t>
            </w:r>
          </w:p>
        </w:tc>
        <w:tc>
          <w:tcPr>
            <w:tcW w:w="2981" w:type="dxa"/>
            <w:gridSpan w:val="2"/>
            <w:tcBorders>
              <w:top w:val="single" w:color="000000" w:sz="4" w:space="0"/>
              <w:left w:val="single" w:color="000000" w:sz="4" w:space="0"/>
              <w:right w:val="single" w:color="000000" w:sz="4" w:space="0"/>
            </w:tcBorders>
            <w:noWrap w:val="0"/>
            <w:vAlign w:val="center"/>
          </w:tcPr>
          <w:p w14:paraId="4DE452EC">
            <w:pPr>
              <w:widowControl/>
              <w:spacing w:beforeAutospacing="1" w:afterAutospacing="1"/>
              <w:jc w:val="left"/>
              <w:rPr>
                <w:rFonts w:ascii="仿宋" w:hAnsi="仿宋" w:eastAsia="仿宋" w:cs="仿宋"/>
                <w:color w:val="auto"/>
                <w:szCs w:val="21"/>
                <w:highlight w:val="none"/>
              </w:rPr>
            </w:pPr>
            <w:r>
              <w:rPr>
                <w:rFonts w:hint="eastAsia" w:ascii="仿宋" w:hAnsi="仿宋" w:eastAsia="仿宋" w:cs="仿宋"/>
                <w:color w:val="auto"/>
                <w:kern w:val="0"/>
                <w:szCs w:val="21"/>
                <w:highlight w:val="none"/>
                <w:lang w:bidi="ar"/>
              </w:rPr>
              <w:t>提供大数据多维研判、</w:t>
            </w:r>
            <w:r>
              <w:rPr>
                <w:rFonts w:hint="eastAsia" w:ascii="仿宋" w:hAnsi="仿宋" w:eastAsia="仿宋"/>
                <w:color w:val="auto"/>
                <w:szCs w:val="21"/>
                <w:highlight w:val="none"/>
              </w:rPr>
              <w:t>终端溯源嫌疑追踪、案件管理数据分析、态势分析</w:t>
            </w:r>
            <w:r>
              <w:rPr>
                <w:rFonts w:ascii="仿宋" w:hAnsi="仿宋" w:eastAsia="仿宋"/>
                <w:color w:val="auto"/>
                <w:szCs w:val="21"/>
                <w:highlight w:val="none"/>
              </w:rPr>
              <w:t>报告输出</w:t>
            </w:r>
            <w:r>
              <w:rPr>
                <w:rFonts w:hint="eastAsia" w:ascii="仿宋" w:hAnsi="仿宋" w:eastAsia="仿宋" w:cs="宋体"/>
                <w:color w:val="auto"/>
                <w:szCs w:val="21"/>
                <w:highlight w:val="none"/>
              </w:rPr>
              <w:t>等服务，</w:t>
            </w:r>
            <w:r>
              <w:rPr>
                <w:rFonts w:hint="eastAsia" w:ascii="仿宋" w:hAnsi="仿宋" w:eastAsia="仿宋" w:cs="仿宋"/>
                <w:color w:val="auto"/>
                <w:kern w:val="0"/>
                <w:szCs w:val="21"/>
                <w:highlight w:val="none"/>
                <w:lang w:bidi="ar"/>
              </w:rPr>
              <w:t>服务期内提供不少于10次重特大案件服务，</w:t>
            </w:r>
            <w:r>
              <w:rPr>
                <w:rFonts w:hint="eastAsia" w:ascii="仿宋" w:hAnsi="仿宋" w:eastAsia="仿宋" w:cs="仿宋"/>
                <w:color w:val="auto"/>
                <w:kern w:val="0"/>
                <w:szCs w:val="21"/>
                <w:highlight w:val="none"/>
                <w:lang w:bidi="ar"/>
              </w:rPr>
              <w:t>输出分析报告2</w:t>
            </w:r>
            <w:r>
              <w:rPr>
                <w:rFonts w:hint="eastAsia" w:ascii="仿宋" w:hAnsi="仿宋" w:eastAsia="仿宋" w:cs="仿宋"/>
                <w:color w:val="auto"/>
                <w:kern w:val="0"/>
                <w:szCs w:val="21"/>
                <w:highlight w:val="none"/>
                <w:lang w:val="en-US" w:eastAsia="zh-CN" w:bidi="ar"/>
              </w:rPr>
              <w:t>0</w:t>
            </w:r>
            <w:r>
              <w:rPr>
                <w:rFonts w:hint="eastAsia" w:ascii="仿宋" w:hAnsi="仿宋" w:eastAsia="仿宋" w:cs="仿宋"/>
                <w:color w:val="auto"/>
                <w:kern w:val="0"/>
                <w:szCs w:val="21"/>
                <w:highlight w:val="none"/>
                <w:lang w:bidi="ar"/>
              </w:rPr>
              <w:t>份</w:t>
            </w:r>
          </w:p>
        </w:tc>
        <w:tc>
          <w:tcPr>
            <w:tcW w:w="1134" w:type="dxa"/>
            <w:tcBorders>
              <w:top w:val="single" w:color="auto" w:sz="4" w:space="0"/>
              <w:left w:val="single" w:color="000000" w:sz="4" w:space="0"/>
              <w:right w:val="single" w:color="000000" w:sz="4" w:space="0"/>
            </w:tcBorders>
            <w:noWrap w:val="0"/>
            <w:vAlign w:val="center"/>
          </w:tcPr>
          <w:p w14:paraId="485D2069">
            <w:pPr>
              <w:jc w:val="center"/>
              <w:textAlignment w:val="center"/>
              <w:rPr>
                <w:rFonts w:hint="eastAsia" w:ascii="仿宋" w:hAnsi="仿宋" w:eastAsia="仿宋" w:cs="仿宋"/>
                <w:color w:val="auto"/>
                <w:kern w:val="0"/>
                <w:szCs w:val="21"/>
                <w:highlight w:val="none"/>
                <w:lang w:bidi="ar"/>
              </w:rPr>
            </w:pPr>
            <w:r>
              <w:rPr>
                <w:rFonts w:hint="eastAsia" w:ascii="仿宋" w:hAnsi="仿宋" w:eastAsia="仿宋" w:cs="仿宋"/>
                <w:color w:val="auto"/>
                <w:kern w:val="0"/>
                <w:szCs w:val="21"/>
                <w:highlight w:val="none"/>
                <w:lang w:bidi="ar"/>
              </w:rPr>
              <w:t>B类报告</w:t>
            </w:r>
          </w:p>
        </w:tc>
        <w:tc>
          <w:tcPr>
            <w:tcW w:w="733" w:type="dxa"/>
            <w:tcBorders>
              <w:top w:val="single" w:color="auto" w:sz="4" w:space="0"/>
              <w:left w:val="single" w:color="000000" w:sz="4" w:space="0"/>
              <w:right w:val="single" w:color="000000" w:sz="4" w:space="0"/>
            </w:tcBorders>
            <w:noWrap w:val="0"/>
            <w:vAlign w:val="center"/>
          </w:tcPr>
          <w:p w14:paraId="5897FC93">
            <w:pPr>
              <w:jc w:val="center"/>
              <w:rPr>
                <w:rFonts w:hint="eastAsia" w:ascii="仿宋" w:hAnsi="仿宋" w:eastAsia="仿宋" w:cs="仿宋"/>
                <w:b/>
                <w:bCs/>
                <w:color w:val="auto"/>
                <w:kern w:val="0"/>
                <w:szCs w:val="21"/>
                <w:highlight w:val="none"/>
                <w:lang w:bidi="ar"/>
              </w:rPr>
            </w:pPr>
            <w:r>
              <w:rPr>
                <w:rFonts w:hint="eastAsia" w:ascii="仿宋" w:hAnsi="仿宋" w:eastAsia="仿宋" w:cs="仿宋"/>
                <w:b/>
                <w:bCs/>
                <w:color w:val="auto"/>
                <w:kern w:val="0"/>
                <w:szCs w:val="21"/>
                <w:highlight w:val="none"/>
                <w:lang w:bidi="ar"/>
              </w:rPr>
              <w:t>份</w:t>
            </w:r>
          </w:p>
        </w:tc>
        <w:tc>
          <w:tcPr>
            <w:tcW w:w="867" w:type="dxa"/>
            <w:tcBorders>
              <w:top w:val="single" w:color="auto" w:sz="4" w:space="0"/>
              <w:left w:val="single" w:color="000000" w:sz="4" w:space="0"/>
              <w:right w:val="single" w:color="000000" w:sz="4" w:space="0"/>
            </w:tcBorders>
            <w:noWrap w:val="0"/>
            <w:vAlign w:val="center"/>
          </w:tcPr>
          <w:p w14:paraId="3359E2BB">
            <w:pPr>
              <w:jc w:val="center"/>
              <w:textAlignment w:val="center"/>
              <w:rPr>
                <w:rFonts w:hint="eastAsia" w:ascii="仿宋" w:hAnsi="仿宋" w:eastAsia="仿宋" w:cs="仿宋"/>
                <w:b/>
                <w:bCs/>
                <w:color w:val="auto"/>
                <w:kern w:val="0"/>
                <w:szCs w:val="21"/>
                <w:highlight w:val="none"/>
                <w:lang w:eastAsia="zh-CN" w:bidi="ar"/>
              </w:rPr>
            </w:pPr>
            <w:r>
              <w:rPr>
                <w:rFonts w:hint="eastAsia" w:ascii="仿宋" w:hAnsi="仿宋" w:eastAsia="仿宋" w:cs="仿宋"/>
                <w:b/>
                <w:bCs/>
                <w:color w:val="auto"/>
                <w:kern w:val="0"/>
                <w:szCs w:val="21"/>
                <w:highlight w:val="none"/>
                <w:lang w:bidi="ar"/>
              </w:rPr>
              <w:t>2</w:t>
            </w:r>
            <w:r>
              <w:rPr>
                <w:rFonts w:hint="eastAsia" w:ascii="仿宋" w:hAnsi="仿宋" w:eastAsia="仿宋" w:cs="仿宋"/>
                <w:b/>
                <w:bCs/>
                <w:color w:val="auto"/>
                <w:kern w:val="0"/>
                <w:szCs w:val="21"/>
                <w:highlight w:val="none"/>
                <w:lang w:val="en-US" w:eastAsia="zh-CN" w:bidi="ar"/>
              </w:rPr>
              <w:t>0</w:t>
            </w:r>
          </w:p>
        </w:tc>
        <w:tc>
          <w:tcPr>
            <w:tcW w:w="709" w:type="dxa"/>
            <w:tcBorders>
              <w:top w:val="single" w:color="auto" w:sz="4" w:space="0"/>
              <w:left w:val="single" w:color="000000" w:sz="4" w:space="0"/>
              <w:right w:val="single" w:color="000000" w:sz="4" w:space="0"/>
            </w:tcBorders>
            <w:noWrap w:val="0"/>
            <w:vAlign w:val="center"/>
          </w:tcPr>
          <w:p w14:paraId="2B4A4F3E">
            <w:pPr>
              <w:jc w:val="center"/>
              <w:textAlignment w:val="center"/>
              <w:rPr>
                <w:rFonts w:ascii="仿宋" w:hAnsi="仿宋" w:eastAsia="仿宋" w:cs="仿宋"/>
                <w:color w:val="auto"/>
                <w:kern w:val="0"/>
                <w:szCs w:val="21"/>
                <w:highlight w:val="none"/>
                <w:lang w:bidi="ar"/>
              </w:rPr>
            </w:pPr>
          </w:p>
        </w:tc>
        <w:tc>
          <w:tcPr>
            <w:tcW w:w="892" w:type="dxa"/>
            <w:tcBorders>
              <w:top w:val="single" w:color="auto" w:sz="4" w:space="0"/>
              <w:left w:val="single" w:color="000000" w:sz="4" w:space="0"/>
              <w:right w:val="single" w:color="000000" w:sz="4" w:space="0"/>
            </w:tcBorders>
            <w:noWrap w:val="0"/>
            <w:vAlign w:val="center"/>
          </w:tcPr>
          <w:p w14:paraId="71228367">
            <w:pPr>
              <w:jc w:val="center"/>
              <w:rPr>
                <w:rFonts w:ascii="仿宋" w:hAnsi="仿宋" w:eastAsia="仿宋" w:cs="仿宋"/>
                <w:b/>
                <w:bCs/>
                <w:color w:val="auto"/>
                <w:kern w:val="0"/>
                <w:szCs w:val="21"/>
                <w:highlight w:val="none"/>
                <w:lang w:bidi="ar"/>
              </w:rPr>
            </w:pPr>
          </w:p>
        </w:tc>
        <w:tc>
          <w:tcPr>
            <w:tcW w:w="992" w:type="dxa"/>
            <w:tcBorders>
              <w:top w:val="single" w:color="auto" w:sz="4" w:space="0"/>
              <w:left w:val="single" w:color="000000" w:sz="4" w:space="0"/>
              <w:right w:val="single" w:color="000000" w:sz="4" w:space="0"/>
            </w:tcBorders>
            <w:noWrap w:val="0"/>
            <w:vAlign w:val="center"/>
          </w:tcPr>
          <w:p w14:paraId="5B6D7EAF">
            <w:pPr>
              <w:jc w:val="center"/>
              <w:textAlignment w:val="center"/>
              <w:rPr>
                <w:rFonts w:ascii="仿宋" w:hAnsi="仿宋" w:eastAsia="仿宋" w:cs="仿宋"/>
                <w:color w:val="auto"/>
                <w:kern w:val="0"/>
                <w:szCs w:val="21"/>
                <w:highlight w:val="none"/>
                <w:lang w:bidi="ar"/>
              </w:rPr>
            </w:pPr>
          </w:p>
        </w:tc>
      </w:tr>
      <w:tr w14:paraId="384354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76" w:hRule="atLeast"/>
          <w:jc w:val="center"/>
        </w:trPr>
        <w:tc>
          <w:tcPr>
            <w:tcW w:w="567" w:type="dxa"/>
            <w:vMerge w:val="continue"/>
            <w:tcBorders>
              <w:left w:val="single" w:color="000000" w:sz="4" w:space="0"/>
              <w:right w:val="single" w:color="000000" w:sz="4" w:space="0"/>
            </w:tcBorders>
            <w:noWrap w:val="0"/>
            <w:vAlign w:val="center"/>
          </w:tcPr>
          <w:p w14:paraId="18577D20">
            <w:pPr>
              <w:widowControl/>
              <w:jc w:val="center"/>
              <w:textAlignment w:val="center"/>
              <w:rPr>
                <w:rFonts w:ascii="仿宋" w:hAnsi="仿宋" w:eastAsia="仿宋" w:cs="仿宋"/>
                <w:color w:val="auto"/>
                <w:szCs w:val="21"/>
                <w:highlight w:val="none"/>
              </w:rPr>
            </w:pPr>
          </w:p>
        </w:tc>
        <w:tc>
          <w:tcPr>
            <w:tcW w:w="1418" w:type="dxa"/>
            <w:vMerge w:val="continue"/>
            <w:tcBorders>
              <w:left w:val="single" w:color="000000" w:sz="4" w:space="0"/>
              <w:right w:val="single" w:color="000000" w:sz="4" w:space="0"/>
            </w:tcBorders>
            <w:noWrap w:val="0"/>
            <w:vAlign w:val="center"/>
          </w:tcPr>
          <w:p w14:paraId="41C94818">
            <w:pPr>
              <w:widowControl/>
              <w:jc w:val="center"/>
              <w:textAlignment w:val="center"/>
              <w:rPr>
                <w:rFonts w:ascii="仿宋" w:hAnsi="仿宋" w:eastAsia="仿宋" w:cs="仿宋"/>
                <w:color w:val="auto"/>
                <w:kern w:val="0"/>
                <w:szCs w:val="21"/>
                <w:highlight w:val="none"/>
                <w:lang w:bidi="ar"/>
              </w:rPr>
            </w:pPr>
          </w:p>
        </w:tc>
        <w:tc>
          <w:tcPr>
            <w:tcW w:w="2981" w:type="dxa"/>
            <w:gridSpan w:val="2"/>
            <w:tcBorders>
              <w:top w:val="single" w:color="000000" w:sz="4" w:space="0"/>
              <w:left w:val="single" w:color="000000" w:sz="4" w:space="0"/>
              <w:bottom w:val="single" w:color="000000" w:sz="4" w:space="0"/>
              <w:right w:val="single" w:color="000000" w:sz="4" w:space="0"/>
            </w:tcBorders>
            <w:noWrap w:val="0"/>
            <w:vAlign w:val="center"/>
          </w:tcPr>
          <w:p w14:paraId="3CDDB125">
            <w:pPr>
              <w:widowControl/>
              <w:textAlignment w:val="center"/>
              <w:rPr>
                <w:rFonts w:hint="eastAsia" w:ascii="仿宋" w:hAnsi="仿宋" w:eastAsia="仿宋" w:cs="仿宋"/>
                <w:color w:val="auto"/>
                <w:szCs w:val="21"/>
                <w:highlight w:val="none"/>
              </w:rPr>
            </w:pPr>
            <w:r>
              <w:rPr>
                <w:rFonts w:hint="eastAsia" w:ascii="仿宋" w:hAnsi="仿宋" w:eastAsia="仿宋" w:cs="仿宋"/>
                <w:color w:val="auto"/>
                <w:kern w:val="0"/>
                <w:szCs w:val="21"/>
                <w:highlight w:val="none"/>
                <w:lang w:bidi="ar"/>
              </w:rPr>
              <w:t>服务期内提供不少于20次涉诈网站数据及线索分析服务，</w:t>
            </w:r>
            <w:r>
              <w:rPr>
                <w:rFonts w:hint="eastAsia" w:ascii="仿宋" w:hAnsi="仿宋" w:eastAsia="仿宋" w:cs="仿宋"/>
                <w:color w:val="auto"/>
                <w:kern w:val="0"/>
                <w:szCs w:val="21"/>
                <w:highlight w:val="none"/>
                <w:lang w:bidi="ar"/>
              </w:rPr>
              <w:t>输出分析报告</w:t>
            </w:r>
            <w:r>
              <w:rPr>
                <w:rFonts w:hint="eastAsia" w:ascii="仿宋" w:hAnsi="仿宋" w:eastAsia="仿宋" w:cs="仿宋"/>
                <w:color w:val="auto"/>
                <w:kern w:val="0"/>
                <w:szCs w:val="21"/>
                <w:highlight w:val="none"/>
                <w:lang w:val="en-US" w:eastAsia="zh-CN" w:bidi="ar"/>
              </w:rPr>
              <w:t>40</w:t>
            </w:r>
            <w:r>
              <w:rPr>
                <w:rFonts w:hint="eastAsia" w:ascii="仿宋" w:hAnsi="仿宋" w:eastAsia="仿宋" w:cs="仿宋"/>
                <w:color w:val="auto"/>
                <w:kern w:val="0"/>
                <w:szCs w:val="21"/>
                <w:highlight w:val="none"/>
                <w:lang w:bidi="ar"/>
              </w:rPr>
              <w:t>份</w:t>
            </w:r>
          </w:p>
        </w:tc>
        <w:tc>
          <w:tcPr>
            <w:tcW w:w="1134" w:type="dxa"/>
            <w:tcBorders>
              <w:top w:val="single" w:color="000000" w:sz="4" w:space="0"/>
              <w:left w:val="single" w:color="000000" w:sz="4" w:space="0"/>
              <w:right w:val="single" w:color="000000" w:sz="4" w:space="0"/>
            </w:tcBorders>
            <w:noWrap w:val="0"/>
            <w:vAlign w:val="center"/>
          </w:tcPr>
          <w:p w14:paraId="43196639">
            <w:pPr>
              <w:jc w:val="center"/>
              <w:textAlignment w:val="center"/>
              <w:rPr>
                <w:rFonts w:ascii="仿宋" w:hAnsi="仿宋" w:eastAsia="仿宋" w:cs="仿宋"/>
                <w:color w:val="auto"/>
                <w:kern w:val="0"/>
                <w:szCs w:val="21"/>
                <w:highlight w:val="none"/>
                <w:lang w:bidi="ar"/>
              </w:rPr>
            </w:pPr>
            <w:r>
              <w:rPr>
                <w:rFonts w:hint="eastAsia" w:ascii="仿宋" w:hAnsi="仿宋" w:eastAsia="仿宋" w:cs="仿宋"/>
                <w:color w:val="auto"/>
                <w:kern w:val="0"/>
                <w:szCs w:val="21"/>
                <w:highlight w:val="none"/>
                <w:lang w:bidi="ar"/>
              </w:rPr>
              <w:t>C类报告</w:t>
            </w:r>
          </w:p>
        </w:tc>
        <w:tc>
          <w:tcPr>
            <w:tcW w:w="733" w:type="dxa"/>
            <w:tcBorders>
              <w:top w:val="single" w:color="000000" w:sz="4" w:space="0"/>
              <w:left w:val="single" w:color="000000" w:sz="4" w:space="0"/>
              <w:right w:val="single" w:color="000000" w:sz="4" w:space="0"/>
            </w:tcBorders>
            <w:noWrap w:val="0"/>
            <w:vAlign w:val="center"/>
          </w:tcPr>
          <w:p w14:paraId="689CB2A4">
            <w:pPr>
              <w:jc w:val="center"/>
              <w:rPr>
                <w:color w:val="auto"/>
                <w:highlight w:val="none"/>
              </w:rPr>
            </w:pPr>
            <w:r>
              <w:rPr>
                <w:rFonts w:hint="eastAsia" w:ascii="仿宋" w:hAnsi="仿宋" w:eastAsia="仿宋" w:cs="仿宋"/>
                <w:b/>
                <w:bCs/>
                <w:color w:val="auto"/>
                <w:kern w:val="0"/>
                <w:szCs w:val="21"/>
                <w:highlight w:val="none"/>
                <w:lang w:bidi="ar"/>
              </w:rPr>
              <w:t>份</w:t>
            </w:r>
          </w:p>
        </w:tc>
        <w:tc>
          <w:tcPr>
            <w:tcW w:w="867" w:type="dxa"/>
            <w:tcBorders>
              <w:top w:val="single" w:color="000000" w:sz="4" w:space="0"/>
              <w:left w:val="single" w:color="000000" w:sz="4" w:space="0"/>
              <w:right w:val="single" w:color="000000" w:sz="4" w:space="0"/>
            </w:tcBorders>
            <w:noWrap w:val="0"/>
            <w:vAlign w:val="center"/>
          </w:tcPr>
          <w:p w14:paraId="24472FE0">
            <w:pPr>
              <w:jc w:val="center"/>
              <w:textAlignment w:val="center"/>
              <w:rPr>
                <w:rFonts w:hint="default" w:ascii="仿宋" w:hAnsi="仿宋" w:eastAsia="仿宋" w:cs="仿宋"/>
                <w:b/>
                <w:bCs/>
                <w:color w:val="auto"/>
                <w:kern w:val="0"/>
                <w:szCs w:val="21"/>
                <w:highlight w:val="none"/>
                <w:lang w:val="en-US" w:eastAsia="zh-CN" w:bidi="ar"/>
              </w:rPr>
            </w:pPr>
            <w:r>
              <w:rPr>
                <w:rFonts w:hint="eastAsia" w:ascii="仿宋" w:hAnsi="仿宋" w:eastAsia="仿宋" w:cs="仿宋"/>
                <w:b/>
                <w:bCs/>
                <w:color w:val="auto"/>
                <w:kern w:val="0"/>
                <w:szCs w:val="21"/>
                <w:highlight w:val="none"/>
                <w:lang w:val="en-US" w:eastAsia="zh-CN" w:bidi="ar"/>
              </w:rPr>
              <w:t>40</w:t>
            </w:r>
          </w:p>
        </w:tc>
        <w:tc>
          <w:tcPr>
            <w:tcW w:w="709" w:type="dxa"/>
            <w:tcBorders>
              <w:top w:val="single" w:color="000000" w:sz="4" w:space="0"/>
              <w:left w:val="single" w:color="000000" w:sz="4" w:space="0"/>
              <w:right w:val="single" w:color="000000" w:sz="4" w:space="0"/>
            </w:tcBorders>
            <w:noWrap w:val="0"/>
            <w:vAlign w:val="center"/>
          </w:tcPr>
          <w:p w14:paraId="1940CFE8">
            <w:pPr>
              <w:jc w:val="center"/>
              <w:textAlignment w:val="center"/>
              <w:rPr>
                <w:rFonts w:ascii="仿宋" w:hAnsi="仿宋" w:eastAsia="仿宋" w:cs="仿宋"/>
                <w:color w:val="auto"/>
                <w:kern w:val="0"/>
                <w:szCs w:val="21"/>
                <w:highlight w:val="none"/>
                <w:lang w:bidi="ar"/>
              </w:rPr>
            </w:pPr>
          </w:p>
        </w:tc>
        <w:tc>
          <w:tcPr>
            <w:tcW w:w="892" w:type="dxa"/>
            <w:tcBorders>
              <w:top w:val="single" w:color="000000" w:sz="4" w:space="0"/>
              <w:left w:val="single" w:color="000000" w:sz="4" w:space="0"/>
              <w:right w:val="single" w:color="000000" w:sz="4" w:space="0"/>
            </w:tcBorders>
            <w:noWrap w:val="0"/>
            <w:vAlign w:val="center"/>
          </w:tcPr>
          <w:p w14:paraId="7EBCA3C1">
            <w:pPr>
              <w:jc w:val="center"/>
              <w:textAlignment w:val="center"/>
              <w:rPr>
                <w:rFonts w:ascii="仿宋" w:hAnsi="仿宋" w:eastAsia="仿宋" w:cs="仿宋"/>
                <w:color w:val="auto"/>
                <w:kern w:val="0"/>
                <w:szCs w:val="21"/>
                <w:highlight w:val="none"/>
                <w:lang w:bidi="ar"/>
              </w:rPr>
            </w:pPr>
          </w:p>
        </w:tc>
        <w:tc>
          <w:tcPr>
            <w:tcW w:w="992" w:type="dxa"/>
            <w:tcBorders>
              <w:top w:val="single" w:color="000000" w:sz="4" w:space="0"/>
              <w:left w:val="single" w:color="000000" w:sz="4" w:space="0"/>
              <w:right w:val="single" w:color="000000" w:sz="4" w:space="0"/>
            </w:tcBorders>
            <w:noWrap w:val="0"/>
            <w:vAlign w:val="center"/>
          </w:tcPr>
          <w:p w14:paraId="3862E167">
            <w:pPr>
              <w:jc w:val="center"/>
              <w:textAlignment w:val="center"/>
              <w:rPr>
                <w:rFonts w:ascii="仿宋" w:hAnsi="仿宋" w:eastAsia="仿宋" w:cs="仿宋"/>
                <w:color w:val="auto"/>
                <w:kern w:val="0"/>
                <w:szCs w:val="21"/>
                <w:highlight w:val="none"/>
                <w:lang w:bidi="ar"/>
              </w:rPr>
            </w:pPr>
          </w:p>
        </w:tc>
      </w:tr>
      <w:tr w14:paraId="299833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6" w:hRule="atLeast"/>
          <w:jc w:val="center"/>
        </w:trPr>
        <w:tc>
          <w:tcPr>
            <w:tcW w:w="567" w:type="dxa"/>
            <w:vMerge w:val="restart"/>
            <w:tcBorders>
              <w:top w:val="single" w:color="000000" w:sz="4" w:space="0"/>
              <w:left w:val="single" w:color="000000" w:sz="4" w:space="0"/>
              <w:bottom w:val="single" w:color="000000" w:sz="4" w:space="0"/>
              <w:right w:val="single" w:color="000000" w:sz="4" w:space="0"/>
            </w:tcBorders>
            <w:noWrap w:val="0"/>
            <w:vAlign w:val="center"/>
          </w:tcPr>
          <w:p w14:paraId="3767269B">
            <w:pPr>
              <w:widowControl/>
              <w:jc w:val="center"/>
              <w:textAlignment w:val="center"/>
              <w:rPr>
                <w:rFonts w:ascii="仿宋" w:hAnsi="仿宋" w:eastAsia="仿宋" w:cs="仿宋"/>
                <w:color w:val="auto"/>
                <w:szCs w:val="21"/>
                <w:highlight w:val="none"/>
              </w:rPr>
            </w:pPr>
            <w:r>
              <w:rPr>
                <w:rFonts w:ascii="仿宋" w:hAnsi="仿宋" w:eastAsia="仿宋" w:cs="仿宋"/>
                <w:color w:val="auto"/>
                <w:szCs w:val="21"/>
                <w:highlight w:val="none"/>
              </w:rPr>
              <w:t>3</w:t>
            </w:r>
          </w:p>
        </w:tc>
        <w:tc>
          <w:tcPr>
            <w:tcW w:w="1418" w:type="dxa"/>
            <w:vMerge w:val="restart"/>
            <w:tcBorders>
              <w:top w:val="single" w:color="000000" w:sz="4" w:space="0"/>
              <w:left w:val="single" w:color="000000" w:sz="4" w:space="0"/>
              <w:bottom w:val="single" w:color="000000" w:sz="4" w:space="0"/>
              <w:right w:val="single" w:color="000000" w:sz="4" w:space="0"/>
            </w:tcBorders>
            <w:noWrap w:val="0"/>
            <w:vAlign w:val="center"/>
          </w:tcPr>
          <w:p w14:paraId="466CC71B">
            <w:pPr>
              <w:widowControl/>
              <w:jc w:val="center"/>
              <w:textAlignment w:val="center"/>
              <w:rPr>
                <w:rFonts w:ascii="仿宋" w:hAnsi="仿宋" w:eastAsia="仿宋"/>
                <w:color w:val="auto"/>
                <w:kern w:val="0"/>
                <w:szCs w:val="21"/>
                <w:highlight w:val="none"/>
              </w:rPr>
            </w:pPr>
            <w:r>
              <w:rPr>
                <w:rFonts w:hint="eastAsia" w:ascii="仿宋" w:hAnsi="仿宋" w:eastAsia="仿宋" w:cs="仿宋"/>
                <w:color w:val="auto"/>
                <w:kern w:val="0"/>
                <w:szCs w:val="21"/>
                <w:highlight w:val="none"/>
                <w:lang w:bidi="ar"/>
              </w:rPr>
              <w:t>资金智能查控服务</w:t>
            </w:r>
          </w:p>
        </w:tc>
        <w:tc>
          <w:tcPr>
            <w:tcW w:w="2981" w:type="dxa"/>
            <w:gridSpan w:val="2"/>
            <w:tcBorders>
              <w:top w:val="single" w:color="000000" w:sz="4" w:space="0"/>
              <w:left w:val="single" w:color="000000" w:sz="4" w:space="0"/>
              <w:bottom w:val="single" w:color="000000" w:sz="4" w:space="0"/>
              <w:right w:val="single" w:color="000000" w:sz="4" w:space="0"/>
            </w:tcBorders>
            <w:noWrap w:val="0"/>
            <w:vAlign w:val="center"/>
          </w:tcPr>
          <w:p w14:paraId="517E8DA7">
            <w:pPr>
              <w:widowControl/>
              <w:jc w:val="center"/>
              <w:textAlignment w:val="center"/>
              <w:rPr>
                <w:rFonts w:ascii="仿宋" w:hAnsi="仿宋" w:eastAsia="仿宋" w:cs="仿宋"/>
                <w:color w:val="auto"/>
                <w:szCs w:val="21"/>
                <w:highlight w:val="none"/>
              </w:rPr>
            </w:pPr>
            <w:r>
              <w:rPr>
                <w:rFonts w:hint="eastAsia" w:ascii="仿宋" w:hAnsi="仿宋" w:eastAsia="仿宋" w:cs="仿宋"/>
                <w:color w:val="auto"/>
                <w:szCs w:val="21"/>
                <w:highlight w:val="none"/>
              </w:rPr>
              <w:t>资金查控服务（查询逻辑图、查询逻辑表、资金智能查控、资金流分析、资金流向分析模型）</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14:paraId="3816227B">
            <w:pPr>
              <w:widowControl/>
              <w:jc w:val="center"/>
              <w:textAlignment w:val="center"/>
              <w:rPr>
                <w:rFonts w:ascii="仿宋" w:hAnsi="仿宋" w:eastAsia="仿宋" w:cs="仿宋"/>
                <w:color w:val="auto"/>
                <w:kern w:val="0"/>
                <w:szCs w:val="21"/>
                <w:highlight w:val="none"/>
                <w:lang w:bidi="ar"/>
              </w:rPr>
            </w:pPr>
            <w:r>
              <w:rPr>
                <w:rFonts w:hint="eastAsia" w:ascii="仿宋" w:hAnsi="仿宋" w:eastAsia="仿宋" w:cs="仿宋"/>
                <w:color w:val="auto"/>
                <w:kern w:val="0"/>
                <w:szCs w:val="21"/>
                <w:highlight w:val="none"/>
                <w:lang w:bidi="ar"/>
              </w:rPr>
              <w:t>C类报告</w:t>
            </w:r>
          </w:p>
        </w:tc>
        <w:tc>
          <w:tcPr>
            <w:tcW w:w="733" w:type="dxa"/>
            <w:tcBorders>
              <w:top w:val="single" w:color="000000" w:sz="4" w:space="0"/>
              <w:left w:val="single" w:color="000000" w:sz="4" w:space="0"/>
              <w:bottom w:val="single" w:color="000000" w:sz="4" w:space="0"/>
              <w:right w:val="single" w:color="000000" w:sz="4" w:space="0"/>
            </w:tcBorders>
            <w:noWrap w:val="0"/>
            <w:vAlign w:val="center"/>
          </w:tcPr>
          <w:p w14:paraId="37731237">
            <w:pPr>
              <w:jc w:val="center"/>
              <w:rPr>
                <w:color w:val="auto"/>
                <w:highlight w:val="none"/>
              </w:rPr>
            </w:pPr>
            <w:r>
              <w:rPr>
                <w:rFonts w:hint="eastAsia" w:ascii="仿宋" w:hAnsi="仿宋" w:eastAsia="仿宋" w:cs="仿宋"/>
                <w:b/>
                <w:bCs/>
                <w:color w:val="auto"/>
                <w:kern w:val="0"/>
                <w:szCs w:val="21"/>
                <w:highlight w:val="none"/>
                <w:lang w:bidi="ar"/>
              </w:rPr>
              <w:t>份</w:t>
            </w:r>
          </w:p>
        </w:tc>
        <w:tc>
          <w:tcPr>
            <w:tcW w:w="867" w:type="dxa"/>
            <w:tcBorders>
              <w:top w:val="single" w:color="000000" w:sz="4" w:space="0"/>
              <w:left w:val="single" w:color="000000" w:sz="4" w:space="0"/>
              <w:bottom w:val="single" w:color="000000" w:sz="4" w:space="0"/>
              <w:right w:val="single" w:color="000000" w:sz="4" w:space="0"/>
            </w:tcBorders>
            <w:noWrap w:val="0"/>
            <w:vAlign w:val="center"/>
          </w:tcPr>
          <w:p w14:paraId="070BCB70">
            <w:pPr>
              <w:widowControl/>
              <w:jc w:val="center"/>
              <w:textAlignment w:val="center"/>
              <w:rPr>
                <w:rFonts w:hint="eastAsia" w:ascii="仿宋" w:hAnsi="仿宋" w:eastAsia="仿宋" w:cs="仿宋"/>
                <w:b/>
                <w:bCs/>
                <w:color w:val="auto"/>
                <w:szCs w:val="21"/>
                <w:highlight w:val="none"/>
                <w:lang w:eastAsia="zh-CN"/>
              </w:rPr>
            </w:pPr>
            <w:r>
              <w:rPr>
                <w:rFonts w:hint="eastAsia" w:ascii="仿宋" w:hAnsi="仿宋" w:eastAsia="仿宋" w:cs="仿宋"/>
                <w:b/>
                <w:bCs/>
                <w:color w:val="auto"/>
                <w:kern w:val="0"/>
                <w:szCs w:val="21"/>
                <w:highlight w:val="none"/>
                <w:lang w:val="en-US" w:eastAsia="zh-CN" w:bidi="ar"/>
              </w:rPr>
              <w:t>2</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14:paraId="348BA791">
            <w:pPr>
              <w:widowControl/>
              <w:jc w:val="center"/>
              <w:textAlignment w:val="center"/>
              <w:rPr>
                <w:rFonts w:ascii="仿宋" w:hAnsi="仿宋" w:eastAsia="仿宋" w:cs="仿宋"/>
                <w:color w:val="auto"/>
                <w:kern w:val="0"/>
                <w:szCs w:val="21"/>
                <w:highlight w:val="none"/>
                <w:lang w:bidi="ar"/>
              </w:rPr>
            </w:pPr>
          </w:p>
        </w:tc>
        <w:tc>
          <w:tcPr>
            <w:tcW w:w="892" w:type="dxa"/>
            <w:tcBorders>
              <w:top w:val="single" w:color="000000" w:sz="4" w:space="0"/>
              <w:left w:val="single" w:color="000000" w:sz="4" w:space="0"/>
              <w:bottom w:val="single" w:color="000000" w:sz="4" w:space="0"/>
              <w:right w:val="single" w:color="000000" w:sz="4" w:space="0"/>
            </w:tcBorders>
            <w:noWrap w:val="0"/>
            <w:vAlign w:val="center"/>
          </w:tcPr>
          <w:p w14:paraId="651E2021">
            <w:pPr>
              <w:widowControl/>
              <w:jc w:val="center"/>
              <w:textAlignment w:val="center"/>
              <w:rPr>
                <w:rFonts w:ascii="仿宋" w:hAnsi="仿宋" w:eastAsia="仿宋" w:cs="仿宋"/>
                <w:color w:val="auto"/>
                <w:kern w:val="0"/>
                <w:szCs w:val="21"/>
                <w:highlight w:val="none"/>
                <w:lang w:bidi="ar"/>
              </w:rPr>
            </w:pPr>
          </w:p>
        </w:tc>
        <w:tc>
          <w:tcPr>
            <w:tcW w:w="992" w:type="dxa"/>
            <w:tcBorders>
              <w:top w:val="single" w:color="000000" w:sz="4" w:space="0"/>
              <w:left w:val="single" w:color="000000" w:sz="4" w:space="0"/>
              <w:bottom w:val="single" w:color="000000" w:sz="4" w:space="0"/>
              <w:right w:val="single" w:color="000000" w:sz="4" w:space="0"/>
            </w:tcBorders>
            <w:noWrap w:val="0"/>
            <w:vAlign w:val="center"/>
          </w:tcPr>
          <w:p w14:paraId="7940F91D">
            <w:pPr>
              <w:widowControl/>
              <w:jc w:val="center"/>
              <w:textAlignment w:val="center"/>
              <w:rPr>
                <w:rFonts w:ascii="仿宋" w:hAnsi="仿宋" w:eastAsia="仿宋" w:cs="仿宋"/>
                <w:color w:val="auto"/>
                <w:kern w:val="0"/>
                <w:szCs w:val="21"/>
                <w:highlight w:val="none"/>
                <w:lang w:bidi="ar"/>
              </w:rPr>
            </w:pPr>
          </w:p>
        </w:tc>
      </w:tr>
      <w:tr w14:paraId="0A790C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6" w:hRule="atLeast"/>
          <w:jc w:val="center"/>
        </w:trPr>
        <w:tc>
          <w:tcPr>
            <w:tcW w:w="567" w:type="dxa"/>
            <w:vMerge w:val="continue"/>
            <w:tcBorders>
              <w:top w:val="single" w:color="000000" w:sz="4" w:space="0"/>
              <w:left w:val="single" w:color="000000" w:sz="4" w:space="0"/>
              <w:bottom w:val="single" w:color="000000" w:sz="4" w:space="0"/>
              <w:right w:val="single" w:color="000000" w:sz="4" w:space="0"/>
            </w:tcBorders>
            <w:noWrap w:val="0"/>
            <w:vAlign w:val="center"/>
          </w:tcPr>
          <w:p w14:paraId="126F7152">
            <w:pPr>
              <w:widowControl/>
              <w:spacing w:beforeAutospacing="1" w:afterAutospacing="1"/>
              <w:jc w:val="left"/>
              <w:rPr>
                <w:rFonts w:ascii="仿宋" w:hAnsi="仿宋" w:eastAsia="仿宋" w:cs="仿宋"/>
                <w:color w:val="auto"/>
                <w:szCs w:val="21"/>
                <w:highlight w:val="none"/>
              </w:rPr>
            </w:pPr>
          </w:p>
        </w:tc>
        <w:tc>
          <w:tcPr>
            <w:tcW w:w="1418" w:type="dxa"/>
            <w:vMerge w:val="continue"/>
            <w:tcBorders>
              <w:top w:val="single" w:color="000000" w:sz="4" w:space="0"/>
              <w:left w:val="single" w:color="000000" w:sz="4" w:space="0"/>
              <w:bottom w:val="single" w:color="000000" w:sz="4" w:space="0"/>
              <w:right w:val="single" w:color="000000" w:sz="4" w:space="0"/>
            </w:tcBorders>
            <w:noWrap w:val="0"/>
            <w:vAlign w:val="center"/>
          </w:tcPr>
          <w:p w14:paraId="66E35453">
            <w:pPr>
              <w:widowControl/>
              <w:spacing w:beforeAutospacing="1" w:afterAutospacing="1"/>
              <w:jc w:val="left"/>
              <w:rPr>
                <w:rFonts w:ascii="仿宋" w:hAnsi="仿宋" w:eastAsia="仿宋"/>
                <w:color w:val="auto"/>
                <w:kern w:val="0"/>
                <w:szCs w:val="21"/>
                <w:highlight w:val="none"/>
              </w:rPr>
            </w:pPr>
          </w:p>
        </w:tc>
        <w:tc>
          <w:tcPr>
            <w:tcW w:w="2981" w:type="dxa"/>
            <w:gridSpan w:val="2"/>
            <w:tcBorders>
              <w:top w:val="single" w:color="000000" w:sz="4" w:space="0"/>
              <w:left w:val="single" w:color="000000" w:sz="4" w:space="0"/>
              <w:bottom w:val="single" w:color="000000" w:sz="4" w:space="0"/>
              <w:right w:val="single" w:color="000000" w:sz="4" w:space="0"/>
            </w:tcBorders>
            <w:noWrap w:val="0"/>
            <w:vAlign w:val="center"/>
          </w:tcPr>
          <w:p w14:paraId="1B9A66BB">
            <w:pPr>
              <w:widowControl/>
              <w:jc w:val="center"/>
              <w:textAlignment w:val="center"/>
              <w:rPr>
                <w:rFonts w:ascii="仿宋" w:hAnsi="仿宋" w:eastAsia="仿宋" w:cs="仿宋"/>
                <w:color w:val="auto"/>
                <w:szCs w:val="21"/>
                <w:highlight w:val="none"/>
              </w:rPr>
            </w:pPr>
            <w:r>
              <w:rPr>
                <w:rFonts w:hint="eastAsia" w:ascii="仿宋" w:hAnsi="仿宋" w:eastAsia="仿宋" w:cs="仿宋"/>
                <w:color w:val="auto"/>
                <w:szCs w:val="21"/>
                <w:highlight w:val="none"/>
              </w:rPr>
              <w:t>智能止付（警情统计、智能止付、接警接口管理、智能止付、案件与警情单关联、止付资金流表、止付资金流图、止付冻结报告）</w:t>
            </w:r>
          </w:p>
        </w:tc>
        <w:tc>
          <w:tcPr>
            <w:tcW w:w="1134" w:type="dxa"/>
            <w:tcBorders>
              <w:top w:val="single" w:color="000000" w:sz="4" w:space="0"/>
              <w:left w:val="single" w:color="000000" w:sz="4" w:space="0"/>
              <w:bottom w:val="single" w:color="auto" w:sz="4" w:space="0"/>
              <w:right w:val="single" w:color="000000" w:sz="4" w:space="0"/>
            </w:tcBorders>
            <w:noWrap w:val="0"/>
            <w:vAlign w:val="center"/>
          </w:tcPr>
          <w:p w14:paraId="51929C99">
            <w:pPr>
              <w:jc w:val="center"/>
              <w:textAlignment w:val="center"/>
              <w:rPr>
                <w:rFonts w:ascii="仿宋" w:hAnsi="仿宋" w:eastAsia="仿宋" w:cs="仿宋"/>
                <w:color w:val="auto"/>
                <w:kern w:val="0"/>
                <w:szCs w:val="21"/>
                <w:highlight w:val="none"/>
                <w:lang w:bidi="ar"/>
              </w:rPr>
            </w:pPr>
            <w:r>
              <w:rPr>
                <w:rFonts w:hint="eastAsia" w:ascii="仿宋" w:hAnsi="仿宋" w:eastAsia="仿宋" w:cs="仿宋"/>
                <w:color w:val="auto"/>
                <w:kern w:val="0"/>
                <w:szCs w:val="21"/>
                <w:highlight w:val="none"/>
                <w:lang w:bidi="ar"/>
              </w:rPr>
              <w:t>C类报告</w:t>
            </w:r>
          </w:p>
        </w:tc>
        <w:tc>
          <w:tcPr>
            <w:tcW w:w="733" w:type="dxa"/>
            <w:tcBorders>
              <w:top w:val="single" w:color="000000" w:sz="4" w:space="0"/>
              <w:left w:val="single" w:color="000000" w:sz="4" w:space="0"/>
              <w:bottom w:val="single" w:color="auto" w:sz="4" w:space="0"/>
              <w:right w:val="single" w:color="000000" w:sz="4" w:space="0"/>
            </w:tcBorders>
            <w:noWrap w:val="0"/>
            <w:vAlign w:val="center"/>
          </w:tcPr>
          <w:p w14:paraId="38DF191E">
            <w:pPr>
              <w:jc w:val="center"/>
              <w:rPr>
                <w:color w:val="auto"/>
                <w:highlight w:val="none"/>
              </w:rPr>
            </w:pPr>
            <w:r>
              <w:rPr>
                <w:rFonts w:hint="eastAsia" w:ascii="仿宋" w:hAnsi="仿宋" w:eastAsia="仿宋" w:cs="仿宋"/>
                <w:b/>
                <w:bCs/>
                <w:color w:val="auto"/>
                <w:kern w:val="0"/>
                <w:szCs w:val="21"/>
                <w:highlight w:val="none"/>
                <w:lang w:bidi="ar"/>
              </w:rPr>
              <w:t>份</w:t>
            </w:r>
          </w:p>
        </w:tc>
        <w:tc>
          <w:tcPr>
            <w:tcW w:w="867" w:type="dxa"/>
            <w:tcBorders>
              <w:top w:val="single" w:color="000000" w:sz="4" w:space="0"/>
              <w:left w:val="single" w:color="000000" w:sz="4" w:space="0"/>
              <w:bottom w:val="single" w:color="auto" w:sz="4" w:space="0"/>
              <w:right w:val="single" w:color="000000" w:sz="4" w:space="0"/>
            </w:tcBorders>
            <w:noWrap w:val="0"/>
            <w:vAlign w:val="center"/>
          </w:tcPr>
          <w:p w14:paraId="44FC8016">
            <w:pPr>
              <w:jc w:val="center"/>
              <w:textAlignment w:val="center"/>
              <w:rPr>
                <w:rFonts w:hint="eastAsia" w:ascii="仿宋" w:hAnsi="仿宋" w:eastAsia="仿宋" w:cs="仿宋"/>
                <w:b/>
                <w:bCs/>
                <w:color w:val="auto"/>
                <w:szCs w:val="21"/>
                <w:highlight w:val="none"/>
                <w:lang w:eastAsia="zh-CN"/>
              </w:rPr>
            </w:pPr>
            <w:r>
              <w:rPr>
                <w:rFonts w:hint="eastAsia" w:ascii="仿宋" w:hAnsi="仿宋" w:eastAsia="仿宋" w:cs="仿宋"/>
                <w:b/>
                <w:bCs/>
                <w:color w:val="auto"/>
                <w:kern w:val="0"/>
                <w:szCs w:val="21"/>
                <w:highlight w:val="none"/>
                <w:lang w:val="en-US" w:eastAsia="zh-CN" w:bidi="ar"/>
              </w:rPr>
              <w:t>2</w:t>
            </w:r>
          </w:p>
        </w:tc>
        <w:tc>
          <w:tcPr>
            <w:tcW w:w="709" w:type="dxa"/>
            <w:tcBorders>
              <w:top w:val="single" w:color="000000" w:sz="4" w:space="0"/>
              <w:left w:val="single" w:color="000000" w:sz="4" w:space="0"/>
              <w:bottom w:val="single" w:color="auto" w:sz="4" w:space="0"/>
              <w:right w:val="single" w:color="000000" w:sz="4" w:space="0"/>
            </w:tcBorders>
            <w:noWrap w:val="0"/>
            <w:vAlign w:val="center"/>
          </w:tcPr>
          <w:p w14:paraId="49DA7B79">
            <w:pPr>
              <w:jc w:val="center"/>
              <w:textAlignment w:val="center"/>
              <w:rPr>
                <w:rFonts w:ascii="仿宋" w:hAnsi="仿宋" w:eastAsia="仿宋" w:cs="仿宋"/>
                <w:color w:val="auto"/>
                <w:kern w:val="0"/>
                <w:szCs w:val="21"/>
                <w:highlight w:val="none"/>
                <w:lang w:bidi="ar"/>
              </w:rPr>
            </w:pPr>
          </w:p>
        </w:tc>
        <w:tc>
          <w:tcPr>
            <w:tcW w:w="892" w:type="dxa"/>
            <w:tcBorders>
              <w:top w:val="single" w:color="000000" w:sz="4" w:space="0"/>
              <w:left w:val="single" w:color="000000" w:sz="4" w:space="0"/>
              <w:bottom w:val="single" w:color="auto" w:sz="4" w:space="0"/>
              <w:right w:val="single" w:color="000000" w:sz="4" w:space="0"/>
            </w:tcBorders>
            <w:noWrap w:val="0"/>
            <w:vAlign w:val="center"/>
          </w:tcPr>
          <w:p w14:paraId="3499456C">
            <w:pPr>
              <w:jc w:val="center"/>
              <w:textAlignment w:val="center"/>
              <w:rPr>
                <w:rFonts w:ascii="仿宋" w:hAnsi="仿宋" w:eastAsia="仿宋" w:cs="仿宋"/>
                <w:color w:val="auto"/>
                <w:kern w:val="0"/>
                <w:szCs w:val="21"/>
                <w:highlight w:val="none"/>
                <w:lang w:bidi="ar"/>
              </w:rPr>
            </w:pPr>
          </w:p>
        </w:tc>
        <w:tc>
          <w:tcPr>
            <w:tcW w:w="992" w:type="dxa"/>
            <w:tcBorders>
              <w:top w:val="single" w:color="000000" w:sz="4" w:space="0"/>
              <w:left w:val="single" w:color="000000" w:sz="4" w:space="0"/>
              <w:bottom w:val="single" w:color="auto" w:sz="4" w:space="0"/>
              <w:right w:val="single" w:color="000000" w:sz="4" w:space="0"/>
            </w:tcBorders>
            <w:noWrap w:val="0"/>
            <w:vAlign w:val="center"/>
          </w:tcPr>
          <w:p w14:paraId="7010C3E4">
            <w:pPr>
              <w:jc w:val="center"/>
              <w:textAlignment w:val="center"/>
              <w:rPr>
                <w:rFonts w:ascii="仿宋" w:hAnsi="仿宋" w:eastAsia="仿宋" w:cs="仿宋"/>
                <w:color w:val="auto"/>
                <w:kern w:val="0"/>
                <w:szCs w:val="21"/>
                <w:highlight w:val="none"/>
                <w:lang w:bidi="ar"/>
              </w:rPr>
            </w:pPr>
          </w:p>
        </w:tc>
      </w:tr>
      <w:tr w14:paraId="745D90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6" w:hRule="atLeast"/>
          <w:jc w:val="center"/>
        </w:trPr>
        <w:tc>
          <w:tcPr>
            <w:tcW w:w="567" w:type="dxa"/>
            <w:vMerge w:val="continue"/>
            <w:tcBorders>
              <w:top w:val="single" w:color="000000" w:sz="4" w:space="0"/>
              <w:left w:val="single" w:color="000000" w:sz="4" w:space="0"/>
              <w:bottom w:val="single" w:color="000000" w:sz="4" w:space="0"/>
              <w:right w:val="single" w:color="000000" w:sz="4" w:space="0"/>
            </w:tcBorders>
            <w:noWrap w:val="0"/>
            <w:vAlign w:val="center"/>
          </w:tcPr>
          <w:p w14:paraId="72F082A6">
            <w:pPr>
              <w:widowControl/>
              <w:spacing w:beforeAutospacing="1" w:afterAutospacing="1"/>
              <w:jc w:val="left"/>
              <w:rPr>
                <w:rFonts w:ascii="仿宋" w:hAnsi="仿宋" w:eastAsia="仿宋" w:cs="仿宋"/>
                <w:color w:val="auto"/>
                <w:szCs w:val="21"/>
                <w:highlight w:val="none"/>
              </w:rPr>
            </w:pPr>
          </w:p>
        </w:tc>
        <w:tc>
          <w:tcPr>
            <w:tcW w:w="1418" w:type="dxa"/>
            <w:vMerge w:val="continue"/>
            <w:tcBorders>
              <w:top w:val="single" w:color="000000" w:sz="4" w:space="0"/>
              <w:left w:val="single" w:color="000000" w:sz="4" w:space="0"/>
              <w:bottom w:val="single" w:color="000000" w:sz="4" w:space="0"/>
              <w:right w:val="single" w:color="000000" w:sz="4" w:space="0"/>
            </w:tcBorders>
            <w:noWrap w:val="0"/>
            <w:vAlign w:val="center"/>
          </w:tcPr>
          <w:p w14:paraId="1F14A977">
            <w:pPr>
              <w:widowControl/>
              <w:spacing w:beforeAutospacing="1" w:afterAutospacing="1"/>
              <w:jc w:val="left"/>
              <w:rPr>
                <w:rFonts w:ascii="仿宋" w:hAnsi="仿宋" w:eastAsia="仿宋"/>
                <w:color w:val="auto"/>
                <w:kern w:val="0"/>
                <w:szCs w:val="21"/>
                <w:highlight w:val="none"/>
              </w:rPr>
            </w:pPr>
          </w:p>
        </w:tc>
        <w:tc>
          <w:tcPr>
            <w:tcW w:w="2981" w:type="dxa"/>
            <w:gridSpan w:val="2"/>
            <w:tcBorders>
              <w:top w:val="single" w:color="000000" w:sz="4" w:space="0"/>
              <w:left w:val="single" w:color="000000" w:sz="4" w:space="0"/>
              <w:bottom w:val="single" w:color="000000" w:sz="4" w:space="0"/>
              <w:right w:val="single" w:color="000000" w:sz="4" w:space="0"/>
            </w:tcBorders>
            <w:noWrap w:val="0"/>
            <w:vAlign w:val="center"/>
          </w:tcPr>
          <w:p w14:paraId="2D418A58">
            <w:pPr>
              <w:widowControl/>
              <w:spacing w:beforeAutospacing="1" w:afterAutospacing="1"/>
              <w:jc w:val="left"/>
              <w:rPr>
                <w:rFonts w:ascii="仿宋" w:hAnsi="仿宋" w:eastAsia="仿宋" w:cs="仿宋"/>
                <w:color w:val="auto"/>
                <w:szCs w:val="21"/>
                <w:highlight w:val="none"/>
              </w:rPr>
            </w:pPr>
            <w:r>
              <w:rPr>
                <w:rFonts w:hint="eastAsia" w:ascii="仿宋" w:hAnsi="仿宋" w:eastAsia="仿宋" w:cs="仿宋"/>
                <w:color w:val="auto"/>
                <w:kern w:val="0"/>
                <w:szCs w:val="21"/>
                <w:highlight w:val="none"/>
                <w:lang w:bidi="ar"/>
              </w:rPr>
              <w:t>保护性止付（资金预警全量首轮保护性止付自动提交、资金预警全量首轮保护性止付自动审核）</w:t>
            </w:r>
          </w:p>
        </w:tc>
        <w:tc>
          <w:tcPr>
            <w:tcW w:w="1134" w:type="dxa"/>
            <w:tcBorders>
              <w:top w:val="single" w:color="auto" w:sz="4" w:space="0"/>
              <w:left w:val="single" w:color="000000" w:sz="4" w:space="0"/>
              <w:bottom w:val="single" w:color="000000" w:sz="4" w:space="0"/>
              <w:right w:val="single" w:color="000000" w:sz="4" w:space="0"/>
            </w:tcBorders>
            <w:noWrap w:val="0"/>
            <w:vAlign w:val="center"/>
          </w:tcPr>
          <w:p w14:paraId="7E0EA582">
            <w:pPr>
              <w:jc w:val="center"/>
              <w:textAlignment w:val="center"/>
              <w:rPr>
                <w:rFonts w:ascii="仿宋" w:hAnsi="仿宋" w:eastAsia="仿宋" w:cs="仿宋"/>
                <w:color w:val="auto"/>
                <w:kern w:val="0"/>
                <w:szCs w:val="21"/>
                <w:highlight w:val="none"/>
                <w:lang w:bidi="ar"/>
              </w:rPr>
            </w:pPr>
            <w:r>
              <w:rPr>
                <w:rFonts w:hint="eastAsia" w:ascii="仿宋" w:hAnsi="仿宋" w:eastAsia="仿宋" w:cs="仿宋"/>
                <w:color w:val="auto"/>
                <w:kern w:val="0"/>
                <w:szCs w:val="21"/>
                <w:highlight w:val="none"/>
                <w:lang w:bidi="ar"/>
              </w:rPr>
              <w:t>C类报告</w:t>
            </w:r>
          </w:p>
        </w:tc>
        <w:tc>
          <w:tcPr>
            <w:tcW w:w="733" w:type="dxa"/>
            <w:tcBorders>
              <w:top w:val="single" w:color="auto" w:sz="4" w:space="0"/>
              <w:left w:val="single" w:color="000000" w:sz="4" w:space="0"/>
              <w:bottom w:val="single" w:color="000000" w:sz="4" w:space="0"/>
              <w:right w:val="single" w:color="000000" w:sz="4" w:space="0"/>
            </w:tcBorders>
            <w:noWrap w:val="0"/>
            <w:vAlign w:val="center"/>
          </w:tcPr>
          <w:p w14:paraId="739A7062">
            <w:pPr>
              <w:jc w:val="center"/>
              <w:rPr>
                <w:color w:val="auto"/>
                <w:highlight w:val="none"/>
              </w:rPr>
            </w:pPr>
            <w:r>
              <w:rPr>
                <w:rFonts w:hint="eastAsia" w:ascii="仿宋" w:hAnsi="仿宋" w:eastAsia="仿宋" w:cs="仿宋"/>
                <w:b/>
                <w:bCs/>
                <w:color w:val="auto"/>
                <w:kern w:val="0"/>
                <w:szCs w:val="21"/>
                <w:highlight w:val="none"/>
                <w:lang w:bidi="ar"/>
              </w:rPr>
              <w:t>份</w:t>
            </w:r>
          </w:p>
        </w:tc>
        <w:tc>
          <w:tcPr>
            <w:tcW w:w="867" w:type="dxa"/>
            <w:tcBorders>
              <w:top w:val="single" w:color="auto" w:sz="4" w:space="0"/>
              <w:left w:val="single" w:color="000000" w:sz="4" w:space="0"/>
              <w:bottom w:val="single" w:color="000000" w:sz="4" w:space="0"/>
              <w:right w:val="single" w:color="000000" w:sz="4" w:space="0"/>
            </w:tcBorders>
            <w:noWrap w:val="0"/>
            <w:vAlign w:val="center"/>
          </w:tcPr>
          <w:p w14:paraId="7FABD186">
            <w:pPr>
              <w:jc w:val="center"/>
              <w:textAlignment w:val="center"/>
              <w:rPr>
                <w:rFonts w:hint="eastAsia" w:ascii="仿宋" w:hAnsi="仿宋" w:eastAsia="仿宋" w:cs="仿宋"/>
                <w:b/>
                <w:bCs/>
                <w:color w:val="auto"/>
                <w:kern w:val="0"/>
                <w:szCs w:val="21"/>
                <w:highlight w:val="none"/>
                <w:lang w:eastAsia="zh-CN" w:bidi="ar"/>
              </w:rPr>
            </w:pPr>
            <w:r>
              <w:rPr>
                <w:rFonts w:hint="eastAsia" w:ascii="仿宋" w:hAnsi="仿宋" w:eastAsia="仿宋" w:cs="仿宋"/>
                <w:b/>
                <w:bCs/>
                <w:color w:val="auto"/>
                <w:kern w:val="0"/>
                <w:szCs w:val="21"/>
                <w:highlight w:val="none"/>
                <w:lang w:val="en-US" w:eastAsia="zh-CN" w:bidi="ar"/>
              </w:rPr>
              <w:t>5</w:t>
            </w:r>
          </w:p>
        </w:tc>
        <w:tc>
          <w:tcPr>
            <w:tcW w:w="709" w:type="dxa"/>
            <w:tcBorders>
              <w:top w:val="single" w:color="auto" w:sz="4" w:space="0"/>
              <w:left w:val="single" w:color="000000" w:sz="4" w:space="0"/>
              <w:bottom w:val="single" w:color="000000" w:sz="4" w:space="0"/>
              <w:right w:val="single" w:color="000000" w:sz="4" w:space="0"/>
            </w:tcBorders>
            <w:noWrap w:val="0"/>
            <w:vAlign w:val="center"/>
          </w:tcPr>
          <w:p w14:paraId="3BA6EE7D">
            <w:pPr>
              <w:jc w:val="center"/>
              <w:textAlignment w:val="center"/>
              <w:rPr>
                <w:rFonts w:ascii="仿宋" w:hAnsi="仿宋" w:eastAsia="仿宋" w:cs="仿宋"/>
                <w:color w:val="auto"/>
                <w:kern w:val="0"/>
                <w:szCs w:val="21"/>
                <w:highlight w:val="none"/>
                <w:lang w:bidi="ar"/>
              </w:rPr>
            </w:pPr>
          </w:p>
        </w:tc>
        <w:tc>
          <w:tcPr>
            <w:tcW w:w="892" w:type="dxa"/>
            <w:tcBorders>
              <w:top w:val="single" w:color="auto" w:sz="4" w:space="0"/>
              <w:left w:val="single" w:color="000000" w:sz="4" w:space="0"/>
              <w:bottom w:val="single" w:color="000000" w:sz="4" w:space="0"/>
              <w:right w:val="single" w:color="000000" w:sz="4" w:space="0"/>
            </w:tcBorders>
            <w:noWrap w:val="0"/>
            <w:vAlign w:val="center"/>
          </w:tcPr>
          <w:p w14:paraId="0A05C3AA">
            <w:pPr>
              <w:jc w:val="center"/>
              <w:textAlignment w:val="center"/>
              <w:rPr>
                <w:rFonts w:ascii="仿宋" w:hAnsi="仿宋" w:eastAsia="仿宋" w:cs="仿宋"/>
                <w:color w:val="auto"/>
                <w:kern w:val="0"/>
                <w:szCs w:val="21"/>
                <w:highlight w:val="none"/>
                <w:lang w:bidi="ar"/>
              </w:rPr>
            </w:pPr>
          </w:p>
        </w:tc>
        <w:tc>
          <w:tcPr>
            <w:tcW w:w="992" w:type="dxa"/>
            <w:tcBorders>
              <w:top w:val="single" w:color="auto" w:sz="4" w:space="0"/>
              <w:left w:val="single" w:color="000000" w:sz="4" w:space="0"/>
              <w:bottom w:val="single" w:color="000000" w:sz="4" w:space="0"/>
              <w:right w:val="single" w:color="000000" w:sz="4" w:space="0"/>
            </w:tcBorders>
            <w:noWrap w:val="0"/>
            <w:vAlign w:val="center"/>
          </w:tcPr>
          <w:p w14:paraId="19E5A46A">
            <w:pPr>
              <w:jc w:val="center"/>
              <w:textAlignment w:val="center"/>
              <w:rPr>
                <w:rFonts w:ascii="仿宋" w:hAnsi="仿宋" w:eastAsia="仿宋" w:cs="仿宋"/>
                <w:color w:val="auto"/>
                <w:kern w:val="0"/>
                <w:szCs w:val="21"/>
                <w:highlight w:val="none"/>
                <w:lang w:bidi="ar"/>
              </w:rPr>
            </w:pPr>
          </w:p>
        </w:tc>
      </w:tr>
      <w:tr w14:paraId="3A7D96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5" w:hRule="atLeast"/>
          <w:jc w:val="center"/>
        </w:trPr>
        <w:tc>
          <w:tcPr>
            <w:tcW w:w="567" w:type="dxa"/>
            <w:tcBorders>
              <w:top w:val="single" w:color="000000" w:sz="4" w:space="0"/>
              <w:left w:val="single" w:color="000000" w:sz="4" w:space="0"/>
              <w:bottom w:val="single" w:color="000000" w:sz="4" w:space="0"/>
              <w:right w:val="single" w:color="000000" w:sz="4" w:space="0"/>
            </w:tcBorders>
            <w:noWrap w:val="0"/>
            <w:vAlign w:val="center"/>
          </w:tcPr>
          <w:p w14:paraId="42D05D47">
            <w:pPr>
              <w:widowControl/>
              <w:jc w:val="center"/>
              <w:textAlignment w:val="center"/>
              <w:rPr>
                <w:rFonts w:ascii="仿宋" w:hAnsi="仿宋" w:eastAsia="仿宋" w:cs="仿宋"/>
                <w:color w:val="auto"/>
                <w:szCs w:val="21"/>
                <w:highlight w:val="none"/>
              </w:rPr>
            </w:pPr>
            <w:r>
              <w:rPr>
                <w:rFonts w:ascii="仿宋" w:hAnsi="仿宋" w:eastAsia="仿宋" w:cs="仿宋"/>
                <w:color w:val="auto"/>
                <w:szCs w:val="21"/>
                <w:highlight w:val="none"/>
              </w:rPr>
              <w:t>4</w:t>
            </w:r>
          </w:p>
        </w:tc>
        <w:tc>
          <w:tcPr>
            <w:tcW w:w="1418" w:type="dxa"/>
            <w:tcBorders>
              <w:top w:val="single" w:color="000000" w:sz="4" w:space="0"/>
              <w:left w:val="single" w:color="000000" w:sz="4" w:space="0"/>
              <w:bottom w:val="single" w:color="000000" w:sz="4" w:space="0"/>
              <w:right w:val="single" w:color="000000" w:sz="4" w:space="0"/>
            </w:tcBorders>
            <w:noWrap w:val="0"/>
            <w:vAlign w:val="center"/>
          </w:tcPr>
          <w:p w14:paraId="0008ED05">
            <w:pPr>
              <w:widowControl/>
              <w:jc w:val="center"/>
              <w:textAlignment w:val="center"/>
              <w:rPr>
                <w:rFonts w:ascii="仿宋" w:hAnsi="仿宋" w:eastAsia="仿宋" w:cs="仿宋"/>
                <w:color w:val="auto"/>
                <w:szCs w:val="21"/>
                <w:highlight w:val="none"/>
              </w:rPr>
            </w:pPr>
            <w:r>
              <w:rPr>
                <w:rFonts w:hint="eastAsia" w:ascii="仿宋" w:hAnsi="仿宋" w:eastAsia="仿宋" w:cs="仿宋"/>
                <w:color w:val="auto"/>
                <w:kern w:val="0"/>
                <w:szCs w:val="21"/>
                <w:highlight w:val="none"/>
                <w:lang w:bidi="ar"/>
              </w:rPr>
              <w:t>涉网诈骗预感探测数据服务</w:t>
            </w:r>
          </w:p>
        </w:tc>
        <w:tc>
          <w:tcPr>
            <w:tcW w:w="2981" w:type="dxa"/>
            <w:gridSpan w:val="2"/>
            <w:tcBorders>
              <w:top w:val="single" w:color="000000" w:sz="4" w:space="0"/>
              <w:left w:val="single" w:color="000000" w:sz="4" w:space="0"/>
              <w:bottom w:val="single" w:color="000000" w:sz="4" w:space="0"/>
              <w:right w:val="single" w:color="000000" w:sz="4" w:space="0"/>
            </w:tcBorders>
            <w:noWrap w:val="0"/>
            <w:vAlign w:val="center"/>
          </w:tcPr>
          <w:p w14:paraId="720245CB">
            <w:pPr>
              <w:widowControl/>
              <w:jc w:val="center"/>
              <w:textAlignment w:val="center"/>
              <w:rPr>
                <w:rFonts w:ascii="仿宋" w:hAnsi="仿宋" w:eastAsia="仿宋" w:cs="仿宋"/>
                <w:color w:val="auto"/>
                <w:szCs w:val="21"/>
                <w:highlight w:val="none"/>
              </w:rPr>
            </w:pPr>
            <w:r>
              <w:rPr>
                <w:rFonts w:hint="eastAsia" w:ascii="仿宋" w:hAnsi="仿宋" w:eastAsia="仿宋" w:cs="仿宋"/>
                <w:color w:val="auto"/>
                <w:szCs w:val="21"/>
                <w:highlight w:val="none"/>
              </w:rPr>
              <w:t>服务期内提供</w:t>
            </w:r>
            <w:r>
              <w:rPr>
                <w:rFonts w:hint="eastAsia" w:ascii="仿宋" w:hAnsi="仿宋" w:eastAsia="仿宋" w:cs="仿宋"/>
                <w:color w:val="auto"/>
                <w:kern w:val="0"/>
                <w:szCs w:val="21"/>
                <w:highlight w:val="none"/>
                <w:lang w:bidi="ar"/>
              </w:rPr>
              <w:t>涉网诈骗预感探测数据</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14:paraId="1422E962">
            <w:pPr>
              <w:widowControl/>
              <w:jc w:val="center"/>
              <w:textAlignment w:val="center"/>
              <w:rPr>
                <w:rFonts w:ascii="仿宋" w:hAnsi="仿宋" w:eastAsia="仿宋" w:cs="仿宋"/>
                <w:color w:val="auto"/>
                <w:szCs w:val="21"/>
                <w:highlight w:val="none"/>
              </w:rPr>
            </w:pPr>
            <w:r>
              <w:rPr>
                <w:rFonts w:hint="eastAsia" w:ascii="仿宋" w:hAnsi="仿宋" w:eastAsia="仿宋" w:cs="仿宋"/>
                <w:color w:val="auto"/>
                <w:szCs w:val="21"/>
                <w:highlight w:val="none"/>
              </w:rPr>
              <w:t>/</w:t>
            </w:r>
          </w:p>
        </w:tc>
        <w:tc>
          <w:tcPr>
            <w:tcW w:w="733" w:type="dxa"/>
            <w:tcBorders>
              <w:top w:val="single" w:color="000000" w:sz="4" w:space="0"/>
              <w:left w:val="single" w:color="000000" w:sz="4" w:space="0"/>
              <w:bottom w:val="single" w:color="000000" w:sz="4" w:space="0"/>
              <w:right w:val="single" w:color="000000" w:sz="4" w:space="0"/>
            </w:tcBorders>
            <w:noWrap w:val="0"/>
            <w:vAlign w:val="center"/>
          </w:tcPr>
          <w:p w14:paraId="7337AED0">
            <w:pPr>
              <w:jc w:val="center"/>
              <w:rPr>
                <w:color w:val="auto"/>
                <w:highlight w:val="none"/>
              </w:rPr>
            </w:pPr>
            <w:r>
              <w:rPr>
                <w:rFonts w:hint="eastAsia" w:ascii="仿宋" w:hAnsi="仿宋" w:eastAsia="仿宋" w:cs="仿宋"/>
                <w:b/>
                <w:bCs/>
                <w:color w:val="auto"/>
                <w:kern w:val="0"/>
                <w:szCs w:val="21"/>
                <w:highlight w:val="none"/>
                <w:lang w:bidi="ar"/>
              </w:rPr>
              <w:t>条</w:t>
            </w:r>
          </w:p>
        </w:tc>
        <w:tc>
          <w:tcPr>
            <w:tcW w:w="867" w:type="dxa"/>
            <w:tcBorders>
              <w:top w:val="single" w:color="000000" w:sz="4" w:space="0"/>
              <w:left w:val="single" w:color="000000" w:sz="4" w:space="0"/>
              <w:bottom w:val="single" w:color="000000" w:sz="4" w:space="0"/>
              <w:right w:val="single" w:color="000000" w:sz="4" w:space="0"/>
            </w:tcBorders>
            <w:noWrap w:val="0"/>
            <w:vAlign w:val="center"/>
          </w:tcPr>
          <w:p w14:paraId="2A689907">
            <w:pPr>
              <w:widowControl/>
              <w:jc w:val="center"/>
              <w:textAlignment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lang w:val="en-US" w:eastAsia="zh-CN"/>
              </w:rPr>
              <w:t>38</w:t>
            </w:r>
            <w:r>
              <w:rPr>
                <w:rFonts w:hint="eastAsia" w:ascii="仿宋" w:hAnsi="仿宋" w:eastAsia="仿宋" w:cs="仿宋"/>
                <w:b/>
                <w:bCs/>
                <w:color w:val="auto"/>
                <w:szCs w:val="21"/>
                <w:highlight w:val="none"/>
              </w:rPr>
              <w:t>0</w:t>
            </w:r>
            <w:r>
              <w:rPr>
                <w:rFonts w:ascii="仿宋" w:hAnsi="仿宋" w:eastAsia="仿宋" w:cs="仿宋"/>
                <w:b/>
                <w:bCs/>
                <w:color w:val="auto"/>
                <w:szCs w:val="21"/>
                <w:highlight w:val="none"/>
              </w:rPr>
              <w:t>000</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14:paraId="678463E0">
            <w:pPr>
              <w:widowControl/>
              <w:jc w:val="center"/>
              <w:textAlignment w:val="center"/>
              <w:rPr>
                <w:rFonts w:ascii="仿宋" w:hAnsi="仿宋" w:eastAsia="仿宋" w:cs="仿宋"/>
                <w:color w:val="auto"/>
                <w:szCs w:val="21"/>
                <w:highlight w:val="none"/>
              </w:rPr>
            </w:pPr>
          </w:p>
        </w:tc>
        <w:tc>
          <w:tcPr>
            <w:tcW w:w="892" w:type="dxa"/>
            <w:tcBorders>
              <w:top w:val="single" w:color="000000" w:sz="4" w:space="0"/>
              <w:left w:val="single" w:color="000000" w:sz="4" w:space="0"/>
              <w:bottom w:val="single" w:color="000000" w:sz="4" w:space="0"/>
              <w:right w:val="single" w:color="000000" w:sz="4" w:space="0"/>
            </w:tcBorders>
            <w:noWrap w:val="0"/>
            <w:vAlign w:val="center"/>
          </w:tcPr>
          <w:p w14:paraId="6057D42A">
            <w:pPr>
              <w:widowControl/>
              <w:jc w:val="center"/>
              <w:textAlignment w:val="center"/>
              <w:rPr>
                <w:rFonts w:ascii="仿宋" w:hAnsi="仿宋" w:eastAsia="仿宋" w:cs="仿宋"/>
                <w:color w:val="auto"/>
                <w:szCs w:val="21"/>
                <w:highlight w:val="none"/>
              </w:rPr>
            </w:pPr>
          </w:p>
        </w:tc>
        <w:tc>
          <w:tcPr>
            <w:tcW w:w="992" w:type="dxa"/>
            <w:tcBorders>
              <w:top w:val="single" w:color="000000" w:sz="4" w:space="0"/>
              <w:left w:val="single" w:color="000000" w:sz="4" w:space="0"/>
              <w:bottom w:val="single" w:color="000000" w:sz="4" w:space="0"/>
              <w:right w:val="single" w:color="000000" w:sz="4" w:space="0"/>
            </w:tcBorders>
            <w:noWrap w:val="0"/>
            <w:vAlign w:val="center"/>
          </w:tcPr>
          <w:p w14:paraId="11D99394">
            <w:pPr>
              <w:widowControl/>
              <w:jc w:val="center"/>
              <w:textAlignment w:val="center"/>
              <w:rPr>
                <w:rFonts w:ascii="仿宋" w:hAnsi="仿宋" w:eastAsia="仿宋" w:cs="仿宋"/>
                <w:color w:val="auto"/>
                <w:szCs w:val="21"/>
                <w:highlight w:val="none"/>
              </w:rPr>
            </w:pPr>
          </w:p>
        </w:tc>
      </w:tr>
      <w:tr w14:paraId="2362B5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96" w:hRule="atLeast"/>
          <w:jc w:val="center"/>
        </w:trPr>
        <w:tc>
          <w:tcPr>
            <w:tcW w:w="567" w:type="dxa"/>
            <w:tcBorders>
              <w:top w:val="single" w:color="000000" w:sz="4" w:space="0"/>
              <w:left w:val="single" w:color="000000" w:sz="4" w:space="0"/>
              <w:bottom w:val="single" w:color="000000" w:sz="4" w:space="0"/>
              <w:right w:val="single" w:color="000000" w:sz="4" w:space="0"/>
            </w:tcBorders>
            <w:noWrap w:val="0"/>
            <w:vAlign w:val="center"/>
          </w:tcPr>
          <w:p w14:paraId="24F8FD02">
            <w:pPr>
              <w:widowControl/>
              <w:jc w:val="center"/>
              <w:textAlignment w:val="center"/>
              <w:rPr>
                <w:rFonts w:ascii="仿宋" w:hAnsi="仿宋" w:eastAsia="仿宋" w:cs="仿宋"/>
                <w:color w:val="auto"/>
                <w:szCs w:val="21"/>
                <w:highlight w:val="none"/>
              </w:rPr>
            </w:pPr>
            <w:r>
              <w:rPr>
                <w:rFonts w:ascii="仿宋" w:hAnsi="仿宋" w:eastAsia="仿宋" w:cs="仿宋"/>
                <w:color w:val="auto"/>
                <w:szCs w:val="21"/>
                <w:highlight w:val="none"/>
              </w:rPr>
              <w:t>5</w:t>
            </w:r>
          </w:p>
        </w:tc>
        <w:tc>
          <w:tcPr>
            <w:tcW w:w="1418" w:type="dxa"/>
            <w:tcBorders>
              <w:top w:val="single" w:color="000000" w:sz="4" w:space="0"/>
              <w:left w:val="single" w:color="000000" w:sz="4" w:space="0"/>
              <w:bottom w:val="single" w:color="000000" w:sz="4" w:space="0"/>
              <w:right w:val="single" w:color="000000" w:sz="4" w:space="0"/>
            </w:tcBorders>
            <w:noWrap w:val="0"/>
            <w:vAlign w:val="center"/>
          </w:tcPr>
          <w:p w14:paraId="08B7F19C">
            <w:pPr>
              <w:widowControl/>
              <w:jc w:val="center"/>
              <w:textAlignment w:val="center"/>
              <w:rPr>
                <w:rFonts w:ascii="仿宋" w:hAnsi="仿宋" w:eastAsia="仿宋" w:cs="仿宋"/>
                <w:color w:val="auto"/>
                <w:kern w:val="0"/>
                <w:szCs w:val="21"/>
                <w:highlight w:val="none"/>
                <w:lang w:bidi="ar"/>
              </w:rPr>
            </w:pPr>
            <w:r>
              <w:rPr>
                <w:rFonts w:hint="eastAsia" w:ascii="仿宋" w:hAnsi="仿宋" w:eastAsia="仿宋" w:cs="仿宋"/>
                <w:color w:val="auto"/>
                <w:kern w:val="0"/>
                <w:szCs w:val="21"/>
                <w:highlight w:val="none"/>
                <w:lang w:bidi="ar"/>
              </w:rPr>
              <w:t>涉网新型案件行为分析服务</w:t>
            </w:r>
          </w:p>
        </w:tc>
        <w:tc>
          <w:tcPr>
            <w:tcW w:w="2981" w:type="dxa"/>
            <w:gridSpan w:val="2"/>
            <w:tcBorders>
              <w:top w:val="single" w:color="000000" w:sz="4" w:space="0"/>
              <w:left w:val="single" w:color="000000" w:sz="4" w:space="0"/>
              <w:bottom w:val="single" w:color="000000" w:sz="4" w:space="0"/>
              <w:right w:val="single" w:color="000000" w:sz="4" w:space="0"/>
            </w:tcBorders>
            <w:noWrap w:val="0"/>
            <w:vAlign w:val="center"/>
          </w:tcPr>
          <w:p w14:paraId="48500721">
            <w:pPr>
              <w:widowControl/>
              <w:jc w:val="center"/>
              <w:textAlignment w:val="center"/>
              <w:rPr>
                <w:rFonts w:ascii="仿宋" w:hAnsi="仿宋" w:eastAsia="仿宋" w:cs="仿宋"/>
                <w:color w:val="auto"/>
                <w:szCs w:val="21"/>
                <w:highlight w:val="none"/>
              </w:rPr>
            </w:pPr>
            <w:r>
              <w:rPr>
                <w:rFonts w:hint="eastAsia" w:ascii="仿宋" w:hAnsi="仿宋" w:eastAsia="仿宋" w:cs="仿宋"/>
                <w:color w:val="auto"/>
                <w:szCs w:val="21"/>
                <w:highlight w:val="none"/>
              </w:rPr>
              <w:t>服务期内提供</w:t>
            </w:r>
            <w:r>
              <w:rPr>
                <w:rFonts w:hint="eastAsia" w:ascii="仿宋" w:hAnsi="仿宋" w:eastAsia="仿宋" w:cs="仿宋"/>
                <w:color w:val="auto"/>
                <w:szCs w:val="21"/>
                <w:highlight w:val="none"/>
              </w:rPr>
              <w:t>不少于</w:t>
            </w:r>
            <w:r>
              <w:rPr>
                <w:rFonts w:hint="eastAsia" w:ascii="仿宋" w:hAnsi="仿宋" w:eastAsia="仿宋" w:cs="仿宋"/>
                <w:color w:val="auto"/>
                <w:szCs w:val="21"/>
                <w:highlight w:val="none"/>
                <w:lang w:val="en-US" w:eastAsia="zh-CN"/>
              </w:rPr>
              <w:t>1</w:t>
            </w:r>
            <w:r>
              <w:rPr>
                <w:rFonts w:hint="eastAsia" w:ascii="仿宋" w:hAnsi="仿宋" w:eastAsia="仿宋" w:cs="仿宋"/>
                <w:color w:val="auto"/>
                <w:szCs w:val="21"/>
                <w:highlight w:val="none"/>
              </w:rPr>
              <w:t>0次</w:t>
            </w:r>
            <w:r>
              <w:rPr>
                <w:rFonts w:hint="eastAsia" w:ascii="仿宋" w:hAnsi="仿宋" w:eastAsia="仿宋" w:cs="仿宋"/>
                <w:color w:val="auto"/>
                <w:szCs w:val="21"/>
                <w:highlight w:val="none"/>
              </w:rPr>
              <w:t>涉诈设备大数据辅助分析和涉网新型行为分析服务，</w:t>
            </w:r>
            <w:r>
              <w:rPr>
                <w:rFonts w:hint="eastAsia" w:ascii="仿宋" w:hAnsi="仿宋" w:eastAsia="仿宋" w:cs="仿宋"/>
                <w:color w:val="auto"/>
                <w:szCs w:val="21"/>
                <w:highlight w:val="none"/>
              </w:rPr>
              <w:t>输出分析报告</w:t>
            </w:r>
            <w:r>
              <w:rPr>
                <w:rFonts w:hint="eastAsia" w:ascii="仿宋" w:hAnsi="仿宋" w:eastAsia="仿宋" w:cs="仿宋"/>
                <w:color w:val="auto"/>
                <w:szCs w:val="21"/>
                <w:highlight w:val="none"/>
                <w:lang w:val="en-US" w:eastAsia="zh-CN"/>
              </w:rPr>
              <w:t>18</w:t>
            </w:r>
            <w:r>
              <w:rPr>
                <w:rFonts w:hint="eastAsia" w:ascii="仿宋" w:hAnsi="仿宋" w:eastAsia="仿宋" w:cs="仿宋"/>
                <w:color w:val="auto"/>
                <w:szCs w:val="21"/>
                <w:highlight w:val="none"/>
              </w:rPr>
              <w:t>份</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14:paraId="4C0B84C8">
            <w:pPr>
              <w:widowControl/>
              <w:jc w:val="center"/>
              <w:textAlignment w:val="center"/>
              <w:rPr>
                <w:rFonts w:ascii="仿宋" w:hAnsi="仿宋" w:eastAsia="仿宋" w:cs="仿宋"/>
                <w:color w:val="auto"/>
                <w:kern w:val="0"/>
                <w:szCs w:val="21"/>
                <w:highlight w:val="none"/>
                <w:lang w:bidi="ar"/>
              </w:rPr>
            </w:pPr>
            <w:r>
              <w:rPr>
                <w:rFonts w:hint="eastAsia" w:ascii="仿宋" w:hAnsi="仿宋" w:eastAsia="仿宋" w:cs="仿宋"/>
                <w:color w:val="auto"/>
                <w:kern w:val="0"/>
                <w:szCs w:val="21"/>
                <w:highlight w:val="none"/>
                <w:lang w:bidi="ar"/>
              </w:rPr>
              <w:t>C类报告</w:t>
            </w:r>
          </w:p>
        </w:tc>
        <w:tc>
          <w:tcPr>
            <w:tcW w:w="733" w:type="dxa"/>
            <w:tcBorders>
              <w:top w:val="single" w:color="000000" w:sz="4" w:space="0"/>
              <w:left w:val="single" w:color="000000" w:sz="4" w:space="0"/>
              <w:bottom w:val="single" w:color="000000" w:sz="4" w:space="0"/>
              <w:right w:val="single" w:color="000000" w:sz="4" w:space="0"/>
            </w:tcBorders>
            <w:noWrap w:val="0"/>
            <w:vAlign w:val="center"/>
          </w:tcPr>
          <w:p w14:paraId="7A606A77">
            <w:pPr>
              <w:jc w:val="center"/>
              <w:rPr>
                <w:color w:val="auto"/>
                <w:highlight w:val="none"/>
              </w:rPr>
            </w:pPr>
            <w:r>
              <w:rPr>
                <w:rFonts w:hint="eastAsia" w:ascii="仿宋" w:hAnsi="仿宋" w:eastAsia="仿宋" w:cs="仿宋"/>
                <w:b/>
                <w:bCs/>
                <w:color w:val="auto"/>
                <w:kern w:val="0"/>
                <w:szCs w:val="21"/>
                <w:highlight w:val="none"/>
                <w:lang w:bidi="ar"/>
              </w:rPr>
              <w:t>份</w:t>
            </w:r>
          </w:p>
        </w:tc>
        <w:tc>
          <w:tcPr>
            <w:tcW w:w="867" w:type="dxa"/>
            <w:tcBorders>
              <w:top w:val="single" w:color="000000" w:sz="4" w:space="0"/>
              <w:left w:val="single" w:color="000000" w:sz="4" w:space="0"/>
              <w:bottom w:val="single" w:color="000000" w:sz="4" w:space="0"/>
              <w:right w:val="single" w:color="000000" w:sz="4" w:space="0"/>
            </w:tcBorders>
            <w:noWrap w:val="0"/>
            <w:vAlign w:val="center"/>
          </w:tcPr>
          <w:p w14:paraId="65C90286">
            <w:pPr>
              <w:widowControl/>
              <w:jc w:val="center"/>
              <w:textAlignment w:val="center"/>
              <w:rPr>
                <w:rFonts w:hint="default" w:ascii="仿宋" w:hAnsi="仿宋" w:eastAsia="仿宋" w:cs="仿宋"/>
                <w:b/>
                <w:bCs/>
                <w:color w:val="auto"/>
                <w:szCs w:val="21"/>
                <w:highlight w:val="none"/>
                <w:lang w:val="en-US" w:eastAsia="zh-CN"/>
              </w:rPr>
            </w:pPr>
            <w:r>
              <w:rPr>
                <w:rFonts w:hint="eastAsia" w:ascii="仿宋" w:hAnsi="仿宋" w:eastAsia="仿宋" w:cs="仿宋"/>
                <w:b/>
                <w:bCs/>
                <w:color w:val="auto"/>
                <w:kern w:val="0"/>
                <w:szCs w:val="21"/>
                <w:highlight w:val="none"/>
                <w:lang w:val="en-US" w:eastAsia="zh-CN" w:bidi="ar"/>
              </w:rPr>
              <w:t>18</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14:paraId="551E3BAF">
            <w:pPr>
              <w:widowControl/>
              <w:jc w:val="center"/>
              <w:textAlignment w:val="center"/>
              <w:rPr>
                <w:rFonts w:ascii="仿宋" w:hAnsi="仿宋" w:eastAsia="仿宋" w:cs="仿宋"/>
                <w:color w:val="auto"/>
                <w:kern w:val="0"/>
                <w:szCs w:val="21"/>
                <w:highlight w:val="none"/>
                <w:lang w:bidi="ar"/>
              </w:rPr>
            </w:pPr>
          </w:p>
        </w:tc>
        <w:tc>
          <w:tcPr>
            <w:tcW w:w="892" w:type="dxa"/>
            <w:tcBorders>
              <w:top w:val="single" w:color="000000" w:sz="4" w:space="0"/>
              <w:left w:val="single" w:color="000000" w:sz="4" w:space="0"/>
              <w:bottom w:val="single" w:color="000000" w:sz="4" w:space="0"/>
              <w:right w:val="single" w:color="000000" w:sz="4" w:space="0"/>
            </w:tcBorders>
            <w:noWrap w:val="0"/>
            <w:vAlign w:val="center"/>
          </w:tcPr>
          <w:p w14:paraId="227E7A89">
            <w:pPr>
              <w:widowControl/>
              <w:jc w:val="center"/>
              <w:textAlignment w:val="center"/>
              <w:rPr>
                <w:rFonts w:ascii="仿宋" w:hAnsi="仿宋" w:eastAsia="仿宋" w:cs="仿宋"/>
                <w:color w:val="auto"/>
                <w:kern w:val="0"/>
                <w:szCs w:val="21"/>
                <w:highlight w:val="none"/>
                <w:lang w:bidi="ar"/>
              </w:rPr>
            </w:pPr>
          </w:p>
        </w:tc>
        <w:tc>
          <w:tcPr>
            <w:tcW w:w="992" w:type="dxa"/>
            <w:tcBorders>
              <w:top w:val="single" w:color="000000" w:sz="4" w:space="0"/>
              <w:left w:val="single" w:color="000000" w:sz="4" w:space="0"/>
              <w:bottom w:val="single" w:color="000000" w:sz="4" w:space="0"/>
              <w:right w:val="single" w:color="000000" w:sz="4" w:space="0"/>
            </w:tcBorders>
            <w:noWrap w:val="0"/>
            <w:vAlign w:val="center"/>
          </w:tcPr>
          <w:p w14:paraId="6B09CB00">
            <w:pPr>
              <w:widowControl/>
              <w:jc w:val="center"/>
              <w:textAlignment w:val="center"/>
              <w:rPr>
                <w:rFonts w:ascii="仿宋" w:hAnsi="仿宋" w:eastAsia="仿宋" w:cs="仿宋"/>
                <w:color w:val="auto"/>
                <w:kern w:val="0"/>
                <w:szCs w:val="21"/>
                <w:highlight w:val="none"/>
                <w:lang w:bidi="ar"/>
              </w:rPr>
            </w:pPr>
          </w:p>
        </w:tc>
      </w:tr>
      <w:tr w14:paraId="71A50E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0" w:hRule="atLeast"/>
          <w:jc w:val="center"/>
        </w:trPr>
        <w:tc>
          <w:tcPr>
            <w:tcW w:w="567" w:type="dxa"/>
            <w:vMerge w:val="restart"/>
            <w:tcBorders>
              <w:top w:val="single" w:color="000000" w:sz="4" w:space="0"/>
              <w:left w:val="single" w:color="000000" w:sz="4" w:space="0"/>
              <w:bottom w:val="single" w:color="000000" w:sz="4" w:space="0"/>
              <w:right w:val="single" w:color="000000" w:sz="4" w:space="0"/>
            </w:tcBorders>
            <w:noWrap w:val="0"/>
            <w:vAlign w:val="center"/>
          </w:tcPr>
          <w:p w14:paraId="00197BE0">
            <w:pPr>
              <w:widowControl/>
              <w:jc w:val="center"/>
              <w:textAlignment w:val="center"/>
              <w:rPr>
                <w:rFonts w:ascii="仿宋" w:hAnsi="仿宋" w:eastAsia="仿宋" w:cs="仿宋"/>
                <w:color w:val="auto"/>
                <w:szCs w:val="21"/>
                <w:highlight w:val="none"/>
              </w:rPr>
            </w:pPr>
            <w:r>
              <w:rPr>
                <w:rFonts w:ascii="仿宋" w:hAnsi="仿宋" w:eastAsia="仿宋" w:cs="仿宋"/>
                <w:color w:val="auto"/>
                <w:szCs w:val="21"/>
                <w:highlight w:val="none"/>
              </w:rPr>
              <w:t>6</w:t>
            </w:r>
          </w:p>
        </w:tc>
        <w:tc>
          <w:tcPr>
            <w:tcW w:w="1418" w:type="dxa"/>
            <w:vMerge w:val="restart"/>
            <w:tcBorders>
              <w:top w:val="single" w:color="000000" w:sz="4" w:space="0"/>
              <w:left w:val="single" w:color="000000" w:sz="4" w:space="0"/>
              <w:bottom w:val="single" w:color="000000" w:sz="4" w:space="0"/>
              <w:right w:val="single" w:color="000000" w:sz="4" w:space="0"/>
            </w:tcBorders>
            <w:noWrap w:val="0"/>
            <w:vAlign w:val="center"/>
          </w:tcPr>
          <w:p w14:paraId="26DE1184">
            <w:pPr>
              <w:widowControl/>
              <w:jc w:val="center"/>
              <w:textAlignment w:val="center"/>
              <w:rPr>
                <w:rFonts w:ascii="仿宋" w:hAnsi="仿宋" w:eastAsia="仿宋" w:cs="仿宋"/>
                <w:color w:val="auto"/>
                <w:kern w:val="0"/>
                <w:szCs w:val="21"/>
                <w:highlight w:val="none"/>
                <w:lang w:bidi="ar"/>
              </w:rPr>
            </w:pPr>
            <w:r>
              <w:rPr>
                <w:rFonts w:hint="eastAsia" w:ascii="仿宋" w:hAnsi="仿宋" w:eastAsia="仿宋" w:cs="仿宋"/>
                <w:color w:val="auto"/>
                <w:kern w:val="0"/>
                <w:szCs w:val="21"/>
                <w:highlight w:val="none"/>
                <w:lang w:bidi="ar"/>
              </w:rPr>
              <w:t>新型涉网案件智勘联侦分析服务</w:t>
            </w:r>
          </w:p>
        </w:tc>
        <w:tc>
          <w:tcPr>
            <w:tcW w:w="2981" w:type="dxa"/>
            <w:gridSpan w:val="2"/>
            <w:tcBorders>
              <w:top w:val="single" w:color="000000" w:sz="4" w:space="0"/>
              <w:left w:val="single" w:color="000000" w:sz="4" w:space="0"/>
              <w:bottom w:val="single" w:color="000000" w:sz="4" w:space="0"/>
              <w:right w:val="single" w:color="000000" w:sz="4" w:space="0"/>
            </w:tcBorders>
            <w:noWrap w:val="0"/>
            <w:vAlign w:val="center"/>
          </w:tcPr>
          <w:p w14:paraId="1303A5C2">
            <w:pPr>
              <w:widowControl/>
              <w:jc w:val="center"/>
              <w:textAlignment w:val="center"/>
              <w:rPr>
                <w:rFonts w:ascii="仿宋" w:hAnsi="仿宋" w:eastAsia="仿宋" w:cs="仿宋"/>
                <w:color w:val="auto"/>
                <w:szCs w:val="21"/>
                <w:highlight w:val="none"/>
              </w:rPr>
            </w:pPr>
            <w:r>
              <w:rPr>
                <w:rFonts w:hint="eastAsia" w:ascii="仿宋" w:hAnsi="仿宋" w:eastAsia="仿宋" w:cs="仿宋"/>
                <w:color w:val="auto"/>
                <w:kern w:val="0"/>
                <w:szCs w:val="21"/>
                <w:highlight w:val="none"/>
                <w:lang w:bidi="ar"/>
              </w:rPr>
              <w:t>提供取证数据深度智能分析、研判支撑等服务，</w:t>
            </w:r>
            <w:r>
              <w:rPr>
                <w:rFonts w:hint="eastAsia" w:ascii="仿宋" w:hAnsi="仿宋" w:eastAsia="仿宋" w:cs="仿宋"/>
                <w:color w:val="auto"/>
                <w:kern w:val="0"/>
                <w:szCs w:val="21"/>
                <w:highlight w:val="none"/>
                <w:lang w:bidi="ar"/>
              </w:rPr>
              <w:t>提供不少于</w:t>
            </w:r>
            <w:r>
              <w:rPr>
                <w:rFonts w:hint="eastAsia" w:ascii="仿宋" w:hAnsi="仿宋" w:eastAsia="仿宋" w:cs="仿宋"/>
                <w:color w:val="auto"/>
                <w:kern w:val="0"/>
                <w:szCs w:val="21"/>
                <w:highlight w:val="none"/>
                <w:lang w:val="en-US" w:eastAsia="zh-CN" w:bidi="ar"/>
              </w:rPr>
              <w:t>6</w:t>
            </w:r>
            <w:r>
              <w:rPr>
                <w:rFonts w:hint="eastAsia" w:ascii="仿宋" w:hAnsi="仿宋" w:eastAsia="仿宋" w:cs="仿宋"/>
                <w:color w:val="auto"/>
                <w:kern w:val="0"/>
                <w:szCs w:val="21"/>
                <w:highlight w:val="none"/>
                <w:lang w:bidi="ar"/>
              </w:rPr>
              <w:t>个案件服务，输出分析报告</w:t>
            </w:r>
            <w:r>
              <w:rPr>
                <w:rFonts w:hint="eastAsia" w:ascii="仿宋" w:hAnsi="仿宋" w:eastAsia="仿宋" w:cs="仿宋"/>
                <w:color w:val="auto"/>
                <w:kern w:val="0"/>
                <w:szCs w:val="21"/>
                <w:highlight w:val="none"/>
                <w:lang w:val="en-US" w:eastAsia="zh-CN" w:bidi="ar"/>
              </w:rPr>
              <w:t>9</w:t>
            </w:r>
            <w:r>
              <w:rPr>
                <w:rFonts w:hint="eastAsia" w:ascii="仿宋" w:hAnsi="仿宋" w:eastAsia="仿宋" w:cs="仿宋"/>
                <w:color w:val="auto"/>
                <w:kern w:val="0"/>
                <w:szCs w:val="21"/>
                <w:highlight w:val="none"/>
                <w:lang w:bidi="ar"/>
              </w:rPr>
              <w:t>份</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14:paraId="24FD9CF5">
            <w:pPr>
              <w:widowControl/>
              <w:jc w:val="center"/>
              <w:textAlignment w:val="center"/>
              <w:rPr>
                <w:rFonts w:ascii="仿宋" w:hAnsi="仿宋" w:eastAsia="仿宋" w:cs="仿宋"/>
                <w:color w:val="auto"/>
                <w:kern w:val="0"/>
                <w:szCs w:val="21"/>
                <w:highlight w:val="none"/>
                <w:lang w:bidi="ar"/>
              </w:rPr>
            </w:pPr>
            <w:r>
              <w:rPr>
                <w:rFonts w:hint="eastAsia" w:ascii="仿宋" w:hAnsi="仿宋" w:eastAsia="仿宋" w:cs="仿宋"/>
                <w:color w:val="auto"/>
                <w:kern w:val="0"/>
                <w:szCs w:val="21"/>
                <w:highlight w:val="none"/>
                <w:lang w:bidi="ar"/>
              </w:rPr>
              <w:t>C类报告</w:t>
            </w:r>
          </w:p>
        </w:tc>
        <w:tc>
          <w:tcPr>
            <w:tcW w:w="733" w:type="dxa"/>
            <w:tcBorders>
              <w:top w:val="single" w:color="000000" w:sz="4" w:space="0"/>
              <w:left w:val="single" w:color="000000" w:sz="4" w:space="0"/>
              <w:bottom w:val="single" w:color="000000" w:sz="4" w:space="0"/>
              <w:right w:val="single" w:color="000000" w:sz="4" w:space="0"/>
            </w:tcBorders>
            <w:noWrap w:val="0"/>
            <w:vAlign w:val="center"/>
          </w:tcPr>
          <w:p w14:paraId="10F9523E">
            <w:pPr>
              <w:jc w:val="center"/>
              <w:rPr>
                <w:color w:val="auto"/>
                <w:highlight w:val="none"/>
              </w:rPr>
            </w:pPr>
            <w:r>
              <w:rPr>
                <w:rFonts w:hint="eastAsia" w:ascii="仿宋" w:hAnsi="仿宋" w:eastAsia="仿宋" w:cs="仿宋"/>
                <w:b/>
                <w:bCs/>
                <w:color w:val="auto"/>
                <w:kern w:val="0"/>
                <w:szCs w:val="21"/>
                <w:highlight w:val="none"/>
                <w:lang w:bidi="ar"/>
              </w:rPr>
              <w:t>份</w:t>
            </w:r>
          </w:p>
        </w:tc>
        <w:tc>
          <w:tcPr>
            <w:tcW w:w="867" w:type="dxa"/>
            <w:tcBorders>
              <w:top w:val="single" w:color="000000" w:sz="4" w:space="0"/>
              <w:left w:val="single" w:color="000000" w:sz="4" w:space="0"/>
              <w:bottom w:val="single" w:color="000000" w:sz="4" w:space="0"/>
              <w:right w:val="single" w:color="000000" w:sz="4" w:space="0"/>
            </w:tcBorders>
            <w:noWrap w:val="0"/>
            <w:vAlign w:val="center"/>
          </w:tcPr>
          <w:p w14:paraId="7623138F">
            <w:pPr>
              <w:widowControl/>
              <w:jc w:val="center"/>
              <w:textAlignment w:val="center"/>
              <w:rPr>
                <w:rFonts w:hint="eastAsia" w:ascii="仿宋" w:hAnsi="仿宋" w:eastAsia="仿宋" w:cs="仿宋"/>
                <w:b/>
                <w:bCs/>
                <w:color w:val="auto"/>
                <w:szCs w:val="21"/>
                <w:highlight w:val="none"/>
                <w:lang w:eastAsia="zh-CN"/>
              </w:rPr>
            </w:pPr>
            <w:r>
              <w:rPr>
                <w:rFonts w:hint="eastAsia" w:ascii="仿宋" w:hAnsi="仿宋" w:eastAsia="仿宋" w:cs="仿宋"/>
                <w:b/>
                <w:bCs/>
                <w:color w:val="auto"/>
                <w:kern w:val="0"/>
                <w:szCs w:val="21"/>
                <w:highlight w:val="none"/>
                <w:lang w:val="en-US" w:eastAsia="zh-CN" w:bidi="ar"/>
              </w:rPr>
              <w:t>9</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14:paraId="61B2E40E">
            <w:pPr>
              <w:widowControl/>
              <w:jc w:val="center"/>
              <w:textAlignment w:val="center"/>
              <w:rPr>
                <w:rFonts w:ascii="仿宋" w:hAnsi="仿宋" w:eastAsia="仿宋" w:cs="仿宋"/>
                <w:color w:val="auto"/>
                <w:kern w:val="0"/>
                <w:szCs w:val="21"/>
                <w:highlight w:val="none"/>
                <w:lang w:bidi="ar"/>
              </w:rPr>
            </w:pPr>
          </w:p>
        </w:tc>
        <w:tc>
          <w:tcPr>
            <w:tcW w:w="892" w:type="dxa"/>
            <w:tcBorders>
              <w:top w:val="single" w:color="000000" w:sz="4" w:space="0"/>
              <w:left w:val="single" w:color="000000" w:sz="4" w:space="0"/>
              <w:bottom w:val="single" w:color="000000" w:sz="4" w:space="0"/>
              <w:right w:val="single" w:color="000000" w:sz="4" w:space="0"/>
            </w:tcBorders>
            <w:noWrap w:val="0"/>
            <w:vAlign w:val="center"/>
          </w:tcPr>
          <w:p w14:paraId="4469B7D7">
            <w:pPr>
              <w:widowControl/>
              <w:jc w:val="center"/>
              <w:textAlignment w:val="center"/>
              <w:rPr>
                <w:rFonts w:ascii="仿宋" w:hAnsi="仿宋" w:eastAsia="仿宋" w:cs="仿宋"/>
                <w:color w:val="auto"/>
                <w:kern w:val="0"/>
                <w:szCs w:val="21"/>
                <w:highlight w:val="none"/>
                <w:lang w:bidi="ar"/>
              </w:rPr>
            </w:pPr>
          </w:p>
        </w:tc>
        <w:tc>
          <w:tcPr>
            <w:tcW w:w="992" w:type="dxa"/>
            <w:tcBorders>
              <w:top w:val="single" w:color="000000" w:sz="4" w:space="0"/>
              <w:left w:val="single" w:color="000000" w:sz="4" w:space="0"/>
              <w:bottom w:val="single" w:color="000000" w:sz="4" w:space="0"/>
              <w:right w:val="single" w:color="000000" w:sz="4" w:space="0"/>
            </w:tcBorders>
            <w:noWrap w:val="0"/>
            <w:vAlign w:val="center"/>
          </w:tcPr>
          <w:p w14:paraId="36431CE4">
            <w:pPr>
              <w:widowControl/>
              <w:jc w:val="center"/>
              <w:textAlignment w:val="center"/>
              <w:rPr>
                <w:rFonts w:ascii="仿宋" w:hAnsi="仿宋" w:eastAsia="仿宋" w:cs="仿宋"/>
                <w:color w:val="auto"/>
                <w:kern w:val="0"/>
                <w:szCs w:val="21"/>
                <w:highlight w:val="none"/>
                <w:lang w:bidi="ar"/>
              </w:rPr>
            </w:pPr>
          </w:p>
        </w:tc>
      </w:tr>
      <w:tr w14:paraId="41F5B3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0" w:hRule="atLeast"/>
          <w:jc w:val="center"/>
        </w:trPr>
        <w:tc>
          <w:tcPr>
            <w:tcW w:w="567" w:type="dxa"/>
            <w:vMerge w:val="continue"/>
            <w:tcBorders>
              <w:top w:val="single" w:color="000000" w:sz="4" w:space="0"/>
              <w:left w:val="single" w:color="000000" w:sz="4" w:space="0"/>
              <w:bottom w:val="single" w:color="000000" w:sz="4" w:space="0"/>
              <w:right w:val="single" w:color="000000" w:sz="4" w:space="0"/>
            </w:tcBorders>
            <w:noWrap w:val="0"/>
            <w:vAlign w:val="center"/>
          </w:tcPr>
          <w:p w14:paraId="5D00F717">
            <w:pPr>
              <w:widowControl/>
              <w:spacing w:beforeAutospacing="1" w:afterAutospacing="1"/>
              <w:jc w:val="left"/>
              <w:rPr>
                <w:rFonts w:ascii="仿宋" w:hAnsi="仿宋" w:eastAsia="仿宋" w:cs="仿宋"/>
                <w:color w:val="auto"/>
                <w:szCs w:val="21"/>
                <w:highlight w:val="none"/>
              </w:rPr>
            </w:pPr>
          </w:p>
        </w:tc>
        <w:tc>
          <w:tcPr>
            <w:tcW w:w="1418" w:type="dxa"/>
            <w:vMerge w:val="continue"/>
            <w:tcBorders>
              <w:top w:val="single" w:color="000000" w:sz="4" w:space="0"/>
              <w:left w:val="single" w:color="000000" w:sz="4" w:space="0"/>
              <w:bottom w:val="single" w:color="000000" w:sz="4" w:space="0"/>
              <w:right w:val="single" w:color="000000" w:sz="4" w:space="0"/>
            </w:tcBorders>
            <w:noWrap w:val="0"/>
            <w:vAlign w:val="top"/>
          </w:tcPr>
          <w:p w14:paraId="5707D4B9">
            <w:pPr>
              <w:widowControl/>
              <w:spacing w:beforeAutospacing="1" w:afterAutospacing="1"/>
              <w:jc w:val="left"/>
              <w:rPr>
                <w:rFonts w:ascii="仿宋" w:hAnsi="仿宋" w:eastAsia="仿宋" w:cs="仿宋"/>
                <w:color w:val="auto"/>
                <w:kern w:val="0"/>
                <w:szCs w:val="21"/>
                <w:highlight w:val="none"/>
                <w:lang w:bidi="ar"/>
              </w:rPr>
            </w:pPr>
          </w:p>
        </w:tc>
        <w:tc>
          <w:tcPr>
            <w:tcW w:w="2981" w:type="dxa"/>
            <w:gridSpan w:val="2"/>
            <w:tcBorders>
              <w:top w:val="single" w:color="000000" w:sz="4" w:space="0"/>
              <w:left w:val="single" w:color="000000" w:sz="4" w:space="0"/>
              <w:bottom w:val="single" w:color="000000" w:sz="4" w:space="0"/>
              <w:right w:val="single" w:color="000000" w:sz="4" w:space="0"/>
            </w:tcBorders>
            <w:noWrap w:val="0"/>
            <w:vAlign w:val="center"/>
          </w:tcPr>
          <w:p w14:paraId="53880B0E">
            <w:pPr>
              <w:widowControl/>
              <w:jc w:val="center"/>
              <w:textAlignment w:val="center"/>
              <w:rPr>
                <w:rFonts w:ascii="仿宋" w:hAnsi="仿宋" w:eastAsia="仿宋" w:cs="仿宋"/>
                <w:color w:val="auto"/>
                <w:szCs w:val="21"/>
                <w:highlight w:val="none"/>
              </w:rPr>
            </w:pPr>
            <w:r>
              <w:rPr>
                <w:rFonts w:hint="eastAsia" w:ascii="仿宋" w:hAnsi="仿宋" w:eastAsia="仿宋" w:cs="仿宋"/>
                <w:color w:val="auto"/>
                <w:kern w:val="0"/>
                <w:szCs w:val="21"/>
                <w:highlight w:val="none"/>
                <w:lang w:bidi="ar"/>
              </w:rPr>
              <w:t>提供涉案数据推送、数据信息查询等服务，</w:t>
            </w:r>
            <w:r>
              <w:rPr>
                <w:rFonts w:hint="eastAsia" w:ascii="仿宋" w:hAnsi="仿宋" w:eastAsia="仿宋" w:cs="仿宋"/>
                <w:color w:val="auto"/>
                <w:kern w:val="0"/>
                <w:szCs w:val="21"/>
                <w:highlight w:val="none"/>
                <w:lang w:bidi="ar"/>
              </w:rPr>
              <w:t>提供不少于5个案件服务，输出分析报告</w:t>
            </w:r>
            <w:r>
              <w:rPr>
                <w:rFonts w:hint="eastAsia" w:ascii="仿宋" w:hAnsi="仿宋" w:eastAsia="仿宋" w:cs="仿宋"/>
                <w:color w:val="auto"/>
                <w:kern w:val="0"/>
                <w:szCs w:val="21"/>
                <w:highlight w:val="none"/>
                <w:lang w:val="en-US" w:eastAsia="zh-CN" w:bidi="ar"/>
              </w:rPr>
              <w:t>8</w:t>
            </w:r>
            <w:r>
              <w:rPr>
                <w:rFonts w:hint="eastAsia" w:ascii="仿宋" w:hAnsi="仿宋" w:eastAsia="仿宋" w:cs="仿宋"/>
                <w:color w:val="auto"/>
                <w:kern w:val="0"/>
                <w:szCs w:val="21"/>
                <w:highlight w:val="none"/>
                <w:lang w:bidi="ar"/>
              </w:rPr>
              <w:t>份</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14:paraId="3FAA29EA">
            <w:pPr>
              <w:widowControl/>
              <w:jc w:val="center"/>
              <w:textAlignment w:val="center"/>
              <w:rPr>
                <w:rFonts w:ascii="仿宋" w:hAnsi="仿宋" w:eastAsia="仿宋" w:cs="仿宋"/>
                <w:color w:val="auto"/>
                <w:kern w:val="0"/>
                <w:szCs w:val="21"/>
                <w:highlight w:val="none"/>
                <w:lang w:bidi="ar"/>
              </w:rPr>
            </w:pPr>
            <w:r>
              <w:rPr>
                <w:rFonts w:hint="eastAsia" w:ascii="仿宋" w:hAnsi="仿宋" w:eastAsia="仿宋" w:cs="仿宋"/>
                <w:color w:val="auto"/>
                <w:kern w:val="0"/>
                <w:szCs w:val="21"/>
                <w:highlight w:val="none"/>
                <w:lang w:bidi="ar"/>
              </w:rPr>
              <w:t>C类报告</w:t>
            </w:r>
          </w:p>
        </w:tc>
        <w:tc>
          <w:tcPr>
            <w:tcW w:w="733" w:type="dxa"/>
            <w:tcBorders>
              <w:top w:val="single" w:color="000000" w:sz="4" w:space="0"/>
              <w:left w:val="single" w:color="000000" w:sz="4" w:space="0"/>
              <w:bottom w:val="single" w:color="000000" w:sz="4" w:space="0"/>
              <w:right w:val="single" w:color="000000" w:sz="4" w:space="0"/>
            </w:tcBorders>
            <w:noWrap w:val="0"/>
            <w:vAlign w:val="center"/>
          </w:tcPr>
          <w:p w14:paraId="653CD02C">
            <w:pPr>
              <w:jc w:val="center"/>
              <w:rPr>
                <w:color w:val="auto"/>
                <w:highlight w:val="none"/>
              </w:rPr>
            </w:pPr>
            <w:r>
              <w:rPr>
                <w:rFonts w:hint="eastAsia" w:ascii="仿宋" w:hAnsi="仿宋" w:eastAsia="仿宋" w:cs="仿宋"/>
                <w:b/>
                <w:bCs/>
                <w:color w:val="auto"/>
                <w:kern w:val="0"/>
                <w:szCs w:val="21"/>
                <w:highlight w:val="none"/>
                <w:lang w:bidi="ar"/>
              </w:rPr>
              <w:t>份</w:t>
            </w:r>
          </w:p>
        </w:tc>
        <w:tc>
          <w:tcPr>
            <w:tcW w:w="867" w:type="dxa"/>
            <w:tcBorders>
              <w:top w:val="single" w:color="000000" w:sz="4" w:space="0"/>
              <w:left w:val="single" w:color="000000" w:sz="4" w:space="0"/>
              <w:bottom w:val="single" w:color="000000" w:sz="4" w:space="0"/>
              <w:right w:val="single" w:color="000000" w:sz="4" w:space="0"/>
            </w:tcBorders>
            <w:noWrap w:val="0"/>
            <w:vAlign w:val="center"/>
          </w:tcPr>
          <w:p w14:paraId="7CF846B2">
            <w:pPr>
              <w:widowControl/>
              <w:jc w:val="center"/>
              <w:textAlignment w:val="center"/>
              <w:rPr>
                <w:rFonts w:hint="default" w:ascii="仿宋" w:hAnsi="仿宋" w:eastAsia="仿宋" w:cs="仿宋"/>
                <w:b/>
                <w:bCs/>
                <w:color w:val="auto"/>
                <w:szCs w:val="21"/>
                <w:highlight w:val="none"/>
                <w:lang w:val="en-US" w:eastAsia="zh-CN"/>
              </w:rPr>
            </w:pPr>
            <w:r>
              <w:rPr>
                <w:rFonts w:hint="eastAsia" w:ascii="仿宋" w:hAnsi="仿宋" w:eastAsia="仿宋" w:cs="仿宋"/>
                <w:b/>
                <w:bCs/>
                <w:color w:val="auto"/>
                <w:szCs w:val="21"/>
                <w:highlight w:val="none"/>
                <w:lang w:val="en-US" w:eastAsia="zh-CN"/>
              </w:rPr>
              <w:t>8</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14:paraId="2B7BBD17">
            <w:pPr>
              <w:widowControl/>
              <w:jc w:val="center"/>
              <w:textAlignment w:val="center"/>
              <w:rPr>
                <w:rFonts w:ascii="仿宋" w:hAnsi="仿宋" w:eastAsia="仿宋" w:cs="仿宋"/>
                <w:color w:val="auto"/>
                <w:kern w:val="0"/>
                <w:szCs w:val="21"/>
                <w:highlight w:val="none"/>
                <w:lang w:bidi="ar"/>
              </w:rPr>
            </w:pPr>
          </w:p>
        </w:tc>
        <w:tc>
          <w:tcPr>
            <w:tcW w:w="892" w:type="dxa"/>
            <w:tcBorders>
              <w:top w:val="single" w:color="000000" w:sz="4" w:space="0"/>
              <w:left w:val="single" w:color="000000" w:sz="4" w:space="0"/>
              <w:bottom w:val="single" w:color="000000" w:sz="4" w:space="0"/>
              <w:right w:val="single" w:color="000000" w:sz="4" w:space="0"/>
            </w:tcBorders>
            <w:noWrap w:val="0"/>
            <w:vAlign w:val="center"/>
          </w:tcPr>
          <w:p w14:paraId="313FD37C">
            <w:pPr>
              <w:widowControl/>
              <w:jc w:val="center"/>
              <w:textAlignment w:val="center"/>
              <w:rPr>
                <w:rFonts w:ascii="仿宋" w:hAnsi="仿宋" w:eastAsia="仿宋" w:cs="仿宋"/>
                <w:color w:val="auto"/>
                <w:kern w:val="0"/>
                <w:szCs w:val="21"/>
                <w:highlight w:val="none"/>
                <w:lang w:bidi="ar"/>
              </w:rPr>
            </w:pPr>
          </w:p>
        </w:tc>
        <w:tc>
          <w:tcPr>
            <w:tcW w:w="992" w:type="dxa"/>
            <w:tcBorders>
              <w:top w:val="single" w:color="000000" w:sz="4" w:space="0"/>
              <w:left w:val="single" w:color="000000" w:sz="4" w:space="0"/>
              <w:bottom w:val="single" w:color="000000" w:sz="4" w:space="0"/>
              <w:right w:val="single" w:color="000000" w:sz="4" w:space="0"/>
            </w:tcBorders>
            <w:noWrap w:val="0"/>
            <w:vAlign w:val="center"/>
          </w:tcPr>
          <w:p w14:paraId="6AE5F952">
            <w:pPr>
              <w:widowControl/>
              <w:jc w:val="center"/>
              <w:textAlignment w:val="center"/>
              <w:rPr>
                <w:rFonts w:ascii="仿宋" w:hAnsi="仿宋" w:eastAsia="仿宋" w:cs="仿宋"/>
                <w:color w:val="auto"/>
                <w:kern w:val="0"/>
                <w:szCs w:val="21"/>
                <w:highlight w:val="none"/>
                <w:lang w:bidi="ar"/>
              </w:rPr>
            </w:pPr>
          </w:p>
        </w:tc>
      </w:tr>
      <w:tr w14:paraId="50CF16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68" w:hRule="atLeast"/>
          <w:jc w:val="center"/>
        </w:trPr>
        <w:tc>
          <w:tcPr>
            <w:tcW w:w="4927" w:type="dxa"/>
            <w:gridSpan w:val="3"/>
            <w:tcBorders>
              <w:top w:val="single" w:color="000000" w:sz="4" w:space="0"/>
              <w:left w:val="single" w:color="000000" w:sz="4" w:space="0"/>
              <w:bottom w:val="single" w:color="000000" w:sz="4" w:space="0"/>
              <w:right w:val="single" w:color="000000" w:sz="4" w:space="0"/>
            </w:tcBorders>
            <w:noWrap w:val="0"/>
            <w:vAlign w:val="center"/>
          </w:tcPr>
          <w:p w14:paraId="478C2C4E">
            <w:pPr>
              <w:snapToGrid w:val="0"/>
              <w:spacing w:line="360" w:lineRule="auto"/>
              <w:jc w:val="center"/>
              <w:rPr>
                <w:rFonts w:ascii="仿宋" w:hAnsi="仿宋" w:eastAsia="仿宋" w:cs="仿宋"/>
                <w:b/>
                <w:color w:val="auto"/>
                <w:kern w:val="0"/>
                <w:szCs w:val="21"/>
                <w:highlight w:val="none"/>
              </w:rPr>
            </w:pPr>
            <w:r>
              <w:rPr>
                <w:rFonts w:hint="eastAsia" w:ascii="仿宋" w:hAnsi="仿宋" w:eastAsia="仿宋" w:cs="仿宋"/>
                <w:b/>
                <w:bCs/>
                <w:color w:val="auto"/>
                <w:kern w:val="0"/>
                <w:sz w:val="24"/>
                <w:highlight w:val="none"/>
              </w:rPr>
              <w:t>投标报价（小写）人民币  元</w:t>
            </w:r>
          </w:p>
        </w:tc>
        <w:tc>
          <w:tcPr>
            <w:tcW w:w="5366" w:type="dxa"/>
            <w:gridSpan w:val="7"/>
            <w:tcBorders>
              <w:top w:val="single" w:color="000000" w:sz="4" w:space="0"/>
              <w:left w:val="single" w:color="000000" w:sz="4" w:space="0"/>
              <w:bottom w:val="single" w:color="000000" w:sz="4" w:space="0"/>
              <w:right w:val="single" w:color="000000" w:sz="4" w:space="0"/>
            </w:tcBorders>
            <w:noWrap w:val="0"/>
            <w:vAlign w:val="center"/>
          </w:tcPr>
          <w:p w14:paraId="78599EFA">
            <w:pPr>
              <w:jc w:val="center"/>
              <w:textAlignment w:val="center"/>
              <w:rPr>
                <w:rFonts w:ascii="仿宋" w:hAnsi="仿宋" w:eastAsia="仿宋" w:cs="仿宋"/>
                <w:b/>
                <w:bCs/>
                <w:color w:val="auto"/>
                <w:kern w:val="0"/>
                <w:szCs w:val="21"/>
                <w:highlight w:val="none"/>
                <w:lang w:bidi="ar"/>
              </w:rPr>
            </w:pPr>
          </w:p>
        </w:tc>
      </w:tr>
      <w:tr w14:paraId="7A0D7C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68" w:hRule="atLeast"/>
          <w:jc w:val="center"/>
        </w:trPr>
        <w:tc>
          <w:tcPr>
            <w:tcW w:w="4927" w:type="dxa"/>
            <w:gridSpan w:val="3"/>
            <w:tcBorders>
              <w:top w:val="single" w:color="000000" w:sz="4" w:space="0"/>
              <w:left w:val="single" w:color="000000" w:sz="4" w:space="0"/>
              <w:bottom w:val="single" w:color="000000" w:sz="4" w:space="0"/>
              <w:right w:val="single" w:color="000000" w:sz="4" w:space="0"/>
            </w:tcBorders>
            <w:noWrap w:val="0"/>
            <w:vAlign w:val="center"/>
          </w:tcPr>
          <w:p w14:paraId="19C40156">
            <w:pPr>
              <w:snapToGrid w:val="0"/>
              <w:spacing w:line="360" w:lineRule="auto"/>
              <w:jc w:val="center"/>
              <w:rPr>
                <w:rFonts w:ascii="仿宋" w:hAnsi="仿宋" w:eastAsia="仿宋" w:cs="仿宋"/>
                <w:b/>
                <w:color w:val="auto"/>
                <w:kern w:val="0"/>
                <w:szCs w:val="21"/>
                <w:highlight w:val="none"/>
              </w:rPr>
            </w:pPr>
            <w:r>
              <w:rPr>
                <w:rFonts w:hint="eastAsia" w:ascii="仿宋" w:hAnsi="仿宋" w:eastAsia="仿宋" w:cs="仿宋"/>
                <w:b/>
                <w:bCs/>
                <w:color w:val="auto"/>
                <w:kern w:val="0"/>
                <w:sz w:val="24"/>
                <w:highlight w:val="none"/>
              </w:rPr>
              <w:t>投标报价（大写）人民币  元</w:t>
            </w:r>
          </w:p>
        </w:tc>
        <w:tc>
          <w:tcPr>
            <w:tcW w:w="5366" w:type="dxa"/>
            <w:gridSpan w:val="7"/>
            <w:tcBorders>
              <w:top w:val="single" w:color="000000" w:sz="4" w:space="0"/>
              <w:left w:val="single" w:color="000000" w:sz="4" w:space="0"/>
              <w:bottom w:val="single" w:color="000000" w:sz="4" w:space="0"/>
              <w:right w:val="single" w:color="000000" w:sz="4" w:space="0"/>
            </w:tcBorders>
            <w:noWrap w:val="0"/>
            <w:vAlign w:val="center"/>
          </w:tcPr>
          <w:p w14:paraId="3E8B369B">
            <w:pPr>
              <w:jc w:val="center"/>
              <w:textAlignment w:val="center"/>
              <w:rPr>
                <w:rFonts w:ascii="仿宋" w:hAnsi="仿宋" w:eastAsia="仿宋" w:cs="仿宋"/>
                <w:b/>
                <w:bCs/>
                <w:color w:val="auto"/>
                <w:kern w:val="0"/>
                <w:szCs w:val="21"/>
                <w:highlight w:val="none"/>
                <w:lang w:bidi="ar"/>
              </w:rPr>
            </w:pPr>
          </w:p>
        </w:tc>
      </w:tr>
      <w:tr w14:paraId="74AC1F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93" w:hRule="atLeast"/>
          <w:jc w:val="center"/>
        </w:trPr>
        <w:tc>
          <w:tcPr>
            <w:tcW w:w="10293" w:type="dxa"/>
            <w:gridSpan w:val="10"/>
            <w:tcBorders>
              <w:top w:val="single" w:color="000000" w:sz="4" w:space="0"/>
              <w:left w:val="single" w:color="000000" w:sz="4" w:space="0"/>
              <w:bottom w:val="single" w:color="000000" w:sz="4" w:space="0"/>
              <w:right w:val="single" w:color="000000" w:sz="4" w:space="0"/>
            </w:tcBorders>
            <w:noWrap w:val="0"/>
            <w:vAlign w:val="center"/>
          </w:tcPr>
          <w:p w14:paraId="24C4CC95">
            <w:pPr>
              <w:spacing w:line="360" w:lineRule="auto"/>
              <w:jc w:val="center"/>
              <w:textAlignment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备注：其中中小企业合同金额为</w:t>
            </w:r>
            <w:r>
              <w:rPr>
                <w:rFonts w:hint="eastAsia" w:ascii="仿宋" w:hAnsi="仿宋" w:eastAsia="仿宋" w:cs="仿宋"/>
                <w:color w:val="auto"/>
                <w:kern w:val="0"/>
                <w:szCs w:val="21"/>
                <w:highlight w:val="none"/>
                <w:u w:val="single"/>
              </w:rPr>
              <w:t xml:space="preserve">   </w:t>
            </w:r>
            <w:r>
              <w:rPr>
                <w:rFonts w:ascii="仿宋" w:hAnsi="仿宋" w:eastAsia="仿宋" w:cs="仿宋"/>
                <w:color w:val="auto"/>
                <w:kern w:val="0"/>
                <w:szCs w:val="21"/>
                <w:highlight w:val="none"/>
                <w:u w:val="single"/>
              </w:rPr>
              <w:t xml:space="preserve"> </w:t>
            </w:r>
            <w:r>
              <w:rPr>
                <w:rFonts w:hint="eastAsia" w:ascii="仿宋" w:hAnsi="仿宋" w:eastAsia="仿宋" w:cs="仿宋"/>
                <w:color w:val="auto"/>
                <w:kern w:val="0"/>
                <w:szCs w:val="21"/>
                <w:highlight w:val="none"/>
                <w:u w:val="single"/>
              </w:rPr>
              <w:t xml:space="preserve">    </w:t>
            </w:r>
            <w:r>
              <w:rPr>
                <w:rFonts w:hint="eastAsia" w:ascii="仿宋" w:hAnsi="仿宋" w:eastAsia="仿宋" w:cs="仿宋"/>
                <w:color w:val="auto"/>
                <w:kern w:val="0"/>
                <w:szCs w:val="21"/>
                <w:highlight w:val="none"/>
              </w:rPr>
              <w:t>元，占合同总价的</w:t>
            </w:r>
            <w:r>
              <w:rPr>
                <w:rFonts w:hint="eastAsia" w:ascii="仿宋" w:hAnsi="仿宋" w:eastAsia="仿宋" w:cs="仿宋"/>
                <w:color w:val="auto"/>
                <w:kern w:val="0"/>
                <w:szCs w:val="21"/>
                <w:highlight w:val="none"/>
                <w:u w:val="single"/>
              </w:rPr>
              <w:t xml:space="preserve">  </w:t>
            </w:r>
            <w:r>
              <w:rPr>
                <w:rFonts w:ascii="仿宋" w:hAnsi="仿宋" w:eastAsia="仿宋" w:cs="仿宋"/>
                <w:color w:val="auto"/>
                <w:kern w:val="0"/>
                <w:szCs w:val="21"/>
                <w:highlight w:val="none"/>
                <w:u w:val="single"/>
              </w:rPr>
              <w:t xml:space="preserve">  </w:t>
            </w:r>
            <w:r>
              <w:rPr>
                <w:rFonts w:hint="eastAsia" w:ascii="仿宋" w:hAnsi="仿宋" w:eastAsia="仿宋" w:cs="仿宋"/>
                <w:color w:val="auto"/>
                <w:kern w:val="0"/>
                <w:szCs w:val="21"/>
                <w:highlight w:val="none"/>
                <w:u w:val="single"/>
              </w:rPr>
              <w:t xml:space="preserve">   </w:t>
            </w:r>
            <w:r>
              <w:rPr>
                <w:rFonts w:hint="eastAsia" w:ascii="仿宋" w:hAnsi="仿宋" w:eastAsia="仿宋" w:cs="仿宋"/>
                <w:color w:val="auto"/>
                <w:kern w:val="0"/>
                <w:szCs w:val="21"/>
                <w:highlight w:val="none"/>
              </w:rPr>
              <w:t>%；</w:t>
            </w:r>
          </w:p>
          <w:p w14:paraId="09290F3D">
            <w:pPr>
              <w:spacing w:line="360" w:lineRule="auto"/>
              <w:jc w:val="center"/>
              <w:textAlignment w:val="center"/>
              <w:rPr>
                <w:rFonts w:ascii="仿宋" w:hAnsi="仿宋" w:eastAsia="仿宋" w:cs="仿宋"/>
                <w:b/>
                <w:bCs/>
                <w:color w:val="auto"/>
                <w:kern w:val="0"/>
                <w:szCs w:val="21"/>
                <w:highlight w:val="none"/>
                <w:lang w:bidi="ar"/>
              </w:rPr>
            </w:pPr>
            <w:r>
              <w:rPr>
                <w:rFonts w:hint="eastAsia" w:ascii="仿宋" w:hAnsi="仿宋" w:eastAsia="仿宋" w:cs="仿宋"/>
                <w:color w:val="auto"/>
                <w:kern w:val="0"/>
                <w:szCs w:val="21"/>
                <w:highlight w:val="none"/>
              </w:rPr>
              <w:t>小微企业合同金额为</w:t>
            </w:r>
            <w:r>
              <w:rPr>
                <w:rFonts w:hint="eastAsia" w:ascii="仿宋" w:hAnsi="仿宋" w:eastAsia="仿宋" w:cs="仿宋"/>
                <w:color w:val="auto"/>
                <w:kern w:val="0"/>
                <w:szCs w:val="21"/>
                <w:highlight w:val="none"/>
                <w:u w:val="single"/>
              </w:rPr>
              <w:t xml:space="preserve">    </w:t>
            </w:r>
            <w:r>
              <w:rPr>
                <w:rFonts w:ascii="仿宋" w:hAnsi="仿宋" w:eastAsia="仿宋" w:cs="仿宋"/>
                <w:color w:val="auto"/>
                <w:kern w:val="0"/>
                <w:szCs w:val="21"/>
                <w:highlight w:val="none"/>
                <w:u w:val="single"/>
              </w:rPr>
              <w:t xml:space="preserve"> </w:t>
            </w:r>
            <w:r>
              <w:rPr>
                <w:rFonts w:hint="eastAsia" w:ascii="仿宋" w:hAnsi="仿宋" w:eastAsia="仿宋" w:cs="仿宋"/>
                <w:color w:val="auto"/>
                <w:kern w:val="0"/>
                <w:szCs w:val="21"/>
                <w:highlight w:val="none"/>
                <w:u w:val="single"/>
              </w:rPr>
              <w:t xml:space="preserve">   </w:t>
            </w:r>
            <w:r>
              <w:rPr>
                <w:rFonts w:hint="eastAsia" w:ascii="仿宋" w:hAnsi="仿宋" w:eastAsia="仿宋" w:cs="仿宋"/>
                <w:color w:val="auto"/>
                <w:kern w:val="0"/>
                <w:szCs w:val="21"/>
                <w:highlight w:val="none"/>
              </w:rPr>
              <w:t>元，占合同总价的</w:t>
            </w:r>
            <w:r>
              <w:rPr>
                <w:rFonts w:hint="eastAsia" w:ascii="仿宋" w:hAnsi="仿宋" w:eastAsia="仿宋" w:cs="仿宋"/>
                <w:color w:val="auto"/>
                <w:kern w:val="0"/>
                <w:szCs w:val="21"/>
                <w:highlight w:val="none"/>
                <w:u w:val="single"/>
              </w:rPr>
              <w:t xml:space="preserve">   </w:t>
            </w:r>
            <w:r>
              <w:rPr>
                <w:rFonts w:ascii="仿宋" w:hAnsi="仿宋" w:eastAsia="仿宋" w:cs="仿宋"/>
                <w:color w:val="auto"/>
                <w:kern w:val="0"/>
                <w:szCs w:val="21"/>
                <w:highlight w:val="none"/>
                <w:u w:val="single"/>
              </w:rPr>
              <w:t xml:space="preserve">   </w:t>
            </w:r>
            <w:r>
              <w:rPr>
                <w:rFonts w:hint="eastAsia" w:ascii="仿宋" w:hAnsi="仿宋" w:eastAsia="仿宋" w:cs="仿宋"/>
                <w:color w:val="auto"/>
                <w:kern w:val="0"/>
                <w:szCs w:val="21"/>
                <w:highlight w:val="none"/>
                <w:u w:val="single"/>
              </w:rPr>
              <w:t xml:space="preserve">  </w:t>
            </w:r>
            <w:r>
              <w:rPr>
                <w:rFonts w:hint="eastAsia" w:ascii="仿宋" w:hAnsi="仿宋" w:eastAsia="仿宋" w:cs="仿宋"/>
                <w:color w:val="auto"/>
                <w:kern w:val="0"/>
                <w:szCs w:val="21"/>
                <w:highlight w:val="none"/>
              </w:rPr>
              <w:t>%。</w:t>
            </w:r>
          </w:p>
        </w:tc>
      </w:tr>
    </w:tbl>
    <w:p w14:paraId="5C3D56B3">
      <w:pPr>
        <w:pStyle w:val="30"/>
        <w:rPr>
          <w:rFonts w:hint="eastAsia"/>
          <w:color w:val="auto"/>
          <w:highlight w:val="none"/>
          <w:lang w:val="zh-CN"/>
        </w:rPr>
      </w:pPr>
    </w:p>
    <w:p w14:paraId="36499891">
      <w:pPr>
        <w:snapToGrid w:val="0"/>
        <w:spacing w:line="360" w:lineRule="auto"/>
        <w:ind w:left="480"/>
        <w:rPr>
          <w:rFonts w:hint="eastAsia" w:ascii="仿宋" w:hAnsi="仿宋" w:eastAsia="仿宋" w:cs="仿宋"/>
          <w:b/>
          <w:color w:val="auto"/>
          <w:kern w:val="0"/>
          <w:sz w:val="24"/>
          <w:highlight w:val="none"/>
          <w:lang w:val="zh-CN"/>
        </w:rPr>
      </w:pPr>
      <w:r>
        <w:rPr>
          <w:rFonts w:hint="eastAsia" w:ascii="仿宋" w:hAnsi="仿宋" w:eastAsia="仿宋" w:cs="仿宋"/>
          <w:b/>
          <w:color w:val="auto"/>
          <w:kern w:val="0"/>
          <w:sz w:val="24"/>
          <w:highlight w:val="none"/>
          <w:lang w:val="zh-CN"/>
        </w:rPr>
        <w:t>注：</w:t>
      </w:r>
    </w:p>
    <w:p w14:paraId="17F7792F">
      <w:pPr>
        <w:keepNext w:val="0"/>
        <w:keepLines w:val="0"/>
        <w:pageBreakBefore w:val="0"/>
        <w:widowControl w:val="0"/>
        <w:kinsoku/>
        <w:wordWrap/>
        <w:overflowPunct/>
        <w:topLinePunct w:val="0"/>
        <w:autoSpaceDE/>
        <w:autoSpaceDN/>
        <w:bidi w:val="0"/>
        <w:adjustRightInd w:val="0"/>
        <w:snapToGrid w:val="0"/>
        <w:spacing w:line="300" w:lineRule="auto"/>
        <w:ind w:left="-2" w:leftChars="-1" w:firstLine="480" w:firstLineChars="200"/>
        <w:textAlignment w:val="auto"/>
        <w:rPr>
          <w:rFonts w:hint="eastAsia"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1、投标人需按本表格式填写</w:t>
      </w:r>
      <w:r>
        <w:rPr>
          <w:rFonts w:hint="eastAsia" w:ascii="仿宋" w:hAnsi="仿宋" w:eastAsia="仿宋" w:cs="仿宋"/>
          <w:b/>
          <w:color w:val="auto"/>
          <w:kern w:val="0"/>
          <w:sz w:val="24"/>
          <w:highlight w:val="none"/>
          <w:lang w:val="zh-CN"/>
        </w:rPr>
        <w:t>，</w:t>
      </w:r>
      <w:r>
        <w:rPr>
          <w:rFonts w:hint="eastAsia" w:ascii="仿宋" w:hAnsi="仿宋" w:eastAsia="仿宋" w:cs="仿宋"/>
          <w:b/>
          <w:color w:val="auto"/>
          <w:kern w:val="0"/>
          <w:sz w:val="24"/>
          <w:highlight w:val="none"/>
        </w:rPr>
        <w:t>否则视为</w:t>
      </w:r>
      <w:r>
        <w:rPr>
          <w:rFonts w:hint="eastAsia" w:ascii="仿宋" w:hAnsi="仿宋" w:eastAsia="仿宋" w:cs="仿宋"/>
          <w:b/>
          <w:color w:val="auto"/>
          <w:sz w:val="24"/>
          <w:highlight w:val="none"/>
        </w:rPr>
        <w:t>投标文件含有采购人不能接受的附加条件，投标无效</w:t>
      </w:r>
      <w:r>
        <w:rPr>
          <w:rFonts w:hint="eastAsia" w:ascii="仿宋" w:hAnsi="仿宋" w:eastAsia="仿宋" w:cs="仿宋"/>
          <w:b/>
          <w:color w:val="auto"/>
          <w:kern w:val="0"/>
          <w:sz w:val="24"/>
          <w:highlight w:val="none"/>
          <w:lang w:val="zh-CN"/>
        </w:rPr>
        <w:t>；</w:t>
      </w:r>
    </w:p>
    <w:p w14:paraId="23A71CB5">
      <w:pPr>
        <w:keepNext w:val="0"/>
        <w:keepLines w:val="0"/>
        <w:pageBreakBefore w:val="0"/>
        <w:widowControl w:val="0"/>
        <w:kinsoku/>
        <w:wordWrap/>
        <w:overflowPunct/>
        <w:topLinePunct w:val="0"/>
        <w:autoSpaceDE/>
        <w:autoSpaceDN/>
        <w:bidi w:val="0"/>
        <w:adjustRightInd w:val="0"/>
        <w:snapToGrid w:val="0"/>
        <w:spacing w:line="300" w:lineRule="auto"/>
        <w:ind w:firstLine="480" w:firstLineChars="200"/>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lang w:val="zh-CN"/>
        </w:rPr>
        <w:t>2、有关本项目实施所涉及的一切费用均计入报价。采购人不得向供应商索要或者接受供应商给予的赠品、回扣或者与采购无关的其他商品、服务；如供应商承诺提供赠品、回扣、采购预算中本身不包含的其他商品或服务，视作无效承诺，不得因无效承诺对供应商实行差别待遇或者歧视待遇，也不得将其作为中标（成交）条件或者合同签订条件；总价不为零，部分产品、服务单价为零的，视作已包含在总价中。</w:t>
      </w:r>
      <w:r>
        <w:rPr>
          <w:rFonts w:hint="eastAsia" w:ascii="仿宋" w:hAnsi="仿宋" w:eastAsia="仿宋" w:cs="仿宋"/>
          <w:b/>
          <w:color w:val="auto"/>
          <w:kern w:val="0"/>
          <w:sz w:val="24"/>
          <w:highlight w:val="none"/>
          <w:lang w:val="zh-CN"/>
        </w:rPr>
        <w:t>采购内容未包含在《开标一览表（报价表）》名称栏中，投标人不能作出合理解释的，</w:t>
      </w:r>
      <w:r>
        <w:rPr>
          <w:rFonts w:hint="eastAsia" w:ascii="仿宋" w:hAnsi="仿宋" w:eastAsia="仿宋" w:cs="仿宋"/>
          <w:b/>
          <w:color w:val="auto"/>
          <w:kern w:val="0"/>
          <w:sz w:val="24"/>
          <w:highlight w:val="none"/>
        </w:rPr>
        <w:t>视为</w:t>
      </w:r>
      <w:r>
        <w:rPr>
          <w:rFonts w:hint="eastAsia" w:ascii="仿宋" w:hAnsi="仿宋" w:eastAsia="仿宋" w:cs="仿宋"/>
          <w:b/>
          <w:color w:val="auto"/>
          <w:sz w:val="24"/>
          <w:highlight w:val="none"/>
        </w:rPr>
        <w:t>投标文件含有采购人不能接受的附加条件的，投标无效。</w:t>
      </w:r>
    </w:p>
    <w:p w14:paraId="19181F6C">
      <w:pPr>
        <w:keepNext w:val="0"/>
        <w:keepLines w:val="0"/>
        <w:pageBreakBefore w:val="0"/>
        <w:widowControl w:val="0"/>
        <w:kinsoku/>
        <w:wordWrap/>
        <w:overflowPunct/>
        <w:topLinePunct w:val="0"/>
        <w:autoSpaceDE/>
        <w:autoSpaceDN/>
        <w:bidi w:val="0"/>
        <w:adjustRightInd w:val="0"/>
        <w:snapToGrid w:val="0"/>
        <w:spacing w:line="300" w:lineRule="auto"/>
        <w:ind w:firstLine="480" w:firstLineChars="200"/>
        <w:jc w:val="left"/>
        <w:textAlignment w:val="auto"/>
        <w:rPr>
          <w:rFonts w:hint="eastAsia"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3、特别提示：采购代理机构将对项目名称和项目编号，中标供应商名称、地址和中标金额，主要中标标的名称、服务范围、服务要求、服务时间、服务标准等予以公示。</w:t>
      </w:r>
    </w:p>
    <w:p w14:paraId="31504E3E">
      <w:pPr>
        <w:pStyle w:val="97"/>
        <w:rPr>
          <w:rFonts w:hint="eastAsia"/>
          <w:color w:val="auto"/>
          <w:highlight w:val="none"/>
        </w:rPr>
      </w:pPr>
    </w:p>
    <w:p w14:paraId="0B43702A">
      <w:pPr>
        <w:keepNext w:val="0"/>
        <w:pageBreakBefore w:val="0"/>
        <w:snapToGrid w:val="0"/>
        <w:spacing w:before="120" w:after="120"/>
        <w:outlineLvl w:val="9"/>
        <w:rPr>
          <w:rFonts w:hint="eastAsia" w:ascii="仿宋" w:hAnsi="仿宋" w:eastAsia="仿宋" w:cs="仿宋"/>
          <w:color w:val="auto"/>
          <w:kern w:val="2"/>
          <w:sz w:val="32"/>
          <w:szCs w:val="32"/>
          <w:highlight w:val="none"/>
        </w:rPr>
      </w:pPr>
      <w:r>
        <w:rPr>
          <w:rFonts w:hint="eastAsia" w:ascii="仿宋" w:hAnsi="仿宋" w:eastAsia="仿宋" w:cs="仿宋"/>
          <w:color w:val="auto"/>
          <w:kern w:val="2"/>
          <w:sz w:val="32"/>
          <w:szCs w:val="32"/>
          <w:highlight w:val="none"/>
        </w:rPr>
        <w:br w:type="page"/>
      </w:r>
    </w:p>
    <w:p w14:paraId="07CF85A5">
      <w:pPr>
        <w:pStyle w:val="710"/>
        <w:keepNext w:val="0"/>
        <w:pageBreakBefore w:val="0"/>
        <w:tabs>
          <w:tab w:val="clear" w:pos="720"/>
        </w:tabs>
        <w:snapToGrid w:val="0"/>
        <w:spacing w:before="120" w:after="120"/>
        <w:ind w:firstLine="643"/>
        <w:outlineLvl w:val="9"/>
        <w:rPr>
          <w:rFonts w:hint="eastAsia" w:ascii="仿宋" w:hAnsi="仿宋" w:eastAsia="仿宋" w:cs="仿宋"/>
          <w:color w:val="auto"/>
          <w:kern w:val="2"/>
          <w:sz w:val="32"/>
          <w:szCs w:val="32"/>
          <w:highlight w:val="none"/>
        </w:rPr>
      </w:pPr>
    </w:p>
    <w:p w14:paraId="4A4DD5B0">
      <w:pPr>
        <w:pStyle w:val="710"/>
        <w:keepNext w:val="0"/>
        <w:pageBreakBefore w:val="0"/>
        <w:tabs>
          <w:tab w:val="clear" w:pos="720"/>
        </w:tabs>
        <w:snapToGrid w:val="0"/>
        <w:spacing w:before="120" w:after="120"/>
        <w:ind w:firstLine="643"/>
        <w:outlineLvl w:val="9"/>
        <w:rPr>
          <w:rFonts w:hint="eastAsia" w:ascii="仿宋" w:hAnsi="仿宋" w:eastAsia="仿宋" w:cs="仿宋"/>
          <w:color w:val="auto"/>
          <w:kern w:val="2"/>
          <w:sz w:val="32"/>
          <w:szCs w:val="32"/>
          <w:highlight w:val="none"/>
        </w:rPr>
      </w:pPr>
      <w:r>
        <w:rPr>
          <w:rFonts w:hint="eastAsia" w:ascii="仿宋" w:hAnsi="仿宋" w:eastAsia="仿宋" w:cs="仿宋"/>
          <w:color w:val="auto"/>
          <w:kern w:val="2"/>
          <w:sz w:val="32"/>
          <w:szCs w:val="32"/>
          <w:highlight w:val="none"/>
          <w:lang w:val="en-US" w:eastAsia="zh-CN"/>
        </w:rPr>
        <w:t>二、</w:t>
      </w:r>
      <w:r>
        <w:rPr>
          <w:rFonts w:hint="eastAsia" w:ascii="仿宋" w:hAnsi="仿宋" w:eastAsia="仿宋" w:cs="仿宋"/>
          <w:color w:val="auto"/>
          <w:kern w:val="2"/>
          <w:sz w:val="32"/>
          <w:szCs w:val="32"/>
          <w:highlight w:val="none"/>
        </w:rPr>
        <w:t>报价情况说明（如果有）</w:t>
      </w:r>
    </w:p>
    <w:p w14:paraId="441FDD13">
      <w:pPr>
        <w:widowControl/>
        <w:spacing w:line="360" w:lineRule="auto"/>
        <w:ind w:firstLine="120" w:firstLineChars="50"/>
        <w:jc w:val="left"/>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（如供应商报价低于项目预算50%的，应当提交本文档，详细阐述不影响产品质量或者诚信履约的具体原因。）</w:t>
      </w:r>
    </w:p>
    <w:p w14:paraId="1B47C537">
      <w:pPr>
        <w:pStyle w:val="710"/>
        <w:keepNext w:val="0"/>
        <w:pageBreakBefore w:val="0"/>
        <w:tabs>
          <w:tab w:val="clear" w:pos="720"/>
        </w:tabs>
        <w:snapToGrid w:val="0"/>
        <w:spacing w:before="120" w:after="120"/>
        <w:ind w:firstLine="643"/>
        <w:outlineLvl w:val="9"/>
        <w:rPr>
          <w:rFonts w:hint="eastAsia" w:ascii="仿宋" w:hAnsi="仿宋" w:eastAsia="仿宋" w:cs="仿宋"/>
          <w:color w:val="auto"/>
          <w:kern w:val="2"/>
          <w:sz w:val="32"/>
          <w:szCs w:val="32"/>
          <w:highlight w:val="none"/>
        </w:rPr>
      </w:pPr>
    </w:p>
    <w:p w14:paraId="1DA46C55">
      <w:pPr>
        <w:pStyle w:val="710"/>
        <w:keepNext w:val="0"/>
        <w:pageBreakBefore w:val="0"/>
        <w:tabs>
          <w:tab w:val="clear" w:pos="720"/>
        </w:tabs>
        <w:snapToGrid w:val="0"/>
        <w:spacing w:before="120" w:after="120"/>
        <w:ind w:firstLine="643"/>
        <w:outlineLvl w:val="9"/>
        <w:rPr>
          <w:rFonts w:hint="eastAsia" w:ascii="仿宋" w:hAnsi="仿宋" w:eastAsia="仿宋" w:cs="仿宋"/>
          <w:color w:val="auto"/>
          <w:kern w:val="2"/>
          <w:sz w:val="32"/>
          <w:szCs w:val="32"/>
          <w:highlight w:val="none"/>
        </w:rPr>
      </w:pPr>
    </w:p>
    <w:p w14:paraId="7DF148FD">
      <w:pPr>
        <w:spacing w:line="360" w:lineRule="auto"/>
        <w:ind w:right="420" w:firstLine="3614" w:firstLineChars="1000"/>
        <w:rPr>
          <w:rFonts w:hint="eastAsia" w:ascii="仿宋" w:hAnsi="仿宋" w:eastAsia="仿宋" w:cs="仿宋"/>
          <w:b/>
          <w:color w:val="auto"/>
          <w:kern w:val="0"/>
          <w:sz w:val="36"/>
          <w:szCs w:val="36"/>
          <w:highlight w:val="none"/>
        </w:rPr>
      </w:pPr>
    </w:p>
    <w:p w14:paraId="3A9D4E10">
      <w:pPr>
        <w:spacing w:line="360" w:lineRule="auto"/>
        <w:ind w:right="420" w:firstLine="3614" w:firstLineChars="1000"/>
        <w:rPr>
          <w:rFonts w:hint="eastAsia" w:ascii="仿宋" w:hAnsi="仿宋" w:eastAsia="仿宋" w:cs="仿宋"/>
          <w:b/>
          <w:color w:val="auto"/>
          <w:kern w:val="0"/>
          <w:sz w:val="36"/>
          <w:szCs w:val="36"/>
          <w:highlight w:val="none"/>
        </w:rPr>
      </w:pPr>
    </w:p>
    <w:p w14:paraId="61FD54DB">
      <w:pPr>
        <w:spacing w:line="360" w:lineRule="auto"/>
        <w:ind w:right="420" w:firstLine="3614" w:firstLineChars="1000"/>
        <w:rPr>
          <w:rFonts w:hint="eastAsia" w:ascii="仿宋" w:hAnsi="仿宋" w:eastAsia="仿宋" w:cs="仿宋"/>
          <w:b/>
          <w:color w:val="auto"/>
          <w:kern w:val="0"/>
          <w:sz w:val="36"/>
          <w:szCs w:val="36"/>
          <w:highlight w:val="none"/>
        </w:rPr>
      </w:pPr>
    </w:p>
    <w:p w14:paraId="0039EE7B">
      <w:pPr>
        <w:spacing w:line="360" w:lineRule="auto"/>
        <w:ind w:right="420" w:firstLine="3614" w:firstLineChars="1000"/>
        <w:rPr>
          <w:rFonts w:hint="eastAsia" w:ascii="仿宋" w:hAnsi="仿宋" w:eastAsia="仿宋" w:cs="仿宋"/>
          <w:b/>
          <w:color w:val="auto"/>
          <w:kern w:val="0"/>
          <w:sz w:val="36"/>
          <w:szCs w:val="36"/>
          <w:highlight w:val="none"/>
        </w:rPr>
      </w:pPr>
    </w:p>
    <w:p w14:paraId="06520416">
      <w:pPr>
        <w:pStyle w:val="4"/>
        <w:keepNext w:val="0"/>
        <w:keepLines w:val="0"/>
        <w:pageBreakBefore/>
        <w:widowControl/>
        <w:kinsoku/>
        <w:wordWrap/>
        <w:overflowPunct/>
        <w:topLinePunct w:val="0"/>
        <w:autoSpaceDE/>
        <w:autoSpaceDN/>
        <w:bidi w:val="0"/>
        <w:adjustRightInd w:val="0"/>
        <w:snapToGrid/>
        <w:spacing w:before="100" w:beforeAutospacing="1" w:after="100" w:afterAutospacing="1" w:line="360" w:lineRule="auto"/>
        <w:ind w:left="0" w:firstLine="0" w:firstLineChars="0"/>
        <w:jc w:val="both"/>
        <w:textAlignment w:val="auto"/>
        <w:outlineLvl w:val="1"/>
        <w:rPr>
          <w:rFonts w:hint="eastAsia" w:ascii="仿宋" w:hAnsi="仿宋" w:eastAsia="仿宋" w:cs="仿宋"/>
          <w:color w:val="auto"/>
          <w:sz w:val="36"/>
          <w:szCs w:val="36"/>
          <w:highlight w:val="none"/>
        </w:rPr>
      </w:pPr>
      <w:r>
        <w:rPr>
          <w:rFonts w:hint="eastAsia" w:ascii="仿宋" w:hAnsi="仿宋" w:eastAsia="仿宋" w:cs="仿宋"/>
          <w:color w:val="auto"/>
          <w:sz w:val="36"/>
          <w:szCs w:val="36"/>
          <w:highlight w:val="none"/>
        </w:rPr>
        <w:t>附件</w:t>
      </w:r>
    </w:p>
    <w:p w14:paraId="007386E9">
      <w:pPr>
        <w:spacing w:line="360" w:lineRule="auto"/>
        <w:rPr>
          <w:rFonts w:hint="eastAsia" w:ascii="仿宋" w:hAnsi="仿宋" w:eastAsia="仿宋" w:cs="仿宋"/>
          <w:b/>
          <w:color w:val="auto"/>
          <w:spacing w:val="6"/>
          <w:sz w:val="32"/>
          <w:szCs w:val="32"/>
          <w:highlight w:val="none"/>
        </w:rPr>
      </w:pPr>
      <w:r>
        <w:rPr>
          <w:rFonts w:hint="eastAsia" w:ascii="仿宋" w:hAnsi="仿宋" w:eastAsia="仿宋" w:cs="仿宋"/>
          <w:b/>
          <w:color w:val="auto"/>
          <w:spacing w:val="6"/>
          <w:sz w:val="32"/>
          <w:szCs w:val="32"/>
          <w:highlight w:val="none"/>
        </w:rPr>
        <w:t>附件1：</w:t>
      </w:r>
    </w:p>
    <w:p w14:paraId="271AA11A">
      <w:pPr>
        <w:spacing w:line="360" w:lineRule="auto"/>
        <w:jc w:val="center"/>
        <w:rPr>
          <w:rFonts w:hint="eastAsia" w:ascii="仿宋" w:hAnsi="仿宋" w:eastAsia="仿宋" w:cs="仿宋"/>
          <w:b/>
          <w:color w:val="auto"/>
          <w:spacing w:val="6"/>
          <w:sz w:val="32"/>
          <w:szCs w:val="32"/>
          <w:highlight w:val="none"/>
        </w:rPr>
      </w:pPr>
      <w:bookmarkStart w:id="529" w:name="OLE_LINK14"/>
      <w:bookmarkStart w:id="530" w:name="OLE_LINK13"/>
      <w:r>
        <w:rPr>
          <w:rFonts w:hint="eastAsia" w:ascii="仿宋" w:hAnsi="仿宋" w:eastAsia="仿宋" w:cs="仿宋"/>
          <w:b/>
          <w:color w:val="auto"/>
          <w:spacing w:val="6"/>
          <w:sz w:val="32"/>
          <w:szCs w:val="32"/>
          <w:highlight w:val="none"/>
        </w:rPr>
        <w:t>残疾人福利性单位声明函</w:t>
      </w:r>
    </w:p>
    <w:bookmarkEnd w:id="529"/>
    <w:bookmarkEnd w:id="530"/>
    <w:p w14:paraId="731EF961">
      <w:pPr>
        <w:spacing w:line="360" w:lineRule="auto"/>
        <w:rPr>
          <w:rFonts w:hint="eastAsia" w:ascii="仿宋" w:hAnsi="仿宋" w:eastAsia="仿宋" w:cs="仿宋"/>
          <w:b/>
          <w:color w:val="auto"/>
          <w:spacing w:val="6"/>
          <w:sz w:val="30"/>
          <w:szCs w:val="30"/>
          <w:highlight w:val="none"/>
        </w:rPr>
      </w:pPr>
    </w:p>
    <w:p w14:paraId="1A10210D">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本单位郑重声明，根据《财政部 民政部 中国残疾人联合会关于促进残疾人就业政府采购政策的通知》（财库〔2017〕 141号）的规定，本单位为符合条件的残疾人福利性单位，且本单位参加_</w:t>
      </w:r>
      <w:r>
        <w:rPr>
          <w:rFonts w:hint="eastAsia" w:ascii="仿宋" w:hAnsi="仿宋" w:eastAsia="仿宋" w:cs="仿宋"/>
          <w:color w:val="auto"/>
          <w:sz w:val="24"/>
          <w:highlight w:val="none"/>
          <w:u w:val="single"/>
        </w:rPr>
        <w:t>(采购人)</w:t>
      </w:r>
      <w:r>
        <w:rPr>
          <w:rFonts w:hint="eastAsia" w:ascii="仿宋" w:hAnsi="仿宋" w:eastAsia="仿宋" w:cs="仿宋"/>
          <w:color w:val="auto"/>
          <w:sz w:val="24"/>
          <w:highlight w:val="none"/>
        </w:rPr>
        <w:t>_单位的_</w:t>
      </w:r>
      <w:r>
        <w:rPr>
          <w:rFonts w:hint="eastAsia" w:ascii="仿宋" w:hAnsi="仿宋" w:eastAsia="仿宋" w:cs="仿宋"/>
          <w:color w:val="auto"/>
          <w:sz w:val="24"/>
          <w:highlight w:val="none"/>
          <w:u w:val="single"/>
          <w:lang w:eastAsia="zh-CN"/>
        </w:rPr>
        <w:t>反诈专项（涉网新型犯罪侦防数据服务）</w:t>
      </w:r>
      <w:r>
        <w:rPr>
          <w:rFonts w:hint="eastAsia" w:ascii="仿宋" w:hAnsi="仿宋" w:eastAsia="仿宋" w:cs="仿宋"/>
          <w:color w:val="auto"/>
          <w:sz w:val="24"/>
          <w:highlight w:val="none"/>
        </w:rPr>
        <w:t>__项目采购活动提供本单位制造的货物（由本单位承担工程/提供服务），或者提供其他残疾人福利性单位制造的货物（不包括使用非残疾人福利性单位注册商标的货物）。</w:t>
      </w:r>
    </w:p>
    <w:p w14:paraId="6D424D64">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本单位对上述声明的真实性负责。如有虚假，将依法承担相应责任。</w:t>
      </w:r>
    </w:p>
    <w:p w14:paraId="0CBAC6A7">
      <w:pPr>
        <w:spacing w:line="360" w:lineRule="auto"/>
        <w:ind w:firstLine="480" w:firstLineChars="200"/>
        <w:rPr>
          <w:rFonts w:hint="eastAsia" w:ascii="仿宋" w:hAnsi="仿宋" w:eastAsia="仿宋" w:cs="仿宋"/>
          <w:color w:val="auto"/>
          <w:sz w:val="24"/>
          <w:highlight w:val="none"/>
        </w:rPr>
      </w:pPr>
    </w:p>
    <w:p w14:paraId="77C076C0">
      <w:pPr>
        <w:spacing w:line="360" w:lineRule="auto"/>
        <w:ind w:firstLine="480" w:firstLineChars="200"/>
        <w:rPr>
          <w:rFonts w:hint="eastAsia" w:ascii="仿宋" w:hAnsi="仿宋" w:eastAsia="仿宋" w:cs="仿宋"/>
          <w:color w:val="auto"/>
          <w:sz w:val="24"/>
          <w:highlight w:val="none"/>
        </w:rPr>
      </w:pPr>
    </w:p>
    <w:p w14:paraId="32AA5366">
      <w:pPr>
        <w:tabs>
          <w:tab w:val="left" w:pos="4860"/>
        </w:tabs>
        <w:spacing w:line="360" w:lineRule="auto"/>
        <w:ind w:right="1560" w:firstLine="480" w:firstLineChars="200"/>
        <w:jc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lang w:val="zh-CN"/>
        </w:rPr>
        <w:t>投标人名称（电子签名）</w:t>
      </w:r>
      <w:r>
        <w:rPr>
          <w:rFonts w:hint="eastAsia" w:ascii="仿宋" w:hAnsi="仿宋" w:eastAsia="仿宋" w:cs="仿宋"/>
          <w:color w:val="auto"/>
          <w:sz w:val="24"/>
          <w:highlight w:val="none"/>
        </w:rPr>
        <w:t>：</w:t>
      </w:r>
    </w:p>
    <w:p w14:paraId="04860D7B">
      <w:pPr>
        <w:tabs>
          <w:tab w:val="left" w:pos="4860"/>
        </w:tabs>
        <w:spacing w:line="360" w:lineRule="auto"/>
        <w:ind w:right="1560" w:firstLine="480" w:firstLineChars="20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日  期：</w:t>
      </w:r>
    </w:p>
    <w:p w14:paraId="6C1BA4D2">
      <w:pPr>
        <w:spacing w:line="360" w:lineRule="auto"/>
        <w:ind w:firstLine="480" w:firstLineChars="200"/>
        <w:rPr>
          <w:rFonts w:hint="eastAsia" w:ascii="仿宋" w:hAnsi="仿宋" w:eastAsia="仿宋" w:cs="仿宋"/>
          <w:color w:val="auto"/>
          <w:sz w:val="24"/>
          <w:highlight w:val="none"/>
        </w:rPr>
      </w:pPr>
    </w:p>
    <w:p w14:paraId="1B2AA6E3">
      <w:pPr>
        <w:spacing w:line="360" w:lineRule="auto"/>
        <w:ind w:firstLine="420" w:firstLineChars="200"/>
        <w:rPr>
          <w:rFonts w:hint="eastAsia" w:ascii="仿宋" w:hAnsi="仿宋" w:eastAsia="仿宋" w:cs="仿宋"/>
          <w:color w:val="auto"/>
          <w:highlight w:val="none"/>
        </w:rPr>
      </w:pPr>
    </w:p>
    <w:p w14:paraId="48F917F7">
      <w:pPr>
        <w:spacing w:line="360" w:lineRule="auto"/>
        <w:rPr>
          <w:rFonts w:hint="eastAsia" w:ascii="仿宋" w:hAnsi="仿宋" w:eastAsia="仿宋" w:cs="仿宋"/>
          <w:b/>
          <w:color w:val="auto"/>
          <w:sz w:val="24"/>
          <w:highlight w:val="none"/>
        </w:rPr>
      </w:pPr>
    </w:p>
    <w:p w14:paraId="79248F83">
      <w:pPr>
        <w:spacing w:line="360" w:lineRule="auto"/>
        <w:rPr>
          <w:rFonts w:hint="eastAsia" w:ascii="仿宋" w:hAnsi="仿宋" w:eastAsia="仿宋" w:cs="仿宋"/>
          <w:b/>
          <w:color w:val="auto"/>
          <w:sz w:val="24"/>
          <w:highlight w:val="none"/>
        </w:rPr>
      </w:pPr>
    </w:p>
    <w:p w14:paraId="405D4552">
      <w:pPr>
        <w:spacing w:line="360" w:lineRule="auto"/>
        <w:rPr>
          <w:rFonts w:hint="eastAsia" w:ascii="仿宋" w:hAnsi="仿宋" w:eastAsia="仿宋" w:cs="仿宋"/>
          <w:b/>
          <w:color w:val="auto"/>
          <w:sz w:val="24"/>
          <w:highlight w:val="none"/>
        </w:rPr>
      </w:pPr>
    </w:p>
    <w:p w14:paraId="51048B30">
      <w:pPr>
        <w:spacing w:line="360" w:lineRule="auto"/>
        <w:rPr>
          <w:rFonts w:hint="eastAsia" w:ascii="仿宋" w:hAnsi="仿宋" w:eastAsia="仿宋" w:cs="仿宋"/>
          <w:b/>
          <w:color w:val="auto"/>
          <w:sz w:val="24"/>
          <w:highlight w:val="none"/>
        </w:rPr>
      </w:pPr>
    </w:p>
    <w:p w14:paraId="5C075491">
      <w:pPr>
        <w:spacing w:line="360" w:lineRule="auto"/>
        <w:rPr>
          <w:rFonts w:hint="eastAsia" w:ascii="仿宋" w:hAnsi="仿宋" w:eastAsia="仿宋" w:cs="仿宋"/>
          <w:b/>
          <w:color w:val="auto"/>
          <w:sz w:val="24"/>
          <w:highlight w:val="none"/>
        </w:rPr>
      </w:pPr>
    </w:p>
    <w:p w14:paraId="177D2DE1">
      <w:pPr>
        <w:rPr>
          <w:rFonts w:hint="eastAsia" w:ascii="仿宋" w:hAnsi="仿宋" w:eastAsia="仿宋" w:cs="仿宋"/>
          <w:b/>
          <w:color w:val="auto"/>
          <w:sz w:val="24"/>
          <w:highlight w:val="none"/>
        </w:rPr>
      </w:pPr>
      <w:r>
        <w:rPr>
          <w:rFonts w:hint="eastAsia" w:ascii="仿宋" w:hAnsi="仿宋" w:eastAsia="仿宋" w:cs="仿宋"/>
          <w:b/>
          <w:color w:val="auto"/>
          <w:sz w:val="24"/>
          <w:highlight w:val="none"/>
        </w:rPr>
        <w:br w:type="page"/>
      </w:r>
    </w:p>
    <w:p w14:paraId="7DC8E8FB">
      <w:pPr>
        <w:pStyle w:val="30"/>
        <w:rPr>
          <w:rFonts w:hint="eastAsia" w:ascii="仿宋" w:hAnsi="仿宋" w:eastAsia="仿宋" w:cs="仿宋"/>
          <w:color w:val="auto"/>
          <w:highlight w:val="none"/>
        </w:rPr>
      </w:pPr>
    </w:p>
    <w:p w14:paraId="2165AD99">
      <w:pPr>
        <w:spacing w:line="360" w:lineRule="auto"/>
        <w:jc w:val="left"/>
        <w:rPr>
          <w:rFonts w:hint="eastAsia" w:ascii="仿宋" w:hAnsi="仿宋" w:eastAsia="仿宋" w:cs="仿宋"/>
          <w:b/>
          <w:color w:val="auto"/>
          <w:spacing w:val="6"/>
          <w:sz w:val="32"/>
          <w:szCs w:val="32"/>
          <w:highlight w:val="none"/>
        </w:rPr>
      </w:pPr>
      <w:r>
        <w:rPr>
          <w:rFonts w:hint="eastAsia" w:ascii="仿宋" w:hAnsi="仿宋" w:eastAsia="仿宋" w:cs="仿宋"/>
          <w:b/>
          <w:color w:val="auto"/>
          <w:spacing w:val="6"/>
          <w:sz w:val="32"/>
          <w:szCs w:val="32"/>
          <w:highlight w:val="none"/>
        </w:rPr>
        <w:t>附件2：质疑函范本及制作说明</w:t>
      </w:r>
    </w:p>
    <w:p w14:paraId="752B0E8F">
      <w:pPr>
        <w:spacing w:line="360" w:lineRule="auto"/>
        <w:jc w:val="center"/>
        <w:rPr>
          <w:rFonts w:hint="eastAsia" w:ascii="仿宋" w:hAnsi="仿宋" w:eastAsia="仿宋" w:cs="仿宋"/>
          <w:b/>
          <w:color w:val="auto"/>
          <w:spacing w:val="6"/>
          <w:sz w:val="32"/>
          <w:szCs w:val="32"/>
          <w:highlight w:val="none"/>
        </w:rPr>
      </w:pPr>
      <w:r>
        <w:rPr>
          <w:rFonts w:hint="eastAsia" w:ascii="仿宋" w:hAnsi="仿宋" w:eastAsia="仿宋" w:cs="仿宋"/>
          <w:b/>
          <w:color w:val="auto"/>
          <w:spacing w:val="6"/>
          <w:sz w:val="32"/>
          <w:szCs w:val="32"/>
          <w:highlight w:val="none"/>
        </w:rPr>
        <w:t>质疑函范本</w:t>
      </w:r>
    </w:p>
    <w:p w14:paraId="3D9FCE2B">
      <w:pPr>
        <w:snapToGrid w:val="0"/>
        <w:spacing w:before="240" w:beforeLines="100" w:line="360" w:lineRule="auto"/>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一、质疑供应商基本信息</w:t>
      </w:r>
    </w:p>
    <w:p w14:paraId="22842CCF">
      <w:pPr>
        <w:snapToGrid w:val="0"/>
        <w:spacing w:line="360" w:lineRule="auto"/>
        <w:rPr>
          <w:rFonts w:hint="eastAsia" w:ascii="仿宋" w:hAnsi="仿宋" w:eastAsia="仿宋" w:cs="仿宋"/>
          <w:color w:val="auto"/>
          <w:sz w:val="24"/>
          <w:highlight w:val="none"/>
          <w:u w:val="dotted"/>
        </w:rPr>
      </w:pPr>
      <w:r>
        <w:rPr>
          <w:rFonts w:hint="eastAsia" w:ascii="仿宋" w:hAnsi="仿宋" w:eastAsia="仿宋" w:cs="仿宋"/>
          <w:color w:val="auto"/>
          <w:sz w:val="24"/>
          <w:highlight w:val="none"/>
        </w:rPr>
        <w:t>质疑供应商：</w:t>
      </w:r>
      <w:r>
        <w:rPr>
          <w:rFonts w:hint="eastAsia" w:ascii="仿宋" w:hAnsi="仿宋" w:eastAsia="仿宋" w:cs="仿宋"/>
          <w:color w:val="auto"/>
          <w:sz w:val="24"/>
          <w:highlight w:val="none"/>
          <w:u w:val="dotted"/>
        </w:rPr>
        <w:t xml:space="preserve">                                        </w:t>
      </w:r>
    </w:p>
    <w:p w14:paraId="21878FF6">
      <w:p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地址：</w:t>
      </w:r>
      <w:r>
        <w:rPr>
          <w:rFonts w:hint="eastAsia" w:ascii="仿宋" w:hAnsi="仿宋" w:eastAsia="仿宋" w:cs="仿宋"/>
          <w:color w:val="auto"/>
          <w:sz w:val="24"/>
          <w:highlight w:val="none"/>
          <w:u w:val="dotted"/>
        </w:rPr>
        <w:t xml:space="preserve">                          </w:t>
      </w:r>
      <w:r>
        <w:rPr>
          <w:rFonts w:hint="eastAsia" w:ascii="仿宋" w:hAnsi="仿宋" w:eastAsia="仿宋" w:cs="仿宋"/>
          <w:color w:val="auto"/>
          <w:sz w:val="24"/>
          <w:highlight w:val="none"/>
        </w:rPr>
        <w:t>邮编：</w:t>
      </w:r>
      <w:r>
        <w:rPr>
          <w:rFonts w:hint="eastAsia" w:ascii="仿宋" w:hAnsi="仿宋" w:eastAsia="仿宋" w:cs="仿宋"/>
          <w:color w:val="auto"/>
          <w:sz w:val="24"/>
          <w:highlight w:val="none"/>
          <w:u w:val="dotted"/>
        </w:rPr>
        <w:t xml:space="preserve">                                                   </w:t>
      </w:r>
    </w:p>
    <w:p w14:paraId="3A3C7A40">
      <w:p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联系人：</w:t>
      </w:r>
      <w:r>
        <w:rPr>
          <w:rFonts w:hint="eastAsia" w:ascii="仿宋" w:hAnsi="仿宋" w:eastAsia="仿宋" w:cs="仿宋"/>
          <w:color w:val="auto"/>
          <w:sz w:val="24"/>
          <w:highlight w:val="none"/>
          <w:u w:val="dotted"/>
        </w:rPr>
        <w:t xml:space="preserve">                      </w:t>
      </w:r>
      <w:r>
        <w:rPr>
          <w:rFonts w:hint="eastAsia" w:ascii="仿宋" w:hAnsi="仿宋" w:eastAsia="仿宋" w:cs="仿宋"/>
          <w:color w:val="auto"/>
          <w:sz w:val="24"/>
          <w:highlight w:val="none"/>
        </w:rPr>
        <w:t>联系电话：</w:t>
      </w:r>
      <w:r>
        <w:rPr>
          <w:rFonts w:hint="eastAsia" w:ascii="仿宋" w:hAnsi="仿宋" w:eastAsia="仿宋" w:cs="仿宋"/>
          <w:color w:val="auto"/>
          <w:sz w:val="24"/>
          <w:highlight w:val="none"/>
          <w:u w:val="dotted"/>
        </w:rPr>
        <w:t xml:space="preserve">                              </w:t>
      </w:r>
    </w:p>
    <w:p w14:paraId="43805EC1">
      <w:pPr>
        <w:snapToGrid w:val="0"/>
        <w:spacing w:line="360" w:lineRule="auto"/>
        <w:rPr>
          <w:rFonts w:hint="eastAsia" w:ascii="仿宋" w:hAnsi="仿宋" w:eastAsia="仿宋" w:cs="仿宋"/>
          <w:color w:val="auto"/>
          <w:sz w:val="24"/>
          <w:highlight w:val="none"/>
          <w:u w:val="dotted"/>
        </w:rPr>
      </w:pPr>
      <w:r>
        <w:rPr>
          <w:rFonts w:hint="eastAsia" w:ascii="仿宋" w:hAnsi="仿宋" w:eastAsia="仿宋" w:cs="仿宋"/>
          <w:color w:val="auto"/>
          <w:sz w:val="24"/>
          <w:highlight w:val="none"/>
        </w:rPr>
        <w:t>授权代表：</w:t>
      </w:r>
      <w:r>
        <w:rPr>
          <w:rFonts w:hint="eastAsia" w:ascii="仿宋" w:hAnsi="仿宋" w:eastAsia="仿宋" w:cs="仿宋"/>
          <w:color w:val="auto"/>
          <w:sz w:val="24"/>
          <w:highlight w:val="none"/>
          <w:u w:val="dotted"/>
        </w:rPr>
        <w:t xml:space="preserve">                                          </w:t>
      </w:r>
    </w:p>
    <w:p w14:paraId="222D7DA5">
      <w:p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联系电话：</w:t>
      </w:r>
      <w:r>
        <w:rPr>
          <w:rFonts w:hint="eastAsia" w:ascii="仿宋" w:hAnsi="仿宋" w:eastAsia="仿宋" w:cs="仿宋"/>
          <w:color w:val="auto"/>
          <w:sz w:val="24"/>
          <w:highlight w:val="none"/>
          <w:u w:val="dotted"/>
        </w:rPr>
        <w:t xml:space="preserve">                                           </w:t>
      </w:r>
      <w:r>
        <w:rPr>
          <w:rFonts w:hint="eastAsia" w:ascii="仿宋" w:hAnsi="仿宋" w:eastAsia="仿宋" w:cs="仿宋"/>
          <w:color w:val="auto"/>
          <w:sz w:val="24"/>
          <w:highlight w:val="none"/>
        </w:rPr>
        <w:t xml:space="preserve"> </w:t>
      </w:r>
    </w:p>
    <w:p w14:paraId="06D7A630">
      <w:p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地址： </w:t>
      </w:r>
      <w:r>
        <w:rPr>
          <w:rFonts w:hint="eastAsia" w:ascii="仿宋" w:hAnsi="仿宋" w:eastAsia="仿宋" w:cs="仿宋"/>
          <w:color w:val="auto"/>
          <w:sz w:val="24"/>
          <w:highlight w:val="none"/>
          <w:u w:val="dotted"/>
        </w:rPr>
        <w:t xml:space="preserve">                        </w:t>
      </w:r>
      <w:r>
        <w:rPr>
          <w:rFonts w:hint="eastAsia" w:ascii="仿宋" w:hAnsi="仿宋" w:eastAsia="仿宋" w:cs="仿宋"/>
          <w:color w:val="auto"/>
          <w:sz w:val="24"/>
          <w:highlight w:val="none"/>
        </w:rPr>
        <w:t>邮编：</w:t>
      </w:r>
      <w:r>
        <w:rPr>
          <w:rFonts w:hint="eastAsia" w:ascii="仿宋" w:hAnsi="仿宋" w:eastAsia="仿宋" w:cs="仿宋"/>
          <w:color w:val="auto"/>
          <w:sz w:val="24"/>
          <w:highlight w:val="none"/>
          <w:u w:val="dotted"/>
        </w:rPr>
        <w:t xml:space="preserve">                                                </w:t>
      </w:r>
    </w:p>
    <w:p w14:paraId="441A6C87">
      <w:pPr>
        <w:snapToGrid w:val="0"/>
        <w:spacing w:line="360" w:lineRule="auto"/>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二、质疑项目基本情况</w:t>
      </w:r>
    </w:p>
    <w:p w14:paraId="3DA6DEA8">
      <w:p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质疑项目的名称：</w:t>
      </w:r>
      <w:r>
        <w:rPr>
          <w:rFonts w:hint="eastAsia" w:ascii="仿宋" w:hAnsi="仿宋" w:eastAsia="仿宋" w:cs="仿宋"/>
          <w:color w:val="auto"/>
          <w:sz w:val="24"/>
          <w:highlight w:val="none"/>
          <w:u w:val="dotted"/>
        </w:rPr>
        <w:t xml:space="preserve">                                      </w:t>
      </w:r>
    </w:p>
    <w:p w14:paraId="27625B22">
      <w:p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质疑项目的编号：</w:t>
      </w:r>
      <w:r>
        <w:rPr>
          <w:rFonts w:hint="eastAsia" w:ascii="仿宋" w:hAnsi="仿宋" w:eastAsia="仿宋" w:cs="仿宋"/>
          <w:color w:val="auto"/>
          <w:sz w:val="24"/>
          <w:highlight w:val="none"/>
          <w:u w:val="dotted"/>
        </w:rPr>
        <w:t xml:space="preserve">               </w:t>
      </w:r>
      <w:r>
        <w:rPr>
          <w:rFonts w:hint="eastAsia" w:ascii="仿宋" w:hAnsi="仿宋" w:eastAsia="仿宋" w:cs="仿宋"/>
          <w:color w:val="auto"/>
          <w:sz w:val="24"/>
          <w:highlight w:val="none"/>
        </w:rPr>
        <w:t>包号：</w:t>
      </w:r>
      <w:r>
        <w:rPr>
          <w:rFonts w:hint="eastAsia" w:ascii="仿宋" w:hAnsi="仿宋" w:eastAsia="仿宋" w:cs="仿宋"/>
          <w:color w:val="auto"/>
          <w:sz w:val="24"/>
          <w:highlight w:val="none"/>
          <w:u w:val="dotted"/>
        </w:rPr>
        <w:t xml:space="preserve">                 </w:t>
      </w:r>
    </w:p>
    <w:p w14:paraId="6DC6FADB">
      <w:pPr>
        <w:snapToGrid w:val="0"/>
        <w:spacing w:line="360" w:lineRule="auto"/>
        <w:rPr>
          <w:rFonts w:hint="eastAsia" w:ascii="仿宋" w:hAnsi="仿宋" w:eastAsia="仿宋" w:cs="仿宋"/>
          <w:color w:val="auto"/>
          <w:sz w:val="24"/>
          <w:highlight w:val="none"/>
          <w:u w:val="dotted"/>
        </w:rPr>
      </w:pPr>
      <w:r>
        <w:rPr>
          <w:rFonts w:hint="eastAsia" w:ascii="仿宋" w:hAnsi="仿宋" w:eastAsia="仿宋" w:cs="仿宋"/>
          <w:color w:val="auto"/>
          <w:sz w:val="24"/>
          <w:highlight w:val="none"/>
        </w:rPr>
        <w:t>采购人名称：</w:t>
      </w:r>
      <w:r>
        <w:rPr>
          <w:rFonts w:hint="eastAsia" w:ascii="仿宋" w:hAnsi="仿宋" w:eastAsia="仿宋" w:cs="仿宋"/>
          <w:color w:val="auto"/>
          <w:sz w:val="24"/>
          <w:highlight w:val="none"/>
          <w:u w:val="dotted"/>
        </w:rPr>
        <w:t xml:space="preserve">                                         </w:t>
      </w:r>
    </w:p>
    <w:p w14:paraId="414BA207">
      <w:p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采购文件获取日期：</w:t>
      </w:r>
      <w:r>
        <w:rPr>
          <w:rFonts w:hint="eastAsia" w:ascii="仿宋" w:hAnsi="仿宋" w:eastAsia="仿宋" w:cs="仿宋"/>
          <w:color w:val="auto"/>
          <w:sz w:val="24"/>
          <w:highlight w:val="none"/>
          <w:u w:val="dotted"/>
        </w:rPr>
        <w:t xml:space="preserve">                                           </w:t>
      </w:r>
    </w:p>
    <w:p w14:paraId="667C3A99">
      <w:pPr>
        <w:snapToGrid w:val="0"/>
        <w:spacing w:line="360" w:lineRule="auto"/>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三、质疑事项具体内容</w:t>
      </w:r>
    </w:p>
    <w:p w14:paraId="66D4E773">
      <w:pPr>
        <w:snapToGrid w:val="0"/>
        <w:spacing w:line="360" w:lineRule="auto"/>
        <w:rPr>
          <w:rFonts w:hint="eastAsia" w:ascii="仿宋" w:hAnsi="仿宋" w:eastAsia="仿宋" w:cs="仿宋"/>
          <w:color w:val="auto"/>
          <w:sz w:val="24"/>
          <w:highlight w:val="none"/>
          <w:u w:val="dotted"/>
        </w:rPr>
      </w:pPr>
      <w:r>
        <w:rPr>
          <w:rFonts w:hint="eastAsia" w:ascii="仿宋" w:hAnsi="仿宋" w:eastAsia="仿宋" w:cs="仿宋"/>
          <w:color w:val="auto"/>
          <w:sz w:val="24"/>
          <w:highlight w:val="none"/>
        </w:rPr>
        <w:t>质疑事项1：</w:t>
      </w:r>
      <w:r>
        <w:rPr>
          <w:rFonts w:hint="eastAsia" w:ascii="仿宋" w:hAnsi="仿宋" w:eastAsia="仿宋" w:cs="仿宋"/>
          <w:color w:val="auto"/>
          <w:sz w:val="24"/>
          <w:highlight w:val="none"/>
          <w:u w:val="dotted"/>
        </w:rPr>
        <w:t xml:space="preserve">                                         </w:t>
      </w:r>
    </w:p>
    <w:p w14:paraId="0DB96258">
      <w:pPr>
        <w:snapToGrid w:val="0"/>
        <w:spacing w:line="360" w:lineRule="auto"/>
        <w:rPr>
          <w:rFonts w:hint="eastAsia" w:ascii="仿宋" w:hAnsi="仿宋" w:eastAsia="仿宋" w:cs="仿宋"/>
          <w:color w:val="auto"/>
          <w:sz w:val="24"/>
          <w:highlight w:val="none"/>
          <w:u w:val="dotted"/>
        </w:rPr>
      </w:pPr>
      <w:r>
        <w:rPr>
          <w:rFonts w:hint="eastAsia" w:ascii="仿宋" w:hAnsi="仿宋" w:eastAsia="仿宋" w:cs="仿宋"/>
          <w:color w:val="auto"/>
          <w:sz w:val="24"/>
          <w:highlight w:val="none"/>
        </w:rPr>
        <w:t>事实依据：</w:t>
      </w:r>
      <w:r>
        <w:rPr>
          <w:rFonts w:hint="eastAsia" w:ascii="仿宋" w:hAnsi="仿宋" w:eastAsia="仿宋" w:cs="仿宋"/>
          <w:color w:val="auto"/>
          <w:sz w:val="24"/>
          <w:highlight w:val="none"/>
          <w:u w:val="dotted"/>
        </w:rPr>
        <w:t xml:space="preserve">                                          </w:t>
      </w:r>
    </w:p>
    <w:p w14:paraId="29021B79">
      <w:p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u w:val="dotted"/>
        </w:rPr>
        <w:t xml:space="preserve">                                                       </w:t>
      </w:r>
    </w:p>
    <w:p w14:paraId="70565CBD">
      <w:pPr>
        <w:snapToGrid w:val="0"/>
        <w:spacing w:line="360" w:lineRule="auto"/>
        <w:rPr>
          <w:rFonts w:hint="eastAsia" w:ascii="仿宋" w:hAnsi="仿宋" w:eastAsia="仿宋" w:cs="仿宋"/>
          <w:color w:val="auto"/>
          <w:sz w:val="24"/>
          <w:highlight w:val="none"/>
          <w:u w:val="dotted"/>
        </w:rPr>
      </w:pPr>
      <w:r>
        <w:rPr>
          <w:rFonts w:hint="eastAsia" w:ascii="仿宋" w:hAnsi="仿宋" w:eastAsia="仿宋" w:cs="仿宋"/>
          <w:color w:val="auto"/>
          <w:sz w:val="24"/>
          <w:highlight w:val="none"/>
        </w:rPr>
        <w:t>法律依据：</w:t>
      </w:r>
      <w:r>
        <w:rPr>
          <w:rFonts w:hint="eastAsia" w:ascii="仿宋" w:hAnsi="仿宋" w:eastAsia="仿宋" w:cs="仿宋"/>
          <w:color w:val="auto"/>
          <w:sz w:val="24"/>
          <w:highlight w:val="none"/>
          <w:u w:val="dotted"/>
        </w:rPr>
        <w:t xml:space="preserve">                                          </w:t>
      </w:r>
    </w:p>
    <w:p w14:paraId="1021874D">
      <w:pPr>
        <w:snapToGrid w:val="0"/>
        <w:spacing w:line="360" w:lineRule="auto"/>
        <w:rPr>
          <w:rFonts w:hint="eastAsia" w:ascii="仿宋" w:hAnsi="仿宋" w:eastAsia="仿宋" w:cs="仿宋"/>
          <w:color w:val="auto"/>
          <w:sz w:val="24"/>
          <w:highlight w:val="none"/>
          <w:u w:val="dotted"/>
        </w:rPr>
      </w:pPr>
      <w:r>
        <w:rPr>
          <w:rFonts w:hint="eastAsia" w:ascii="仿宋" w:hAnsi="仿宋" w:eastAsia="仿宋" w:cs="仿宋"/>
          <w:color w:val="auto"/>
          <w:sz w:val="24"/>
          <w:highlight w:val="none"/>
          <w:u w:val="dotted"/>
        </w:rPr>
        <w:t xml:space="preserve">                                                     </w:t>
      </w:r>
    </w:p>
    <w:p w14:paraId="7D00E0D6">
      <w:pPr>
        <w:snapToGrid w:val="0"/>
        <w:spacing w:line="360" w:lineRule="auto"/>
        <w:rPr>
          <w:rFonts w:hint="eastAsia" w:ascii="仿宋" w:hAnsi="仿宋" w:eastAsia="仿宋" w:cs="仿宋"/>
          <w:color w:val="auto"/>
          <w:sz w:val="24"/>
          <w:highlight w:val="none"/>
          <w:u w:val="dotted"/>
        </w:rPr>
      </w:pPr>
      <w:r>
        <w:rPr>
          <w:rFonts w:hint="eastAsia" w:ascii="仿宋" w:hAnsi="仿宋" w:eastAsia="仿宋" w:cs="仿宋"/>
          <w:color w:val="auto"/>
          <w:sz w:val="24"/>
          <w:highlight w:val="none"/>
        </w:rPr>
        <w:t>质疑事项2</w:t>
      </w:r>
    </w:p>
    <w:p w14:paraId="52941049">
      <w:p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w:t>
      </w:r>
    </w:p>
    <w:p w14:paraId="680EB8C6">
      <w:pPr>
        <w:snapToGrid w:val="0"/>
        <w:spacing w:line="360" w:lineRule="auto"/>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四、与质疑事项相关的质疑请求</w:t>
      </w:r>
    </w:p>
    <w:p w14:paraId="6DFDC6F0">
      <w:pPr>
        <w:snapToGrid w:val="0"/>
        <w:spacing w:line="360" w:lineRule="auto"/>
        <w:rPr>
          <w:rFonts w:hint="eastAsia" w:ascii="仿宋" w:hAnsi="仿宋" w:eastAsia="仿宋" w:cs="仿宋"/>
          <w:color w:val="auto"/>
          <w:sz w:val="24"/>
          <w:highlight w:val="none"/>
          <w:u w:val="dotted"/>
        </w:rPr>
      </w:pPr>
      <w:r>
        <w:rPr>
          <w:rFonts w:hint="eastAsia" w:ascii="仿宋" w:hAnsi="仿宋" w:eastAsia="仿宋" w:cs="仿宋"/>
          <w:color w:val="auto"/>
          <w:sz w:val="24"/>
          <w:highlight w:val="none"/>
        </w:rPr>
        <w:t>请求：</w:t>
      </w:r>
      <w:r>
        <w:rPr>
          <w:rFonts w:hint="eastAsia" w:ascii="仿宋" w:hAnsi="仿宋" w:eastAsia="仿宋" w:cs="仿宋"/>
          <w:color w:val="auto"/>
          <w:sz w:val="24"/>
          <w:highlight w:val="none"/>
          <w:u w:val="dotted"/>
        </w:rPr>
        <w:t xml:space="preserve">                                               </w:t>
      </w:r>
    </w:p>
    <w:p w14:paraId="39AEBF23">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签字(签章)：                   公章：                      </w:t>
      </w:r>
    </w:p>
    <w:p w14:paraId="7DD98D29">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日期：    </w:t>
      </w:r>
    </w:p>
    <w:p w14:paraId="09F02598">
      <w:pPr>
        <w:spacing w:line="360" w:lineRule="auto"/>
        <w:jc w:val="center"/>
        <w:rPr>
          <w:rFonts w:hint="eastAsia" w:ascii="仿宋" w:hAnsi="仿宋" w:eastAsia="仿宋" w:cs="仿宋"/>
          <w:b/>
          <w:bCs/>
          <w:color w:val="auto"/>
          <w:sz w:val="24"/>
          <w:highlight w:val="none"/>
        </w:rPr>
      </w:pPr>
    </w:p>
    <w:p w14:paraId="354D7508">
      <w:pPr>
        <w:spacing w:line="360" w:lineRule="auto"/>
        <w:rPr>
          <w:rFonts w:hint="eastAsia" w:ascii="仿宋" w:hAnsi="仿宋" w:eastAsia="仿宋" w:cs="仿宋"/>
          <w:b/>
          <w:color w:val="auto"/>
          <w:sz w:val="24"/>
          <w:highlight w:val="none"/>
        </w:rPr>
      </w:pPr>
    </w:p>
    <w:p w14:paraId="5289BF8F">
      <w:pPr>
        <w:spacing w:line="360" w:lineRule="auto"/>
        <w:rPr>
          <w:rFonts w:hint="eastAsia" w:ascii="仿宋" w:hAnsi="仿宋" w:eastAsia="仿宋" w:cs="仿宋"/>
          <w:b/>
          <w:color w:val="auto"/>
          <w:sz w:val="24"/>
          <w:highlight w:val="none"/>
        </w:rPr>
      </w:pPr>
    </w:p>
    <w:p w14:paraId="6D87915B">
      <w:pPr>
        <w:spacing w:line="360" w:lineRule="auto"/>
        <w:rPr>
          <w:rFonts w:hint="eastAsia" w:ascii="仿宋" w:hAnsi="仿宋" w:eastAsia="仿宋" w:cs="仿宋"/>
          <w:b/>
          <w:color w:val="auto"/>
          <w:sz w:val="24"/>
          <w:highlight w:val="none"/>
        </w:rPr>
      </w:pPr>
    </w:p>
    <w:p w14:paraId="51F88267">
      <w:pPr>
        <w:spacing w:line="360" w:lineRule="auto"/>
        <w:rPr>
          <w:rFonts w:hint="eastAsia" w:ascii="仿宋" w:hAnsi="仿宋" w:eastAsia="仿宋" w:cs="仿宋"/>
          <w:b/>
          <w:color w:val="auto"/>
          <w:sz w:val="24"/>
          <w:highlight w:val="none"/>
        </w:rPr>
      </w:pPr>
      <w:r>
        <w:rPr>
          <w:rFonts w:hint="eastAsia" w:ascii="仿宋" w:hAnsi="仿宋" w:eastAsia="仿宋" w:cs="仿宋"/>
          <w:b/>
          <w:color w:val="auto"/>
          <w:sz w:val="24"/>
          <w:highlight w:val="none"/>
        </w:rPr>
        <w:t>质疑函制作说明：</w:t>
      </w:r>
    </w:p>
    <w:p w14:paraId="4CFB655B">
      <w:pPr>
        <w:widowControl/>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1.供应商提出质疑时，应提交质疑函和必要的证明材料。</w:t>
      </w:r>
    </w:p>
    <w:p w14:paraId="0A0CA7BF">
      <w:pPr>
        <w:widowControl/>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2.质疑供应商若委托代理人进行质疑的，质疑函应按要求列明“授权代表”的有关内容，并在附件中提交由质疑</w:t>
      </w:r>
      <w:r>
        <w:rPr>
          <w:rFonts w:hint="eastAsia" w:ascii="仿宋" w:hAnsi="仿宋" w:eastAsia="仿宋" w:cs="仿宋"/>
          <w:color w:val="auto"/>
          <w:kern w:val="0"/>
          <w:sz w:val="24"/>
          <w:highlight w:val="none"/>
        </w:rPr>
        <w:t>供应商签署的授权委托书。授权委托书应载明代理人的姓名或者名称、代理事项、具体权限、期限和相关事项。</w:t>
      </w:r>
    </w:p>
    <w:p w14:paraId="6AA9751D">
      <w:pPr>
        <w:widowControl/>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3.质疑供应商若对项目的某一分包进行质疑，质疑函中应列明具体分包号。</w:t>
      </w:r>
    </w:p>
    <w:p w14:paraId="2DFCBBFE">
      <w:pPr>
        <w:widowControl/>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4.质疑函的质疑事项应具体、明确，并有必要的事实依据和法律依据。</w:t>
      </w:r>
    </w:p>
    <w:p w14:paraId="1968B3CD">
      <w:pPr>
        <w:widowControl/>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5.质疑函的质疑请求应与质疑事项相关。</w:t>
      </w:r>
    </w:p>
    <w:p w14:paraId="6929B951">
      <w:pPr>
        <w:widowControl/>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6.质疑供应商为自然人的，质疑函应由本人签字；质疑供应商为法人或者其他组织的，质疑函应由法定代表人、主要负责人，或者其授权代表签字或者盖章，并加盖公章。</w:t>
      </w:r>
    </w:p>
    <w:p w14:paraId="02688BF1">
      <w:pPr>
        <w:widowControl/>
        <w:spacing w:line="360" w:lineRule="auto"/>
        <w:ind w:firstLine="600" w:firstLineChars="200"/>
        <w:jc w:val="left"/>
        <w:rPr>
          <w:rFonts w:hint="eastAsia" w:ascii="仿宋" w:hAnsi="仿宋" w:eastAsia="仿宋" w:cs="仿宋"/>
          <w:color w:val="auto"/>
          <w:sz w:val="30"/>
          <w:szCs w:val="30"/>
          <w:highlight w:val="none"/>
        </w:rPr>
      </w:pPr>
    </w:p>
    <w:p w14:paraId="2178FC7D">
      <w:pPr>
        <w:spacing w:line="360" w:lineRule="auto"/>
        <w:jc w:val="center"/>
        <w:rPr>
          <w:rFonts w:hint="eastAsia" w:ascii="仿宋" w:hAnsi="仿宋" w:eastAsia="仿宋" w:cs="仿宋"/>
          <w:b/>
          <w:color w:val="auto"/>
          <w:spacing w:val="6"/>
          <w:sz w:val="32"/>
          <w:szCs w:val="32"/>
          <w:highlight w:val="none"/>
        </w:rPr>
      </w:pPr>
    </w:p>
    <w:p w14:paraId="573987AC">
      <w:pPr>
        <w:spacing w:line="360" w:lineRule="auto"/>
        <w:jc w:val="center"/>
        <w:rPr>
          <w:rFonts w:hint="eastAsia" w:ascii="仿宋" w:hAnsi="仿宋" w:eastAsia="仿宋" w:cs="仿宋"/>
          <w:b/>
          <w:color w:val="auto"/>
          <w:spacing w:val="6"/>
          <w:sz w:val="32"/>
          <w:szCs w:val="32"/>
          <w:highlight w:val="none"/>
        </w:rPr>
      </w:pPr>
    </w:p>
    <w:p w14:paraId="7B8C4B33">
      <w:pPr>
        <w:spacing w:line="360" w:lineRule="auto"/>
        <w:jc w:val="center"/>
        <w:rPr>
          <w:rFonts w:hint="eastAsia" w:ascii="仿宋" w:hAnsi="仿宋" w:eastAsia="仿宋" w:cs="仿宋"/>
          <w:b/>
          <w:color w:val="auto"/>
          <w:spacing w:val="6"/>
          <w:sz w:val="32"/>
          <w:szCs w:val="32"/>
          <w:highlight w:val="none"/>
        </w:rPr>
      </w:pPr>
    </w:p>
    <w:p w14:paraId="528EA245">
      <w:pPr>
        <w:spacing w:line="360" w:lineRule="auto"/>
        <w:jc w:val="center"/>
        <w:rPr>
          <w:rFonts w:hint="eastAsia" w:ascii="仿宋" w:hAnsi="仿宋" w:eastAsia="仿宋" w:cs="仿宋"/>
          <w:b/>
          <w:color w:val="auto"/>
          <w:spacing w:val="6"/>
          <w:sz w:val="32"/>
          <w:szCs w:val="32"/>
          <w:highlight w:val="none"/>
        </w:rPr>
      </w:pPr>
    </w:p>
    <w:p w14:paraId="0E7E59FA">
      <w:pPr>
        <w:spacing w:line="360" w:lineRule="auto"/>
        <w:jc w:val="center"/>
        <w:rPr>
          <w:rFonts w:hint="eastAsia" w:ascii="仿宋" w:hAnsi="仿宋" w:eastAsia="仿宋" w:cs="仿宋"/>
          <w:b/>
          <w:color w:val="auto"/>
          <w:spacing w:val="6"/>
          <w:sz w:val="32"/>
          <w:szCs w:val="32"/>
          <w:highlight w:val="none"/>
        </w:rPr>
      </w:pPr>
    </w:p>
    <w:p w14:paraId="24319801">
      <w:pPr>
        <w:spacing w:line="360" w:lineRule="auto"/>
        <w:jc w:val="center"/>
        <w:rPr>
          <w:rFonts w:hint="eastAsia" w:ascii="仿宋" w:hAnsi="仿宋" w:eastAsia="仿宋" w:cs="仿宋"/>
          <w:b/>
          <w:color w:val="auto"/>
          <w:spacing w:val="6"/>
          <w:sz w:val="32"/>
          <w:szCs w:val="32"/>
          <w:highlight w:val="none"/>
        </w:rPr>
      </w:pPr>
    </w:p>
    <w:p w14:paraId="74DEC021">
      <w:pPr>
        <w:spacing w:line="360" w:lineRule="auto"/>
        <w:jc w:val="center"/>
        <w:rPr>
          <w:rFonts w:hint="eastAsia" w:ascii="仿宋" w:hAnsi="仿宋" w:eastAsia="仿宋" w:cs="仿宋"/>
          <w:b/>
          <w:color w:val="auto"/>
          <w:spacing w:val="6"/>
          <w:sz w:val="32"/>
          <w:szCs w:val="32"/>
          <w:highlight w:val="none"/>
        </w:rPr>
      </w:pPr>
    </w:p>
    <w:p w14:paraId="00370A8A">
      <w:pPr>
        <w:rPr>
          <w:rFonts w:hint="eastAsia" w:ascii="仿宋" w:hAnsi="仿宋" w:eastAsia="仿宋" w:cs="仿宋"/>
          <w:b/>
          <w:color w:val="auto"/>
          <w:spacing w:val="6"/>
          <w:sz w:val="32"/>
          <w:szCs w:val="32"/>
          <w:highlight w:val="none"/>
        </w:rPr>
      </w:pPr>
      <w:r>
        <w:rPr>
          <w:rFonts w:hint="eastAsia" w:ascii="仿宋" w:hAnsi="仿宋" w:eastAsia="仿宋" w:cs="仿宋"/>
          <w:b/>
          <w:color w:val="auto"/>
          <w:spacing w:val="6"/>
          <w:sz w:val="32"/>
          <w:szCs w:val="32"/>
          <w:highlight w:val="none"/>
        </w:rPr>
        <w:br w:type="page"/>
      </w:r>
    </w:p>
    <w:p w14:paraId="6659F56F">
      <w:pPr>
        <w:pStyle w:val="30"/>
        <w:rPr>
          <w:rFonts w:hint="eastAsia"/>
          <w:color w:val="auto"/>
          <w:highlight w:val="none"/>
        </w:rPr>
      </w:pPr>
    </w:p>
    <w:p w14:paraId="095DA6D9">
      <w:pPr>
        <w:spacing w:line="360" w:lineRule="auto"/>
        <w:jc w:val="left"/>
        <w:rPr>
          <w:rFonts w:hint="eastAsia" w:ascii="仿宋" w:hAnsi="仿宋" w:eastAsia="仿宋" w:cs="仿宋"/>
          <w:b/>
          <w:color w:val="auto"/>
          <w:spacing w:val="6"/>
          <w:sz w:val="32"/>
          <w:szCs w:val="32"/>
          <w:highlight w:val="none"/>
        </w:rPr>
      </w:pPr>
      <w:r>
        <w:rPr>
          <w:rFonts w:hint="eastAsia" w:ascii="仿宋" w:hAnsi="仿宋" w:eastAsia="仿宋" w:cs="仿宋"/>
          <w:b/>
          <w:color w:val="auto"/>
          <w:spacing w:val="6"/>
          <w:sz w:val="32"/>
          <w:szCs w:val="32"/>
          <w:highlight w:val="none"/>
        </w:rPr>
        <w:t>附件3：投诉书范本及制作说明</w:t>
      </w:r>
    </w:p>
    <w:p w14:paraId="61C9E43E">
      <w:pPr>
        <w:spacing w:line="360" w:lineRule="auto"/>
        <w:jc w:val="center"/>
        <w:rPr>
          <w:rFonts w:hint="eastAsia" w:ascii="仿宋" w:hAnsi="仿宋" w:eastAsia="仿宋" w:cs="仿宋"/>
          <w:b/>
          <w:color w:val="auto"/>
          <w:sz w:val="24"/>
          <w:highlight w:val="none"/>
        </w:rPr>
      </w:pPr>
    </w:p>
    <w:p w14:paraId="59103E95">
      <w:pPr>
        <w:spacing w:line="360" w:lineRule="auto"/>
        <w:jc w:val="center"/>
        <w:rPr>
          <w:rFonts w:hint="eastAsia" w:ascii="仿宋" w:hAnsi="仿宋" w:eastAsia="仿宋" w:cs="仿宋"/>
          <w:b/>
          <w:color w:val="auto"/>
          <w:spacing w:val="6"/>
          <w:sz w:val="32"/>
          <w:szCs w:val="32"/>
          <w:highlight w:val="none"/>
        </w:rPr>
      </w:pPr>
      <w:r>
        <w:rPr>
          <w:rFonts w:hint="eastAsia" w:ascii="仿宋" w:hAnsi="仿宋" w:eastAsia="仿宋" w:cs="仿宋"/>
          <w:b/>
          <w:color w:val="auto"/>
          <w:spacing w:val="6"/>
          <w:sz w:val="32"/>
          <w:szCs w:val="32"/>
          <w:highlight w:val="none"/>
        </w:rPr>
        <w:t>投诉书范本</w:t>
      </w:r>
    </w:p>
    <w:p w14:paraId="74918EB2">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一、投诉相关主体基本情况</w:t>
      </w:r>
    </w:p>
    <w:p w14:paraId="46475AD9">
      <w:pPr>
        <w:spacing w:line="360" w:lineRule="auto"/>
        <w:rPr>
          <w:rFonts w:hint="eastAsia" w:ascii="仿宋" w:hAnsi="仿宋" w:eastAsia="仿宋" w:cs="仿宋"/>
          <w:color w:val="auto"/>
          <w:sz w:val="24"/>
          <w:highlight w:val="none"/>
          <w:u w:val="dotted"/>
        </w:rPr>
      </w:pPr>
      <w:r>
        <w:rPr>
          <w:rFonts w:hint="eastAsia" w:ascii="仿宋" w:hAnsi="仿宋" w:eastAsia="仿宋" w:cs="仿宋"/>
          <w:color w:val="auto"/>
          <w:sz w:val="24"/>
          <w:highlight w:val="none"/>
        </w:rPr>
        <w:t>投诉人：</w:t>
      </w:r>
      <w:r>
        <w:rPr>
          <w:rFonts w:hint="eastAsia" w:ascii="仿宋" w:hAnsi="仿宋" w:eastAsia="仿宋" w:cs="仿宋"/>
          <w:color w:val="auto"/>
          <w:sz w:val="24"/>
          <w:highlight w:val="none"/>
          <w:u w:val="dotted"/>
        </w:rPr>
        <w:t xml:space="preserve">                                               </w:t>
      </w:r>
    </w:p>
    <w:p w14:paraId="729EEAC2">
      <w:pPr>
        <w:spacing w:line="360" w:lineRule="auto"/>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地     址：</w:t>
      </w:r>
      <w:r>
        <w:rPr>
          <w:rFonts w:hint="eastAsia" w:ascii="仿宋" w:hAnsi="仿宋" w:eastAsia="仿宋" w:cs="仿宋"/>
          <w:color w:val="auto"/>
          <w:sz w:val="24"/>
          <w:highlight w:val="none"/>
          <w:u w:val="dotted"/>
        </w:rPr>
        <w:t xml:space="preserve">                             </w:t>
      </w:r>
      <w:r>
        <w:rPr>
          <w:rFonts w:hint="eastAsia" w:ascii="仿宋" w:hAnsi="仿宋" w:eastAsia="仿宋" w:cs="仿宋"/>
          <w:color w:val="auto"/>
          <w:sz w:val="24"/>
          <w:highlight w:val="none"/>
        </w:rPr>
        <w:t>邮编：</w:t>
      </w:r>
      <w:r>
        <w:rPr>
          <w:rFonts w:hint="eastAsia" w:ascii="仿宋" w:hAnsi="仿宋" w:eastAsia="仿宋" w:cs="仿宋"/>
          <w:color w:val="auto"/>
          <w:sz w:val="24"/>
          <w:highlight w:val="none"/>
          <w:u w:val="dotted"/>
        </w:rPr>
        <w:t xml:space="preserve">         </w:t>
      </w:r>
      <w:r>
        <w:rPr>
          <w:rFonts w:hint="eastAsia" w:ascii="仿宋" w:hAnsi="仿宋" w:eastAsia="仿宋" w:cs="仿宋"/>
          <w:color w:val="auto"/>
          <w:sz w:val="24"/>
          <w:highlight w:val="none"/>
          <w:u w:val="single"/>
        </w:rPr>
        <w:t xml:space="preserve">   </w:t>
      </w:r>
    </w:p>
    <w:p w14:paraId="5D187D7B">
      <w:pPr>
        <w:tabs>
          <w:tab w:val="left" w:pos="6510"/>
        </w:tabs>
        <w:spacing w:line="360"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法定代表人/主要负责人：</w:t>
      </w:r>
      <w:r>
        <w:rPr>
          <w:rFonts w:hint="eastAsia" w:ascii="仿宋" w:hAnsi="仿宋" w:eastAsia="仿宋" w:cs="仿宋"/>
          <w:color w:val="auto"/>
          <w:sz w:val="24"/>
          <w:highlight w:val="none"/>
          <w:u w:val="dotted"/>
        </w:rPr>
        <w:t xml:space="preserve">                                   </w:t>
      </w:r>
      <w:r>
        <w:rPr>
          <w:rFonts w:hint="eastAsia" w:ascii="仿宋" w:hAnsi="仿宋" w:eastAsia="仿宋" w:cs="仿宋"/>
          <w:color w:val="auto"/>
          <w:sz w:val="24"/>
          <w:highlight w:val="none"/>
        </w:rPr>
        <w:t xml:space="preserve">  </w:t>
      </w:r>
    </w:p>
    <w:p w14:paraId="03FA5877">
      <w:pPr>
        <w:tabs>
          <w:tab w:val="left" w:pos="6510"/>
        </w:tabs>
        <w:spacing w:line="360" w:lineRule="auto"/>
        <w:rPr>
          <w:rFonts w:hint="eastAsia" w:ascii="仿宋" w:hAnsi="仿宋" w:eastAsia="仿宋" w:cs="仿宋"/>
          <w:color w:val="auto"/>
          <w:sz w:val="24"/>
          <w:highlight w:val="none"/>
          <w:u w:val="dotted"/>
        </w:rPr>
      </w:pPr>
      <w:r>
        <w:rPr>
          <w:rFonts w:hint="eastAsia" w:ascii="仿宋" w:hAnsi="仿宋" w:eastAsia="仿宋" w:cs="仿宋"/>
          <w:color w:val="auto"/>
          <w:sz w:val="24"/>
          <w:highlight w:val="none"/>
        </w:rPr>
        <w:t>联系电话：</w:t>
      </w:r>
      <w:r>
        <w:rPr>
          <w:rFonts w:hint="eastAsia" w:ascii="仿宋" w:hAnsi="仿宋" w:eastAsia="仿宋" w:cs="仿宋"/>
          <w:color w:val="auto"/>
          <w:sz w:val="24"/>
          <w:highlight w:val="none"/>
          <w:u w:val="dotted"/>
        </w:rPr>
        <w:t xml:space="preserve">                                             </w:t>
      </w:r>
    </w:p>
    <w:p w14:paraId="288EBCA8">
      <w:pPr>
        <w:spacing w:line="360" w:lineRule="auto"/>
        <w:rPr>
          <w:rFonts w:hint="eastAsia" w:ascii="仿宋" w:hAnsi="仿宋" w:eastAsia="仿宋" w:cs="仿宋"/>
          <w:color w:val="auto"/>
          <w:sz w:val="24"/>
          <w:highlight w:val="none"/>
          <w:u w:val="dotted"/>
        </w:rPr>
      </w:pPr>
      <w:r>
        <w:rPr>
          <w:rFonts w:hint="eastAsia" w:ascii="仿宋" w:hAnsi="仿宋" w:eastAsia="仿宋" w:cs="仿宋"/>
          <w:color w:val="auto"/>
          <w:sz w:val="24"/>
          <w:highlight w:val="none"/>
        </w:rPr>
        <w:t>授权代表：</w:t>
      </w:r>
      <w:r>
        <w:rPr>
          <w:rFonts w:hint="eastAsia" w:ascii="仿宋" w:hAnsi="仿宋" w:eastAsia="仿宋" w:cs="仿宋"/>
          <w:color w:val="auto"/>
          <w:sz w:val="24"/>
          <w:highlight w:val="none"/>
          <w:u w:val="dotted"/>
        </w:rPr>
        <w:t xml:space="preserve">             </w:t>
      </w:r>
      <w:r>
        <w:rPr>
          <w:rFonts w:hint="eastAsia" w:ascii="仿宋" w:hAnsi="仿宋" w:eastAsia="仿宋" w:cs="仿宋"/>
          <w:color w:val="auto"/>
          <w:sz w:val="24"/>
          <w:highlight w:val="none"/>
        </w:rPr>
        <w:t>联系电话</w:t>
      </w:r>
      <w:r>
        <w:rPr>
          <w:rFonts w:hint="eastAsia" w:ascii="仿宋" w:hAnsi="仿宋" w:eastAsia="仿宋" w:cs="仿宋"/>
          <w:color w:val="auto"/>
          <w:sz w:val="24"/>
          <w:highlight w:val="none"/>
          <w:u w:val="dotted"/>
        </w:rPr>
        <w:t xml:space="preserve">：                  </w:t>
      </w:r>
    </w:p>
    <w:p w14:paraId="69C03193">
      <w:pPr>
        <w:spacing w:line="360" w:lineRule="auto"/>
        <w:rPr>
          <w:rFonts w:hint="eastAsia" w:ascii="仿宋" w:hAnsi="仿宋" w:eastAsia="仿宋" w:cs="仿宋"/>
          <w:color w:val="auto"/>
          <w:sz w:val="24"/>
          <w:highlight w:val="none"/>
          <w:u w:val="dotted"/>
        </w:rPr>
      </w:pPr>
      <w:r>
        <w:rPr>
          <w:rFonts w:hint="eastAsia" w:ascii="仿宋" w:hAnsi="仿宋" w:eastAsia="仿宋" w:cs="仿宋"/>
          <w:color w:val="auto"/>
          <w:sz w:val="24"/>
          <w:highlight w:val="none"/>
        </w:rPr>
        <w:t>地     址：</w:t>
      </w:r>
      <w:r>
        <w:rPr>
          <w:rFonts w:hint="eastAsia" w:ascii="仿宋" w:hAnsi="仿宋" w:eastAsia="仿宋" w:cs="仿宋"/>
          <w:color w:val="auto"/>
          <w:sz w:val="24"/>
          <w:highlight w:val="none"/>
          <w:u w:val="dotted"/>
        </w:rPr>
        <w:t xml:space="preserve">                             </w:t>
      </w:r>
      <w:r>
        <w:rPr>
          <w:rFonts w:hint="eastAsia" w:ascii="仿宋" w:hAnsi="仿宋" w:eastAsia="仿宋" w:cs="仿宋"/>
          <w:color w:val="auto"/>
          <w:sz w:val="24"/>
          <w:highlight w:val="none"/>
        </w:rPr>
        <w:t>邮编：</w:t>
      </w:r>
      <w:r>
        <w:rPr>
          <w:rFonts w:hint="eastAsia" w:ascii="仿宋" w:hAnsi="仿宋" w:eastAsia="仿宋" w:cs="仿宋"/>
          <w:color w:val="auto"/>
          <w:sz w:val="24"/>
          <w:highlight w:val="none"/>
          <w:u w:val="dotted"/>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dotted"/>
        </w:rPr>
        <w:t xml:space="preserve">                   </w:t>
      </w:r>
    </w:p>
    <w:p w14:paraId="1FDDC613">
      <w:pPr>
        <w:spacing w:line="360" w:lineRule="auto"/>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被投诉人1：</w:t>
      </w:r>
      <w:r>
        <w:rPr>
          <w:rFonts w:hint="eastAsia" w:ascii="仿宋" w:hAnsi="仿宋" w:eastAsia="仿宋" w:cs="仿宋"/>
          <w:color w:val="auto"/>
          <w:sz w:val="24"/>
          <w:highlight w:val="none"/>
          <w:u w:val="dotted"/>
        </w:rPr>
        <w:t xml:space="preserve">                                           </w:t>
      </w:r>
      <w:r>
        <w:rPr>
          <w:rFonts w:hint="eastAsia" w:ascii="仿宋" w:hAnsi="仿宋" w:eastAsia="仿宋" w:cs="仿宋"/>
          <w:color w:val="auto"/>
          <w:sz w:val="24"/>
          <w:highlight w:val="none"/>
          <w:u w:val="single"/>
        </w:rPr>
        <w:t xml:space="preserve">  </w:t>
      </w:r>
    </w:p>
    <w:p w14:paraId="1D9EF8EE">
      <w:pPr>
        <w:spacing w:line="360" w:lineRule="auto"/>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地     址：</w:t>
      </w:r>
      <w:r>
        <w:rPr>
          <w:rFonts w:hint="eastAsia" w:ascii="仿宋" w:hAnsi="仿宋" w:eastAsia="仿宋" w:cs="仿宋"/>
          <w:color w:val="auto"/>
          <w:sz w:val="24"/>
          <w:highlight w:val="none"/>
          <w:u w:val="dotted"/>
        </w:rPr>
        <w:t xml:space="preserve">                             </w:t>
      </w:r>
      <w:r>
        <w:rPr>
          <w:rFonts w:hint="eastAsia" w:ascii="仿宋" w:hAnsi="仿宋" w:eastAsia="仿宋" w:cs="仿宋"/>
          <w:color w:val="auto"/>
          <w:sz w:val="24"/>
          <w:highlight w:val="none"/>
        </w:rPr>
        <w:t>邮编：</w:t>
      </w:r>
      <w:r>
        <w:rPr>
          <w:rFonts w:hint="eastAsia" w:ascii="仿宋" w:hAnsi="仿宋" w:eastAsia="仿宋" w:cs="仿宋"/>
          <w:color w:val="auto"/>
          <w:sz w:val="24"/>
          <w:highlight w:val="none"/>
          <w:u w:val="dotted"/>
        </w:rPr>
        <w:t xml:space="preserve">          </w:t>
      </w:r>
      <w:r>
        <w:rPr>
          <w:rFonts w:hint="eastAsia" w:ascii="仿宋" w:hAnsi="仿宋" w:eastAsia="仿宋" w:cs="仿宋"/>
          <w:color w:val="auto"/>
          <w:sz w:val="24"/>
          <w:highlight w:val="none"/>
          <w:u w:val="single"/>
        </w:rPr>
        <w:t xml:space="preserve"> </w:t>
      </w:r>
    </w:p>
    <w:p w14:paraId="6DC01EF3">
      <w:pPr>
        <w:spacing w:line="360" w:lineRule="auto"/>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联系人：</w:t>
      </w:r>
      <w:r>
        <w:rPr>
          <w:rFonts w:hint="eastAsia" w:ascii="仿宋" w:hAnsi="仿宋" w:eastAsia="仿宋" w:cs="仿宋"/>
          <w:color w:val="auto"/>
          <w:sz w:val="24"/>
          <w:highlight w:val="none"/>
          <w:u w:val="dotted"/>
        </w:rPr>
        <w:t xml:space="preserve">               </w:t>
      </w:r>
      <w:r>
        <w:rPr>
          <w:rFonts w:hint="eastAsia" w:ascii="仿宋" w:hAnsi="仿宋" w:eastAsia="仿宋" w:cs="仿宋"/>
          <w:color w:val="auto"/>
          <w:sz w:val="24"/>
          <w:highlight w:val="none"/>
        </w:rPr>
        <w:t>联系电话：</w:t>
      </w:r>
      <w:r>
        <w:rPr>
          <w:rFonts w:hint="eastAsia" w:ascii="仿宋" w:hAnsi="仿宋" w:eastAsia="仿宋" w:cs="仿宋"/>
          <w:color w:val="auto"/>
          <w:sz w:val="24"/>
          <w:highlight w:val="none"/>
          <w:u w:val="dotted"/>
        </w:rPr>
        <w:t xml:space="preserve">                      </w:t>
      </w:r>
      <w:r>
        <w:rPr>
          <w:rFonts w:hint="eastAsia" w:ascii="仿宋" w:hAnsi="仿宋" w:eastAsia="仿宋" w:cs="仿宋"/>
          <w:color w:val="auto"/>
          <w:sz w:val="24"/>
          <w:highlight w:val="none"/>
          <w:u w:val="single"/>
        </w:rPr>
        <w:t xml:space="preserve"> </w:t>
      </w:r>
    </w:p>
    <w:p w14:paraId="64F3CE6C">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被投诉人2</w:t>
      </w:r>
    </w:p>
    <w:p w14:paraId="31B72843">
      <w:pPr>
        <w:spacing w:line="360" w:lineRule="auto"/>
        <w:rPr>
          <w:rFonts w:hint="eastAsia" w:ascii="仿宋" w:hAnsi="仿宋" w:eastAsia="仿宋" w:cs="仿宋"/>
          <w:color w:val="auto"/>
          <w:sz w:val="24"/>
          <w:highlight w:val="none"/>
          <w:u w:val="dotted"/>
        </w:rPr>
      </w:pPr>
      <w:r>
        <w:rPr>
          <w:rFonts w:hint="eastAsia" w:ascii="仿宋" w:hAnsi="仿宋" w:eastAsia="仿宋" w:cs="仿宋"/>
          <w:color w:val="auto"/>
          <w:sz w:val="24"/>
          <w:highlight w:val="none"/>
        </w:rPr>
        <w:t>……</w:t>
      </w:r>
    </w:p>
    <w:p w14:paraId="0CF70515">
      <w:pPr>
        <w:spacing w:line="360" w:lineRule="auto"/>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相关供应商：</w:t>
      </w:r>
      <w:r>
        <w:rPr>
          <w:rFonts w:hint="eastAsia" w:ascii="仿宋" w:hAnsi="仿宋" w:eastAsia="仿宋" w:cs="仿宋"/>
          <w:color w:val="auto"/>
          <w:sz w:val="24"/>
          <w:highlight w:val="none"/>
          <w:u w:val="dotted"/>
        </w:rPr>
        <w:t xml:space="preserve">                                           </w:t>
      </w:r>
      <w:r>
        <w:rPr>
          <w:rFonts w:hint="eastAsia" w:ascii="仿宋" w:hAnsi="仿宋" w:eastAsia="仿宋" w:cs="仿宋"/>
          <w:color w:val="auto"/>
          <w:sz w:val="24"/>
          <w:highlight w:val="none"/>
          <w:u w:val="single"/>
        </w:rPr>
        <w:t xml:space="preserve">    </w:t>
      </w:r>
    </w:p>
    <w:p w14:paraId="74E7D1DC">
      <w:pPr>
        <w:spacing w:line="360" w:lineRule="auto"/>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地     址：</w:t>
      </w:r>
      <w:r>
        <w:rPr>
          <w:rFonts w:hint="eastAsia" w:ascii="仿宋" w:hAnsi="仿宋" w:eastAsia="仿宋" w:cs="仿宋"/>
          <w:color w:val="auto"/>
          <w:sz w:val="24"/>
          <w:highlight w:val="none"/>
          <w:u w:val="dotted"/>
        </w:rPr>
        <w:t xml:space="preserve">                             </w:t>
      </w:r>
      <w:r>
        <w:rPr>
          <w:rFonts w:hint="eastAsia" w:ascii="仿宋" w:hAnsi="仿宋" w:eastAsia="仿宋" w:cs="仿宋"/>
          <w:color w:val="auto"/>
          <w:sz w:val="24"/>
          <w:highlight w:val="none"/>
        </w:rPr>
        <w:t>邮编：</w:t>
      </w:r>
      <w:r>
        <w:rPr>
          <w:rFonts w:hint="eastAsia" w:ascii="仿宋" w:hAnsi="仿宋" w:eastAsia="仿宋" w:cs="仿宋"/>
          <w:color w:val="auto"/>
          <w:sz w:val="24"/>
          <w:highlight w:val="none"/>
          <w:u w:val="dotted"/>
        </w:rPr>
        <w:t xml:space="preserve">          </w:t>
      </w:r>
      <w:r>
        <w:rPr>
          <w:rFonts w:hint="eastAsia" w:ascii="仿宋" w:hAnsi="仿宋" w:eastAsia="仿宋" w:cs="仿宋"/>
          <w:color w:val="auto"/>
          <w:sz w:val="24"/>
          <w:highlight w:val="none"/>
          <w:u w:val="single"/>
        </w:rPr>
        <w:t xml:space="preserve"> </w:t>
      </w:r>
    </w:p>
    <w:p w14:paraId="638ED2ED">
      <w:pPr>
        <w:spacing w:line="360" w:lineRule="auto"/>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联系人：</w:t>
      </w:r>
      <w:r>
        <w:rPr>
          <w:rFonts w:hint="eastAsia" w:ascii="仿宋" w:hAnsi="仿宋" w:eastAsia="仿宋" w:cs="仿宋"/>
          <w:color w:val="auto"/>
          <w:sz w:val="24"/>
          <w:highlight w:val="none"/>
          <w:u w:val="dotted"/>
        </w:rPr>
        <w:t xml:space="preserve">               </w:t>
      </w:r>
      <w:r>
        <w:rPr>
          <w:rFonts w:hint="eastAsia" w:ascii="仿宋" w:hAnsi="仿宋" w:eastAsia="仿宋" w:cs="仿宋"/>
          <w:color w:val="auto"/>
          <w:sz w:val="24"/>
          <w:highlight w:val="none"/>
        </w:rPr>
        <w:t>联系电话：</w:t>
      </w:r>
      <w:r>
        <w:rPr>
          <w:rFonts w:hint="eastAsia" w:ascii="仿宋" w:hAnsi="仿宋" w:eastAsia="仿宋" w:cs="仿宋"/>
          <w:color w:val="auto"/>
          <w:sz w:val="24"/>
          <w:highlight w:val="none"/>
          <w:u w:val="dotted"/>
        </w:rPr>
        <w:t xml:space="preserve">                      </w:t>
      </w:r>
      <w:r>
        <w:rPr>
          <w:rFonts w:hint="eastAsia" w:ascii="仿宋" w:hAnsi="仿宋" w:eastAsia="仿宋" w:cs="仿宋"/>
          <w:color w:val="auto"/>
          <w:sz w:val="24"/>
          <w:highlight w:val="none"/>
          <w:u w:val="single"/>
        </w:rPr>
        <w:t xml:space="preserve">      </w:t>
      </w:r>
    </w:p>
    <w:p w14:paraId="45364A7B">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二、投诉项目基本情况</w:t>
      </w:r>
    </w:p>
    <w:p w14:paraId="287D5543">
      <w:pPr>
        <w:spacing w:line="360" w:lineRule="auto"/>
        <w:rPr>
          <w:rFonts w:hint="eastAsia" w:ascii="仿宋" w:hAnsi="仿宋" w:eastAsia="仿宋" w:cs="仿宋"/>
          <w:color w:val="auto"/>
          <w:sz w:val="24"/>
          <w:highlight w:val="none"/>
          <w:u w:val="dotted"/>
        </w:rPr>
      </w:pPr>
      <w:r>
        <w:rPr>
          <w:rFonts w:hint="eastAsia" w:ascii="仿宋" w:hAnsi="仿宋" w:eastAsia="仿宋" w:cs="仿宋"/>
          <w:color w:val="auto"/>
          <w:sz w:val="24"/>
          <w:highlight w:val="none"/>
        </w:rPr>
        <w:t>采购项目名称：</w:t>
      </w:r>
      <w:r>
        <w:rPr>
          <w:rFonts w:hint="eastAsia" w:ascii="仿宋" w:hAnsi="仿宋" w:eastAsia="仿宋" w:cs="仿宋"/>
          <w:color w:val="auto"/>
          <w:sz w:val="24"/>
          <w:highlight w:val="none"/>
          <w:u w:val="dotted"/>
        </w:rPr>
        <w:t xml:space="preserve">                                        </w:t>
      </w:r>
    </w:p>
    <w:p w14:paraId="29D06209">
      <w:pPr>
        <w:spacing w:line="360" w:lineRule="auto"/>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采购项目编号：</w:t>
      </w:r>
      <w:r>
        <w:rPr>
          <w:rFonts w:hint="eastAsia" w:ascii="仿宋" w:hAnsi="仿宋" w:eastAsia="仿宋" w:cs="仿宋"/>
          <w:color w:val="auto"/>
          <w:sz w:val="24"/>
          <w:highlight w:val="none"/>
          <w:u w:val="dotted"/>
        </w:rPr>
        <w:t xml:space="preserve">                 </w:t>
      </w:r>
      <w:r>
        <w:rPr>
          <w:rFonts w:hint="eastAsia" w:ascii="仿宋" w:hAnsi="仿宋" w:eastAsia="仿宋" w:cs="仿宋"/>
          <w:color w:val="auto"/>
          <w:sz w:val="24"/>
          <w:highlight w:val="none"/>
        </w:rPr>
        <w:t>包号：</w:t>
      </w:r>
      <w:r>
        <w:rPr>
          <w:rFonts w:hint="eastAsia" w:ascii="仿宋" w:hAnsi="仿宋" w:eastAsia="仿宋" w:cs="仿宋"/>
          <w:color w:val="auto"/>
          <w:sz w:val="24"/>
          <w:highlight w:val="none"/>
          <w:u w:val="dotted"/>
        </w:rPr>
        <w:t xml:space="preserve">              </w:t>
      </w:r>
    </w:p>
    <w:p w14:paraId="3630D5C5">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采购人名称：</w:t>
      </w:r>
      <w:r>
        <w:rPr>
          <w:rFonts w:hint="eastAsia" w:ascii="仿宋" w:hAnsi="仿宋" w:eastAsia="仿宋" w:cs="仿宋"/>
          <w:color w:val="auto"/>
          <w:sz w:val="24"/>
          <w:highlight w:val="none"/>
          <w:u w:val="dotted"/>
        </w:rPr>
        <w:t xml:space="preserve">                                           </w:t>
      </w:r>
      <w:r>
        <w:rPr>
          <w:rFonts w:hint="eastAsia" w:ascii="仿宋" w:hAnsi="仿宋" w:eastAsia="仿宋" w:cs="仿宋"/>
          <w:color w:val="auto"/>
          <w:sz w:val="24"/>
          <w:highlight w:val="none"/>
          <w:u w:val="single"/>
        </w:rPr>
        <w:t xml:space="preserve">  </w:t>
      </w:r>
    </w:p>
    <w:p w14:paraId="27BEF20C">
      <w:pPr>
        <w:spacing w:line="360" w:lineRule="auto"/>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代理机构名称：</w:t>
      </w:r>
      <w:r>
        <w:rPr>
          <w:rFonts w:hint="eastAsia" w:ascii="仿宋" w:hAnsi="仿宋" w:eastAsia="仿宋" w:cs="仿宋"/>
          <w:color w:val="auto"/>
          <w:sz w:val="24"/>
          <w:highlight w:val="none"/>
          <w:u w:val="dotted"/>
        </w:rPr>
        <w:t xml:space="preserve">                                         </w:t>
      </w:r>
    </w:p>
    <w:p w14:paraId="7A6164B0">
      <w:pPr>
        <w:spacing w:line="360" w:lineRule="auto"/>
        <w:rPr>
          <w:rFonts w:hint="eastAsia" w:ascii="仿宋" w:hAnsi="仿宋" w:eastAsia="仿宋" w:cs="仿宋"/>
          <w:color w:val="auto"/>
          <w:sz w:val="24"/>
          <w:highlight w:val="none"/>
          <w:u w:val="dotted"/>
        </w:rPr>
      </w:pPr>
      <w:r>
        <w:rPr>
          <w:rFonts w:hint="eastAsia" w:ascii="仿宋" w:hAnsi="仿宋" w:eastAsia="仿宋" w:cs="仿宋"/>
          <w:color w:val="auto"/>
          <w:sz w:val="24"/>
          <w:highlight w:val="none"/>
        </w:rPr>
        <w:t>采购文件公告:</w:t>
      </w:r>
      <w:r>
        <w:rPr>
          <w:rFonts w:hint="eastAsia" w:ascii="仿宋" w:hAnsi="仿宋" w:eastAsia="仿宋" w:cs="仿宋"/>
          <w:color w:val="auto"/>
          <w:sz w:val="24"/>
          <w:highlight w:val="none"/>
          <w:u w:val="dotted"/>
        </w:rPr>
        <w:t xml:space="preserve">是/否 </w:t>
      </w:r>
      <w:r>
        <w:rPr>
          <w:rFonts w:hint="eastAsia" w:ascii="仿宋" w:hAnsi="仿宋" w:eastAsia="仿宋" w:cs="仿宋"/>
          <w:color w:val="auto"/>
          <w:sz w:val="24"/>
          <w:highlight w:val="none"/>
        </w:rPr>
        <w:t>公告期限：</w:t>
      </w:r>
      <w:r>
        <w:rPr>
          <w:rFonts w:hint="eastAsia" w:ascii="仿宋" w:hAnsi="仿宋" w:eastAsia="仿宋" w:cs="仿宋"/>
          <w:color w:val="auto"/>
          <w:sz w:val="24"/>
          <w:highlight w:val="none"/>
          <w:u w:val="dotted"/>
        </w:rPr>
        <w:t xml:space="preserve">                                 </w:t>
      </w:r>
    </w:p>
    <w:p w14:paraId="52E93FD8">
      <w:pPr>
        <w:spacing w:line="360" w:lineRule="auto"/>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采购结果公告:</w:t>
      </w:r>
      <w:r>
        <w:rPr>
          <w:rFonts w:hint="eastAsia" w:ascii="仿宋" w:hAnsi="仿宋" w:eastAsia="仿宋" w:cs="仿宋"/>
          <w:color w:val="auto"/>
          <w:sz w:val="24"/>
          <w:highlight w:val="none"/>
          <w:u w:val="dotted"/>
        </w:rPr>
        <w:t xml:space="preserve">是/否 </w:t>
      </w:r>
      <w:r>
        <w:rPr>
          <w:rFonts w:hint="eastAsia" w:ascii="仿宋" w:hAnsi="仿宋" w:eastAsia="仿宋" w:cs="仿宋"/>
          <w:color w:val="auto"/>
          <w:sz w:val="24"/>
          <w:highlight w:val="none"/>
        </w:rPr>
        <w:t>公告期限：</w:t>
      </w:r>
      <w:r>
        <w:rPr>
          <w:rFonts w:hint="eastAsia" w:ascii="仿宋" w:hAnsi="仿宋" w:eastAsia="仿宋" w:cs="仿宋"/>
          <w:color w:val="auto"/>
          <w:sz w:val="24"/>
          <w:highlight w:val="none"/>
          <w:u w:val="dotted"/>
        </w:rPr>
        <w:t xml:space="preserve">                        </w:t>
      </w:r>
    </w:p>
    <w:p w14:paraId="10D08DB6">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三、质疑基本情况</w:t>
      </w:r>
    </w:p>
    <w:p w14:paraId="65713385">
      <w:pPr>
        <w:spacing w:line="360" w:lineRule="auto"/>
        <w:ind w:firstLine="480" w:firstLineChars="200"/>
        <w:rPr>
          <w:rFonts w:hint="eastAsia" w:ascii="仿宋" w:hAnsi="仿宋" w:eastAsia="仿宋" w:cs="仿宋"/>
          <w:color w:val="auto"/>
          <w:sz w:val="24"/>
          <w:highlight w:val="none"/>
          <w:u w:val="dotted"/>
        </w:rPr>
      </w:pPr>
      <w:r>
        <w:rPr>
          <w:rFonts w:hint="eastAsia" w:ascii="仿宋" w:hAnsi="仿宋" w:eastAsia="仿宋" w:cs="仿宋"/>
          <w:color w:val="auto"/>
          <w:sz w:val="24"/>
          <w:highlight w:val="none"/>
        </w:rPr>
        <w:t>投诉人于</w:t>
      </w:r>
      <w:r>
        <w:rPr>
          <w:rFonts w:hint="eastAsia" w:ascii="仿宋" w:hAnsi="仿宋" w:eastAsia="仿宋" w:cs="仿宋"/>
          <w:color w:val="auto"/>
          <w:sz w:val="24"/>
          <w:highlight w:val="none"/>
          <w:u w:val="dotted"/>
        </w:rPr>
        <w:t xml:space="preserve">   </w:t>
      </w:r>
      <w:r>
        <w:rPr>
          <w:rFonts w:hint="eastAsia" w:ascii="仿宋" w:hAnsi="仿宋" w:eastAsia="仿宋" w:cs="仿宋"/>
          <w:color w:val="auto"/>
          <w:sz w:val="24"/>
          <w:highlight w:val="none"/>
        </w:rPr>
        <w:t>年</w:t>
      </w:r>
      <w:r>
        <w:rPr>
          <w:rFonts w:hint="eastAsia" w:ascii="仿宋" w:hAnsi="仿宋" w:eastAsia="仿宋" w:cs="仿宋"/>
          <w:color w:val="auto"/>
          <w:sz w:val="24"/>
          <w:highlight w:val="none"/>
          <w:u w:val="dotted"/>
        </w:rPr>
        <w:t xml:space="preserve">   </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u w:val="dotted"/>
        </w:rPr>
        <w:t xml:space="preserve">  </w:t>
      </w:r>
      <w:r>
        <w:rPr>
          <w:rFonts w:hint="eastAsia" w:ascii="仿宋" w:hAnsi="仿宋" w:eastAsia="仿宋" w:cs="仿宋"/>
          <w:color w:val="auto"/>
          <w:sz w:val="24"/>
          <w:highlight w:val="none"/>
        </w:rPr>
        <w:t>日,向</w:t>
      </w:r>
      <w:r>
        <w:rPr>
          <w:rFonts w:hint="eastAsia" w:ascii="仿宋" w:hAnsi="仿宋" w:eastAsia="仿宋" w:cs="仿宋"/>
          <w:color w:val="auto"/>
          <w:sz w:val="24"/>
          <w:highlight w:val="none"/>
          <w:u w:val="dotted"/>
        </w:rPr>
        <w:t xml:space="preserve">                   </w:t>
      </w:r>
      <w:r>
        <w:rPr>
          <w:rFonts w:hint="eastAsia" w:ascii="仿宋" w:hAnsi="仿宋" w:eastAsia="仿宋" w:cs="仿宋"/>
          <w:color w:val="auto"/>
          <w:sz w:val="24"/>
          <w:highlight w:val="none"/>
        </w:rPr>
        <w:t>提出质疑，质疑事项为：</w:t>
      </w:r>
      <w:r>
        <w:rPr>
          <w:rFonts w:hint="eastAsia" w:ascii="仿宋" w:hAnsi="仿宋" w:eastAsia="仿宋" w:cs="仿宋"/>
          <w:color w:val="auto"/>
          <w:sz w:val="24"/>
          <w:highlight w:val="none"/>
          <w:u w:val="dotted"/>
        </w:rPr>
        <w:t xml:space="preserve">                                </w:t>
      </w:r>
    </w:p>
    <w:p w14:paraId="0AB1650F">
      <w:pPr>
        <w:spacing w:line="360" w:lineRule="auto"/>
        <w:rPr>
          <w:rFonts w:hint="eastAsia" w:ascii="仿宋" w:hAnsi="仿宋" w:eastAsia="仿宋" w:cs="仿宋"/>
          <w:color w:val="auto"/>
          <w:sz w:val="24"/>
          <w:highlight w:val="none"/>
          <w:u w:val="dotted"/>
        </w:rPr>
      </w:pPr>
      <w:r>
        <w:rPr>
          <w:rFonts w:hint="eastAsia" w:ascii="仿宋" w:hAnsi="仿宋" w:eastAsia="仿宋" w:cs="仿宋"/>
          <w:color w:val="auto"/>
          <w:sz w:val="24"/>
          <w:highlight w:val="none"/>
          <w:u w:val="dotted"/>
        </w:rPr>
        <w:t xml:space="preserve">                                                     </w:t>
      </w:r>
      <w:r>
        <w:rPr>
          <w:rFonts w:hint="eastAsia" w:ascii="仿宋" w:hAnsi="仿宋" w:eastAsia="仿宋" w:cs="仿宋"/>
          <w:color w:val="auto"/>
          <w:sz w:val="24"/>
          <w:highlight w:val="none"/>
        </w:rPr>
        <w:t xml:space="preserve">  </w:t>
      </w:r>
    </w:p>
    <w:p w14:paraId="7300C87C">
      <w:pPr>
        <w:spacing w:line="360" w:lineRule="auto"/>
        <w:ind w:firstLine="360" w:firstLineChars="150"/>
        <w:rPr>
          <w:rFonts w:hint="eastAsia" w:ascii="仿宋" w:hAnsi="仿宋" w:eastAsia="仿宋" w:cs="仿宋"/>
          <w:color w:val="auto"/>
          <w:sz w:val="24"/>
          <w:highlight w:val="none"/>
        </w:rPr>
      </w:pPr>
      <w:r>
        <w:rPr>
          <w:rFonts w:hint="eastAsia" w:ascii="仿宋" w:hAnsi="仿宋" w:eastAsia="仿宋" w:cs="仿宋"/>
          <w:color w:val="auto"/>
          <w:sz w:val="24"/>
          <w:highlight w:val="none"/>
          <w:u w:val="dotted"/>
        </w:rPr>
        <w:t>采购人/代理机构</w:t>
      </w:r>
      <w:r>
        <w:rPr>
          <w:rFonts w:hint="eastAsia" w:ascii="仿宋" w:hAnsi="仿宋" w:eastAsia="仿宋" w:cs="仿宋"/>
          <w:color w:val="auto"/>
          <w:sz w:val="24"/>
          <w:highlight w:val="none"/>
        </w:rPr>
        <w:t>于</w:t>
      </w:r>
      <w:r>
        <w:rPr>
          <w:rFonts w:hint="eastAsia" w:ascii="仿宋" w:hAnsi="仿宋" w:eastAsia="仿宋" w:cs="仿宋"/>
          <w:color w:val="auto"/>
          <w:sz w:val="24"/>
          <w:highlight w:val="none"/>
          <w:u w:val="dotted"/>
        </w:rPr>
        <w:t xml:space="preserve">   </w:t>
      </w:r>
      <w:r>
        <w:rPr>
          <w:rFonts w:hint="eastAsia" w:ascii="仿宋" w:hAnsi="仿宋" w:eastAsia="仿宋" w:cs="仿宋"/>
          <w:color w:val="auto"/>
          <w:sz w:val="24"/>
          <w:highlight w:val="none"/>
        </w:rPr>
        <w:t>年</w:t>
      </w:r>
      <w:r>
        <w:rPr>
          <w:rFonts w:hint="eastAsia" w:ascii="仿宋" w:hAnsi="仿宋" w:eastAsia="仿宋" w:cs="仿宋"/>
          <w:color w:val="auto"/>
          <w:sz w:val="24"/>
          <w:highlight w:val="none"/>
          <w:u w:val="dotted"/>
        </w:rPr>
        <w:t xml:space="preserve">   </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u w:val="dotted"/>
        </w:rPr>
        <w:t xml:space="preserve">   </w:t>
      </w:r>
      <w:r>
        <w:rPr>
          <w:rFonts w:hint="eastAsia" w:ascii="仿宋" w:hAnsi="仿宋" w:eastAsia="仿宋" w:cs="仿宋"/>
          <w:color w:val="auto"/>
          <w:sz w:val="24"/>
          <w:highlight w:val="none"/>
        </w:rPr>
        <w:t>日,就质疑事项作出了答复/没有在法定期限内作出答复。</w:t>
      </w:r>
    </w:p>
    <w:p w14:paraId="0C8574B7">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四、投诉事项具体内容</w:t>
      </w:r>
    </w:p>
    <w:p w14:paraId="1B13F000">
      <w:pPr>
        <w:spacing w:line="360" w:lineRule="auto"/>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投诉事项 1：</w:t>
      </w:r>
      <w:r>
        <w:rPr>
          <w:rFonts w:hint="eastAsia" w:ascii="仿宋" w:hAnsi="仿宋" w:eastAsia="仿宋" w:cs="仿宋"/>
          <w:color w:val="auto"/>
          <w:sz w:val="24"/>
          <w:highlight w:val="none"/>
          <w:u w:val="dotted"/>
        </w:rPr>
        <w:t xml:space="preserve">                                       </w:t>
      </w:r>
    </w:p>
    <w:p w14:paraId="1C94C604">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事实依据：</w:t>
      </w:r>
      <w:r>
        <w:rPr>
          <w:rFonts w:hint="eastAsia" w:ascii="仿宋" w:hAnsi="仿宋" w:eastAsia="仿宋" w:cs="仿宋"/>
          <w:color w:val="auto"/>
          <w:sz w:val="24"/>
          <w:highlight w:val="none"/>
          <w:u w:val="dotted"/>
        </w:rPr>
        <w:t xml:space="preserve">                                         </w:t>
      </w:r>
    </w:p>
    <w:p w14:paraId="353AA0DA">
      <w:pPr>
        <w:spacing w:line="360" w:lineRule="auto"/>
        <w:rPr>
          <w:rFonts w:hint="eastAsia" w:ascii="仿宋" w:hAnsi="仿宋" w:eastAsia="仿宋" w:cs="仿宋"/>
          <w:color w:val="auto"/>
          <w:sz w:val="24"/>
          <w:highlight w:val="none"/>
          <w:u w:val="dotted"/>
        </w:rPr>
      </w:pPr>
      <w:r>
        <w:rPr>
          <w:rFonts w:hint="eastAsia" w:ascii="仿宋" w:hAnsi="仿宋" w:eastAsia="仿宋" w:cs="仿宋"/>
          <w:color w:val="auto"/>
          <w:sz w:val="24"/>
          <w:highlight w:val="none"/>
          <w:u w:val="dotted"/>
        </w:rPr>
        <w:t xml:space="preserve">                                                      </w:t>
      </w:r>
    </w:p>
    <w:p w14:paraId="22C89C5A">
      <w:pPr>
        <w:spacing w:line="360" w:lineRule="auto"/>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法律依据：</w:t>
      </w:r>
      <w:r>
        <w:rPr>
          <w:rFonts w:hint="eastAsia" w:ascii="仿宋" w:hAnsi="仿宋" w:eastAsia="仿宋" w:cs="仿宋"/>
          <w:color w:val="auto"/>
          <w:sz w:val="24"/>
          <w:highlight w:val="none"/>
          <w:u w:val="dotted"/>
        </w:rPr>
        <w:t xml:space="preserve">                                          </w:t>
      </w:r>
    </w:p>
    <w:p w14:paraId="153D8507">
      <w:pPr>
        <w:spacing w:line="360" w:lineRule="auto"/>
        <w:rPr>
          <w:rFonts w:hint="eastAsia" w:ascii="仿宋" w:hAnsi="仿宋" w:eastAsia="仿宋" w:cs="仿宋"/>
          <w:color w:val="auto"/>
          <w:sz w:val="24"/>
          <w:highlight w:val="none"/>
          <w:u w:val="dotted"/>
        </w:rPr>
      </w:pPr>
      <w:r>
        <w:rPr>
          <w:rFonts w:hint="eastAsia" w:ascii="仿宋" w:hAnsi="仿宋" w:eastAsia="仿宋" w:cs="仿宋"/>
          <w:color w:val="auto"/>
          <w:sz w:val="24"/>
          <w:highlight w:val="none"/>
          <w:u w:val="dotted"/>
        </w:rPr>
        <w:t xml:space="preserve">                                                      </w:t>
      </w:r>
    </w:p>
    <w:p w14:paraId="1389A3D5">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投诉事项2</w:t>
      </w:r>
    </w:p>
    <w:p w14:paraId="31BD56E3">
      <w:pPr>
        <w:spacing w:line="360" w:lineRule="auto"/>
        <w:rPr>
          <w:rFonts w:hint="eastAsia" w:ascii="仿宋" w:hAnsi="仿宋" w:eastAsia="仿宋" w:cs="仿宋"/>
          <w:color w:val="auto"/>
          <w:sz w:val="24"/>
          <w:highlight w:val="none"/>
          <w:u w:val="dotted"/>
        </w:rPr>
      </w:pPr>
      <w:r>
        <w:rPr>
          <w:rFonts w:hint="eastAsia" w:ascii="仿宋" w:hAnsi="仿宋" w:eastAsia="仿宋" w:cs="仿宋"/>
          <w:color w:val="auto"/>
          <w:sz w:val="24"/>
          <w:highlight w:val="none"/>
        </w:rPr>
        <w:t>……</w:t>
      </w:r>
    </w:p>
    <w:p w14:paraId="6DD91397">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五、与投诉事项相关的投诉请求</w:t>
      </w:r>
    </w:p>
    <w:p w14:paraId="508D384F">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请求：</w:t>
      </w:r>
      <w:r>
        <w:rPr>
          <w:rFonts w:hint="eastAsia" w:ascii="仿宋" w:hAnsi="仿宋" w:eastAsia="仿宋" w:cs="仿宋"/>
          <w:color w:val="auto"/>
          <w:sz w:val="24"/>
          <w:highlight w:val="none"/>
          <w:u w:val="dotted"/>
        </w:rPr>
        <w:t xml:space="preserve">                                              </w:t>
      </w:r>
      <w:r>
        <w:rPr>
          <w:rFonts w:hint="eastAsia" w:ascii="仿宋" w:hAnsi="仿宋" w:eastAsia="仿宋" w:cs="仿宋"/>
          <w:color w:val="auto"/>
          <w:sz w:val="24"/>
          <w:highlight w:val="none"/>
        </w:rPr>
        <w:t xml:space="preserve"> </w:t>
      </w:r>
    </w:p>
    <w:p w14:paraId="76F8B76F">
      <w:pPr>
        <w:spacing w:line="360" w:lineRule="auto"/>
        <w:rPr>
          <w:rFonts w:hint="eastAsia" w:ascii="仿宋" w:hAnsi="仿宋" w:eastAsia="仿宋" w:cs="仿宋"/>
          <w:color w:val="auto"/>
          <w:sz w:val="24"/>
          <w:highlight w:val="none"/>
          <w:u w:val="single"/>
        </w:rPr>
      </w:pPr>
    </w:p>
    <w:p w14:paraId="24F88F48">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签字(签章)：                   公章：                      </w:t>
      </w:r>
    </w:p>
    <w:p w14:paraId="2596AE5D">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日期：    </w:t>
      </w:r>
    </w:p>
    <w:p w14:paraId="3C15E5C5">
      <w:pPr>
        <w:spacing w:line="360" w:lineRule="auto"/>
        <w:rPr>
          <w:rFonts w:hint="eastAsia" w:ascii="仿宋" w:hAnsi="仿宋" w:eastAsia="仿宋" w:cs="仿宋"/>
          <w:b/>
          <w:color w:val="auto"/>
          <w:sz w:val="24"/>
          <w:highlight w:val="none"/>
        </w:rPr>
      </w:pPr>
    </w:p>
    <w:p w14:paraId="71962549">
      <w:pPr>
        <w:spacing w:line="360" w:lineRule="auto"/>
        <w:rPr>
          <w:rFonts w:hint="eastAsia" w:ascii="仿宋" w:hAnsi="仿宋" w:eastAsia="仿宋" w:cs="仿宋"/>
          <w:b/>
          <w:color w:val="auto"/>
          <w:sz w:val="24"/>
          <w:highlight w:val="none"/>
        </w:rPr>
      </w:pPr>
      <w:r>
        <w:rPr>
          <w:rFonts w:hint="eastAsia" w:ascii="仿宋" w:hAnsi="仿宋" w:eastAsia="仿宋" w:cs="仿宋"/>
          <w:b/>
          <w:color w:val="auto"/>
          <w:sz w:val="24"/>
          <w:highlight w:val="none"/>
        </w:rPr>
        <w:t>投诉书制作说明：</w:t>
      </w:r>
    </w:p>
    <w:p w14:paraId="724A1514">
      <w:pPr>
        <w:widowControl/>
        <w:spacing w:line="360" w:lineRule="auto"/>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sz w:val="24"/>
          <w:highlight w:val="none"/>
        </w:rPr>
        <w:t>1.投诉人提起投诉时，应当提交投诉书和必要的证明材料，并按照被投诉人和与投诉事项有关的供应商数量提供投诉书副本。</w:t>
      </w:r>
    </w:p>
    <w:p w14:paraId="61517737">
      <w:pPr>
        <w:widowControl/>
        <w:spacing w:line="360" w:lineRule="auto"/>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sz w:val="24"/>
          <w:highlight w:val="none"/>
        </w:rPr>
        <w:t>2.投诉人若委托代理人进行投诉的，投诉书应按照要求列明“授权代表”的有关内容，并在附件中提交由</w:t>
      </w:r>
      <w:r>
        <w:rPr>
          <w:rFonts w:hint="eastAsia" w:ascii="仿宋" w:hAnsi="仿宋" w:eastAsia="仿宋" w:cs="仿宋"/>
          <w:color w:val="auto"/>
          <w:kern w:val="0"/>
          <w:sz w:val="24"/>
          <w:highlight w:val="none"/>
        </w:rPr>
        <w:t>投诉人签署的授权委托书。授权委托书应当载明代理人的姓名或者名称、代理事项、具体权限、期限和相关事项。</w:t>
      </w:r>
    </w:p>
    <w:p w14:paraId="3BD3265E">
      <w:pPr>
        <w:widowControl/>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3.投诉人若对项目的某一分包进行投诉，投诉书应列明具体分包号。</w:t>
      </w:r>
    </w:p>
    <w:p w14:paraId="2632816D">
      <w:pPr>
        <w:widowControl/>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4.投诉书应简要列明质疑事项，质疑函、质疑答复等作为附件材料提供。</w:t>
      </w:r>
    </w:p>
    <w:p w14:paraId="1BBE49E7">
      <w:pPr>
        <w:widowControl/>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5.投诉书的投诉事项应具体、明确，并有必要的事实依据和法律依据。</w:t>
      </w:r>
    </w:p>
    <w:p w14:paraId="47349414">
      <w:pPr>
        <w:widowControl/>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6.投诉书的投诉请求应与投诉事项相关。</w:t>
      </w:r>
    </w:p>
    <w:p w14:paraId="6652F5E4">
      <w:pPr>
        <w:widowControl/>
        <w:spacing w:line="360" w:lineRule="auto"/>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sz w:val="24"/>
          <w:highlight w:val="none"/>
        </w:rPr>
        <w:t>7.投诉人为自然人的，投诉书应当由本人签字；投诉人为法人或者其他组织的，投诉书应当由法定代表人、主要负责人，或者其授权代表签字或者盖章，并加盖公章。</w:t>
      </w:r>
    </w:p>
    <w:p w14:paraId="03978BDD">
      <w:pPr>
        <w:rPr>
          <w:rFonts w:hint="eastAsia" w:ascii="仿宋" w:hAnsi="仿宋" w:eastAsia="仿宋" w:cs="仿宋"/>
          <w:b/>
          <w:color w:val="auto"/>
          <w:sz w:val="24"/>
          <w:highlight w:val="none"/>
        </w:rPr>
      </w:pPr>
      <w:r>
        <w:rPr>
          <w:rFonts w:hint="eastAsia" w:ascii="仿宋" w:hAnsi="仿宋" w:eastAsia="仿宋" w:cs="仿宋"/>
          <w:b/>
          <w:color w:val="auto"/>
          <w:sz w:val="24"/>
          <w:highlight w:val="none"/>
        </w:rPr>
        <w:br w:type="page"/>
      </w:r>
    </w:p>
    <w:p w14:paraId="2949CC8B">
      <w:pPr>
        <w:autoSpaceDE w:val="0"/>
        <w:autoSpaceDN w:val="0"/>
        <w:jc w:val="center"/>
        <w:rPr>
          <w:rFonts w:hint="eastAsia" w:ascii="仿宋" w:hAnsi="仿宋" w:eastAsia="仿宋" w:cs="仿宋"/>
          <w:b/>
          <w:color w:val="auto"/>
          <w:spacing w:val="6"/>
          <w:sz w:val="32"/>
          <w:szCs w:val="32"/>
          <w:highlight w:val="none"/>
        </w:rPr>
      </w:pPr>
    </w:p>
    <w:p w14:paraId="12ADBD98">
      <w:pPr>
        <w:autoSpaceDE w:val="0"/>
        <w:autoSpaceDN w:val="0"/>
        <w:jc w:val="center"/>
        <w:rPr>
          <w:rFonts w:hint="eastAsia" w:ascii="仿宋" w:hAnsi="仿宋" w:eastAsia="仿宋" w:cs="仿宋"/>
          <w:b/>
          <w:color w:val="auto"/>
          <w:spacing w:val="6"/>
          <w:sz w:val="32"/>
          <w:szCs w:val="32"/>
          <w:highlight w:val="none"/>
        </w:rPr>
      </w:pPr>
    </w:p>
    <w:p w14:paraId="19FB6830">
      <w:pPr>
        <w:autoSpaceDE w:val="0"/>
        <w:autoSpaceDN w:val="0"/>
        <w:jc w:val="center"/>
        <w:rPr>
          <w:rFonts w:hint="eastAsia" w:ascii="仿宋" w:hAnsi="仿宋" w:eastAsia="仿宋" w:cs="仿宋"/>
          <w:b/>
          <w:bCs/>
          <w:color w:val="auto"/>
          <w:sz w:val="32"/>
          <w:szCs w:val="32"/>
          <w:highlight w:val="none"/>
        </w:rPr>
      </w:pPr>
      <w:r>
        <w:rPr>
          <w:rFonts w:hint="eastAsia" w:ascii="仿宋" w:hAnsi="仿宋" w:eastAsia="仿宋" w:cs="仿宋"/>
          <w:b/>
          <w:color w:val="auto"/>
          <w:spacing w:val="6"/>
          <w:sz w:val="32"/>
          <w:szCs w:val="32"/>
          <w:highlight w:val="none"/>
        </w:rPr>
        <w:t>附件4：</w:t>
      </w:r>
      <w:r>
        <w:rPr>
          <w:rFonts w:hint="eastAsia" w:ascii="仿宋" w:hAnsi="仿宋" w:eastAsia="仿宋" w:cs="仿宋"/>
          <w:b/>
          <w:bCs/>
          <w:color w:val="auto"/>
          <w:sz w:val="32"/>
          <w:szCs w:val="32"/>
          <w:highlight w:val="none"/>
        </w:rPr>
        <w:t>业务专用章使用说明函</w:t>
      </w:r>
    </w:p>
    <w:p w14:paraId="06A9992E">
      <w:pPr>
        <w:spacing w:line="360" w:lineRule="auto"/>
        <w:rPr>
          <w:rFonts w:hint="eastAsia" w:ascii="仿宋" w:hAnsi="仿宋" w:eastAsia="仿宋" w:cs="仿宋"/>
          <w:color w:val="auto"/>
          <w:sz w:val="24"/>
          <w:highlight w:val="none"/>
          <w:u w:val="single"/>
        </w:rPr>
      </w:pPr>
    </w:p>
    <w:p w14:paraId="3CC0BCEF">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u w:val="single"/>
          <w:lang w:eastAsia="zh-CN"/>
        </w:rPr>
        <w:t>杭州市公安局刑事侦查支队</w:t>
      </w:r>
      <w:r>
        <w:rPr>
          <w:rFonts w:hint="eastAsia" w:ascii="仿宋" w:hAnsi="仿宋" w:eastAsia="仿宋" w:cs="仿宋"/>
          <w:color w:val="auto"/>
          <w:sz w:val="24"/>
          <w:highlight w:val="none"/>
          <w:u w:val="single"/>
        </w:rPr>
        <w:t>、</w:t>
      </w:r>
      <w:r>
        <w:rPr>
          <w:rFonts w:hint="eastAsia" w:ascii="仿宋" w:hAnsi="仿宋" w:eastAsia="仿宋" w:cs="仿宋"/>
          <w:color w:val="auto"/>
          <w:sz w:val="24"/>
          <w:highlight w:val="none"/>
          <w:u w:val="single"/>
          <w:lang w:eastAsia="zh-CN"/>
        </w:rPr>
        <w:t>耀华建设管理有限公司</w:t>
      </w:r>
      <w:r>
        <w:rPr>
          <w:rFonts w:hint="eastAsia" w:ascii="仿宋" w:hAnsi="仿宋" w:eastAsia="仿宋" w:cs="仿宋"/>
          <w:color w:val="auto"/>
          <w:sz w:val="24"/>
          <w:highlight w:val="none"/>
          <w:u w:val="single"/>
        </w:rPr>
        <w:t>：</w:t>
      </w:r>
    </w:p>
    <w:p w14:paraId="037426FB">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kern w:val="0"/>
          <w:sz w:val="24"/>
          <w:highlight w:val="none"/>
          <w:lang w:val="zh-CN"/>
        </w:rPr>
        <w:t>我方</w:t>
      </w:r>
      <w:r>
        <w:rPr>
          <w:rFonts w:hint="eastAsia" w:ascii="仿宋" w:hAnsi="仿宋" w:eastAsia="仿宋" w:cs="仿宋"/>
          <w:color w:val="auto"/>
          <w:kern w:val="0"/>
          <w:sz w:val="24"/>
          <w:highlight w:val="none"/>
          <w:u w:val="single"/>
          <w:lang w:val="en-US" w:eastAsia="zh-CN"/>
        </w:rPr>
        <w:t xml:space="preserve">              </w:t>
      </w:r>
      <w:r>
        <w:rPr>
          <w:rFonts w:hint="eastAsia" w:ascii="仿宋" w:hAnsi="仿宋" w:eastAsia="仿宋" w:cs="仿宋"/>
          <w:color w:val="auto"/>
          <w:sz w:val="24"/>
          <w:highlight w:val="none"/>
        </w:rPr>
        <w:t>(投标人全称)是中华人民共和国依法登记注册的合法企业，</w:t>
      </w:r>
      <w:r>
        <w:rPr>
          <w:rFonts w:hint="eastAsia" w:ascii="仿宋" w:hAnsi="仿宋" w:eastAsia="仿宋" w:cs="仿宋"/>
          <w:bCs/>
          <w:color w:val="auto"/>
          <w:sz w:val="24"/>
          <w:highlight w:val="none"/>
        </w:rPr>
        <w:t>在参加</w:t>
      </w:r>
      <w:r>
        <w:rPr>
          <w:rFonts w:hint="eastAsia" w:ascii="仿宋" w:hAnsi="仿宋" w:eastAsia="仿宋" w:cs="仿宋"/>
          <w:color w:val="auto"/>
          <w:sz w:val="24"/>
          <w:highlight w:val="none"/>
        </w:rPr>
        <w:t>你方组织的</w:t>
      </w:r>
      <w:r>
        <w:rPr>
          <w:rFonts w:hint="eastAsia" w:ascii="仿宋" w:hAnsi="仿宋" w:eastAsia="仿宋" w:cs="仿宋"/>
          <w:color w:val="auto"/>
          <w:sz w:val="24"/>
          <w:highlight w:val="none"/>
          <w:u w:val="single"/>
          <w:lang w:eastAsia="zh-CN"/>
        </w:rPr>
        <w:t>反诈专项（涉网新型犯罪侦防数据服务）</w:t>
      </w:r>
      <w:r>
        <w:rPr>
          <w:rFonts w:hint="eastAsia" w:ascii="仿宋" w:hAnsi="仿宋" w:eastAsia="仿宋" w:cs="仿宋"/>
          <w:color w:val="auto"/>
          <w:sz w:val="24"/>
          <w:highlight w:val="none"/>
        </w:rPr>
        <w:t>【招标编号：</w:t>
      </w:r>
      <w:r>
        <w:rPr>
          <w:rFonts w:hint="eastAsia" w:ascii="仿宋" w:hAnsi="仿宋" w:eastAsia="仿宋" w:cs="仿宋"/>
          <w:color w:val="auto"/>
          <w:sz w:val="24"/>
          <w:highlight w:val="none"/>
          <w:u w:val="single"/>
          <w:lang w:eastAsia="zh-CN"/>
        </w:rPr>
        <w:t>YHDL-HZ-CG2025026</w:t>
      </w:r>
      <w:r>
        <w:rPr>
          <w:rFonts w:hint="eastAsia" w:ascii="仿宋" w:hAnsi="仿宋" w:eastAsia="仿宋" w:cs="仿宋"/>
          <w:color w:val="auto"/>
          <w:sz w:val="24"/>
          <w:highlight w:val="none"/>
        </w:rPr>
        <w:t>】</w:t>
      </w:r>
      <w:r>
        <w:rPr>
          <w:rFonts w:hint="eastAsia" w:ascii="仿宋" w:hAnsi="仿宋" w:eastAsia="仿宋" w:cs="仿宋"/>
          <w:bCs/>
          <w:color w:val="auto"/>
          <w:sz w:val="24"/>
          <w:highlight w:val="none"/>
        </w:rPr>
        <w:t>投标活动中作如下说明：</w:t>
      </w:r>
      <w:r>
        <w:rPr>
          <w:rFonts w:hint="eastAsia" w:ascii="仿宋" w:hAnsi="仿宋" w:eastAsia="仿宋" w:cs="仿宋"/>
          <w:color w:val="auto"/>
          <w:sz w:val="24"/>
          <w:highlight w:val="none"/>
        </w:rPr>
        <w:t xml:space="preserve">我方所使用的“XX专用章”与法定名称章具有同等的法律效力，对使用“XX专用章”的行为予以完全承认，并愿意承担相应责任。   </w:t>
      </w:r>
    </w:p>
    <w:p w14:paraId="66607406">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特此说明。</w:t>
      </w:r>
    </w:p>
    <w:p w14:paraId="5E25B2B1">
      <w:pPr>
        <w:spacing w:line="360" w:lineRule="auto"/>
        <w:ind w:firstLine="494"/>
        <w:rPr>
          <w:rFonts w:hint="eastAsia" w:ascii="仿宋" w:hAnsi="仿宋" w:eastAsia="仿宋" w:cs="仿宋"/>
          <w:color w:val="auto"/>
          <w:sz w:val="24"/>
          <w:highlight w:val="none"/>
        </w:rPr>
      </w:pPr>
    </w:p>
    <w:p w14:paraId="0227D73B">
      <w:pPr>
        <w:spacing w:line="360" w:lineRule="auto"/>
        <w:ind w:firstLine="494"/>
        <w:rPr>
          <w:rFonts w:hint="eastAsia" w:ascii="仿宋" w:hAnsi="仿宋" w:eastAsia="仿宋" w:cs="仿宋"/>
          <w:color w:val="auto"/>
          <w:sz w:val="24"/>
          <w:highlight w:val="none"/>
        </w:rPr>
      </w:pPr>
    </w:p>
    <w:p w14:paraId="4C15D64C">
      <w:pPr>
        <w:spacing w:line="360" w:lineRule="auto"/>
        <w:ind w:firstLine="494"/>
        <w:rPr>
          <w:rFonts w:hint="eastAsia" w:ascii="仿宋" w:hAnsi="仿宋" w:eastAsia="仿宋" w:cs="仿宋"/>
          <w:color w:val="auto"/>
          <w:sz w:val="24"/>
          <w:highlight w:val="none"/>
        </w:rPr>
      </w:pPr>
    </w:p>
    <w:p w14:paraId="288D77AA">
      <w:pPr>
        <w:spacing w:line="360" w:lineRule="auto"/>
        <w:ind w:firstLine="494"/>
        <w:rPr>
          <w:rFonts w:hint="eastAsia" w:ascii="仿宋" w:hAnsi="仿宋" w:eastAsia="仿宋" w:cs="仿宋"/>
          <w:color w:val="auto"/>
          <w:sz w:val="24"/>
          <w:highlight w:val="none"/>
        </w:rPr>
      </w:pPr>
    </w:p>
    <w:p w14:paraId="596D23FF">
      <w:pPr>
        <w:spacing w:line="360" w:lineRule="auto"/>
        <w:ind w:right="480" w:firstLine="4080" w:firstLineChars="170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投标单位（法定名称章）：</w:t>
      </w:r>
    </w:p>
    <w:p w14:paraId="12532161">
      <w:pPr>
        <w:ind w:right="1440" w:firstLine="494"/>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日期：       年     月     日</w:t>
      </w:r>
    </w:p>
    <w:p w14:paraId="08DDF467">
      <w:pPr>
        <w:rPr>
          <w:rFonts w:hint="eastAsia" w:ascii="仿宋" w:hAnsi="仿宋" w:eastAsia="仿宋" w:cs="仿宋"/>
          <w:b/>
          <w:bCs/>
          <w:color w:val="auto"/>
          <w:sz w:val="24"/>
          <w:highlight w:val="none"/>
        </w:rPr>
      </w:pPr>
    </w:p>
    <w:p w14:paraId="73CDA6B1">
      <w:pPr>
        <w:rPr>
          <w:rFonts w:hint="eastAsia" w:ascii="仿宋" w:hAnsi="仿宋" w:eastAsia="仿宋" w:cs="仿宋"/>
          <w:color w:val="auto"/>
          <w:sz w:val="24"/>
          <w:highlight w:val="none"/>
        </w:rPr>
      </w:pPr>
      <w:r>
        <w:rPr>
          <w:rFonts w:hint="eastAsia" w:ascii="仿宋" w:hAnsi="仿宋" w:eastAsia="仿宋" w:cs="仿宋"/>
          <w:b/>
          <w:bCs/>
          <w:color w:val="auto"/>
          <w:sz w:val="24"/>
          <w:highlight w:val="none"/>
        </w:rPr>
        <w:t>附：</w:t>
      </w:r>
    </w:p>
    <w:p w14:paraId="687409F1">
      <w:pPr>
        <w:spacing w:line="360" w:lineRule="auto"/>
        <w:rPr>
          <w:rFonts w:hint="eastAsia" w:ascii="仿宋" w:hAnsi="仿宋" w:eastAsia="仿宋" w:cs="仿宋"/>
          <w:bCs/>
          <w:color w:val="auto"/>
          <w:sz w:val="24"/>
          <w:highlight w:val="none"/>
        </w:rPr>
      </w:pPr>
      <w:r>
        <w:rPr>
          <w:rFonts w:hint="eastAsia" w:ascii="仿宋" w:hAnsi="仿宋" w:eastAsia="仿宋" w:cs="仿宋"/>
          <w:b/>
          <w:bCs/>
          <w:color w:val="auto"/>
          <w:sz w:val="24"/>
          <w:highlight w:val="none"/>
        </w:rPr>
        <mc:AlternateContent>
          <mc:Choice Requires="wps">
            <w:drawing>
              <wp:anchor distT="0" distB="0" distL="114300" distR="114300" simplePos="0" relativeHeight="251659264" behindDoc="1" locked="0" layoutInCell="1" allowOverlap="1">
                <wp:simplePos x="0" y="0"/>
                <wp:positionH relativeFrom="column">
                  <wp:posOffset>3034030</wp:posOffset>
                </wp:positionH>
                <wp:positionV relativeFrom="paragraph">
                  <wp:posOffset>356235</wp:posOffset>
                </wp:positionV>
                <wp:extent cx="2704465" cy="2253615"/>
                <wp:effectExtent l="5080" t="4445" r="8255" b="15240"/>
                <wp:wrapNone/>
                <wp:docPr id="3" name="Rectangle 17"/>
                <wp:cNvGraphicFramePr/>
                <a:graphic xmlns:a="http://schemas.openxmlformats.org/drawingml/2006/main">
                  <a:graphicData uri="http://schemas.microsoft.com/office/word/2010/wordprocessingShape">
                    <wps:wsp>
                      <wps:cNvSpPr>
                        <a:spLocks noChangeArrowheads="1"/>
                      </wps:cNvSpPr>
                      <wps:spPr bwMode="auto">
                        <a:xfrm>
                          <a:off x="0" y="0"/>
                          <a:ext cx="2704465" cy="2253615"/>
                        </a:xfrm>
                        <a:prstGeom prst="rect">
                          <a:avLst/>
                        </a:prstGeom>
                        <a:solidFill>
                          <a:srgbClr val="FFFFFF"/>
                        </a:solidFill>
                        <a:ln w="9525">
                          <a:solidFill>
                            <a:srgbClr val="000000"/>
                          </a:solidFill>
                          <a:miter lim="200000"/>
                        </a:ln>
                        <a:effectLst/>
                      </wps:spPr>
                      <wps:bodyPr rot="0" vert="horz" wrap="square" lIns="91440" tIns="45720" rIns="91440" bIns="45720" anchor="t" anchorCtr="0" upright="1">
                        <a:noAutofit/>
                      </wps:bodyPr>
                    </wps:wsp>
                  </a:graphicData>
                </a:graphic>
              </wp:anchor>
            </w:drawing>
          </mc:Choice>
          <mc:Fallback>
            <w:pict>
              <v:rect id="Rectangle 17" o:spid="_x0000_s1026" o:spt="1" style="position:absolute;left:0pt;margin-left:238.9pt;margin-top:28.05pt;height:177.45pt;width:212.95pt;z-index:-251657216;mso-width-relative:page;mso-height-relative:page;" fillcolor="#FFFFFF" filled="t" stroked="t" coordsize="21600,21600" o:gfxdata="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WQDz/YAAAACgEAAA8AAAAAAAAAAQAgAAAAIgAAAGRycy9kb3ducmV2LnhtbFBL&#10;AQIUABQAAAAIAIdO4kDcfgGMLwIAAIIEAAAOAAAAAAAAAAEAIAAAACcBAABkcnMvZTJvRG9jLnht&#10;bFBLBQYAAAAABgAGAFkBAADIBQAAAAA=&#10;">
                <v:fill on="t" focussize="0,0"/>
                <v:stroke color="#000000" miterlimit="2" joinstyle="miter"/>
                <v:imagedata o:title=""/>
                <o:lock v:ext="edit" aspectratio="f"/>
              </v:rect>
            </w:pict>
          </mc:Fallback>
        </mc:AlternateContent>
      </w:r>
      <w:r>
        <w:rPr>
          <w:rFonts w:hint="eastAsia" w:ascii="仿宋" w:hAnsi="仿宋" w:eastAsia="仿宋" w:cs="仿宋"/>
          <w:b/>
          <w:bCs/>
          <w:color w:val="auto"/>
          <w:sz w:val="24"/>
          <w:highlight w:val="none"/>
        </w:rPr>
        <mc:AlternateContent>
          <mc:Choice Requires="wps">
            <w:drawing>
              <wp:anchor distT="0" distB="0" distL="114300" distR="114300" simplePos="0" relativeHeight="251660288" behindDoc="1" locked="0" layoutInCell="1" allowOverlap="1">
                <wp:simplePos x="0" y="0"/>
                <wp:positionH relativeFrom="column">
                  <wp:posOffset>-91440</wp:posOffset>
                </wp:positionH>
                <wp:positionV relativeFrom="paragraph">
                  <wp:posOffset>384810</wp:posOffset>
                </wp:positionV>
                <wp:extent cx="2647950" cy="2253615"/>
                <wp:effectExtent l="5080" t="4445" r="13970" b="15240"/>
                <wp:wrapNone/>
                <wp:docPr id="4" name="Rectangle 16"/>
                <wp:cNvGraphicFramePr/>
                <a:graphic xmlns:a="http://schemas.openxmlformats.org/drawingml/2006/main">
                  <a:graphicData uri="http://schemas.microsoft.com/office/word/2010/wordprocessingShape">
                    <wps:wsp>
                      <wps:cNvSpPr>
                        <a:spLocks noChangeArrowheads="1"/>
                      </wps:cNvSpPr>
                      <wps:spPr bwMode="auto">
                        <a:xfrm>
                          <a:off x="0" y="0"/>
                          <a:ext cx="2647950" cy="2253615"/>
                        </a:xfrm>
                        <a:prstGeom prst="rect">
                          <a:avLst/>
                        </a:prstGeom>
                        <a:solidFill>
                          <a:srgbClr val="FFFFFF"/>
                        </a:solidFill>
                        <a:ln w="9525">
                          <a:solidFill>
                            <a:srgbClr val="000000"/>
                          </a:solidFill>
                          <a:miter lim="200000"/>
                        </a:ln>
                        <a:effectLst/>
                      </wps:spPr>
                      <wps:bodyPr rot="0" vert="horz" wrap="square" lIns="91440" tIns="45720" rIns="91440" bIns="45720" anchor="t" anchorCtr="0" upright="1">
                        <a:noAutofit/>
                      </wps:bodyPr>
                    </wps:wsp>
                  </a:graphicData>
                </a:graphic>
              </wp:anchor>
            </w:drawing>
          </mc:Choice>
          <mc:Fallback>
            <w:pict>
              <v:rect id="Rectangle 16" o:spid="_x0000_s1026" o:spt="1" style="position:absolute;left:0pt;margin-left:-7.2pt;margin-top:30.3pt;height:177.45pt;width:208.5pt;z-index:-251656192;mso-width-relative:page;mso-height-relative:page;" fillcolor="#FFFFFF" filled="t" stroked="t" coordsize="21600,21600" o:gfxdata="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BmMR6bYAAAACgEAAA8AAAAAAAAAAQAgAAAAIgAAAGRycy9kb3ducmV2LnhtbFBL&#10;AQIUABQAAAAIAIdO4kBNZyw0LwIAAIIEAAAOAAAAAAAAAAEAIAAAACcBAABkcnMvZTJvRG9jLnht&#10;bFBLBQYAAAAABgAGAFkBAADIBQAAAAA=&#10;">
                <v:fill on="t" focussize="0,0"/>
                <v:stroke color="#000000" miterlimit="2" joinstyle="miter"/>
                <v:imagedata o:title=""/>
                <o:lock v:ext="edit" aspectratio="f"/>
              </v:rect>
            </w:pict>
          </mc:Fallback>
        </mc:AlternateContent>
      </w:r>
      <w:r>
        <w:rPr>
          <w:rFonts w:hint="eastAsia" w:ascii="仿宋" w:hAnsi="仿宋" w:eastAsia="仿宋" w:cs="仿宋"/>
          <w:color w:val="auto"/>
          <w:sz w:val="24"/>
          <w:highlight w:val="none"/>
        </w:rPr>
        <w:t>投标单位法定名称章（印模）                投标单位“XX专用章”（印模）</w:t>
      </w:r>
    </w:p>
    <w:p w14:paraId="1BFC9D30">
      <w:pPr>
        <w:autoSpaceDE w:val="0"/>
        <w:autoSpaceDN w:val="0"/>
        <w:jc w:val="center"/>
        <w:rPr>
          <w:rFonts w:hint="eastAsia" w:ascii="仿宋" w:hAnsi="仿宋" w:eastAsia="仿宋" w:cs="仿宋"/>
          <w:b/>
          <w:color w:val="auto"/>
          <w:spacing w:val="6"/>
          <w:sz w:val="32"/>
          <w:szCs w:val="32"/>
          <w:highlight w:val="none"/>
        </w:rPr>
      </w:pPr>
    </w:p>
    <w:p w14:paraId="4F817C3D">
      <w:pPr>
        <w:autoSpaceDE w:val="0"/>
        <w:autoSpaceDN w:val="0"/>
        <w:jc w:val="center"/>
        <w:rPr>
          <w:rFonts w:hint="eastAsia" w:ascii="仿宋" w:hAnsi="仿宋" w:eastAsia="仿宋" w:cs="仿宋"/>
          <w:b/>
          <w:color w:val="auto"/>
          <w:spacing w:val="6"/>
          <w:sz w:val="32"/>
          <w:szCs w:val="32"/>
          <w:highlight w:val="none"/>
        </w:rPr>
      </w:pPr>
    </w:p>
    <w:p w14:paraId="58DA849E">
      <w:pPr>
        <w:autoSpaceDE w:val="0"/>
        <w:autoSpaceDN w:val="0"/>
        <w:jc w:val="center"/>
        <w:rPr>
          <w:rFonts w:hint="eastAsia" w:ascii="仿宋" w:hAnsi="仿宋" w:eastAsia="仿宋" w:cs="仿宋"/>
          <w:b/>
          <w:color w:val="auto"/>
          <w:spacing w:val="6"/>
          <w:sz w:val="32"/>
          <w:szCs w:val="32"/>
          <w:highlight w:val="none"/>
        </w:rPr>
      </w:pPr>
    </w:p>
    <w:p w14:paraId="7EEE90D4">
      <w:pPr>
        <w:autoSpaceDE w:val="0"/>
        <w:autoSpaceDN w:val="0"/>
        <w:jc w:val="center"/>
        <w:rPr>
          <w:rFonts w:hint="eastAsia" w:ascii="仿宋" w:hAnsi="仿宋" w:eastAsia="仿宋" w:cs="仿宋"/>
          <w:b/>
          <w:color w:val="auto"/>
          <w:spacing w:val="6"/>
          <w:sz w:val="32"/>
          <w:szCs w:val="32"/>
          <w:highlight w:val="none"/>
        </w:rPr>
      </w:pPr>
    </w:p>
    <w:p w14:paraId="14E6685B">
      <w:pPr>
        <w:autoSpaceDE w:val="0"/>
        <w:autoSpaceDN w:val="0"/>
        <w:jc w:val="center"/>
        <w:rPr>
          <w:rFonts w:hint="eastAsia" w:ascii="仿宋" w:hAnsi="仿宋" w:eastAsia="仿宋" w:cs="仿宋"/>
          <w:b/>
          <w:color w:val="auto"/>
          <w:spacing w:val="6"/>
          <w:sz w:val="32"/>
          <w:szCs w:val="32"/>
          <w:highlight w:val="none"/>
        </w:rPr>
      </w:pPr>
    </w:p>
    <w:p w14:paraId="0D60CA5A">
      <w:pPr>
        <w:autoSpaceDE w:val="0"/>
        <w:autoSpaceDN w:val="0"/>
        <w:jc w:val="center"/>
        <w:rPr>
          <w:rFonts w:hint="eastAsia" w:ascii="仿宋" w:hAnsi="仿宋" w:eastAsia="仿宋" w:cs="仿宋"/>
          <w:b/>
          <w:color w:val="auto"/>
          <w:spacing w:val="6"/>
          <w:sz w:val="32"/>
          <w:szCs w:val="32"/>
          <w:highlight w:val="none"/>
        </w:rPr>
      </w:pPr>
    </w:p>
    <w:p w14:paraId="2DB4C16A">
      <w:pPr>
        <w:autoSpaceDE w:val="0"/>
        <w:autoSpaceDN w:val="0"/>
        <w:jc w:val="center"/>
        <w:rPr>
          <w:rFonts w:hint="eastAsia" w:ascii="仿宋" w:hAnsi="仿宋" w:eastAsia="仿宋" w:cs="仿宋"/>
          <w:b/>
          <w:color w:val="auto"/>
          <w:spacing w:val="6"/>
          <w:sz w:val="32"/>
          <w:szCs w:val="32"/>
          <w:highlight w:val="none"/>
        </w:rPr>
      </w:pPr>
    </w:p>
    <w:p w14:paraId="0133AD35">
      <w:pPr>
        <w:autoSpaceDE w:val="0"/>
        <w:autoSpaceDN w:val="0"/>
        <w:jc w:val="center"/>
        <w:rPr>
          <w:rFonts w:hint="eastAsia" w:ascii="仿宋" w:hAnsi="仿宋" w:eastAsia="仿宋" w:cs="仿宋"/>
          <w:b/>
          <w:color w:val="auto"/>
          <w:spacing w:val="6"/>
          <w:sz w:val="32"/>
          <w:szCs w:val="32"/>
          <w:highlight w:val="none"/>
        </w:rPr>
      </w:pPr>
    </w:p>
    <w:p w14:paraId="1A043821">
      <w:pPr>
        <w:autoSpaceDE w:val="0"/>
        <w:autoSpaceDN w:val="0"/>
        <w:jc w:val="center"/>
        <w:rPr>
          <w:rFonts w:hint="eastAsia" w:ascii="仿宋" w:hAnsi="仿宋" w:eastAsia="仿宋" w:cs="仿宋"/>
          <w:b/>
          <w:color w:val="auto"/>
          <w:spacing w:val="6"/>
          <w:sz w:val="32"/>
          <w:szCs w:val="32"/>
          <w:highlight w:val="none"/>
        </w:rPr>
      </w:pPr>
    </w:p>
    <w:p w14:paraId="6FAAC3A1">
      <w:pPr>
        <w:autoSpaceDE w:val="0"/>
        <w:autoSpaceDN w:val="0"/>
        <w:jc w:val="center"/>
        <w:rPr>
          <w:rFonts w:hint="eastAsia" w:ascii="仿宋" w:hAnsi="仿宋" w:eastAsia="仿宋" w:cs="仿宋"/>
          <w:b/>
          <w:color w:val="auto"/>
          <w:spacing w:val="6"/>
          <w:sz w:val="32"/>
          <w:szCs w:val="32"/>
          <w:highlight w:val="none"/>
        </w:rPr>
      </w:pPr>
    </w:p>
    <w:p w14:paraId="2CC74464">
      <w:pPr>
        <w:rPr>
          <w:rFonts w:hint="eastAsia" w:ascii="仿宋" w:hAnsi="仿宋" w:eastAsia="仿宋" w:cs="仿宋"/>
          <w:b/>
          <w:color w:val="auto"/>
          <w:spacing w:val="6"/>
          <w:sz w:val="32"/>
          <w:szCs w:val="32"/>
          <w:highlight w:val="none"/>
        </w:rPr>
      </w:pPr>
      <w:r>
        <w:rPr>
          <w:rFonts w:hint="eastAsia" w:ascii="仿宋" w:hAnsi="仿宋" w:eastAsia="仿宋" w:cs="仿宋"/>
          <w:b/>
          <w:color w:val="auto"/>
          <w:spacing w:val="6"/>
          <w:sz w:val="32"/>
          <w:szCs w:val="32"/>
          <w:highlight w:val="none"/>
        </w:rPr>
        <w:br w:type="page"/>
      </w:r>
    </w:p>
    <w:p w14:paraId="061BBDBC">
      <w:pPr>
        <w:rPr>
          <w:rFonts w:hint="eastAsia"/>
          <w:color w:val="auto"/>
          <w:highlight w:val="none"/>
        </w:rPr>
      </w:pPr>
    </w:p>
    <w:p w14:paraId="01B43020">
      <w:pPr>
        <w:autoSpaceDE w:val="0"/>
        <w:autoSpaceDN w:val="0"/>
        <w:jc w:val="center"/>
        <w:rPr>
          <w:rFonts w:hint="eastAsia" w:ascii="仿宋" w:hAnsi="仿宋" w:eastAsia="仿宋" w:cs="仿宋"/>
          <w:b/>
          <w:color w:val="auto"/>
          <w:kern w:val="0"/>
          <w:sz w:val="32"/>
          <w:szCs w:val="32"/>
          <w:highlight w:val="none"/>
          <w:lang w:val="zh-CN"/>
        </w:rPr>
      </w:pPr>
      <w:r>
        <w:rPr>
          <w:rFonts w:hint="eastAsia" w:ascii="仿宋" w:hAnsi="仿宋" w:eastAsia="仿宋" w:cs="仿宋"/>
          <w:b/>
          <w:color w:val="auto"/>
          <w:spacing w:val="6"/>
          <w:sz w:val="32"/>
          <w:szCs w:val="32"/>
          <w:highlight w:val="none"/>
        </w:rPr>
        <w:t>附件5：</w:t>
      </w:r>
      <w:r>
        <w:rPr>
          <w:rFonts w:hint="eastAsia" w:ascii="仿宋" w:hAnsi="仿宋" w:eastAsia="仿宋" w:cs="仿宋"/>
          <w:b/>
          <w:color w:val="auto"/>
          <w:kern w:val="0"/>
          <w:sz w:val="32"/>
          <w:szCs w:val="32"/>
          <w:highlight w:val="none"/>
          <w:lang w:val="zh-CN"/>
        </w:rPr>
        <w:t>联合协议</w:t>
      </w:r>
    </w:p>
    <w:p w14:paraId="3F1FD7E0">
      <w:pPr>
        <w:keepNext w:val="0"/>
        <w:keepLines w:val="0"/>
        <w:pageBreakBefore w:val="0"/>
        <w:widowControl/>
        <w:kinsoku/>
        <w:wordWrap/>
        <w:overflowPunct/>
        <w:topLinePunct w:val="0"/>
        <w:autoSpaceDE/>
        <w:autoSpaceDN/>
        <w:bidi w:val="0"/>
        <w:adjustRightInd w:val="0"/>
        <w:snapToGrid w:val="0"/>
        <w:spacing w:line="276" w:lineRule="auto"/>
        <w:ind w:firstLine="482" w:firstLineChars="200"/>
        <w:jc w:val="left"/>
        <w:textAlignment w:val="auto"/>
        <w:rPr>
          <w:rFonts w:hint="eastAsia" w:ascii="仿宋" w:hAnsi="仿宋" w:eastAsia="仿宋" w:cs="仿宋"/>
          <w:b/>
          <w:color w:val="auto"/>
          <w:sz w:val="24"/>
          <w:highlight w:val="none"/>
        </w:rPr>
      </w:pPr>
      <w:r>
        <w:rPr>
          <w:rFonts w:hint="eastAsia" w:ascii="仿宋" w:hAnsi="仿宋" w:eastAsia="仿宋" w:cs="仿宋"/>
          <w:b/>
          <w:color w:val="auto"/>
          <w:sz w:val="24"/>
          <w:highlight w:val="none"/>
        </w:rPr>
        <w:t>（以联合体形式投标的，提供联合协议；本项目不接受联合体投标或者投标人不以联合体形式投标的，则不需要提供）</w:t>
      </w:r>
    </w:p>
    <w:p w14:paraId="7B160C9A">
      <w:pPr>
        <w:keepNext w:val="0"/>
        <w:keepLines w:val="0"/>
        <w:pageBreakBefore w:val="0"/>
        <w:kinsoku/>
        <w:wordWrap/>
        <w:overflowPunct/>
        <w:topLinePunct w:val="0"/>
        <w:autoSpaceDE/>
        <w:autoSpaceDN/>
        <w:bidi w:val="0"/>
        <w:adjustRightInd w:val="0"/>
        <w:snapToGrid w:val="0"/>
        <w:spacing w:line="276" w:lineRule="auto"/>
        <w:ind w:firstLine="576"/>
        <w:textAlignment w:val="auto"/>
        <w:rPr>
          <w:rFonts w:hint="eastAsia" w:ascii="仿宋" w:hAnsi="仿宋" w:eastAsia="仿宋" w:cs="仿宋"/>
          <w:color w:val="auto"/>
          <w:kern w:val="0"/>
          <w:sz w:val="24"/>
          <w:highlight w:val="none"/>
          <w:lang w:val="zh-CN"/>
        </w:rPr>
      </w:pPr>
      <w:r>
        <w:rPr>
          <w:rFonts w:hint="eastAsia" w:ascii="仿宋" w:hAnsi="仿宋" w:eastAsia="仿宋" w:cs="仿宋"/>
          <w:color w:val="auto"/>
          <w:kern w:val="0"/>
          <w:sz w:val="24"/>
          <w:highlight w:val="none"/>
          <w:u w:val="single"/>
        </w:rPr>
        <w:t>（联合体所有成员名称）</w:t>
      </w:r>
      <w:r>
        <w:rPr>
          <w:rFonts w:hint="eastAsia" w:ascii="仿宋" w:hAnsi="仿宋" w:eastAsia="仿宋" w:cs="仿宋"/>
          <w:color w:val="auto"/>
          <w:kern w:val="0"/>
          <w:sz w:val="24"/>
          <w:highlight w:val="none"/>
        </w:rPr>
        <w:t>自愿</w:t>
      </w:r>
      <w:r>
        <w:rPr>
          <w:rFonts w:hint="eastAsia" w:ascii="仿宋" w:hAnsi="仿宋" w:eastAsia="仿宋" w:cs="仿宋"/>
          <w:color w:val="auto"/>
          <w:kern w:val="0"/>
          <w:sz w:val="24"/>
          <w:highlight w:val="none"/>
          <w:lang w:val="zh-CN"/>
        </w:rPr>
        <w:t>组成一个联合体，以一个投标人的身份</w:t>
      </w:r>
      <w:r>
        <w:rPr>
          <w:rFonts w:hint="eastAsia" w:ascii="仿宋" w:hAnsi="仿宋" w:eastAsia="仿宋" w:cs="仿宋"/>
          <w:color w:val="auto"/>
          <w:kern w:val="0"/>
          <w:sz w:val="24"/>
          <w:highlight w:val="none"/>
        </w:rPr>
        <w:t>参加</w:t>
      </w:r>
      <w:r>
        <w:rPr>
          <w:rFonts w:hint="eastAsia" w:ascii="仿宋" w:hAnsi="仿宋" w:eastAsia="仿宋" w:cs="仿宋"/>
          <w:color w:val="auto"/>
          <w:sz w:val="24"/>
          <w:highlight w:val="none"/>
          <w:u w:val="single"/>
          <w:lang w:eastAsia="zh-CN"/>
        </w:rPr>
        <w:t>反诈专项（涉网新型犯罪侦防数据服务）</w:t>
      </w:r>
      <w:r>
        <w:rPr>
          <w:rFonts w:hint="eastAsia" w:ascii="仿宋" w:hAnsi="仿宋" w:eastAsia="仿宋" w:cs="仿宋"/>
          <w:color w:val="auto"/>
          <w:sz w:val="24"/>
          <w:highlight w:val="none"/>
        </w:rPr>
        <w:t>【招标编号：</w:t>
      </w:r>
      <w:r>
        <w:rPr>
          <w:rFonts w:hint="eastAsia" w:ascii="仿宋" w:hAnsi="仿宋" w:eastAsia="仿宋" w:cs="仿宋"/>
          <w:color w:val="auto"/>
          <w:sz w:val="24"/>
          <w:highlight w:val="none"/>
          <w:u w:val="single"/>
          <w:lang w:eastAsia="zh-CN"/>
        </w:rPr>
        <w:t>YHDL-HZ-CG2025026</w:t>
      </w:r>
      <w:r>
        <w:rPr>
          <w:rFonts w:hint="eastAsia" w:ascii="仿宋" w:hAnsi="仿宋" w:eastAsia="仿宋" w:cs="仿宋"/>
          <w:color w:val="auto"/>
          <w:sz w:val="24"/>
          <w:highlight w:val="none"/>
        </w:rPr>
        <w:t>】</w:t>
      </w:r>
      <w:r>
        <w:rPr>
          <w:rFonts w:hint="eastAsia" w:ascii="仿宋" w:hAnsi="仿宋" w:eastAsia="仿宋" w:cs="仿宋"/>
          <w:color w:val="auto"/>
          <w:kern w:val="0"/>
          <w:sz w:val="24"/>
          <w:highlight w:val="none"/>
          <w:lang w:val="zh-CN"/>
        </w:rPr>
        <w:t xml:space="preserve">投标。 </w:t>
      </w:r>
    </w:p>
    <w:p w14:paraId="3EF90CEC">
      <w:pPr>
        <w:keepNext w:val="0"/>
        <w:keepLines w:val="0"/>
        <w:pageBreakBefore w:val="0"/>
        <w:kinsoku/>
        <w:wordWrap/>
        <w:overflowPunct/>
        <w:topLinePunct w:val="0"/>
        <w:autoSpaceDE/>
        <w:autoSpaceDN/>
        <w:bidi w:val="0"/>
        <w:adjustRightInd w:val="0"/>
        <w:snapToGrid w:val="0"/>
        <w:spacing w:line="276" w:lineRule="auto"/>
        <w:ind w:firstLine="576"/>
        <w:textAlignment w:val="auto"/>
        <w:rPr>
          <w:rFonts w:hint="eastAsia"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一、各方一致决定，</w:t>
      </w:r>
      <w:r>
        <w:rPr>
          <w:rFonts w:hint="eastAsia" w:ascii="仿宋" w:hAnsi="仿宋" w:eastAsia="仿宋" w:cs="仿宋"/>
          <w:color w:val="auto"/>
          <w:kern w:val="0"/>
          <w:sz w:val="24"/>
          <w:highlight w:val="none"/>
          <w:u w:val="single"/>
        </w:rPr>
        <w:t>（某联合体成员名称）</w:t>
      </w:r>
      <w:r>
        <w:rPr>
          <w:rFonts w:hint="eastAsia" w:ascii="仿宋" w:hAnsi="仿宋" w:eastAsia="仿宋" w:cs="仿宋"/>
          <w:color w:val="auto"/>
          <w:kern w:val="0"/>
          <w:sz w:val="24"/>
          <w:highlight w:val="none"/>
        </w:rPr>
        <w:t>为联合体</w:t>
      </w:r>
      <w:r>
        <w:rPr>
          <w:rFonts w:hint="eastAsia" w:ascii="仿宋" w:hAnsi="仿宋" w:eastAsia="仿宋" w:cs="仿宋"/>
          <w:color w:val="auto"/>
          <w:kern w:val="0"/>
          <w:sz w:val="24"/>
          <w:highlight w:val="none"/>
          <w:lang w:val="zh-CN"/>
        </w:rPr>
        <w:t>牵头人</w:t>
      </w:r>
      <w:r>
        <w:rPr>
          <w:rFonts w:hint="eastAsia" w:ascii="仿宋" w:hAnsi="仿宋" w:eastAsia="仿宋" w:cs="仿宋"/>
          <w:color w:val="auto"/>
          <w:sz w:val="24"/>
          <w:highlight w:val="none"/>
        </w:rPr>
        <w:t>，代表所有联合体成员负责投标和合同实施阶段的主办、协调工作</w:t>
      </w:r>
      <w:r>
        <w:rPr>
          <w:rFonts w:hint="eastAsia" w:ascii="仿宋" w:hAnsi="仿宋" w:eastAsia="仿宋" w:cs="仿宋"/>
          <w:color w:val="auto"/>
          <w:kern w:val="0"/>
          <w:sz w:val="24"/>
          <w:highlight w:val="none"/>
          <w:lang w:val="zh-CN"/>
        </w:rPr>
        <w:t>。</w:t>
      </w:r>
    </w:p>
    <w:p w14:paraId="2030AFDA">
      <w:pPr>
        <w:keepNext w:val="0"/>
        <w:keepLines w:val="0"/>
        <w:pageBreakBefore w:val="0"/>
        <w:kinsoku/>
        <w:wordWrap/>
        <w:overflowPunct/>
        <w:topLinePunct w:val="0"/>
        <w:autoSpaceDE/>
        <w:autoSpaceDN/>
        <w:bidi w:val="0"/>
        <w:adjustRightInd w:val="0"/>
        <w:snapToGrid w:val="0"/>
        <w:spacing w:line="276" w:lineRule="auto"/>
        <w:ind w:firstLine="576"/>
        <w:textAlignment w:val="auto"/>
        <w:rPr>
          <w:rFonts w:hint="eastAsia"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二、</w:t>
      </w:r>
      <w:r>
        <w:rPr>
          <w:rFonts w:hint="eastAsia" w:ascii="仿宋" w:hAnsi="仿宋" w:eastAsia="仿宋" w:cs="仿宋"/>
          <w:color w:val="auto"/>
          <w:sz w:val="24"/>
          <w:highlight w:val="none"/>
        </w:rPr>
        <w:t>所有联合体成员各方签署授权书，授权书载明的</w:t>
      </w:r>
      <w:r>
        <w:rPr>
          <w:rFonts w:hint="eastAsia" w:ascii="仿宋" w:hAnsi="仿宋" w:eastAsia="仿宋" w:cs="仿宋"/>
          <w:color w:val="auto"/>
          <w:kern w:val="0"/>
          <w:sz w:val="24"/>
          <w:highlight w:val="none"/>
          <w:lang w:val="zh-CN"/>
        </w:rPr>
        <w:t>授权代表根据招标文件规定及投标内容而对采购人、采购代理机构所作的任何合法承诺，包括书面澄清及</w:t>
      </w:r>
      <w:r>
        <w:rPr>
          <w:rFonts w:hint="eastAsia" w:ascii="仿宋" w:hAnsi="仿宋" w:eastAsia="仿宋" w:cs="仿宋"/>
          <w:color w:val="auto"/>
          <w:kern w:val="0"/>
          <w:sz w:val="24"/>
          <w:highlight w:val="none"/>
          <w:lang w:val="en-US" w:eastAsia="zh-CN"/>
        </w:rPr>
        <w:t>响应</w:t>
      </w:r>
      <w:r>
        <w:rPr>
          <w:rFonts w:hint="eastAsia" w:ascii="仿宋" w:hAnsi="仿宋" w:eastAsia="仿宋" w:cs="仿宋"/>
          <w:color w:val="auto"/>
          <w:kern w:val="0"/>
          <w:sz w:val="24"/>
          <w:highlight w:val="none"/>
          <w:lang w:val="zh-CN"/>
        </w:rPr>
        <w:t>等均对联合投标各方产生约束力。</w:t>
      </w:r>
    </w:p>
    <w:p w14:paraId="235B5AEB">
      <w:pPr>
        <w:keepNext w:val="0"/>
        <w:keepLines w:val="0"/>
        <w:pageBreakBefore w:val="0"/>
        <w:kinsoku/>
        <w:wordWrap/>
        <w:overflowPunct/>
        <w:topLinePunct w:val="0"/>
        <w:autoSpaceDE/>
        <w:autoSpaceDN/>
        <w:bidi w:val="0"/>
        <w:adjustRightInd w:val="0"/>
        <w:snapToGrid w:val="0"/>
        <w:spacing w:line="276" w:lineRule="auto"/>
        <w:ind w:firstLine="576"/>
        <w:textAlignment w:val="auto"/>
        <w:rPr>
          <w:rFonts w:hint="eastAsia"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三、本次联合投标中，分工如下：</w:t>
      </w:r>
    </w:p>
    <w:p w14:paraId="01A8E137">
      <w:pPr>
        <w:keepNext w:val="0"/>
        <w:keepLines w:val="0"/>
        <w:pageBreakBefore w:val="0"/>
        <w:kinsoku/>
        <w:wordWrap/>
        <w:overflowPunct/>
        <w:topLinePunct w:val="0"/>
        <w:autoSpaceDE/>
        <w:autoSpaceDN/>
        <w:bidi w:val="0"/>
        <w:adjustRightInd w:val="0"/>
        <w:snapToGrid w:val="0"/>
        <w:spacing w:line="276" w:lineRule="auto"/>
        <w:ind w:firstLine="576"/>
        <w:textAlignment w:val="auto"/>
        <w:rPr>
          <w:rFonts w:hint="eastAsia" w:ascii="仿宋" w:hAnsi="仿宋" w:eastAsia="仿宋" w:cs="仿宋"/>
          <w:color w:val="auto"/>
          <w:kern w:val="0"/>
          <w:sz w:val="24"/>
          <w:highlight w:val="none"/>
          <w:lang w:val="zh-CN"/>
        </w:rPr>
      </w:pPr>
      <w:r>
        <w:rPr>
          <w:rFonts w:hint="eastAsia" w:ascii="仿宋" w:hAnsi="仿宋" w:eastAsia="仿宋" w:cs="仿宋"/>
          <w:color w:val="auto"/>
          <w:kern w:val="0"/>
          <w:sz w:val="24"/>
          <w:highlight w:val="none"/>
          <w:u w:val="single"/>
        </w:rPr>
        <w:t>（联合体成员1）</w:t>
      </w:r>
      <w:r>
        <w:rPr>
          <w:rFonts w:hint="eastAsia" w:ascii="仿宋" w:hAnsi="仿宋" w:eastAsia="仿宋" w:cs="仿宋"/>
          <w:color w:val="auto"/>
          <w:kern w:val="0"/>
          <w:sz w:val="24"/>
          <w:highlight w:val="none"/>
          <w:lang w:val="zh-CN"/>
        </w:rPr>
        <w:t>承担的工作和义务为：</w:t>
      </w:r>
      <w:r>
        <w:rPr>
          <w:rFonts w:hint="eastAsia" w:ascii="仿宋" w:hAnsi="仿宋" w:eastAsia="仿宋" w:cs="仿宋"/>
          <w:color w:val="auto"/>
          <w:kern w:val="0"/>
          <w:sz w:val="24"/>
          <w:highlight w:val="none"/>
          <w:u w:val="single"/>
          <w:lang w:val="en-US" w:eastAsia="zh-CN"/>
        </w:rPr>
        <w:t xml:space="preserve">        </w:t>
      </w:r>
      <w:r>
        <w:rPr>
          <w:rFonts w:hint="eastAsia" w:ascii="仿宋" w:hAnsi="仿宋" w:eastAsia="仿宋" w:cs="仿宋"/>
          <w:color w:val="auto"/>
          <w:kern w:val="0"/>
          <w:sz w:val="24"/>
          <w:highlight w:val="none"/>
          <w:lang w:val="zh-CN"/>
        </w:rPr>
        <w:t>；</w:t>
      </w:r>
    </w:p>
    <w:p w14:paraId="2A49F72F">
      <w:pPr>
        <w:keepNext w:val="0"/>
        <w:keepLines w:val="0"/>
        <w:pageBreakBefore w:val="0"/>
        <w:kinsoku/>
        <w:wordWrap/>
        <w:overflowPunct/>
        <w:topLinePunct w:val="0"/>
        <w:autoSpaceDE/>
        <w:autoSpaceDN/>
        <w:bidi w:val="0"/>
        <w:adjustRightInd w:val="0"/>
        <w:snapToGrid w:val="0"/>
        <w:spacing w:line="276" w:lineRule="auto"/>
        <w:ind w:firstLine="576"/>
        <w:textAlignment w:val="auto"/>
        <w:rPr>
          <w:rFonts w:hint="eastAsia" w:ascii="仿宋" w:hAnsi="仿宋" w:eastAsia="仿宋" w:cs="仿宋"/>
          <w:color w:val="auto"/>
          <w:kern w:val="0"/>
          <w:sz w:val="24"/>
          <w:highlight w:val="none"/>
          <w:lang w:val="zh-CN"/>
        </w:rPr>
      </w:pPr>
      <w:r>
        <w:rPr>
          <w:rFonts w:hint="eastAsia" w:ascii="仿宋" w:hAnsi="仿宋" w:eastAsia="仿宋" w:cs="仿宋"/>
          <w:color w:val="auto"/>
          <w:kern w:val="0"/>
          <w:sz w:val="24"/>
          <w:highlight w:val="none"/>
          <w:u w:val="single"/>
        </w:rPr>
        <w:t>（联合体成员2）</w:t>
      </w:r>
      <w:r>
        <w:rPr>
          <w:rFonts w:hint="eastAsia" w:ascii="仿宋" w:hAnsi="仿宋" w:eastAsia="仿宋" w:cs="仿宋"/>
          <w:color w:val="auto"/>
          <w:kern w:val="0"/>
          <w:sz w:val="24"/>
          <w:highlight w:val="none"/>
          <w:lang w:val="zh-CN"/>
        </w:rPr>
        <w:t>承担的工作和义务为：</w:t>
      </w:r>
      <w:r>
        <w:rPr>
          <w:rFonts w:hint="eastAsia" w:ascii="仿宋" w:hAnsi="仿宋" w:eastAsia="仿宋" w:cs="仿宋"/>
          <w:color w:val="auto"/>
          <w:kern w:val="0"/>
          <w:sz w:val="24"/>
          <w:highlight w:val="none"/>
          <w:u w:val="single"/>
          <w:lang w:val="en-US" w:eastAsia="zh-CN"/>
        </w:rPr>
        <w:t xml:space="preserve">        </w:t>
      </w:r>
      <w:r>
        <w:rPr>
          <w:rFonts w:hint="eastAsia" w:ascii="仿宋" w:hAnsi="仿宋" w:eastAsia="仿宋" w:cs="仿宋"/>
          <w:color w:val="auto"/>
          <w:kern w:val="0"/>
          <w:sz w:val="24"/>
          <w:highlight w:val="none"/>
          <w:lang w:val="zh-CN"/>
        </w:rPr>
        <w:t>；</w:t>
      </w:r>
    </w:p>
    <w:p w14:paraId="41B24E93">
      <w:pPr>
        <w:keepNext w:val="0"/>
        <w:keepLines w:val="0"/>
        <w:pageBreakBefore w:val="0"/>
        <w:kinsoku/>
        <w:wordWrap/>
        <w:overflowPunct/>
        <w:topLinePunct w:val="0"/>
        <w:autoSpaceDE/>
        <w:autoSpaceDN/>
        <w:bidi w:val="0"/>
        <w:adjustRightInd w:val="0"/>
        <w:snapToGrid w:val="0"/>
        <w:spacing w:line="276" w:lineRule="auto"/>
        <w:ind w:firstLine="576"/>
        <w:textAlignment w:val="auto"/>
        <w:rPr>
          <w:rFonts w:hint="eastAsia"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w:t>
      </w:r>
    </w:p>
    <w:p w14:paraId="7CC50C5B">
      <w:pPr>
        <w:keepNext w:val="0"/>
        <w:keepLines w:val="0"/>
        <w:pageBreakBefore w:val="0"/>
        <w:kinsoku/>
        <w:wordWrap/>
        <w:overflowPunct/>
        <w:topLinePunct w:val="0"/>
        <w:autoSpaceDE/>
        <w:autoSpaceDN/>
        <w:bidi w:val="0"/>
        <w:adjustRightInd w:val="0"/>
        <w:snapToGrid w:val="0"/>
        <w:spacing w:line="276" w:lineRule="auto"/>
        <w:ind w:firstLine="576"/>
        <w:textAlignment w:val="auto"/>
        <w:rPr>
          <w:rFonts w:hint="eastAsia"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四、联合体成员中小企业合同份额。</w:t>
      </w:r>
    </w:p>
    <w:p w14:paraId="28E1CD6F">
      <w:pPr>
        <w:keepNext w:val="0"/>
        <w:keepLines w:val="0"/>
        <w:pageBreakBefore w:val="0"/>
        <w:kinsoku/>
        <w:wordWrap/>
        <w:overflowPunct/>
        <w:topLinePunct w:val="0"/>
        <w:autoSpaceDE/>
        <w:autoSpaceDN/>
        <w:bidi w:val="0"/>
        <w:adjustRightInd w:val="0"/>
        <w:snapToGrid w:val="0"/>
        <w:spacing w:line="276" w:lineRule="auto"/>
        <w:ind w:firstLine="576"/>
        <w:textAlignment w:val="auto"/>
        <w:rPr>
          <w:rFonts w:hint="eastAsia" w:ascii="仿宋" w:hAnsi="仿宋" w:eastAsia="仿宋" w:cs="仿宋"/>
          <w:b/>
          <w:color w:val="auto"/>
          <w:kern w:val="0"/>
          <w:sz w:val="24"/>
          <w:highlight w:val="none"/>
          <w:lang w:val="zh-CN"/>
        </w:rPr>
      </w:pPr>
      <w:r>
        <w:rPr>
          <w:rFonts w:hint="eastAsia" w:ascii="仿宋" w:hAnsi="仿宋" w:eastAsia="仿宋" w:cs="仿宋"/>
          <w:color w:val="auto"/>
          <w:kern w:val="0"/>
          <w:sz w:val="24"/>
          <w:highlight w:val="none"/>
          <w:lang w:val="zh-CN"/>
        </w:rPr>
        <w:t>1、</w:t>
      </w:r>
      <w:r>
        <w:rPr>
          <w:rFonts w:hint="eastAsia" w:ascii="仿宋" w:hAnsi="仿宋" w:eastAsia="仿宋" w:cs="仿宋"/>
          <w:color w:val="auto"/>
          <w:kern w:val="0"/>
          <w:sz w:val="24"/>
          <w:highlight w:val="none"/>
          <w:u w:val="single"/>
        </w:rPr>
        <w:t>（</w:t>
      </w:r>
      <w:bookmarkStart w:id="531" w:name="_Hlk101131882"/>
      <w:r>
        <w:rPr>
          <w:rFonts w:hint="eastAsia" w:ascii="仿宋" w:hAnsi="仿宋" w:eastAsia="仿宋" w:cs="仿宋"/>
          <w:color w:val="auto"/>
          <w:kern w:val="0"/>
          <w:sz w:val="24"/>
          <w:highlight w:val="none"/>
          <w:u w:val="single"/>
        </w:rPr>
        <w:t>联合体成员X,……</w:t>
      </w:r>
      <w:bookmarkEnd w:id="531"/>
      <w:r>
        <w:rPr>
          <w:rFonts w:hint="eastAsia" w:ascii="仿宋" w:hAnsi="仿宋" w:eastAsia="仿宋" w:cs="仿宋"/>
          <w:color w:val="auto"/>
          <w:kern w:val="0"/>
          <w:sz w:val="24"/>
          <w:highlight w:val="none"/>
          <w:u w:val="single"/>
        </w:rPr>
        <w:t>）</w:t>
      </w:r>
      <w:r>
        <w:rPr>
          <w:rFonts w:hint="eastAsia" w:ascii="仿宋" w:hAnsi="仿宋" w:eastAsia="仿宋" w:cs="仿宋"/>
          <w:color w:val="auto"/>
          <w:kern w:val="0"/>
          <w:sz w:val="24"/>
          <w:highlight w:val="none"/>
        </w:rPr>
        <w:t>提供的服务由小微企业承接，其合同份额占到合同总金额</w:t>
      </w:r>
      <w:r>
        <w:rPr>
          <w:rFonts w:hint="eastAsia" w:ascii="仿宋" w:hAnsi="仿宋" w:eastAsia="仿宋" w:cs="仿宋"/>
          <w:color w:val="auto"/>
          <w:kern w:val="0"/>
          <w:sz w:val="24"/>
          <w:highlight w:val="none"/>
          <w:u w:val="single"/>
          <w:lang w:val="en-US" w:eastAsia="zh-CN"/>
        </w:rPr>
        <w:t xml:space="preserve">    </w:t>
      </w:r>
      <w:r>
        <w:rPr>
          <w:rFonts w:hint="eastAsia" w:ascii="仿宋" w:hAnsi="仿宋" w:eastAsia="仿宋" w:cs="仿宋"/>
          <w:color w:val="auto"/>
          <w:kern w:val="0"/>
          <w:sz w:val="24"/>
          <w:highlight w:val="none"/>
        </w:rPr>
        <w:t>%以上</w:t>
      </w:r>
      <w:r>
        <w:rPr>
          <w:rFonts w:hint="eastAsia" w:ascii="仿宋" w:hAnsi="仿宋" w:eastAsia="仿宋" w:cs="仿宋"/>
          <w:color w:val="auto"/>
          <w:kern w:val="0"/>
          <w:sz w:val="24"/>
          <w:highlight w:val="none"/>
          <w:lang w:val="zh-CN"/>
        </w:rPr>
        <w:t>。</w:t>
      </w:r>
      <w:r>
        <w:rPr>
          <w:rFonts w:hint="eastAsia" w:ascii="仿宋" w:hAnsi="仿宋" w:eastAsia="仿宋" w:cs="仿宋"/>
          <w:b/>
          <w:color w:val="auto"/>
          <w:kern w:val="0"/>
          <w:sz w:val="24"/>
          <w:highlight w:val="none"/>
          <w:lang w:val="zh-CN"/>
        </w:rPr>
        <w:t>（</w:t>
      </w:r>
      <w:bookmarkStart w:id="532" w:name="_Hlk101133598"/>
      <w:r>
        <w:rPr>
          <w:rFonts w:hint="eastAsia" w:ascii="仿宋" w:hAnsi="仿宋" w:eastAsia="仿宋" w:cs="仿宋"/>
          <w:b/>
          <w:color w:val="auto"/>
          <w:kern w:val="0"/>
          <w:sz w:val="24"/>
          <w:highlight w:val="none"/>
          <w:lang w:val="zh-CN"/>
        </w:rPr>
        <w:t>未预留份额专门面向中小企业采购的采购项目，以及预留份额中的非预留部分采购包，接受联合体投标的，联合协议约定小微企业的合同份额占到合同总金额30%以上的，对联合体报价按评标标准确定的比例给予扣除。供应商</w:t>
      </w:r>
      <w:r>
        <w:rPr>
          <w:rFonts w:hint="eastAsia" w:ascii="仿宋" w:hAnsi="仿宋" w:eastAsia="仿宋" w:cs="仿宋"/>
          <w:b/>
          <w:color w:val="auto"/>
          <w:sz w:val="24"/>
          <w:highlight w:val="none"/>
        </w:rPr>
        <w:t>拟享受以上价格扣除政策的，填写有关内容。</w:t>
      </w:r>
      <w:bookmarkEnd w:id="532"/>
      <w:r>
        <w:rPr>
          <w:rFonts w:hint="eastAsia" w:ascii="仿宋" w:hAnsi="仿宋" w:eastAsia="仿宋" w:cs="仿宋"/>
          <w:b/>
          <w:color w:val="auto"/>
          <w:kern w:val="0"/>
          <w:sz w:val="24"/>
          <w:highlight w:val="none"/>
          <w:lang w:val="zh-CN"/>
        </w:rPr>
        <w:t>）</w:t>
      </w:r>
    </w:p>
    <w:p w14:paraId="7C4A06A2">
      <w:pPr>
        <w:keepNext w:val="0"/>
        <w:keepLines w:val="0"/>
        <w:pageBreakBefore w:val="0"/>
        <w:kinsoku/>
        <w:wordWrap/>
        <w:overflowPunct/>
        <w:topLinePunct w:val="0"/>
        <w:autoSpaceDE/>
        <w:autoSpaceDN/>
        <w:bidi w:val="0"/>
        <w:adjustRightInd w:val="0"/>
        <w:snapToGrid w:val="0"/>
        <w:spacing w:line="276" w:lineRule="auto"/>
        <w:ind w:firstLine="480" w:firstLineChars="200"/>
        <w:textAlignment w:val="auto"/>
        <w:rPr>
          <w:rFonts w:hint="eastAsia" w:ascii="仿宋" w:hAnsi="仿宋" w:eastAsia="仿宋" w:cs="仿宋"/>
          <w:b/>
          <w:bCs/>
          <w:color w:val="auto"/>
          <w:kern w:val="0"/>
          <w:sz w:val="24"/>
          <w:highlight w:val="none"/>
          <w:lang w:val="zh-CN"/>
        </w:rPr>
      </w:pPr>
      <w:r>
        <w:rPr>
          <w:rFonts w:hint="eastAsia" w:ascii="仿宋" w:hAnsi="仿宋" w:eastAsia="仿宋" w:cs="仿宋"/>
          <w:color w:val="auto"/>
          <w:sz w:val="24"/>
          <w:highlight w:val="none"/>
        </w:rPr>
        <w:t>2、</w:t>
      </w:r>
      <w:bookmarkStart w:id="533" w:name="_Hlk101133173"/>
      <w:r>
        <w:rPr>
          <w:rFonts w:hint="eastAsia" w:ascii="仿宋" w:hAnsi="仿宋" w:eastAsia="仿宋" w:cs="仿宋"/>
          <w:color w:val="auto"/>
          <w:sz w:val="24"/>
          <w:highlight w:val="none"/>
        </w:rPr>
        <w:t>中小企业合同金额达到</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其中</w:t>
      </w:r>
      <w:r>
        <w:rPr>
          <w:rFonts w:hint="eastAsia" w:ascii="仿宋" w:hAnsi="仿宋" w:eastAsia="仿宋" w:cs="仿宋"/>
          <w:color w:val="auto"/>
          <w:sz w:val="24"/>
          <w:highlight w:val="none"/>
        </w:rPr>
        <w:t>小微企业合同金额达到</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w:t>
      </w:r>
      <w:r>
        <w:rPr>
          <w:rFonts w:hint="eastAsia" w:ascii="仿宋" w:hAnsi="仿宋" w:eastAsia="仿宋" w:cs="仿宋"/>
          <w:color w:val="auto"/>
          <w:kern w:val="0"/>
          <w:sz w:val="24"/>
          <w:highlight w:val="none"/>
          <w:lang w:val="zh-CN"/>
        </w:rPr>
        <w:t>。</w:t>
      </w:r>
      <w:r>
        <w:rPr>
          <w:rFonts w:hint="eastAsia" w:ascii="仿宋" w:hAnsi="仿宋" w:eastAsia="仿宋" w:cs="仿宋"/>
          <w:b/>
          <w:bCs/>
          <w:color w:val="auto"/>
          <w:kern w:val="0"/>
          <w:sz w:val="24"/>
          <w:highlight w:val="none"/>
          <w:lang w:val="zh-CN"/>
        </w:rPr>
        <w:t>（</w:t>
      </w:r>
      <w:r>
        <w:rPr>
          <w:rFonts w:hint="eastAsia" w:ascii="仿宋" w:hAnsi="仿宋" w:eastAsia="仿宋" w:cs="仿宋"/>
          <w:b/>
          <w:bCs/>
          <w:color w:val="auto"/>
          <w:sz w:val="24"/>
          <w:highlight w:val="none"/>
        </w:rPr>
        <w:t>要求以联合体形式参加的项目或采购包，供应商按招标文件第一部分招标公告申请人的资格要求中规定的联合协议中中小企业、小微企业合同金额应当达到的比例要求填写。</w:t>
      </w:r>
      <w:r>
        <w:rPr>
          <w:rFonts w:hint="eastAsia" w:ascii="仿宋" w:hAnsi="仿宋" w:eastAsia="仿宋" w:cs="仿宋"/>
          <w:b/>
          <w:bCs/>
          <w:color w:val="auto"/>
          <w:kern w:val="0"/>
          <w:sz w:val="24"/>
          <w:highlight w:val="none"/>
          <w:lang w:val="zh-CN"/>
        </w:rPr>
        <w:t>）</w:t>
      </w:r>
      <w:bookmarkEnd w:id="533"/>
    </w:p>
    <w:p w14:paraId="4734F64A">
      <w:pPr>
        <w:keepNext w:val="0"/>
        <w:keepLines w:val="0"/>
        <w:pageBreakBefore w:val="0"/>
        <w:kinsoku/>
        <w:wordWrap/>
        <w:overflowPunct/>
        <w:topLinePunct w:val="0"/>
        <w:autoSpaceDE/>
        <w:autoSpaceDN/>
        <w:bidi w:val="0"/>
        <w:adjustRightInd w:val="0"/>
        <w:snapToGrid w:val="0"/>
        <w:spacing w:line="276" w:lineRule="auto"/>
        <w:ind w:firstLine="576"/>
        <w:textAlignment w:val="auto"/>
        <w:rPr>
          <w:rFonts w:hint="eastAsia"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五、如果中标，</w:t>
      </w:r>
      <w:r>
        <w:rPr>
          <w:rFonts w:hint="eastAsia" w:ascii="仿宋" w:hAnsi="仿宋" w:eastAsia="仿宋" w:cs="仿宋"/>
          <w:color w:val="auto"/>
          <w:sz w:val="24"/>
          <w:highlight w:val="none"/>
        </w:rPr>
        <w:t>联合体各成员方共同与采购人签订合同，并就采购合同约定的事项对采购人承担连带责任。</w:t>
      </w:r>
    </w:p>
    <w:p w14:paraId="40B96A28">
      <w:pPr>
        <w:keepNext w:val="0"/>
        <w:keepLines w:val="0"/>
        <w:pageBreakBefore w:val="0"/>
        <w:kinsoku/>
        <w:wordWrap/>
        <w:overflowPunct/>
        <w:topLinePunct w:val="0"/>
        <w:autoSpaceDE/>
        <w:autoSpaceDN/>
        <w:bidi w:val="0"/>
        <w:adjustRightInd w:val="0"/>
        <w:snapToGrid w:val="0"/>
        <w:spacing w:line="276" w:lineRule="auto"/>
        <w:ind w:firstLine="576"/>
        <w:textAlignment w:val="auto"/>
        <w:rPr>
          <w:rFonts w:hint="eastAsia"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六、有关本次联合投标的其他事宜：</w:t>
      </w:r>
    </w:p>
    <w:p w14:paraId="62BB2295">
      <w:pPr>
        <w:keepNext w:val="0"/>
        <w:keepLines w:val="0"/>
        <w:pageBreakBefore w:val="0"/>
        <w:kinsoku/>
        <w:wordWrap/>
        <w:overflowPunct/>
        <w:topLinePunct w:val="0"/>
        <w:autoSpaceDE/>
        <w:autoSpaceDN/>
        <w:bidi w:val="0"/>
        <w:adjustRightInd w:val="0"/>
        <w:snapToGrid w:val="0"/>
        <w:spacing w:line="276" w:lineRule="auto"/>
        <w:ind w:firstLine="576"/>
        <w:textAlignment w:val="auto"/>
        <w:rPr>
          <w:rFonts w:hint="eastAsia"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1、联合体各方不再单独参加或者与其他供应商另外组成联合体参加同一合同项下的政府采购活动。</w:t>
      </w:r>
    </w:p>
    <w:p w14:paraId="7580310C">
      <w:pPr>
        <w:keepNext w:val="0"/>
        <w:keepLines w:val="0"/>
        <w:pageBreakBefore w:val="0"/>
        <w:kinsoku/>
        <w:wordWrap/>
        <w:overflowPunct/>
        <w:topLinePunct w:val="0"/>
        <w:autoSpaceDE/>
        <w:autoSpaceDN/>
        <w:bidi w:val="0"/>
        <w:adjustRightInd w:val="0"/>
        <w:snapToGrid w:val="0"/>
        <w:spacing w:line="276" w:lineRule="auto"/>
        <w:ind w:firstLine="576"/>
        <w:textAlignment w:val="auto"/>
        <w:rPr>
          <w:rFonts w:hint="eastAsia"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2、联合体中有同类资质的各方按照联合体分工承担相同工作的，按照资质等级较低的供应商确定资质等级。</w:t>
      </w:r>
    </w:p>
    <w:p w14:paraId="39FAC7AB">
      <w:pPr>
        <w:keepNext w:val="0"/>
        <w:keepLines w:val="0"/>
        <w:pageBreakBefore w:val="0"/>
        <w:kinsoku/>
        <w:wordWrap/>
        <w:overflowPunct/>
        <w:topLinePunct w:val="0"/>
        <w:autoSpaceDE/>
        <w:autoSpaceDN/>
        <w:bidi w:val="0"/>
        <w:adjustRightInd w:val="0"/>
        <w:snapToGrid w:val="0"/>
        <w:spacing w:line="276" w:lineRule="auto"/>
        <w:ind w:firstLine="576"/>
        <w:textAlignment w:val="auto"/>
        <w:rPr>
          <w:rFonts w:hint="eastAsia"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3、本协议提交采购人、采购代理机构后，联合体各方不得以任何形式对上述内容进行修改或撤销。</w:t>
      </w:r>
    </w:p>
    <w:p w14:paraId="786E477C">
      <w:pPr>
        <w:keepNext w:val="0"/>
        <w:keepLines w:val="0"/>
        <w:pageBreakBefore w:val="0"/>
        <w:kinsoku/>
        <w:wordWrap/>
        <w:overflowPunct/>
        <w:topLinePunct w:val="0"/>
        <w:autoSpaceDE/>
        <w:autoSpaceDN/>
        <w:bidi w:val="0"/>
        <w:adjustRightInd w:val="0"/>
        <w:snapToGrid w:val="0"/>
        <w:spacing w:line="276" w:lineRule="auto"/>
        <w:ind w:firstLine="5040" w:firstLineChars="2100"/>
        <w:textAlignment w:val="auto"/>
        <w:rPr>
          <w:rFonts w:hint="eastAsia"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联合体成员名称(电子签名/公章)：</w:t>
      </w:r>
    </w:p>
    <w:p w14:paraId="2EC9B3C4">
      <w:pPr>
        <w:keepNext w:val="0"/>
        <w:keepLines w:val="0"/>
        <w:pageBreakBefore w:val="0"/>
        <w:kinsoku/>
        <w:wordWrap/>
        <w:overflowPunct/>
        <w:topLinePunct w:val="0"/>
        <w:autoSpaceDE/>
        <w:autoSpaceDN/>
        <w:bidi w:val="0"/>
        <w:adjustRightInd w:val="0"/>
        <w:snapToGrid w:val="0"/>
        <w:spacing w:line="276" w:lineRule="auto"/>
        <w:ind w:firstLine="5040" w:firstLineChars="2100"/>
        <w:textAlignment w:val="auto"/>
        <w:rPr>
          <w:rFonts w:hint="eastAsia"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联合体成员名称(电子签名/公章)：</w:t>
      </w:r>
    </w:p>
    <w:p w14:paraId="3A5663FB">
      <w:pPr>
        <w:keepNext w:val="0"/>
        <w:keepLines w:val="0"/>
        <w:pageBreakBefore w:val="0"/>
        <w:kinsoku/>
        <w:wordWrap/>
        <w:overflowPunct/>
        <w:topLinePunct w:val="0"/>
        <w:autoSpaceDE/>
        <w:autoSpaceDN/>
        <w:bidi w:val="0"/>
        <w:adjustRightInd w:val="0"/>
        <w:snapToGrid w:val="0"/>
        <w:spacing w:line="276" w:lineRule="auto"/>
        <w:ind w:right="960"/>
        <w:jc w:val="center"/>
        <w:textAlignment w:val="auto"/>
        <w:rPr>
          <w:rFonts w:hint="eastAsia"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 xml:space="preserve">                   ……</w:t>
      </w:r>
    </w:p>
    <w:p w14:paraId="6F0B878B">
      <w:pPr>
        <w:keepNext w:val="0"/>
        <w:keepLines w:val="0"/>
        <w:pageBreakBefore w:val="0"/>
        <w:kinsoku/>
        <w:wordWrap/>
        <w:overflowPunct/>
        <w:topLinePunct w:val="0"/>
        <w:autoSpaceDE/>
        <w:autoSpaceDN/>
        <w:bidi w:val="0"/>
        <w:adjustRightInd w:val="0"/>
        <w:snapToGrid w:val="0"/>
        <w:spacing w:line="276" w:lineRule="auto"/>
        <w:jc w:val="right"/>
        <w:textAlignment w:val="auto"/>
        <w:rPr>
          <w:rFonts w:hint="eastAsia"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日期：  年  月   日</w:t>
      </w:r>
    </w:p>
    <w:p w14:paraId="316F0897">
      <w:pPr>
        <w:keepNext w:val="0"/>
        <w:keepLines w:val="0"/>
        <w:pageBreakBefore w:val="0"/>
        <w:kinsoku/>
        <w:wordWrap/>
        <w:overflowPunct/>
        <w:topLinePunct w:val="0"/>
        <w:autoSpaceDE/>
        <w:autoSpaceDN/>
        <w:bidi w:val="0"/>
        <w:adjustRightInd w:val="0"/>
        <w:snapToGrid w:val="0"/>
        <w:spacing w:line="276" w:lineRule="auto"/>
        <w:ind w:right="420"/>
        <w:textAlignment w:val="auto"/>
        <w:rPr>
          <w:rFonts w:hint="eastAsia" w:ascii="仿宋" w:hAnsi="仿宋" w:eastAsia="仿宋" w:cs="仿宋"/>
          <w:b/>
          <w:color w:val="auto"/>
          <w:spacing w:val="6"/>
          <w:sz w:val="32"/>
          <w:szCs w:val="32"/>
          <w:highlight w:val="none"/>
        </w:rPr>
      </w:pPr>
      <w:r>
        <w:rPr>
          <w:rFonts w:hint="eastAsia" w:ascii="仿宋" w:hAnsi="仿宋" w:eastAsia="仿宋" w:cs="仿宋"/>
          <w:color w:val="auto"/>
          <w:sz w:val="24"/>
          <w:highlight w:val="none"/>
        </w:rPr>
        <w:t>注：按本格式和要求提供。</w:t>
      </w:r>
      <w:r>
        <w:rPr>
          <w:rFonts w:hint="eastAsia" w:ascii="仿宋" w:hAnsi="仿宋" w:eastAsia="仿宋" w:cs="仿宋"/>
          <w:b/>
          <w:color w:val="auto"/>
          <w:spacing w:val="6"/>
          <w:sz w:val="32"/>
          <w:szCs w:val="32"/>
          <w:highlight w:val="none"/>
        </w:rPr>
        <w:br w:type="page"/>
      </w:r>
    </w:p>
    <w:p w14:paraId="1ADA7715">
      <w:pPr>
        <w:autoSpaceDE w:val="0"/>
        <w:autoSpaceDN w:val="0"/>
        <w:jc w:val="center"/>
        <w:rPr>
          <w:rFonts w:hint="eastAsia" w:ascii="仿宋" w:hAnsi="仿宋" w:eastAsia="仿宋" w:cs="仿宋"/>
          <w:b/>
          <w:color w:val="auto"/>
          <w:spacing w:val="6"/>
          <w:sz w:val="32"/>
          <w:szCs w:val="32"/>
          <w:highlight w:val="none"/>
        </w:rPr>
      </w:pPr>
      <w:r>
        <w:rPr>
          <w:rFonts w:hint="eastAsia" w:ascii="仿宋" w:hAnsi="仿宋" w:eastAsia="仿宋" w:cs="仿宋"/>
          <w:b/>
          <w:color w:val="auto"/>
          <w:spacing w:val="6"/>
          <w:sz w:val="32"/>
          <w:szCs w:val="32"/>
          <w:highlight w:val="none"/>
        </w:rPr>
        <w:t>附件6：分包意向协议</w:t>
      </w:r>
    </w:p>
    <w:p w14:paraId="73C06445">
      <w:pPr>
        <w:rPr>
          <w:rFonts w:hint="eastAsia"/>
          <w:color w:val="auto"/>
          <w:highlight w:val="none"/>
        </w:rPr>
      </w:pPr>
    </w:p>
    <w:p w14:paraId="2D87BB7B">
      <w:pPr>
        <w:pageBreakBefore w:val="0"/>
        <w:widowControl/>
        <w:kinsoku/>
        <w:wordWrap/>
        <w:overflowPunct/>
        <w:topLinePunct w:val="0"/>
        <w:autoSpaceDE/>
        <w:autoSpaceDN/>
        <w:bidi w:val="0"/>
        <w:snapToGrid w:val="0"/>
        <w:spacing w:line="276" w:lineRule="auto"/>
        <w:ind w:firstLine="120" w:firstLineChars="50"/>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w:t>
      </w:r>
      <w:r>
        <w:rPr>
          <w:rFonts w:hint="eastAsia" w:ascii="仿宋" w:hAnsi="仿宋" w:eastAsia="仿宋" w:cs="仿宋"/>
          <w:b/>
          <w:color w:val="auto"/>
          <w:sz w:val="24"/>
          <w:highlight w:val="none"/>
        </w:rPr>
        <w:t>中标后以分包方式履行合同的，提供分包意向协议；采购人不同意分包或者投标人中标后不以分包方式履行合同的，则不需要提供。</w:t>
      </w:r>
      <w:r>
        <w:rPr>
          <w:rFonts w:hint="eastAsia" w:ascii="仿宋" w:hAnsi="仿宋" w:eastAsia="仿宋" w:cs="仿宋"/>
          <w:color w:val="auto"/>
          <w:sz w:val="24"/>
          <w:highlight w:val="none"/>
        </w:rPr>
        <w:t>）</w:t>
      </w:r>
    </w:p>
    <w:p w14:paraId="19708677">
      <w:pPr>
        <w:pageBreakBefore w:val="0"/>
        <w:kinsoku/>
        <w:wordWrap/>
        <w:overflowPunct/>
        <w:topLinePunct w:val="0"/>
        <w:autoSpaceDE/>
        <w:autoSpaceDN/>
        <w:bidi w:val="0"/>
        <w:snapToGrid w:val="0"/>
        <w:spacing w:line="276" w:lineRule="auto"/>
        <w:ind w:firstLine="576"/>
        <w:textAlignment w:val="auto"/>
        <w:rPr>
          <w:rFonts w:hint="eastAsia" w:ascii="仿宋" w:hAnsi="仿宋" w:eastAsia="仿宋" w:cs="仿宋"/>
          <w:color w:val="auto"/>
          <w:kern w:val="0"/>
          <w:sz w:val="24"/>
          <w:highlight w:val="none"/>
          <w:lang w:val="zh-CN"/>
        </w:rPr>
      </w:pPr>
      <w:r>
        <w:rPr>
          <w:rFonts w:hint="eastAsia" w:ascii="仿宋" w:hAnsi="仿宋" w:eastAsia="仿宋" w:cs="仿宋"/>
          <w:color w:val="auto"/>
          <w:kern w:val="0"/>
          <w:sz w:val="24"/>
          <w:highlight w:val="none"/>
          <w:u w:val="single"/>
        </w:rPr>
        <w:t>（投标人名称）</w:t>
      </w:r>
      <w:r>
        <w:rPr>
          <w:rFonts w:hint="eastAsia" w:ascii="仿宋" w:hAnsi="仿宋" w:eastAsia="仿宋" w:cs="仿宋"/>
          <w:color w:val="auto"/>
          <w:kern w:val="0"/>
          <w:sz w:val="24"/>
          <w:highlight w:val="none"/>
          <w:lang w:val="zh-CN"/>
        </w:rPr>
        <w:t>若成为</w:t>
      </w:r>
      <w:r>
        <w:rPr>
          <w:rFonts w:hint="eastAsia" w:ascii="仿宋" w:hAnsi="仿宋" w:eastAsia="仿宋" w:cs="仿宋"/>
          <w:color w:val="auto"/>
          <w:sz w:val="24"/>
          <w:highlight w:val="none"/>
          <w:u w:val="single"/>
          <w:lang w:eastAsia="zh-CN"/>
        </w:rPr>
        <w:t>反诈专项（涉网新型犯罪侦防数据服务）</w:t>
      </w:r>
      <w:r>
        <w:rPr>
          <w:rFonts w:hint="eastAsia" w:ascii="仿宋" w:hAnsi="仿宋" w:eastAsia="仿宋" w:cs="仿宋"/>
          <w:color w:val="auto"/>
          <w:sz w:val="24"/>
          <w:highlight w:val="none"/>
        </w:rPr>
        <w:t>【招标编号：</w:t>
      </w:r>
      <w:r>
        <w:rPr>
          <w:rFonts w:hint="eastAsia" w:ascii="仿宋" w:hAnsi="仿宋" w:eastAsia="仿宋" w:cs="仿宋"/>
          <w:color w:val="auto"/>
          <w:sz w:val="24"/>
          <w:highlight w:val="none"/>
          <w:u w:val="single"/>
          <w:lang w:eastAsia="zh-CN"/>
        </w:rPr>
        <w:t>YHDL-HZ-CG2025026</w:t>
      </w:r>
      <w:r>
        <w:rPr>
          <w:rFonts w:hint="eastAsia" w:ascii="仿宋" w:hAnsi="仿宋" w:eastAsia="仿宋" w:cs="仿宋"/>
          <w:color w:val="auto"/>
          <w:sz w:val="24"/>
          <w:highlight w:val="none"/>
        </w:rPr>
        <w:t>】</w:t>
      </w:r>
      <w:r>
        <w:rPr>
          <w:rFonts w:hint="eastAsia" w:ascii="仿宋" w:hAnsi="仿宋" w:eastAsia="仿宋" w:cs="仿宋"/>
          <w:color w:val="auto"/>
          <w:kern w:val="0"/>
          <w:sz w:val="24"/>
          <w:highlight w:val="none"/>
          <w:lang w:val="zh-CN"/>
        </w:rPr>
        <w:t>的中标供应商，将依法采取分包方式履行合同。</w:t>
      </w:r>
      <w:r>
        <w:rPr>
          <w:rFonts w:hint="eastAsia" w:ascii="仿宋" w:hAnsi="仿宋" w:eastAsia="仿宋" w:cs="仿宋"/>
          <w:color w:val="auto"/>
          <w:kern w:val="0"/>
          <w:sz w:val="24"/>
          <w:highlight w:val="none"/>
          <w:u w:val="single"/>
        </w:rPr>
        <w:t>（投标人名称）</w:t>
      </w:r>
      <w:r>
        <w:rPr>
          <w:rFonts w:hint="eastAsia" w:ascii="仿宋" w:hAnsi="仿宋" w:eastAsia="仿宋" w:cs="仿宋"/>
          <w:color w:val="auto"/>
          <w:kern w:val="0"/>
          <w:sz w:val="24"/>
          <w:highlight w:val="none"/>
        </w:rPr>
        <w:t>与</w:t>
      </w:r>
      <w:r>
        <w:rPr>
          <w:rFonts w:hint="eastAsia" w:ascii="仿宋" w:hAnsi="仿宋" w:eastAsia="仿宋" w:cs="仿宋"/>
          <w:color w:val="auto"/>
          <w:kern w:val="0"/>
          <w:sz w:val="24"/>
          <w:highlight w:val="none"/>
          <w:u w:val="single"/>
        </w:rPr>
        <w:t>（所有分包供应商名称）</w:t>
      </w:r>
      <w:r>
        <w:rPr>
          <w:rFonts w:hint="eastAsia" w:ascii="仿宋" w:hAnsi="仿宋" w:eastAsia="仿宋" w:cs="仿宋"/>
          <w:color w:val="auto"/>
          <w:kern w:val="0"/>
          <w:sz w:val="24"/>
          <w:highlight w:val="none"/>
        </w:rPr>
        <w:t>达成分包意向协议</w:t>
      </w:r>
      <w:r>
        <w:rPr>
          <w:rFonts w:hint="eastAsia" w:ascii="仿宋" w:hAnsi="仿宋" w:eastAsia="仿宋" w:cs="仿宋"/>
          <w:color w:val="auto"/>
          <w:kern w:val="0"/>
          <w:sz w:val="24"/>
          <w:highlight w:val="none"/>
          <w:lang w:val="zh-CN"/>
        </w:rPr>
        <w:t xml:space="preserve">。 </w:t>
      </w:r>
    </w:p>
    <w:p w14:paraId="3942125B">
      <w:pPr>
        <w:pageBreakBefore w:val="0"/>
        <w:kinsoku/>
        <w:wordWrap/>
        <w:overflowPunct/>
        <w:topLinePunct w:val="0"/>
        <w:autoSpaceDE/>
        <w:autoSpaceDN/>
        <w:bidi w:val="0"/>
        <w:snapToGrid w:val="0"/>
        <w:spacing w:line="276" w:lineRule="auto"/>
        <w:ind w:firstLine="576"/>
        <w:textAlignment w:val="auto"/>
        <w:rPr>
          <w:rFonts w:hint="eastAsia"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一、分包标的及数量</w:t>
      </w:r>
    </w:p>
    <w:p w14:paraId="5EB70DFF">
      <w:pPr>
        <w:snapToGrid w:val="0"/>
        <w:spacing w:line="360" w:lineRule="auto"/>
        <w:ind w:firstLine="576"/>
        <w:rPr>
          <w:rFonts w:hint="eastAsia" w:ascii="仿宋" w:hAnsi="仿宋" w:eastAsia="仿宋" w:cs="仿宋"/>
          <w:color w:val="auto"/>
          <w:kern w:val="0"/>
          <w:sz w:val="24"/>
          <w:highlight w:val="none"/>
          <w:lang w:val="zh-CN"/>
        </w:rPr>
      </w:pPr>
      <w:r>
        <w:rPr>
          <w:rFonts w:hint="eastAsia" w:ascii="仿宋" w:hAnsi="仿宋" w:eastAsia="仿宋" w:cs="仿宋"/>
          <w:color w:val="auto"/>
          <w:kern w:val="0"/>
          <w:sz w:val="24"/>
          <w:highlight w:val="none"/>
          <w:u w:val="single"/>
        </w:rPr>
        <w:t>（投标人名称）</w:t>
      </w:r>
      <w:r>
        <w:rPr>
          <w:rFonts w:hint="eastAsia" w:ascii="仿宋" w:hAnsi="仿宋" w:eastAsia="仿宋" w:cs="仿宋"/>
          <w:color w:val="auto"/>
          <w:kern w:val="0"/>
          <w:sz w:val="24"/>
          <w:highlight w:val="none"/>
          <w:lang w:val="zh-CN"/>
        </w:rPr>
        <w:t>将</w:t>
      </w:r>
      <w:r>
        <w:rPr>
          <w:rFonts w:hint="eastAsia" w:ascii="仿宋" w:hAnsi="仿宋" w:eastAsia="仿宋" w:cs="仿宋"/>
          <w:color w:val="auto"/>
          <w:sz w:val="24"/>
          <w:highlight w:val="none"/>
          <w:u w:val="single"/>
        </w:rPr>
        <w:t xml:space="preserve">  </w:t>
      </w:r>
      <w:r>
        <w:rPr>
          <w:rFonts w:hint="eastAsia" w:ascii="仿宋" w:hAnsi="仿宋" w:eastAsia="仿宋" w:cs="仿宋"/>
          <w:color w:val="auto"/>
          <w:kern w:val="0"/>
          <w:sz w:val="24"/>
          <w:highlight w:val="none"/>
          <w:u w:val="single"/>
        </w:rPr>
        <w:t xml:space="preserve"> XX工作内容   </w:t>
      </w:r>
      <w:r>
        <w:rPr>
          <w:rFonts w:hint="eastAsia" w:ascii="仿宋" w:hAnsi="仿宋" w:eastAsia="仿宋" w:cs="仿宋"/>
          <w:color w:val="auto"/>
          <w:sz w:val="24"/>
          <w:highlight w:val="none"/>
        </w:rPr>
        <w:t>分包给</w:t>
      </w:r>
      <w:r>
        <w:rPr>
          <w:rFonts w:hint="eastAsia" w:ascii="仿宋" w:hAnsi="仿宋" w:eastAsia="仿宋" w:cs="仿宋"/>
          <w:color w:val="auto"/>
          <w:kern w:val="0"/>
          <w:sz w:val="24"/>
          <w:highlight w:val="none"/>
          <w:u w:val="single"/>
        </w:rPr>
        <w:t>（分包供应商1名称）</w:t>
      </w:r>
      <w:r>
        <w:rPr>
          <w:rFonts w:hint="eastAsia" w:ascii="仿宋" w:hAnsi="仿宋" w:eastAsia="仿宋" w:cs="仿宋"/>
          <w:color w:val="auto"/>
          <w:kern w:val="0"/>
          <w:sz w:val="24"/>
          <w:highlight w:val="none"/>
          <w:lang w:val="zh-CN"/>
        </w:rPr>
        <w:t>。</w:t>
      </w:r>
      <w:r>
        <w:rPr>
          <w:rFonts w:hint="eastAsia" w:ascii="仿宋" w:hAnsi="仿宋" w:eastAsia="仿宋" w:cs="仿宋"/>
          <w:color w:val="auto"/>
          <w:kern w:val="0"/>
          <w:sz w:val="24"/>
          <w:highlight w:val="none"/>
          <w:u w:val="single"/>
        </w:rPr>
        <w:t>（分包供应商</w:t>
      </w:r>
      <w:r>
        <w:rPr>
          <w:rFonts w:hint="eastAsia" w:ascii="仿宋" w:hAnsi="仿宋" w:eastAsia="仿宋" w:cs="仿宋"/>
          <w:color w:val="auto"/>
          <w:kern w:val="0"/>
          <w:sz w:val="24"/>
          <w:highlight w:val="none"/>
          <w:u w:val="single"/>
          <w:lang w:val="en-US" w:eastAsia="zh-CN"/>
        </w:rPr>
        <w:t>1</w:t>
      </w:r>
      <w:r>
        <w:rPr>
          <w:rFonts w:hint="eastAsia" w:ascii="仿宋" w:hAnsi="仿宋" w:eastAsia="仿宋" w:cs="仿宋"/>
          <w:color w:val="auto"/>
          <w:kern w:val="0"/>
          <w:sz w:val="24"/>
          <w:highlight w:val="none"/>
          <w:u w:val="single"/>
        </w:rPr>
        <w:t>名称），</w:t>
      </w:r>
      <w:r>
        <w:rPr>
          <w:rFonts w:hint="eastAsia" w:ascii="仿宋" w:hAnsi="仿宋" w:eastAsia="仿宋" w:cs="仿宋"/>
          <w:color w:val="auto"/>
          <w:kern w:val="0"/>
          <w:sz w:val="24"/>
          <w:highlight w:val="none"/>
          <w:lang w:val="zh-CN"/>
        </w:rPr>
        <w:t>具备承</w:t>
      </w:r>
      <w:r>
        <w:rPr>
          <w:rFonts w:hint="eastAsia" w:ascii="仿宋" w:hAnsi="仿宋" w:eastAsia="仿宋" w:cs="仿宋"/>
          <w:color w:val="auto"/>
          <w:kern w:val="0"/>
          <w:sz w:val="24"/>
          <w:highlight w:val="none"/>
        </w:rPr>
        <w:t>担</w:t>
      </w:r>
      <w:r>
        <w:rPr>
          <w:rFonts w:hint="eastAsia" w:ascii="仿宋" w:hAnsi="仿宋" w:eastAsia="仿宋" w:cs="仿宋"/>
          <w:color w:val="auto"/>
          <w:kern w:val="0"/>
          <w:sz w:val="24"/>
          <w:highlight w:val="none"/>
          <w:u w:val="single"/>
          <w:lang w:val="zh-CN"/>
        </w:rPr>
        <w:t>XX工作内容</w:t>
      </w:r>
      <w:r>
        <w:rPr>
          <w:rFonts w:hint="eastAsia" w:ascii="仿宋" w:hAnsi="仿宋" w:eastAsia="仿宋" w:cs="仿宋"/>
          <w:color w:val="auto"/>
          <w:kern w:val="0"/>
          <w:sz w:val="24"/>
          <w:highlight w:val="none"/>
          <w:lang w:val="zh-CN"/>
        </w:rPr>
        <w:t>相应资质条件且不得再次分包；</w:t>
      </w:r>
    </w:p>
    <w:p w14:paraId="25D87335">
      <w:pPr>
        <w:keepNext/>
        <w:keepLines/>
        <w:pageBreakBefore w:val="0"/>
        <w:widowControl w:val="0"/>
        <w:tabs>
          <w:tab w:val="left" w:pos="432"/>
        </w:tabs>
        <w:kinsoku/>
        <w:wordWrap/>
        <w:overflowPunct/>
        <w:topLinePunct w:val="0"/>
        <w:autoSpaceDE/>
        <w:autoSpaceDN/>
        <w:bidi w:val="0"/>
        <w:adjustRightInd/>
        <w:snapToGrid w:val="0"/>
        <w:spacing w:line="276" w:lineRule="auto"/>
        <w:ind w:left="664" w:leftChars="316" w:firstLine="228" w:firstLineChars="95"/>
        <w:textAlignment w:val="auto"/>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w:t>
      </w:r>
    </w:p>
    <w:p w14:paraId="6099F85C">
      <w:pPr>
        <w:pageBreakBefore w:val="0"/>
        <w:kinsoku/>
        <w:wordWrap/>
        <w:overflowPunct/>
        <w:topLinePunct w:val="0"/>
        <w:autoSpaceDE/>
        <w:autoSpaceDN/>
        <w:bidi w:val="0"/>
        <w:snapToGrid w:val="0"/>
        <w:spacing w:line="276" w:lineRule="auto"/>
        <w:ind w:firstLine="576"/>
        <w:textAlignment w:val="auto"/>
        <w:rPr>
          <w:rFonts w:hint="eastAsia"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二、分包供应商中小企业合同份额</w:t>
      </w:r>
    </w:p>
    <w:p w14:paraId="6A9DB05F">
      <w:pPr>
        <w:pageBreakBefore w:val="0"/>
        <w:kinsoku/>
        <w:wordWrap/>
        <w:overflowPunct/>
        <w:topLinePunct w:val="0"/>
        <w:autoSpaceDE/>
        <w:autoSpaceDN/>
        <w:bidi w:val="0"/>
        <w:snapToGrid w:val="0"/>
        <w:spacing w:line="276" w:lineRule="auto"/>
        <w:ind w:firstLine="576"/>
        <w:textAlignment w:val="auto"/>
        <w:rPr>
          <w:rFonts w:hint="eastAsia" w:ascii="仿宋" w:hAnsi="仿宋" w:eastAsia="仿宋" w:cs="仿宋"/>
          <w:b/>
          <w:color w:val="auto"/>
          <w:kern w:val="0"/>
          <w:sz w:val="24"/>
          <w:highlight w:val="none"/>
          <w:lang w:val="zh-CN"/>
        </w:rPr>
      </w:pPr>
      <w:r>
        <w:rPr>
          <w:rFonts w:hint="eastAsia" w:ascii="仿宋" w:hAnsi="仿宋" w:eastAsia="仿宋" w:cs="仿宋"/>
          <w:color w:val="auto"/>
          <w:kern w:val="0"/>
          <w:sz w:val="24"/>
          <w:highlight w:val="none"/>
        </w:rPr>
        <w:t>1、</w:t>
      </w:r>
      <w:r>
        <w:rPr>
          <w:rFonts w:hint="eastAsia" w:ascii="仿宋" w:hAnsi="仿宋" w:eastAsia="仿宋" w:cs="仿宋"/>
          <w:color w:val="auto"/>
          <w:kern w:val="0"/>
          <w:sz w:val="24"/>
          <w:highlight w:val="none"/>
          <w:u w:val="single"/>
        </w:rPr>
        <w:t>（分包供应商X,……）提供的服务全部由小微企业承接，</w:t>
      </w:r>
      <w:r>
        <w:rPr>
          <w:rFonts w:hint="eastAsia" w:ascii="仿宋" w:hAnsi="仿宋" w:eastAsia="仿宋" w:cs="仿宋"/>
          <w:color w:val="auto"/>
          <w:kern w:val="0"/>
          <w:sz w:val="24"/>
          <w:highlight w:val="none"/>
        </w:rPr>
        <w:t>其合同份额占到合同总金额</w:t>
      </w:r>
      <w:r>
        <w:rPr>
          <w:rFonts w:hint="eastAsia" w:ascii="仿宋" w:hAnsi="仿宋" w:eastAsia="仿宋" w:cs="仿宋"/>
          <w:color w:val="auto"/>
          <w:kern w:val="0"/>
          <w:sz w:val="24"/>
          <w:highlight w:val="none"/>
          <w:u w:val="single"/>
          <w:lang w:val="en-US" w:eastAsia="zh-CN"/>
        </w:rPr>
        <w:t xml:space="preserve">     </w:t>
      </w:r>
      <w:r>
        <w:rPr>
          <w:rFonts w:hint="eastAsia" w:ascii="仿宋" w:hAnsi="仿宋" w:eastAsia="仿宋" w:cs="仿宋"/>
          <w:color w:val="auto"/>
          <w:kern w:val="0"/>
          <w:sz w:val="24"/>
          <w:highlight w:val="none"/>
        </w:rPr>
        <w:t>%以上</w:t>
      </w:r>
      <w:r>
        <w:rPr>
          <w:rFonts w:hint="eastAsia" w:ascii="仿宋" w:hAnsi="仿宋" w:eastAsia="仿宋" w:cs="仿宋"/>
          <w:color w:val="auto"/>
          <w:highlight w:val="none"/>
        </w:rPr>
        <w:t>。</w:t>
      </w:r>
      <w:r>
        <w:rPr>
          <w:rFonts w:hint="eastAsia" w:ascii="仿宋" w:hAnsi="仿宋" w:eastAsia="仿宋" w:cs="仿宋"/>
          <w:b/>
          <w:color w:val="auto"/>
          <w:kern w:val="0"/>
          <w:sz w:val="24"/>
          <w:highlight w:val="none"/>
          <w:lang w:val="zh-CN"/>
        </w:rPr>
        <w:t>（未预留份额专门面向中小企业采购的采购项目，以及预留份额中的非预留部分采购包，允许分包的，分包意向协议约定小微企业的合同份额占到合同总金额30%以上的，对大中型企业的报价按评标标准确定的比例给予扣除。供应商</w:t>
      </w:r>
      <w:r>
        <w:rPr>
          <w:rFonts w:hint="eastAsia" w:ascii="仿宋" w:hAnsi="仿宋" w:eastAsia="仿宋" w:cs="仿宋"/>
          <w:b/>
          <w:color w:val="auto"/>
          <w:sz w:val="24"/>
          <w:highlight w:val="none"/>
        </w:rPr>
        <w:t>拟享受以上价格扣除政策的，填写有关内容。</w:t>
      </w:r>
      <w:r>
        <w:rPr>
          <w:rFonts w:hint="eastAsia" w:ascii="仿宋" w:hAnsi="仿宋" w:eastAsia="仿宋" w:cs="仿宋"/>
          <w:b/>
          <w:color w:val="auto"/>
          <w:kern w:val="0"/>
          <w:sz w:val="24"/>
          <w:highlight w:val="none"/>
          <w:lang w:val="zh-CN"/>
        </w:rPr>
        <w:t>）</w:t>
      </w:r>
    </w:p>
    <w:p w14:paraId="33AC6105">
      <w:pPr>
        <w:pageBreakBefore w:val="0"/>
        <w:kinsoku/>
        <w:wordWrap/>
        <w:overflowPunct/>
        <w:topLinePunct w:val="0"/>
        <w:autoSpaceDE/>
        <w:autoSpaceDN/>
        <w:bidi w:val="0"/>
        <w:snapToGrid w:val="0"/>
        <w:spacing w:line="276" w:lineRule="auto"/>
        <w:ind w:firstLine="480" w:firstLineChars="200"/>
        <w:textAlignment w:val="auto"/>
        <w:rPr>
          <w:rFonts w:hint="eastAsia" w:ascii="仿宋" w:hAnsi="仿宋" w:eastAsia="仿宋" w:cs="仿宋"/>
          <w:b/>
          <w:bCs/>
          <w:color w:val="auto"/>
          <w:kern w:val="0"/>
          <w:sz w:val="24"/>
          <w:highlight w:val="none"/>
          <w:lang w:val="zh-CN"/>
        </w:rPr>
      </w:pPr>
      <w:r>
        <w:rPr>
          <w:rFonts w:hint="eastAsia" w:ascii="仿宋" w:hAnsi="仿宋" w:eastAsia="仿宋" w:cs="仿宋"/>
          <w:color w:val="auto"/>
          <w:sz w:val="24"/>
          <w:highlight w:val="none"/>
        </w:rPr>
        <w:t>2、中小企业合同金额达到</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其中</w:t>
      </w:r>
      <w:r>
        <w:rPr>
          <w:rFonts w:hint="eastAsia" w:ascii="仿宋" w:hAnsi="仿宋" w:eastAsia="仿宋" w:cs="仿宋"/>
          <w:color w:val="auto"/>
          <w:sz w:val="24"/>
          <w:highlight w:val="none"/>
        </w:rPr>
        <w:t>小微企业合同金额达到</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w:t>
      </w:r>
      <w:r>
        <w:rPr>
          <w:rFonts w:hint="eastAsia" w:ascii="仿宋" w:hAnsi="仿宋" w:eastAsia="仿宋" w:cs="仿宋"/>
          <w:color w:val="auto"/>
          <w:kern w:val="0"/>
          <w:sz w:val="24"/>
          <w:highlight w:val="none"/>
          <w:lang w:val="zh-CN"/>
        </w:rPr>
        <w:t>。</w:t>
      </w:r>
      <w:r>
        <w:rPr>
          <w:rFonts w:hint="eastAsia" w:ascii="仿宋" w:hAnsi="仿宋" w:eastAsia="仿宋" w:cs="仿宋"/>
          <w:b/>
          <w:bCs/>
          <w:color w:val="auto"/>
          <w:kern w:val="0"/>
          <w:sz w:val="24"/>
          <w:highlight w:val="none"/>
          <w:lang w:val="zh-CN"/>
        </w:rPr>
        <w:t>（</w:t>
      </w:r>
      <w:r>
        <w:rPr>
          <w:rFonts w:hint="eastAsia" w:ascii="仿宋" w:hAnsi="仿宋" w:eastAsia="仿宋" w:cs="仿宋"/>
          <w:b/>
          <w:bCs/>
          <w:color w:val="auto"/>
          <w:sz w:val="24"/>
          <w:highlight w:val="none"/>
        </w:rPr>
        <w:t>要求合同分包形式参加的项目或采购包，供应商按招标文件第一部分招标公告申请人的资格要求中规定的</w:t>
      </w:r>
      <w:r>
        <w:rPr>
          <w:rFonts w:hint="eastAsia" w:ascii="仿宋" w:hAnsi="仿宋" w:eastAsia="仿宋" w:cs="仿宋"/>
          <w:b/>
          <w:color w:val="auto"/>
          <w:kern w:val="0"/>
          <w:sz w:val="24"/>
          <w:highlight w:val="none"/>
          <w:lang w:val="zh-CN"/>
        </w:rPr>
        <w:t>分包意向协议</w:t>
      </w:r>
      <w:r>
        <w:rPr>
          <w:rFonts w:hint="eastAsia" w:ascii="仿宋" w:hAnsi="仿宋" w:eastAsia="仿宋" w:cs="仿宋"/>
          <w:b/>
          <w:bCs/>
          <w:color w:val="auto"/>
          <w:sz w:val="24"/>
          <w:highlight w:val="none"/>
        </w:rPr>
        <w:t>中中小企业、小微企业合同金额应当达到的比例要求填写。</w:t>
      </w:r>
      <w:r>
        <w:rPr>
          <w:rFonts w:hint="eastAsia" w:ascii="仿宋" w:hAnsi="仿宋" w:eastAsia="仿宋" w:cs="仿宋"/>
          <w:b/>
          <w:bCs/>
          <w:color w:val="auto"/>
          <w:kern w:val="0"/>
          <w:sz w:val="24"/>
          <w:highlight w:val="none"/>
          <w:lang w:val="zh-CN"/>
        </w:rPr>
        <w:t>）</w:t>
      </w:r>
    </w:p>
    <w:p w14:paraId="700E4157">
      <w:pPr>
        <w:pageBreakBefore w:val="0"/>
        <w:kinsoku/>
        <w:wordWrap/>
        <w:overflowPunct/>
        <w:topLinePunct w:val="0"/>
        <w:autoSpaceDE/>
        <w:autoSpaceDN/>
        <w:bidi w:val="0"/>
        <w:snapToGrid w:val="0"/>
        <w:spacing w:line="276" w:lineRule="auto"/>
        <w:ind w:firstLine="576"/>
        <w:textAlignment w:val="auto"/>
        <w:rPr>
          <w:rFonts w:hint="eastAsia"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三、分包工作履行期限、地点、方式</w:t>
      </w:r>
    </w:p>
    <w:p w14:paraId="681EF3FE">
      <w:pPr>
        <w:pageBreakBefore w:val="0"/>
        <w:kinsoku/>
        <w:wordWrap/>
        <w:overflowPunct/>
        <w:topLinePunct w:val="0"/>
        <w:autoSpaceDE/>
        <w:autoSpaceDN/>
        <w:bidi w:val="0"/>
        <w:snapToGrid w:val="0"/>
        <w:spacing w:line="276" w:lineRule="auto"/>
        <w:ind w:firstLine="576"/>
        <w:textAlignment w:val="auto"/>
        <w:rPr>
          <w:rFonts w:hint="default" w:ascii="仿宋" w:hAnsi="仿宋" w:eastAsia="仿宋" w:cs="仿宋"/>
          <w:color w:val="auto"/>
          <w:sz w:val="24"/>
          <w:szCs w:val="32"/>
          <w:highlight w:val="none"/>
          <w:u w:val="single"/>
        </w:rPr>
      </w:pPr>
      <w:r>
        <w:rPr>
          <w:rFonts w:hint="eastAsia" w:ascii="仿宋" w:hAnsi="仿宋" w:eastAsia="仿宋" w:cs="仿宋"/>
          <w:color w:val="auto"/>
          <w:sz w:val="24"/>
          <w:szCs w:val="32"/>
          <w:highlight w:val="none"/>
          <w:u w:val="single"/>
          <w:lang w:val="en-US" w:eastAsia="zh-CN"/>
        </w:rPr>
        <w:t xml:space="preserve">                                                                   </w:t>
      </w:r>
    </w:p>
    <w:p w14:paraId="6FB5E21F">
      <w:pPr>
        <w:pageBreakBefore w:val="0"/>
        <w:kinsoku/>
        <w:wordWrap/>
        <w:overflowPunct/>
        <w:topLinePunct w:val="0"/>
        <w:autoSpaceDE/>
        <w:autoSpaceDN/>
        <w:bidi w:val="0"/>
        <w:snapToGrid w:val="0"/>
        <w:spacing w:line="276" w:lineRule="auto"/>
        <w:ind w:firstLine="576"/>
        <w:textAlignment w:val="auto"/>
        <w:rPr>
          <w:rFonts w:hint="eastAsia"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四、质量</w:t>
      </w:r>
    </w:p>
    <w:p w14:paraId="43F0FEA8">
      <w:pPr>
        <w:pageBreakBefore w:val="0"/>
        <w:kinsoku/>
        <w:wordWrap/>
        <w:overflowPunct/>
        <w:topLinePunct w:val="0"/>
        <w:autoSpaceDE/>
        <w:autoSpaceDN/>
        <w:bidi w:val="0"/>
        <w:snapToGrid w:val="0"/>
        <w:spacing w:line="276" w:lineRule="auto"/>
        <w:ind w:firstLine="576"/>
        <w:textAlignment w:val="auto"/>
        <w:rPr>
          <w:rFonts w:hint="default" w:ascii="仿宋" w:hAnsi="仿宋" w:eastAsia="仿宋" w:cs="仿宋"/>
          <w:color w:val="auto"/>
          <w:sz w:val="24"/>
          <w:szCs w:val="32"/>
          <w:highlight w:val="none"/>
          <w:u w:val="single"/>
        </w:rPr>
      </w:pPr>
      <w:r>
        <w:rPr>
          <w:rFonts w:hint="eastAsia" w:ascii="仿宋" w:hAnsi="仿宋" w:eastAsia="仿宋" w:cs="仿宋"/>
          <w:color w:val="auto"/>
          <w:sz w:val="24"/>
          <w:szCs w:val="32"/>
          <w:highlight w:val="none"/>
          <w:u w:val="single"/>
          <w:lang w:val="en-US" w:eastAsia="zh-CN"/>
        </w:rPr>
        <w:t xml:space="preserve">                                                                   </w:t>
      </w:r>
    </w:p>
    <w:p w14:paraId="3B5EC580">
      <w:pPr>
        <w:pageBreakBefore w:val="0"/>
        <w:kinsoku/>
        <w:wordWrap/>
        <w:overflowPunct/>
        <w:topLinePunct w:val="0"/>
        <w:autoSpaceDE/>
        <w:autoSpaceDN/>
        <w:bidi w:val="0"/>
        <w:snapToGrid w:val="0"/>
        <w:spacing w:line="276" w:lineRule="auto"/>
        <w:ind w:firstLine="576"/>
        <w:textAlignment w:val="auto"/>
        <w:rPr>
          <w:rFonts w:hint="eastAsia"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五、价款或者报酬</w:t>
      </w:r>
    </w:p>
    <w:p w14:paraId="38C52CBE">
      <w:pPr>
        <w:pageBreakBefore w:val="0"/>
        <w:kinsoku/>
        <w:wordWrap/>
        <w:overflowPunct/>
        <w:topLinePunct w:val="0"/>
        <w:autoSpaceDE/>
        <w:autoSpaceDN/>
        <w:bidi w:val="0"/>
        <w:snapToGrid w:val="0"/>
        <w:spacing w:line="276" w:lineRule="auto"/>
        <w:ind w:firstLine="576"/>
        <w:textAlignment w:val="auto"/>
        <w:rPr>
          <w:rFonts w:hint="default" w:ascii="仿宋" w:hAnsi="仿宋" w:eastAsia="仿宋" w:cs="仿宋"/>
          <w:color w:val="auto"/>
          <w:sz w:val="24"/>
          <w:szCs w:val="32"/>
          <w:highlight w:val="none"/>
          <w:u w:val="single"/>
        </w:rPr>
      </w:pPr>
      <w:r>
        <w:rPr>
          <w:rFonts w:hint="eastAsia" w:ascii="仿宋" w:hAnsi="仿宋" w:eastAsia="仿宋" w:cs="仿宋"/>
          <w:color w:val="auto"/>
          <w:sz w:val="24"/>
          <w:szCs w:val="32"/>
          <w:highlight w:val="none"/>
          <w:u w:val="single"/>
          <w:lang w:val="en-US" w:eastAsia="zh-CN"/>
        </w:rPr>
        <w:t xml:space="preserve">                                                                   </w:t>
      </w:r>
    </w:p>
    <w:p w14:paraId="303063A4">
      <w:pPr>
        <w:pageBreakBefore w:val="0"/>
        <w:kinsoku/>
        <w:wordWrap/>
        <w:overflowPunct/>
        <w:topLinePunct w:val="0"/>
        <w:autoSpaceDE/>
        <w:autoSpaceDN/>
        <w:bidi w:val="0"/>
        <w:snapToGrid w:val="0"/>
        <w:spacing w:line="276" w:lineRule="auto"/>
        <w:ind w:left="573" w:leftChars="273"/>
        <w:textAlignment w:val="auto"/>
        <w:rPr>
          <w:rFonts w:hint="eastAsia"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六、违约责任</w:t>
      </w:r>
    </w:p>
    <w:p w14:paraId="4FAC9691">
      <w:pPr>
        <w:pageBreakBefore w:val="0"/>
        <w:kinsoku/>
        <w:wordWrap/>
        <w:overflowPunct/>
        <w:topLinePunct w:val="0"/>
        <w:autoSpaceDE/>
        <w:autoSpaceDN/>
        <w:bidi w:val="0"/>
        <w:snapToGrid w:val="0"/>
        <w:spacing w:line="276" w:lineRule="auto"/>
        <w:ind w:firstLine="576"/>
        <w:textAlignment w:val="auto"/>
        <w:rPr>
          <w:rFonts w:hint="default" w:ascii="仿宋" w:hAnsi="仿宋" w:eastAsia="仿宋" w:cs="仿宋"/>
          <w:color w:val="auto"/>
          <w:sz w:val="24"/>
          <w:szCs w:val="32"/>
          <w:highlight w:val="none"/>
          <w:u w:val="single"/>
        </w:rPr>
      </w:pPr>
      <w:r>
        <w:rPr>
          <w:rFonts w:hint="eastAsia" w:ascii="仿宋" w:hAnsi="仿宋" w:eastAsia="仿宋" w:cs="仿宋"/>
          <w:color w:val="auto"/>
          <w:sz w:val="24"/>
          <w:szCs w:val="32"/>
          <w:highlight w:val="none"/>
          <w:u w:val="single"/>
          <w:lang w:val="en-US" w:eastAsia="zh-CN"/>
        </w:rPr>
        <w:t xml:space="preserve">                                                                   </w:t>
      </w:r>
    </w:p>
    <w:p w14:paraId="08E2BFE9">
      <w:pPr>
        <w:pageBreakBefore w:val="0"/>
        <w:kinsoku/>
        <w:wordWrap/>
        <w:overflowPunct/>
        <w:topLinePunct w:val="0"/>
        <w:autoSpaceDE/>
        <w:autoSpaceDN/>
        <w:bidi w:val="0"/>
        <w:snapToGrid w:val="0"/>
        <w:spacing w:line="276" w:lineRule="auto"/>
        <w:ind w:firstLine="576"/>
        <w:textAlignment w:val="auto"/>
        <w:rPr>
          <w:rFonts w:hint="eastAsia"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七、争议解决的办法</w:t>
      </w:r>
    </w:p>
    <w:p w14:paraId="5F4C0C70">
      <w:pPr>
        <w:pageBreakBefore w:val="0"/>
        <w:kinsoku/>
        <w:wordWrap/>
        <w:overflowPunct/>
        <w:topLinePunct w:val="0"/>
        <w:autoSpaceDE/>
        <w:autoSpaceDN/>
        <w:bidi w:val="0"/>
        <w:snapToGrid w:val="0"/>
        <w:spacing w:line="276" w:lineRule="auto"/>
        <w:ind w:firstLine="576"/>
        <w:textAlignment w:val="auto"/>
        <w:rPr>
          <w:rFonts w:hint="default" w:ascii="仿宋" w:hAnsi="仿宋" w:eastAsia="仿宋" w:cs="仿宋"/>
          <w:color w:val="auto"/>
          <w:sz w:val="24"/>
          <w:szCs w:val="32"/>
          <w:highlight w:val="none"/>
          <w:u w:val="single"/>
        </w:rPr>
      </w:pPr>
      <w:r>
        <w:rPr>
          <w:rFonts w:hint="eastAsia" w:ascii="仿宋" w:hAnsi="仿宋" w:eastAsia="仿宋" w:cs="仿宋"/>
          <w:color w:val="auto"/>
          <w:sz w:val="24"/>
          <w:szCs w:val="32"/>
          <w:highlight w:val="none"/>
          <w:u w:val="single"/>
          <w:lang w:val="en-US" w:eastAsia="zh-CN"/>
        </w:rPr>
        <w:t xml:space="preserve">                                                                   </w:t>
      </w:r>
    </w:p>
    <w:p w14:paraId="031357B9">
      <w:pPr>
        <w:pageBreakBefore w:val="0"/>
        <w:kinsoku/>
        <w:wordWrap/>
        <w:overflowPunct/>
        <w:topLinePunct w:val="0"/>
        <w:autoSpaceDE/>
        <w:autoSpaceDN/>
        <w:bidi w:val="0"/>
        <w:snapToGrid w:val="0"/>
        <w:spacing w:line="276" w:lineRule="auto"/>
        <w:ind w:firstLine="576"/>
        <w:textAlignment w:val="auto"/>
        <w:rPr>
          <w:rFonts w:hint="eastAsia"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八、其他</w:t>
      </w:r>
    </w:p>
    <w:p w14:paraId="27534D52">
      <w:pPr>
        <w:pageBreakBefore w:val="0"/>
        <w:kinsoku/>
        <w:wordWrap/>
        <w:overflowPunct/>
        <w:topLinePunct w:val="0"/>
        <w:autoSpaceDE/>
        <w:autoSpaceDN/>
        <w:bidi w:val="0"/>
        <w:snapToGrid w:val="0"/>
        <w:spacing w:line="276" w:lineRule="auto"/>
        <w:ind w:left="5758" w:leftChars="342" w:hanging="5040" w:hangingChars="2100"/>
        <w:jc w:val="left"/>
        <w:textAlignment w:val="auto"/>
        <w:rPr>
          <w:rFonts w:hint="eastAsia" w:ascii="仿宋" w:hAnsi="仿宋" w:eastAsia="仿宋" w:cs="仿宋"/>
          <w:color w:val="auto"/>
          <w:kern w:val="0"/>
          <w:sz w:val="24"/>
          <w:highlight w:val="none"/>
          <w:lang w:val="zh-CN"/>
        </w:rPr>
      </w:pPr>
      <w:r>
        <w:rPr>
          <w:rFonts w:hint="eastAsia" w:ascii="仿宋" w:hAnsi="仿宋" w:eastAsia="仿宋" w:cs="仿宋"/>
          <w:color w:val="auto"/>
          <w:sz w:val="24"/>
          <w:highlight w:val="none"/>
        </w:rPr>
        <w:t>中小企业合同金额达到</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%，小微企业合同金额达到</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w:t>
      </w:r>
      <w:r>
        <w:rPr>
          <w:rFonts w:hint="eastAsia" w:ascii="仿宋" w:hAnsi="仿宋" w:eastAsia="仿宋" w:cs="仿宋"/>
          <w:color w:val="auto"/>
          <w:kern w:val="0"/>
          <w:sz w:val="24"/>
          <w:highlight w:val="none"/>
          <w:lang w:val="zh-CN"/>
        </w:rPr>
        <w:t xml:space="preserve"> 。 </w:t>
      </w:r>
    </w:p>
    <w:p w14:paraId="2E92F2B6">
      <w:pPr>
        <w:pageBreakBefore w:val="0"/>
        <w:kinsoku/>
        <w:wordWrap/>
        <w:overflowPunct/>
        <w:topLinePunct w:val="0"/>
        <w:autoSpaceDE/>
        <w:autoSpaceDN/>
        <w:bidi w:val="0"/>
        <w:snapToGrid w:val="0"/>
        <w:spacing w:line="276" w:lineRule="auto"/>
        <w:ind w:left="5758" w:leftChars="342" w:hanging="5040" w:hangingChars="2100"/>
        <w:jc w:val="left"/>
        <w:textAlignment w:val="auto"/>
        <w:rPr>
          <w:rFonts w:hint="eastAsia" w:ascii="仿宋" w:hAnsi="仿宋" w:eastAsia="仿宋" w:cs="仿宋"/>
          <w:color w:val="auto"/>
          <w:kern w:val="0"/>
          <w:sz w:val="22"/>
          <w:szCs w:val="22"/>
          <w:highlight w:val="none"/>
          <w:lang w:val="zh-CN"/>
        </w:rPr>
      </w:pPr>
      <w:r>
        <w:rPr>
          <w:rFonts w:hint="eastAsia" w:ascii="仿宋" w:hAnsi="仿宋" w:eastAsia="仿宋" w:cs="仿宋"/>
          <w:color w:val="auto"/>
          <w:kern w:val="0"/>
          <w:sz w:val="24"/>
          <w:highlight w:val="none"/>
          <w:lang w:val="zh-CN"/>
        </w:rPr>
        <w:t xml:space="preserve"> </w:t>
      </w:r>
    </w:p>
    <w:p w14:paraId="15640FF9">
      <w:pPr>
        <w:pageBreakBefore w:val="0"/>
        <w:kinsoku/>
        <w:wordWrap/>
        <w:overflowPunct/>
        <w:topLinePunct w:val="0"/>
        <w:autoSpaceDE/>
        <w:autoSpaceDN/>
        <w:bidi w:val="0"/>
        <w:snapToGrid w:val="0"/>
        <w:spacing w:line="276" w:lineRule="auto"/>
        <w:ind w:left="5758" w:leftChars="342" w:hanging="5040" w:hangingChars="2100"/>
        <w:jc w:val="left"/>
        <w:textAlignment w:val="auto"/>
        <w:rPr>
          <w:rFonts w:hint="eastAsia"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 xml:space="preserve">                                         投标人名称(电子签名)：</w:t>
      </w:r>
    </w:p>
    <w:p w14:paraId="26D6A8D1">
      <w:pPr>
        <w:pageBreakBefore w:val="0"/>
        <w:kinsoku/>
        <w:wordWrap/>
        <w:overflowPunct/>
        <w:topLinePunct w:val="0"/>
        <w:autoSpaceDE/>
        <w:autoSpaceDN/>
        <w:bidi w:val="0"/>
        <w:snapToGrid w:val="0"/>
        <w:spacing w:line="276" w:lineRule="auto"/>
        <w:jc w:val="right"/>
        <w:textAlignment w:val="auto"/>
        <w:rPr>
          <w:rFonts w:hint="eastAsia"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分包供应商名称(电子签名/公章)：</w:t>
      </w:r>
    </w:p>
    <w:p w14:paraId="749D7ED0">
      <w:pPr>
        <w:pageBreakBefore w:val="0"/>
        <w:kinsoku/>
        <w:wordWrap/>
        <w:overflowPunct/>
        <w:topLinePunct w:val="0"/>
        <w:autoSpaceDE/>
        <w:autoSpaceDN/>
        <w:bidi w:val="0"/>
        <w:snapToGrid w:val="0"/>
        <w:spacing w:line="276" w:lineRule="auto"/>
        <w:ind w:firstLine="5760" w:firstLineChars="2400"/>
        <w:textAlignment w:val="auto"/>
        <w:rPr>
          <w:rFonts w:hint="eastAsia" w:ascii="仿宋" w:hAnsi="仿宋" w:eastAsia="仿宋" w:cs="仿宋"/>
          <w:color w:val="auto"/>
          <w:highlight w:val="none"/>
        </w:rPr>
      </w:pPr>
      <w:r>
        <w:rPr>
          <w:rFonts w:hint="eastAsia" w:ascii="仿宋" w:hAnsi="仿宋" w:eastAsia="仿宋" w:cs="仿宋"/>
          <w:color w:val="auto"/>
          <w:kern w:val="0"/>
          <w:sz w:val="24"/>
          <w:highlight w:val="none"/>
          <w:lang w:val="zh-CN"/>
        </w:rPr>
        <w:t>……</w:t>
      </w:r>
    </w:p>
    <w:p w14:paraId="2EF04961">
      <w:pPr>
        <w:pageBreakBefore w:val="0"/>
        <w:kinsoku/>
        <w:wordWrap/>
        <w:overflowPunct/>
        <w:topLinePunct w:val="0"/>
        <w:autoSpaceDE/>
        <w:autoSpaceDN/>
        <w:bidi w:val="0"/>
        <w:snapToGrid w:val="0"/>
        <w:spacing w:line="276" w:lineRule="auto"/>
        <w:ind w:left="5758" w:leftChars="342" w:hanging="5040" w:hangingChars="2100"/>
        <w:textAlignment w:val="auto"/>
        <w:rPr>
          <w:rFonts w:hint="eastAsia"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 xml:space="preserve">                                        日期：  年  月   日</w:t>
      </w:r>
    </w:p>
    <w:p w14:paraId="3CC5D875">
      <w:pPr>
        <w:pageBreakBefore w:val="0"/>
        <w:kinsoku/>
        <w:wordWrap/>
        <w:overflowPunct/>
        <w:topLinePunct w:val="0"/>
        <w:autoSpaceDE/>
        <w:autoSpaceDN/>
        <w:bidi w:val="0"/>
        <w:snapToGrid w:val="0"/>
        <w:spacing w:line="276" w:lineRule="auto"/>
        <w:ind w:right="420"/>
        <w:textAlignment w:val="auto"/>
        <w:rPr>
          <w:rFonts w:hint="eastAsia" w:ascii="仿宋" w:hAnsi="仿宋" w:eastAsia="仿宋" w:cs="仿宋"/>
          <w:b/>
          <w:color w:val="auto"/>
          <w:spacing w:val="6"/>
          <w:sz w:val="32"/>
          <w:szCs w:val="32"/>
          <w:highlight w:val="none"/>
        </w:rPr>
      </w:pPr>
      <w:r>
        <w:rPr>
          <w:rFonts w:hint="eastAsia" w:ascii="仿宋" w:hAnsi="仿宋" w:eastAsia="仿宋" w:cs="仿宋"/>
          <w:color w:val="auto"/>
          <w:sz w:val="24"/>
          <w:highlight w:val="none"/>
        </w:rPr>
        <w:t>注：按本格式和要求提供。</w:t>
      </w:r>
      <w:r>
        <w:rPr>
          <w:rFonts w:hint="eastAsia" w:ascii="仿宋" w:hAnsi="仿宋" w:eastAsia="仿宋" w:cs="仿宋"/>
          <w:b/>
          <w:color w:val="auto"/>
          <w:spacing w:val="6"/>
          <w:sz w:val="32"/>
          <w:szCs w:val="32"/>
          <w:highlight w:val="none"/>
        </w:rPr>
        <w:br w:type="page"/>
      </w:r>
    </w:p>
    <w:p w14:paraId="7177849E">
      <w:pPr>
        <w:rPr>
          <w:rFonts w:hint="eastAsia"/>
          <w:color w:val="auto"/>
          <w:highlight w:val="none"/>
        </w:rPr>
      </w:pPr>
    </w:p>
    <w:p w14:paraId="4336F707">
      <w:pPr>
        <w:keepNext w:val="0"/>
        <w:keepLines w:val="0"/>
        <w:pageBreakBefore w:val="0"/>
        <w:widowControl w:val="0"/>
        <w:kinsoku/>
        <w:wordWrap/>
        <w:overflowPunct/>
        <w:topLinePunct w:val="0"/>
        <w:autoSpaceDE w:val="0"/>
        <w:autoSpaceDN w:val="0"/>
        <w:bidi w:val="0"/>
        <w:adjustRightInd w:val="0"/>
        <w:snapToGrid/>
        <w:jc w:val="center"/>
        <w:textAlignment w:val="auto"/>
        <w:outlineLvl w:val="2"/>
        <w:rPr>
          <w:rFonts w:hint="eastAsia" w:ascii="仿宋" w:hAnsi="仿宋" w:eastAsia="仿宋" w:cs="仿宋"/>
          <w:b/>
          <w:color w:val="auto"/>
          <w:spacing w:val="6"/>
          <w:sz w:val="32"/>
          <w:szCs w:val="32"/>
          <w:highlight w:val="none"/>
        </w:rPr>
      </w:pPr>
      <w:r>
        <w:rPr>
          <w:rFonts w:hint="eastAsia" w:ascii="仿宋" w:hAnsi="仿宋" w:eastAsia="仿宋" w:cs="仿宋"/>
          <w:b/>
          <w:color w:val="auto"/>
          <w:spacing w:val="6"/>
          <w:sz w:val="32"/>
          <w:szCs w:val="32"/>
          <w:highlight w:val="none"/>
        </w:rPr>
        <w:t>附件7：中小企业声明函</w:t>
      </w:r>
    </w:p>
    <w:p w14:paraId="2386F49C">
      <w:pPr>
        <w:spacing w:line="360" w:lineRule="auto"/>
        <w:jc w:val="center"/>
        <w:rPr>
          <w:rFonts w:hint="eastAsia" w:ascii="仿宋" w:hAnsi="仿宋" w:eastAsia="仿宋" w:cs="仿宋"/>
          <w:color w:val="auto"/>
          <w:sz w:val="24"/>
          <w:highlight w:val="none"/>
          <w:u w:val="single"/>
        </w:rPr>
      </w:pPr>
    </w:p>
    <w:p w14:paraId="50506C02">
      <w:pPr>
        <w:spacing w:line="360" w:lineRule="auto"/>
        <w:jc w:val="center"/>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中小企业声明函（服务）</w:t>
      </w:r>
    </w:p>
    <w:p w14:paraId="1A3BA7EE">
      <w:pPr>
        <w:spacing w:line="360" w:lineRule="auto"/>
        <w:ind w:firstLine="360" w:firstLineChars="15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本公司（联合体）郑重声明，根据《政府采购促进中小企业发展管理办法》（财库﹝2020﹞46 号）的规定，本公司（联合体）参加 </w:t>
      </w:r>
      <w:r>
        <w:rPr>
          <w:rFonts w:hint="eastAsia" w:ascii="仿宋" w:hAnsi="仿宋" w:eastAsia="仿宋" w:cs="仿宋"/>
          <w:color w:val="auto"/>
          <w:sz w:val="24"/>
          <w:highlight w:val="none"/>
          <w:u w:val="single"/>
          <w:lang w:eastAsia="zh-CN"/>
        </w:rPr>
        <w:t>杭州市公安局刑事侦查支队</w:t>
      </w:r>
      <w:r>
        <w:rPr>
          <w:rFonts w:hint="eastAsia" w:ascii="仿宋" w:hAnsi="仿宋" w:eastAsia="仿宋" w:cs="仿宋"/>
          <w:color w:val="auto"/>
          <w:sz w:val="24"/>
          <w:highlight w:val="none"/>
        </w:rPr>
        <w:t>的</w:t>
      </w:r>
      <w:r>
        <w:rPr>
          <w:rFonts w:hint="eastAsia" w:ascii="仿宋" w:hAnsi="仿宋" w:eastAsia="仿宋" w:cs="仿宋"/>
          <w:color w:val="auto"/>
          <w:sz w:val="24"/>
          <w:highlight w:val="none"/>
          <w:u w:val="single"/>
          <w:lang w:eastAsia="zh-CN"/>
        </w:rPr>
        <w:t>反诈专项（涉网新型犯罪侦防数据服务）</w:t>
      </w:r>
      <w:r>
        <w:rPr>
          <w:rFonts w:hint="eastAsia" w:ascii="仿宋" w:hAnsi="仿宋" w:eastAsia="仿宋" w:cs="仿宋"/>
          <w:color w:val="auto"/>
          <w:sz w:val="24"/>
          <w:highlight w:val="none"/>
        </w:rPr>
        <w:t>采购活动，服务全部由符合政策要求的中小企业承接。相关企业（含联合体中的中小企业、签订分包意向协议的中小企业）的具体情况如下：</w:t>
      </w:r>
    </w:p>
    <w:p w14:paraId="24DA30A8">
      <w:pPr>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1.</w:t>
      </w:r>
      <w:r>
        <w:rPr>
          <w:rFonts w:hint="eastAsia" w:ascii="仿宋" w:hAnsi="仿宋" w:eastAsia="仿宋" w:cs="仿宋"/>
          <w:color w:val="auto"/>
          <w:sz w:val="24"/>
          <w:highlight w:val="none"/>
          <w:u w:val="single"/>
        </w:rPr>
        <w:t>（</w:t>
      </w:r>
      <w:r>
        <w:rPr>
          <w:rFonts w:hint="eastAsia" w:ascii="仿宋" w:hAnsi="仿宋" w:eastAsia="仿宋" w:cs="仿宋"/>
          <w:b/>
          <w:bCs/>
          <w:i/>
          <w:iCs/>
          <w:color w:val="auto"/>
          <w:sz w:val="24"/>
          <w:highlight w:val="none"/>
          <w:u w:val="single"/>
          <w:lang w:val="en-US" w:eastAsia="zh-CN"/>
        </w:rPr>
        <w:t>案件侦查打击服务</w:t>
      </w:r>
      <w:r>
        <w:rPr>
          <w:rFonts w:hint="eastAsia" w:ascii="仿宋" w:hAnsi="仿宋" w:eastAsia="仿宋" w:cs="仿宋"/>
          <w:color w:val="auto"/>
          <w:sz w:val="24"/>
          <w:highlight w:val="none"/>
          <w:u w:val="single"/>
        </w:rPr>
        <w:t>）</w:t>
      </w:r>
      <w:r>
        <w:rPr>
          <w:rFonts w:hint="eastAsia" w:ascii="仿宋" w:hAnsi="仿宋" w:eastAsia="仿宋" w:cs="仿宋"/>
          <w:color w:val="auto"/>
          <w:sz w:val="24"/>
          <w:highlight w:val="none"/>
        </w:rPr>
        <w:t>，属于</w:t>
      </w:r>
      <w:r>
        <w:rPr>
          <w:rFonts w:hint="eastAsia" w:ascii="仿宋" w:hAnsi="仿宋" w:eastAsia="仿宋" w:cs="仿宋"/>
          <w:color w:val="auto"/>
          <w:sz w:val="24"/>
          <w:highlight w:val="none"/>
          <w:u w:val="single"/>
        </w:rPr>
        <w:t xml:space="preserve"> （</w:t>
      </w:r>
      <w:r>
        <w:rPr>
          <w:rFonts w:hint="eastAsia" w:ascii="仿宋" w:hAnsi="仿宋" w:eastAsia="仿宋" w:cs="仿宋"/>
          <w:b/>
          <w:bCs/>
          <w:i/>
          <w:iCs/>
          <w:color w:val="auto"/>
          <w:sz w:val="24"/>
          <w:highlight w:val="none"/>
          <w:u w:val="single"/>
          <w:lang w:val="en-US" w:eastAsia="zh-CN"/>
        </w:rPr>
        <w:t>（十二）软件和信息技术服务业</w:t>
      </w:r>
      <w:r>
        <w:rPr>
          <w:rFonts w:hint="eastAsia" w:ascii="仿宋" w:hAnsi="仿宋" w:eastAsia="仿宋" w:cs="仿宋"/>
          <w:color w:val="auto"/>
          <w:sz w:val="24"/>
          <w:highlight w:val="none"/>
          <w:u w:val="single"/>
        </w:rPr>
        <w:t>）</w:t>
      </w:r>
      <w:r>
        <w:rPr>
          <w:rFonts w:hint="eastAsia" w:ascii="仿宋" w:hAnsi="仿宋" w:eastAsia="仿宋" w:cs="仿宋"/>
          <w:color w:val="auto"/>
          <w:sz w:val="24"/>
          <w:highlight w:val="none"/>
        </w:rPr>
        <w:t xml:space="preserve"> ；承建（承接）企业为 </w:t>
      </w:r>
      <w:r>
        <w:rPr>
          <w:rFonts w:hint="eastAsia" w:ascii="仿宋" w:hAnsi="仿宋" w:eastAsia="仿宋" w:cs="仿宋"/>
          <w:i/>
          <w:iCs/>
          <w:color w:val="auto"/>
          <w:sz w:val="24"/>
          <w:highlight w:val="none"/>
          <w:u w:val="single"/>
        </w:rPr>
        <w:t>（企业名称）</w:t>
      </w:r>
      <w:r>
        <w:rPr>
          <w:rFonts w:hint="eastAsia" w:ascii="仿宋" w:hAnsi="仿宋" w:eastAsia="仿宋" w:cs="仿宋"/>
          <w:color w:val="auto"/>
          <w:sz w:val="24"/>
          <w:highlight w:val="none"/>
        </w:rPr>
        <w:t xml:space="preserve"> ，从业人员</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人，营业收入为</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万元，资产总额为</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万元</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属于</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i/>
          <w:iCs/>
          <w:color w:val="auto"/>
          <w:sz w:val="24"/>
          <w:highlight w:val="none"/>
          <w:u w:val="single"/>
        </w:rPr>
        <w:t>（中型企业、小型企业、微型企业）</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4A8FA23A">
      <w:pPr>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2</w:t>
      </w:r>
      <w:r>
        <w:rPr>
          <w:rFonts w:hint="eastAsia" w:ascii="仿宋" w:hAnsi="仿宋" w:eastAsia="仿宋" w:cs="仿宋"/>
          <w:color w:val="auto"/>
          <w:sz w:val="24"/>
          <w:highlight w:val="none"/>
        </w:rPr>
        <w:t>.</w:t>
      </w:r>
      <w:r>
        <w:rPr>
          <w:rFonts w:hint="eastAsia" w:ascii="仿宋" w:hAnsi="仿宋" w:eastAsia="仿宋" w:cs="仿宋"/>
          <w:color w:val="auto"/>
          <w:sz w:val="24"/>
          <w:highlight w:val="none"/>
          <w:u w:val="single"/>
        </w:rPr>
        <w:t>（</w:t>
      </w:r>
      <w:r>
        <w:rPr>
          <w:rFonts w:hint="eastAsia" w:ascii="仿宋" w:hAnsi="仿宋" w:eastAsia="仿宋" w:cs="仿宋"/>
          <w:b/>
          <w:bCs/>
          <w:i/>
          <w:iCs/>
          <w:color w:val="auto"/>
          <w:sz w:val="24"/>
          <w:highlight w:val="none"/>
          <w:u w:val="single"/>
          <w:lang w:val="en-US" w:eastAsia="zh-CN"/>
        </w:rPr>
        <w:t>大数据智能查控服务</w:t>
      </w:r>
      <w:r>
        <w:rPr>
          <w:rFonts w:hint="eastAsia" w:ascii="仿宋" w:hAnsi="仿宋" w:eastAsia="仿宋" w:cs="仿宋"/>
          <w:color w:val="auto"/>
          <w:sz w:val="24"/>
          <w:highlight w:val="none"/>
          <w:u w:val="single"/>
        </w:rPr>
        <w:t>）</w:t>
      </w:r>
      <w:r>
        <w:rPr>
          <w:rFonts w:hint="eastAsia" w:ascii="仿宋" w:hAnsi="仿宋" w:eastAsia="仿宋" w:cs="仿宋"/>
          <w:color w:val="auto"/>
          <w:sz w:val="24"/>
          <w:highlight w:val="none"/>
        </w:rPr>
        <w:t>，属于</w:t>
      </w:r>
      <w:r>
        <w:rPr>
          <w:rFonts w:hint="eastAsia" w:ascii="仿宋" w:hAnsi="仿宋" w:eastAsia="仿宋" w:cs="仿宋"/>
          <w:color w:val="auto"/>
          <w:sz w:val="24"/>
          <w:highlight w:val="none"/>
          <w:u w:val="single"/>
        </w:rPr>
        <w:t xml:space="preserve"> （</w:t>
      </w:r>
      <w:r>
        <w:rPr>
          <w:rFonts w:hint="eastAsia" w:ascii="仿宋" w:hAnsi="仿宋" w:eastAsia="仿宋" w:cs="仿宋"/>
          <w:b/>
          <w:bCs/>
          <w:i/>
          <w:iCs/>
          <w:color w:val="auto"/>
          <w:sz w:val="24"/>
          <w:highlight w:val="none"/>
          <w:u w:val="single"/>
          <w:lang w:val="en-US" w:eastAsia="zh-CN"/>
        </w:rPr>
        <w:t>（十二）软件和信息技术服务业</w:t>
      </w:r>
      <w:r>
        <w:rPr>
          <w:rFonts w:hint="eastAsia" w:ascii="仿宋" w:hAnsi="仿宋" w:eastAsia="仿宋" w:cs="仿宋"/>
          <w:color w:val="auto"/>
          <w:sz w:val="24"/>
          <w:highlight w:val="none"/>
          <w:u w:val="single"/>
        </w:rPr>
        <w:t>）</w:t>
      </w:r>
      <w:r>
        <w:rPr>
          <w:rFonts w:hint="eastAsia" w:ascii="仿宋" w:hAnsi="仿宋" w:eastAsia="仿宋" w:cs="仿宋"/>
          <w:color w:val="auto"/>
          <w:sz w:val="24"/>
          <w:highlight w:val="none"/>
        </w:rPr>
        <w:t xml:space="preserve"> ；承建（承接）企业为 </w:t>
      </w:r>
      <w:r>
        <w:rPr>
          <w:rFonts w:hint="eastAsia" w:ascii="仿宋" w:hAnsi="仿宋" w:eastAsia="仿宋" w:cs="仿宋"/>
          <w:i/>
          <w:iCs/>
          <w:color w:val="auto"/>
          <w:sz w:val="24"/>
          <w:highlight w:val="none"/>
          <w:u w:val="single"/>
        </w:rPr>
        <w:t>（企业名称）</w:t>
      </w:r>
      <w:r>
        <w:rPr>
          <w:rFonts w:hint="eastAsia" w:ascii="仿宋" w:hAnsi="仿宋" w:eastAsia="仿宋" w:cs="仿宋"/>
          <w:color w:val="auto"/>
          <w:sz w:val="24"/>
          <w:highlight w:val="none"/>
        </w:rPr>
        <w:t xml:space="preserve"> ，从业人员</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人，营业收入为</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万元，资产总额为</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万元</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属于</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i/>
          <w:iCs/>
          <w:color w:val="auto"/>
          <w:sz w:val="24"/>
          <w:highlight w:val="none"/>
          <w:u w:val="single"/>
        </w:rPr>
        <w:t>（中型企业、小型企业、微型企业）</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52C000D1">
      <w:pPr>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3</w:t>
      </w:r>
      <w:r>
        <w:rPr>
          <w:rFonts w:hint="eastAsia" w:ascii="仿宋" w:hAnsi="仿宋" w:eastAsia="仿宋" w:cs="仿宋"/>
          <w:color w:val="auto"/>
          <w:sz w:val="24"/>
          <w:highlight w:val="none"/>
        </w:rPr>
        <w:t>.</w:t>
      </w:r>
      <w:r>
        <w:rPr>
          <w:rFonts w:hint="eastAsia" w:ascii="仿宋" w:hAnsi="仿宋" w:eastAsia="仿宋" w:cs="仿宋"/>
          <w:color w:val="auto"/>
          <w:sz w:val="24"/>
          <w:highlight w:val="none"/>
          <w:u w:val="single"/>
        </w:rPr>
        <w:t>（</w:t>
      </w:r>
      <w:r>
        <w:rPr>
          <w:rFonts w:hint="eastAsia" w:ascii="仿宋" w:hAnsi="仿宋" w:eastAsia="仿宋" w:cs="仿宋"/>
          <w:b/>
          <w:bCs/>
          <w:i/>
          <w:iCs/>
          <w:color w:val="auto"/>
          <w:sz w:val="24"/>
          <w:highlight w:val="none"/>
          <w:u w:val="single"/>
          <w:lang w:val="en-US" w:eastAsia="zh-CN"/>
        </w:rPr>
        <w:t>资金智能查控服务</w:t>
      </w:r>
      <w:r>
        <w:rPr>
          <w:rFonts w:hint="eastAsia" w:ascii="仿宋" w:hAnsi="仿宋" w:eastAsia="仿宋" w:cs="仿宋"/>
          <w:color w:val="auto"/>
          <w:sz w:val="24"/>
          <w:highlight w:val="none"/>
          <w:u w:val="single"/>
        </w:rPr>
        <w:t>）</w:t>
      </w:r>
      <w:r>
        <w:rPr>
          <w:rFonts w:hint="eastAsia" w:ascii="仿宋" w:hAnsi="仿宋" w:eastAsia="仿宋" w:cs="仿宋"/>
          <w:color w:val="auto"/>
          <w:sz w:val="24"/>
          <w:highlight w:val="none"/>
        </w:rPr>
        <w:t>，属于</w:t>
      </w:r>
      <w:r>
        <w:rPr>
          <w:rFonts w:hint="eastAsia" w:ascii="仿宋" w:hAnsi="仿宋" w:eastAsia="仿宋" w:cs="仿宋"/>
          <w:color w:val="auto"/>
          <w:sz w:val="24"/>
          <w:highlight w:val="none"/>
          <w:u w:val="single"/>
        </w:rPr>
        <w:t xml:space="preserve"> （</w:t>
      </w:r>
      <w:r>
        <w:rPr>
          <w:rFonts w:hint="eastAsia" w:ascii="仿宋" w:hAnsi="仿宋" w:eastAsia="仿宋" w:cs="仿宋"/>
          <w:b/>
          <w:bCs/>
          <w:i/>
          <w:iCs/>
          <w:color w:val="auto"/>
          <w:sz w:val="24"/>
          <w:highlight w:val="none"/>
          <w:u w:val="single"/>
          <w:lang w:val="en-US" w:eastAsia="zh-CN"/>
        </w:rPr>
        <w:t>（十二）软件和信息技术服务业</w:t>
      </w:r>
      <w:r>
        <w:rPr>
          <w:rFonts w:hint="eastAsia" w:ascii="仿宋" w:hAnsi="仿宋" w:eastAsia="仿宋" w:cs="仿宋"/>
          <w:color w:val="auto"/>
          <w:sz w:val="24"/>
          <w:highlight w:val="none"/>
          <w:u w:val="single"/>
        </w:rPr>
        <w:t>）</w:t>
      </w:r>
      <w:r>
        <w:rPr>
          <w:rFonts w:hint="eastAsia" w:ascii="仿宋" w:hAnsi="仿宋" w:eastAsia="仿宋" w:cs="仿宋"/>
          <w:color w:val="auto"/>
          <w:sz w:val="24"/>
          <w:highlight w:val="none"/>
        </w:rPr>
        <w:t xml:space="preserve"> ；承建（承接）企业为 </w:t>
      </w:r>
      <w:r>
        <w:rPr>
          <w:rFonts w:hint="eastAsia" w:ascii="仿宋" w:hAnsi="仿宋" w:eastAsia="仿宋" w:cs="仿宋"/>
          <w:i/>
          <w:iCs/>
          <w:color w:val="auto"/>
          <w:sz w:val="24"/>
          <w:highlight w:val="none"/>
          <w:u w:val="single"/>
        </w:rPr>
        <w:t>（企业名称）</w:t>
      </w:r>
      <w:r>
        <w:rPr>
          <w:rFonts w:hint="eastAsia" w:ascii="仿宋" w:hAnsi="仿宋" w:eastAsia="仿宋" w:cs="仿宋"/>
          <w:color w:val="auto"/>
          <w:sz w:val="24"/>
          <w:highlight w:val="none"/>
        </w:rPr>
        <w:t xml:space="preserve"> ，从业人员</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人，营业收入为</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万元，资产总额为</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万元</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属于</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i/>
          <w:iCs/>
          <w:color w:val="auto"/>
          <w:sz w:val="24"/>
          <w:highlight w:val="none"/>
          <w:u w:val="single"/>
        </w:rPr>
        <w:t>（中型企业、小型企业、微型企业）</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23BBA9B1">
      <w:pPr>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rPr>
        <w:t>.</w:t>
      </w:r>
      <w:r>
        <w:rPr>
          <w:rFonts w:hint="eastAsia" w:ascii="仿宋" w:hAnsi="仿宋" w:eastAsia="仿宋" w:cs="仿宋"/>
          <w:color w:val="auto"/>
          <w:sz w:val="24"/>
          <w:highlight w:val="none"/>
          <w:u w:val="single"/>
        </w:rPr>
        <w:t>（</w:t>
      </w:r>
      <w:r>
        <w:rPr>
          <w:rFonts w:hint="eastAsia" w:ascii="仿宋" w:hAnsi="仿宋" w:eastAsia="仿宋" w:cs="仿宋"/>
          <w:b/>
          <w:bCs/>
          <w:i/>
          <w:iCs/>
          <w:color w:val="auto"/>
          <w:sz w:val="24"/>
          <w:highlight w:val="none"/>
          <w:u w:val="single"/>
          <w:lang w:val="en-US" w:eastAsia="zh-CN"/>
        </w:rPr>
        <w:t>涉网诈骗预感探测数据服务</w:t>
      </w:r>
      <w:r>
        <w:rPr>
          <w:rFonts w:hint="eastAsia" w:ascii="仿宋" w:hAnsi="仿宋" w:eastAsia="仿宋" w:cs="仿宋"/>
          <w:color w:val="auto"/>
          <w:sz w:val="24"/>
          <w:highlight w:val="none"/>
          <w:u w:val="single"/>
        </w:rPr>
        <w:t>）</w:t>
      </w:r>
      <w:r>
        <w:rPr>
          <w:rFonts w:hint="eastAsia" w:ascii="仿宋" w:hAnsi="仿宋" w:eastAsia="仿宋" w:cs="仿宋"/>
          <w:color w:val="auto"/>
          <w:sz w:val="24"/>
          <w:highlight w:val="none"/>
        </w:rPr>
        <w:t>，属于</w:t>
      </w:r>
      <w:r>
        <w:rPr>
          <w:rFonts w:hint="eastAsia" w:ascii="仿宋" w:hAnsi="仿宋" w:eastAsia="仿宋" w:cs="仿宋"/>
          <w:color w:val="auto"/>
          <w:sz w:val="24"/>
          <w:highlight w:val="none"/>
          <w:u w:val="single"/>
        </w:rPr>
        <w:t xml:space="preserve"> （</w:t>
      </w:r>
      <w:r>
        <w:rPr>
          <w:rFonts w:hint="eastAsia" w:ascii="仿宋" w:hAnsi="仿宋" w:eastAsia="仿宋" w:cs="仿宋"/>
          <w:b/>
          <w:bCs/>
          <w:i/>
          <w:iCs/>
          <w:color w:val="auto"/>
          <w:sz w:val="24"/>
          <w:highlight w:val="none"/>
          <w:u w:val="single"/>
          <w:lang w:val="en-US" w:eastAsia="zh-CN"/>
        </w:rPr>
        <w:t>（十二）软件和信息技术服务业</w:t>
      </w:r>
      <w:r>
        <w:rPr>
          <w:rFonts w:hint="eastAsia" w:ascii="仿宋" w:hAnsi="仿宋" w:eastAsia="仿宋" w:cs="仿宋"/>
          <w:color w:val="auto"/>
          <w:sz w:val="24"/>
          <w:highlight w:val="none"/>
          <w:u w:val="single"/>
        </w:rPr>
        <w:t>）</w:t>
      </w:r>
      <w:r>
        <w:rPr>
          <w:rFonts w:hint="eastAsia" w:ascii="仿宋" w:hAnsi="仿宋" w:eastAsia="仿宋" w:cs="仿宋"/>
          <w:color w:val="auto"/>
          <w:sz w:val="24"/>
          <w:highlight w:val="none"/>
        </w:rPr>
        <w:t xml:space="preserve"> ；承建（承接）企业为 </w:t>
      </w:r>
      <w:r>
        <w:rPr>
          <w:rFonts w:hint="eastAsia" w:ascii="仿宋" w:hAnsi="仿宋" w:eastAsia="仿宋" w:cs="仿宋"/>
          <w:i/>
          <w:iCs/>
          <w:color w:val="auto"/>
          <w:sz w:val="24"/>
          <w:highlight w:val="none"/>
          <w:u w:val="single"/>
        </w:rPr>
        <w:t>（企业名称）</w:t>
      </w:r>
      <w:r>
        <w:rPr>
          <w:rFonts w:hint="eastAsia" w:ascii="仿宋" w:hAnsi="仿宋" w:eastAsia="仿宋" w:cs="仿宋"/>
          <w:color w:val="auto"/>
          <w:sz w:val="24"/>
          <w:highlight w:val="none"/>
        </w:rPr>
        <w:t xml:space="preserve"> ，从业人员</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人，营业收入为</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万元，资产总额为</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万元</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属于</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i/>
          <w:iCs/>
          <w:color w:val="auto"/>
          <w:sz w:val="24"/>
          <w:highlight w:val="none"/>
          <w:u w:val="single"/>
        </w:rPr>
        <w:t>（中型企业、小型企业、微型企业）</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3B2DC741">
      <w:pPr>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5</w:t>
      </w:r>
      <w:r>
        <w:rPr>
          <w:rFonts w:hint="eastAsia" w:ascii="仿宋" w:hAnsi="仿宋" w:eastAsia="仿宋" w:cs="仿宋"/>
          <w:color w:val="auto"/>
          <w:sz w:val="24"/>
          <w:highlight w:val="none"/>
        </w:rPr>
        <w:t>.</w:t>
      </w:r>
      <w:r>
        <w:rPr>
          <w:rFonts w:hint="eastAsia" w:ascii="仿宋" w:hAnsi="仿宋" w:eastAsia="仿宋" w:cs="仿宋"/>
          <w:color w:val="auto"/>
          <w:sz w:val="24"/>
          <w:highlight w:val="none"/>
          <w:u w:val="single"/>
        </w:rPr>
        <w:t>（</w:t>
      </w:r>
      <w:r>
        <w:rPr>
          <w:rFonts w:hint="eastAsia" w:ascii="仿宋" w:hAnsi="仿宋" w:eastAsia="仿宋" w:cs="仿宋"/>
          <w:b/>
          <w:bCs/>
          <w:i/>
          <w:iCs/>
          <w:color w:val="auto"/>
          <w:sz w:val="24"/>
          <w:highlight w:val="none"/>
          <w:u w:val="single"/>
          <w:lang w:val="en-US" w:eastAsia="zh-CN"/>
        </w:rPr>
        <w:t>涉网新型案件行为分析服务</w:t>
      </w:r>
      <w:r>
        <w:rPr>
          <w:rFonts w:hint="eastAsia" w:ascii="仿宋" w:hAnsi="仿宋" w:eastAsia="仿宋" w:cs="仿宋"/>
          <w:color w:val="auto"/>
          <w:sz w:val="24"/>
          <w:highlight w:val="none"/>
          <w:u w:val="single"/>
        </w:rPr>
        <w:t>）</w:t>
      </w:r>
      <w:r>
        <w:rPr>
          <w:rFonts w:hint="eastAsia" w:ascii="仿宋" w:hAnsi="仿宋" w:eastAsia="仿宋" w:cs="仿宋"/>
          <w:color w:val="auto"/>
          <w:sz w:val="24"/>
          <w:highlight w:val="none"/>
        </w:rPr>
        <w:t>，属于</w:t>
      </w:r>
      <w:r>
        <w:rPr>
          <w:rFonts w:hint="eastAsia" w:ascii="仿宋" w:hAnsi="仿宋" w:eastAsia="仿宋" w:cs="仿宋"/>
          <w:color w:val="auto"/>
          <w:sz w:val="24"/>
          <w:highlight w:val="none"/>
          <w:u w:val="single"/>
        </w:rPr>
        <w:t xml:space="preserve"> （</w:t>
      </w:r>
      <w:r>
        <w:rPr>
          <w:rFonts w:hint="eastAsia" w:ascii="仿宋" w:hAnsi="仿宋" w:eastAsia="仿宋" w:cs="仿宋"/>
          <w:b/>
          <w:bCs/>
          <w:i/>
          <w:iCs/>
          <w:color w:val="auto"/>
          <w:sz w:val="24"/>
          <w:highlight w:val="none"/>
          <w:u w:val="single"/>
          <w:lang w:val="en-US" w:eastAsia="zh-CN"/>
        </w:rPr>
        <w:t>（十二）软件和信息技术服务业</w:t>
      </w:r>
      <w:r>
        <w:rPr>
          <w:rFonts w:hint="eastAsia" w:ascii="仿宋" w:hAnsi="仿宋" w:eastAsia="仿宋" w:cs="仿宋"/>
          <w:color w:val="auto"/>
          <w:sz w:val="24"/>
          <w:highlight w:val="none"/>
          <w:u w:val="single"/>
        </w:rPr>
        <w:t>）</w:t>
      </w:r>
      <w:r>
        <w:rPr>
          <w:rFonts w:hint="eastAsia" w:ascii="仿宋" w:hAnsi="仿宋" w:eastAsia="仿宋" w:cs="仿宋"/>
          <w:color w:val="auto"/>
          <w:sz w:val="24"/>
          <w:highlight w:val="none"/>
        </w:rPr>
        <w:t xml:space="preserve"> ；承建（承接）企业为 </w:t>
      </w:r>
      <w:r>
        <w:rPr>
          <w:rFonts w:hint="eastAsia" w:ascii="仿宋" w:hAnsi="仿宋" w:eastAsia="仿宋" w:cs="仿宋"/>
          <w:i/>
          <w:iCs/>
          <w:color w:val="auto"/>
          <w:sz w:val="24"/>
          <w:highlight w:val="none"/>
          <w:u w:val="single"/>
        </w:rPr>
        <w:t>（企业名称）</w:t>
      </w:r>
      <w:r>
        <w:rPr>
          <w:rFonts w:hint="eastAsia" w:ascii="仿宋" w:hAnsi="仿宋" w:eastAsia="仿宋" w:cs="仿宋"/>
          <w:color w:val="auto"/>
          <w:sz w:val="24"/>
          <w:highlight w:val="none"/>
        </w:rPr>
        <w:t xml:space="preserve"> ，从业人员</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人，营业收入为</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万元，资产总额为</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万元</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属于</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i/>
          <w:iCs/>
          <w:color w:val="auto"/>
          <w:sz w:val="24"/>
          <w:highlight w:val="none"/>
          <w:u w:val="single"/>
        </w:rPr>
        <w:t>（中型企业、小型企业、微型企业）</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28840265">
      <w:pPr>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6</w:t>
      </w:r>
      <w:r>
        <w:rPr>
          <w:rFonts w:hint="eastAsia" w:ascii="仿宋" w:hAnsi="仿宋" w:eastAsia="仿宋" w:cs="仿宋"/>
          <w:color w:val="auto"/>
          <w:sz w:val="24"/>
          <w:highlight w:val="none"/>
        </w:rPr>
        <w:t>.</w:t>
      </w:r>
      <w:r>
        <w:rPr>
          <w:rFonts w:hint="eastAsia" w:ascii="仿宋" w:hAnsi="仿宋" w:eastAsia="仿宋" w:cs="仿宋"/>
          <w:color w:val="auto"/>
          <w:sz w:val="24"/>
          <w:highlight w:val="none"/>
          <w:u w:val="single"/>
        </w:rPr>
        <w:t>（</w:t>
      </w:r>
      <w:r>
        <w:rPr>
          <w:rFonts w:hint="eastAsia" w:ascii="仿宋" w:hAnsi="仿宋" w:eastAsia="仿宋" w:cs="仿宋"/>
          <w:b/>
          <w:bCs/>
          <w:i/>
          <w:iCs/>
          <w:color w:val="auto"/>
          <w:sz w:val="24"/>
          <w:highlight w:val="none"/>
          <w:u w:val="single"/>
          <w:lang w:val="en-US" w:eastAsia="zh-CN"/>
        </w:rPr>
        <w:t>新型涉网案件智勘联侦分析服务</w:t>
      </w:r>
      <w:r>
        <w:rPr>
          <w:rFonts w:hint="eastAsia" w:ascii="仿宋" w:hAnsi="仿宋" w:eastAsia="仿宋" w:cs="仿宋"/>
          <w:color w:val="auto"/>
          <w:sz w:val="24"/>
          <w:highlight w:val="none"/>
          <w:u w:val="single"/>
        </w:rPr>
        <w:t>）</w:t>
      </w:r>
      <w:r>
        <w:rPr>
          <w:rFonts w:hint="eastAsia" w:ascii="仿宋" w:hAnsi="仿宋" w:eastAsia="仿宋" w:cs="仿宋"/>
          <w:color w:val="auto"/>
          <w:sz w:val="24"/>
          <w:highlight w:val="none"/>
        </w:rPr>
        <w:t>，属于</w:t>
      </w:r>
      <w:r>
        <w:rPr>
          <w:rFonts w:hint="eastAsia" w:ascii="仿宋" w:hAnsi="仿宋" w:eastAsia="仿宋" w:cs="仿宋"/>
          <w:color w:val="auto"/>
          <w:sz w:val="24"/>
          <w:highlight w:val="none"/>
          <w:u w:val="single"/>
        </w:rPr>
        <w:t xml:space="preserve"> （</w:t>
      </w:r>
      <w:r>
        <w:rPr>
          <w:rFonts w:hint="eastAsia" w:ascii="仿宋" w:hAnsi="仿宋" w:eastAsia="仿宋" w:cs="仿宋"/>
          <w:b/>
          <w:bCs/>
          <w:i/>
          <w:iCs/>
          <w:color w:val="auto"/>
          <w:sz w:val="24"/>
          <w:highlight w:val="none"/>
          <w:u w:val="single"/>
          <w:lang w:val="en-US" w:eastAsia="zh-CN"/>
        </w:rPr>
        <w:t>（十二）软件和信息技术服务业</w:t>
      </w:r>
      <w:r>
        <w:rPr>
          <w:rFonts w:hint="eastAsia" w:ascii="仿宋" w:hAnsi="仿宋" w:eastAsia="仿宋" w:cs="仿宋"/>
          <w:color w:val="auto"/>
          <w:sz w:val="24"/>
          <w:highlight w:val="none"/>
          <w:u w:val="single"/>
        </w:rPr>
        <w:t>）</w:t>
      </w:r>
      <w:r>
        <w:rPr>
          <w:rFonts w:hint="eastAsia" w:ascii="仿宋" w:hAnsi="仿宋" w:eastAsia="仿宋" w:cs="仿宋"/>
          <w:color w:val="auto"/>
          <w:sz w:val="24"/>
          <w:highlight w:val="none"/>
        </w:rPr>
        <w:t xml:space="preserve"> ；承建（承接）企业为 </w:t>
      </w:r>
      <w:r>
        <w:rPr>
          <w:rFonts w:hint="eastAsia" w:ascii="仿宋" w:hAnsi="仿宋" w:eastAsia="仿宋" w:cs="仿宋"/>
          <w:i/>
          <w:iCs/>
          <w:color w:val="auto"/>
          <w:sz w:val="24"/>
          <w:highlight w:val="none"/>
          <w:u w:val="single"/>
        </w:rPr>
        <w:t>（企业名称）</w:t>
      </w:r>
      <w:r>
        <w:rPr>
          <w:rFonts w:hint="eastAsia" w:ascii="仿宋" w:hAnsi="仿宋" w:eastAsia="仿宋" w:cs="仿宋"/>
          <w:color w:val="auto"/>
          <w:sz w:val="24"/>
          <w:highlight w:val="none"/>
        </w:rPr>
        <w:t xml:space="preserve"> ，从业人员</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人，营业收入为</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万元，资产总额为</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万元</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属于</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i/>
          <w:iCs/>
          <w:color w:val="auto"/>
          <w:sz w:val="24"/>
          <w:highlight w:val="none"/>
          <w:u w:val="single"/>
        </w:rPr>
        <w:t>（中型企业、小型企业、微型企业）</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38A8DF86">
      <w:pPr>
        <w:spacing w:line="360" w:lineRule="auto"/>
        <w:ind w:firstLine="480" w:firstLineChars="200"/>
        <w:jc w:val="left"/>
        <w:rPr>
          <w:rFonts w:hint="eastAsia" w:ascii="仿宋" w:hAnsi="仿宋" w:eastAsia="仿宋" w:cs="仿宋"/>
          <w:color w:val="auto"/>
          <w:sz w:val="24"/>
          <w:highlight w:val="none"/>
        </w:rPr>
      </w:pPr>
    </w:p>
    <w:p w14:paraId="65819E31">
      <w:pPr>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w:t>
      </w:r>
    </w:p>
    <w:p w14:paraId="34E10AA3">
      <w:pPr>
        <w:spacing w:line="360" w:lineRule="auto"/>
        <w:ind w:firstLine="480" w:firstLineChars="200"/>
        <w:jc w:val="left"/>
        <w:rPr>
          <w:rFonts w:hint="eastAsia" w:ascii="仿宋" w:hAnsi="仿宋" w:eastAsia="仿宋" w:cs="仿宋"/>
          <w:color w:val="auto"/>
          <w:sz w:val="24"/>
          <w:highlight w:val="none"/>
        </w:rPr>
      </w:pPr>
    </w:p>
    <w:p w14:paraId="5AC8569C">
      <w:pPr>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以上企业，不属于大企业的分支机构，不存在控股股东为大企业的情形，也不存在与大企业的负责人为同一人的情形。</w:t>
      </w:r>
    </w:p>
    <w:p w14:paraId="5FA302EA">
      <w:pPr>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本企业对上述声明内容的真实性负责。如有虚假，将依法承担相应责任。</w:t>
      </w:r>
    </w:p>
    <w:p w14:paraId="10620E2D">
      <w:pPr>
        <w:spacing w:line="360" w:lineRule="auto"/>
        <w:ind w:right="1760"/>
        <w:jc w:val="right"/>
        <w:rPr>
          <w:rFonts w:hint="eastAsia" w:ascii="仿宋" w:hAnsi="仿宋" w:eastAsia="仿宋" w:cs="仿宋"/>
          <w:color w:val="auto"/>
          <w:sz w:val="24"/>
          <w:highlight w:val="none"/>
        </w:rPr>
      </w:pPr>
    </w:p>
    <w:p w14:paraId="3864BA72">
      <w:pPr>
        <w:spacing w:line="360" w:lineRule="auto"/>
        <w:ind w:right="1760"/>
        <w:jc w:val="right"/>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投标人名称（电子签名）：</w:t>
      </w:r>
    </w:p>
    <w:p w14:paraId="429462FB">
      <w:pPr>
        <w:spacing w:line="360" w:lineRule="auto"/>
        <w:ind w:right="1120" w:firstLine="4680" w:firstLineChars="1950"/>
        <w:rPr>
          <w:rFonts w:hint="eastAsia" w:ascii="仿宋" w:hAnsi="仿宋" w:eastAsia="仿宋" w:cs="仿宋"/>
          <w:color w:val="auto"/>
          <w:sz w:val="24"/>
          <w:highlight w:val="none"/>
        </w:rPr>
      </w:pPr>
      <w:r>
        <w:rPr>
          <w:rFonts w:hint="eastAsia" w:ascii="仿宋" w:hAnsi="仿宋" w:eastAsia="仿宋" w:cs="仿宋"/>
          <w:color w:val="auto"/>
          <w:sz w:val="24"/>
          <w:highlight w:val="none"/>
        </w:rPr>
        <w:t>日 期：</w:t>
      </w:r>
    </w:p>
    <w:p w14:paraId="338E70F6">
      <w:pPr>
        <w:pStyle w:val="97"/>
        <w:rPr>
          <w:rFonts w:hint="eastAsia" w:ascii="仿宋" w:hAnsi="仿宋" w:eastAsia="仿宋" w:cs="仿宋"/>
          <w:color w:val="auto"/>
          <w:sz w:val="24"/>
          <w:highlight w:val="none"/>
        </w:rPr>
      </w:pPr>
    </w:p>
    <w:p w14:paraId="2BCF6463">
      <w:pPr>
        <w:pStyle w:val="97"/>
        <w:rPr>
          <w:rFonts w:hint="eastAsia" w:ascii="仿宋" w:hAnsi="仿宋" w:eastAsia="仿宋" w:cs="仿宋"/>
          <w:color w:val="auto"/>
          <w:sz w:val="24"/>
          <w:highlight w:val="none"/>
        </w:rPr>
      </w:pPr>
    </w:p>
    <w:p w14:paraId="17CFBCD4">
      <w:pPr>
        <w:spacing w:line="360" w:lineRule="auto"/>
        <w:ind w:right="420" w:firstLine="630" w:firstLineChars="300"/>
        <w:rPr>
          <w:rFonts w:hint="eastAsia" w:ascii="仿宋" w:hAnsi="仿宋" w:eastAsia="仿宋" w:cs="仿宋"/>
          <w:color w:val="auto"/>
          <w:highlight w:val="none"/>
        </w:rPr>
      </w:pPr>
      <w:r>
        <w:rPr>
          <w:rFonts w:hint="eastAsia" w:ascii="仿宋" w:hAnsi="仿宋" w:eastAsia="仿宋" w:cs="仿宋"/>
          <w:color w:val="auto"/>
          <w:highlight w:val="none"/>
        </w:rPr>
        <w:t>注</w:t>
      </w:r>
      <w:r>
        <w:rPr>
          <w:rFonts w:hint="eastAsia" w:ascii="仿宋" w:hAnsi="仿宋" w:eastAsia="仿宋" w:cs="仿宋"/>
          <w:color w:val="auto"/>
          <w:highlight w:val="none"/>
          <w:lang w:eastAsia="zh-CN"/>
        </w:rPr>
        <w:t>：①</w:t>
      </w:r>
      <w:r>
        <w:rPr>
          <w:rFonts w:hint="eastAsia" w:ascii="仿宋" w:hAnsi="仿宋" w:eastAsia="仿宋" w:cs="仿宋"/>
          <w:color w:val="auto"/>
          <w:highlight w:val="none"/>
        </w:rPr>
        <w:t>从业人员、营业收入、资产总额填报上一年度数据，无上一年度数据的新成立企业可不填报</w:t>
      </w:r>
      <w:r>
        <w:rPr>
          <w:rFonts w:hint="eastAsia" w:ascii="仿宋" w:hAnsi="仿宋" w:eastAsia="仿宋" w:cs="仿宋"/>
          <w:color w:val="auto"/>
          <w:highlight w:val="none"/>
          <w:lang w:eastAsia="zh-CN"/>
        </w:rPr>
        <w:t>。②</w:t>
      </w:r>
      <w:r>
        <w:rPr>
          <w:rFonts w:hint="eastAsia" w:ascii="仿宋" w:hAnsi="仿宋" w:eastAsia="仿宋" w:cs="仿宋"/>
          <w:color w:val="auto"/>
          <w:highlight w:val="none"/>
        </w:rPr>
        <w:t>《中小企业声明函》中“标的名称”、“采购文件中明确的所属行业”依据招标文件第二部分投标人须知前附表中“采购标的及其对应的中小企业划分标准所属行业”的指引，逐一填写，不得缺漏。</w:t>
      </w:r>
    </w:p>
    <w:p w14:paraId="00A15C65">
      <w:pPr>
        <w:rPr>
          <w:color w:val="auto"/>
          <w:highlight w:val="none"/>
        </w:rPr>
      </w:pPr>
    </w:p>
    <w:sectPr>
      <w:headerReference r:id="rId8" w:type="first"/>
      <w:footerReference r:id="rId11" w:type="first"/>
      <w:headerReference r:id="rId7" w:type="default"/>
      <w:footerReference r:id="rId9" w:type="default"/>
      <w:footerReference r:id="rId10" w:type="even"/>
      <w:pgSz w:w="11906" w:h="16838"/>
      <w:pgMar w:top="1417" w:right="1418" w:bottom="1417" w:left="1418" w:header="794" w:footer="850" w:gutter="0"/>
      <w:cols w:space="0" w:num="1"/>
      <w:titlePg/>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楷体_GB2312">
    <w:altName w:val="楷体"/>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隶书">
    <w:panose1 w:val="02010509060101010101"/>
    <w:charset w:val="86"/>
    <w:family w:val="modern"/>
    <w:pitch w:val="default"/>
    <w:sig w:usb0="00000001" w:usb1="080E0000" w:usb2="00000000" w:usb3="00000000" w:csb0="00040000" w:csb1="00000000"/>
  </w:font>
  <w:font w:name="??">
    <w:altName w:val="Times New Roman"/>
    <w:panose1 w:val="00000000000000000000"/>
    <w:charset w:val="00"/>
    <w:family w:val="roman"/>
    <w:pitch w:val="default"/>
    <w:sig w:usb0="00000000" w:usb1="00000000" w:usb2="00000000" w:usb3="00000000" w:csb0="00040001" w:csb1="00000000"/>
  </w:font>
  <w:font w:name="华文楷体">
    <w:panose1 w:val="02010600040101010101"/>
    <w:charset w:val="86"/>
    <w:family w:val="auto"/>
    <w:pitch w:val="default"/>
    <w:sig w:usb0="00000287" w:usb1="080F0000" w:usb2="00000000" w:usb3="00000000" w:csb0="0004009F" w:csb1="DFD70000"/>
  </w:font>
  <w:font w:name="Futura Bk">
    <w:altName w:val="Segoe Print"/>
    <w:panose1 w:val="00000000000000000000"/>
    <w:charset w:val="00"/>
    <w:family w:val="swiss"/>
    <w:pitch w:val="default"/>
    <w:sig w:usb0="00000000" w:usb1="00000000" w:usb2="00000000" w:usb3="00000000" w:csb0="00000011" w:csb1="00000000"/>
  </w:font>
  <w:font w:name="Segoe Print">
    <w:panose1 w:val="02000600000000000000"/>
    <w:charset w:val="00"/>
    <w:family w:val="auto"/>
    <w:pitch w:val="default"/>
    <w:sig w:usb0="0000028F" w:usb1="00000000" w:usb2="00000000" w:usb3="00000000" w:csb0="2000009F" w:csb1="47010000"/>
  </w:font>
  <w:font w:name="华文中宋">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MS Sans Serif">
    <w:altName w:val="Arial"/>
    <w:panose1 w:val="020B0500000000000000"/>
    <w:charset w:val="00"/>
    <w:family w:val="swiss"/>
    <w:pitch w:val="default"/>
    <w:sig w:usb0="00000000" w:usb1="00000000" w:usb2="00000000" w:usb3="00000000" w:csb0="00000001" w:csb1="00000000"/>
  </w:font>
  <w:font w:name="Lucida Sans">
    <w:panose1 w:val="020B0602030504020204"/>
    <w:charset w:val="00"/>
    <w:family w:val="swiss"/>
    <w:pitch w:val="default"/>
    <w:sig w:usb0="00000003" w:usb1="00000000" w:usb2="00000000" w:usb3="00000000" w:csb0="20000001" w:csb1="00000000"/>
  </w:font>
  <w:font w:name="等线 Light">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ˎ̥">
    <w:altName w:val="微软雅黑"/>
    <w:panose1 w:val="00000000000000000000"/>
    <w:charset w:val="00"/>
    <w:family w:val="roman"/>
    <w:pitch w:val="default"/>
    <w:sig w:usb0="00000000" w:usb1="00000000" w:usb2="00000000" w:usb3="00000000" w:csb0="00040001" w:csb1="00000000"/>
  </w:font>
  <w:font w:name="幼圆">
    <w:panose1 w:val="02010509060101010101"/>
    <w:charset w:val="86"/>
    <w:family w:val="modern"/>
    <w:pitch w:val="default"/>
    <w:sig w:usb0="00000001" w:usb1="080E0000" w:usb2="00000000" w:usb3="00000000" w:csb0="00040000" w:csb1="00000000"/>
  </w:font>
  <w:font w:name="Arial Narrow">
    <w:panose1 w:val="020B0606020202030204"/>
    <w:charset w:val="00"/>
    <w:family w:val="swiss"/>
    <w:pitch w:val="default"/>
    <w:sig w:usb0="00000287" w:usb1="00000800" w:usb2="00000000" w:usb3="00000000" w:csb0="2000009F" w:csb1="DFD70000"/>
  </w:font>
  <w:font w:name="FHLHE E+ Futura Bk">
    <w:altName w:val="宋体"/>
    <w:panose1 w:val="00000000000000000000"/>
    <w:charset w:val="86"/>
    <w:family w:val="swiss"/>
    <w:pitch w:val="default"/>
    <w:sig w:usb0="00000000" w:usb1="00000000" w:usb2="00000010" w:usb3="00000000" w:csb0="00040000" w:csb1="00000000"/>
  </w:font>
  <w:font w:name="Arial (W1)">
    <w:altName w:val="Arial"/>
    <w:panose1 w:val="00000000000000000000"/>
    <w:charset w:val="00"/>
    <w:family w:val="swiss"/>
    <w:pitch w:val="default"/>
    <w:sig w:usb0="00000000" w:usb1="00000000" w:usb2="00000008" w:usb3="00000000" w:csb0="000001FF" w:csb1="00000000"/>
  </w:font>
  <w:font w:name="Arial Unicode MS">
    <w:altName w:val="宋体"/>
    <w:panose1 w:val="020B0604020202020204"/>
    <w:charset w:val="86"/>
    <w:family w:val="swiss"/>
    <w:pitch w:val="default"/>
    <w:sig w:usb0="00000000" w:usb1="00000000" w:usb2="0000003F" w:usb3="00000000" w:csb0="603F01FF" w:csb1="FFFF0000"/>
  </w:font>
  <w:font w:name="Helvetica">
    <w:panose1 w:val="020B0504020202030204"/>
    <w:charset w:val="00"/>
    <w:family w:val="swiss"/>
    <w:pitch w:val="default"/>
    <w:sig w:usb0="00000007" w:usb1="00000000" w:usb2="00000000" w:usb3="00000000" w:csb0="00000093" w:csb1="00000000"/>
  </w:font>
  <w:font w:name="Cumberland">
    <w:altName w:val="微软雅黑"/>
    <w:panose1 w:val="00000000000000000000"/>
    <w:charset w:val="00"/>
    <w:family w:val="modern"/>
    <w:pitch w:val="default"/>
    <w:sig w:usb0="00000000" w:usb1="00000000" w:usb2="00000000" w:usb3="00000000" w:csb0="00040001" w:csb1="00000000"/>
  </w:font>
  <w:font w:name="方正宋体">
    <w:altName w:val="宋体"/>
    <w:panose1 w:val="00000000000000000000"/>
    <w:charset w:val="00"/>
    <w:family w:val="auto"/>
    <w:pitch w:val="default"/>
    <w:sig w:usb0="00000000" w:usb1="00000000" w:usb2="00000000" w:usb3="00000000" w:csb0="00040001" w:csb1="00000000"/>
  </w:font>
  <w:font w:name="Futura Hv">
    <w:altName w:val="Segoe Print"/>
    <w:panose1 w:val="00000000000000000000"/>
    <w:charset w:val="00"/>
    <w:family w:val="swiss"/>
    <w:pitch w:val="default"/>
    <w:sig w:usb0="00000000" w:usb1="00000000" w:usb2="00000000" w:usb3="00000000" w:csb0="000001FB" w:csb1="00000000"/>
  </w:font>
  <w:font w:name="Segoe UI">
    <w:panose1 w:val="020B0502040204020203"/>
    <w:charset w:val="00"/>
    <w:family w:val="swiss"/>
    <w:pitch w:val="default"/>
    <w:sig w:usb0="E4002EFF" w:usb1="C000E47F" w:usb2="00000009" w:usb3="00000000" w:csb0="200001FF" w:csb1="00000000"/>
  </w:font>
  <w:font w:name="Latha">
    <w:altName w:val="Segoe UI Semilight"/>
    <w:panose1 w:val="02000400000000000000"/>
    <w:charset w:val="01"/>
    <w:family w:val="roman"/>
    <w:pitch w:val="default"/>
    <w:sig w:usb0="00000000" w:usb1="00000000" w:usb2="00000000" w:usb3="00000000" w:csb0="00000000" w:csb1="00000000"/>
  </w:font>
  <w:font w:name="Segoe UI Semilight">
    <w:panose1 w:val="020B0402040204020203"/>
    <w:charset w:val="00"/>
    <w:family w:val="auto"/>
    <w:pitch w:val="default"/>
    <w:sig w:usb0="E4002EFF" w:usb1="C000E47F" w:usb2="00000009" w:usb3="00000000" w:csb0="200001FF" w:csb1="00000000"/>
  </w:font>
  <w:font w:name="新宋体">
    <w:panose1 w:val="02010609030101010101"/>
    <w:charset w:val="86"/>
    <w:family w:val="modern"/>
    <w:pitch w:val="default"/>
    <w:sig w:usb0="00000203" w:usb1="288F0000" w:usb2="00000006" w:usb3="00000000" w:csb0="00040001" w:csb1="00000000"/>
  </w:font>
  <w:font w:name="楷体">
    <w:panose1 w:val="02010609060101010101"/>
    <w:charset w:val="86"/>
    <w:family w:val="modern"/>
    <w:pitch w:val="default"/>
    <w:sig w:usb0="800002BF" w:usb1="38CF7CFA" w:usb2="00000016" w:usb3="00000000" w:csb0="00040001" w:csb1="00000000"/>
  </w:font>
  <w:font w:name="Lucida Sans Unicode">
    <w:panose1 w:val="020B0602030504020204"/>
    <w:charset w:val="00"/>
    <w:family w:val="swiss"/>
    <w:pitch w:val="default"/>
    <w:sig w:usb0="80001AFF" w:usb1="0000396B" w:usb2="00000000" w:usb3="00000000" w:csb0="200000BF" w:csb1="D7F70000"/>
  </w:font>
  <w:font w:name="Century Gothic">
    <w:panose1 w:val="020B0502020202020204"/>
    <w:charset w:val="00"/>
    <w:family w:val="swiss"/>
    <w:pitch w:val="default"/>
    <w:sig w:usb0="00000287" w:usb1="00000000" w:usb2="00000000" w:usb3="00000000" w:csb0="2000009F" w:csb1="DFD70000"/>
  </w:font>
  <w:font w:name="Aldine401 BT">
    <w:altName w:val="Segoe Print"/>
    <w:panose1 w:val="00000000000000000000"/>
    <w:charset w:val="00"/>
    <w:family w:val="roman"/>
    <w:pitch w:val="default"/>
    <w:sig w:usb0="00000000" w:usb1="00000000" w:usb2="00000000" w:usb3="00000000" w:csb0="00000011" w:csb1="00000000"/>
  </w:font>
  <w:font w:name=".PingFang SC">
    <w:altName w:val="微软雅黑"/>
    <w:panose1 w:val="00000000000000000000"/>
    <w:charset w:val="00"/>
    <w:family w:val="modern"/>
    <w:pitch w:val="default"/>
    <w:sig w:usb0="00000000" w:usb1="00000000" w:usb2="00000000" w:usb3="00000000" w:csb0="00040001" w:csb1="00000000"/>
  </w:font>
  <w:font w:name="Georgia">
    <w:panose1 w:val="02040502050405020303"/>
    <w:charset w:val="00"/>
    <w:family w:val="roman"/>
    <w:pitch w:val="default"/>
    <w:sig w:usb0="00000287" w:usb1="00000000" w:usb2="00000000" w:usb3="00000000" w:csb0="2000009F" w:csb1="00000000"/>
  </w:font>
  <w:font w:name="华文细黑">
    <w:panose1 w:val="02010600040101010101"/>
    <w:charset w:val="86"/>
    <w:family w:val="auto"/>
    <w:pitch w:val="default"/>
    <w:sig w:usb0="00000287" w:usb1="080F0000" w:usb2="00000000" w:usb3="00000000" w:csb0="0004009F" w:csb1="DFD70000"/>
  </w:font>
  <w:font w:name="??_GB2312">
    <w:altName w:val="Segoe Print"/>
    <w:panose1 w:val="00000000000000000000"/>
    <w:charset w:val="00"/>
    <w:family w:val="auto"/>
    <w:pitch w:val="default"/>
    <w:sig w:usb0="00000000" w:usb1="00000000" w:usb2="00000000" w:usb3="00000000" w:csb0="00000001" w:csb1="00000000"/>
  </w:font>
  <w:font w:name="Century">
    <w:panose1 w:val="02040604050505020304"/>
    <w:charset w:val="00"/>
    <w:family w:val="roman"/>
    <w:pitch w:val="default"/>
    <w:sig w:usb0="00000287" w:usb1="00000000" w:usb2="00000000" w:usb3="00000000" w:csb0="2000009F" w:csb1="DFD70000"/>
  </w:font>
  <w:font w:name="Baskerville">
    <w:altName w:val="PMingLiU-ExtB"/>
    <w:panose1 w:val="00000000000000000000"/>
    <w:charset w:val="00"/>
    <w:family w:val="roman"/>
    <w:pitch w:val="default"/>
    <w:sig w:usb0="00000000" w:usb1="00000000" w:usb2="00000000" w:usb3="00000000" w:csb0="0000019F" w:csb1="00000000"/>
  </w:font>
  <w:font w:name="PMingLiU-ExtB">
    <w:panose1 w:val="02020500000000000000"/>
    <w:charset w:val="88"/>
    <w:family w:val="auto"/>
    <w:pitch w:val="default"/>
    <w:sig w:usb0="8000002F" w:usb1="02000008" w:usb2="00000000" w:usb3="00000000" w:csb0="00100001" w:csb1="00000000"/>
  </w:font>
  <w:font w:name="Segoe UI Symbol">
    <w:panose1 w:val="020B0502040204020203"/>
    <w:charset w:val="00"/>
    <w:family w:val="swiss"/>
    <w:pitch w:val="default"/>
    <w:sig w:usb0="800001E3" w:usb1="1200FFEF" w:usb2="00040000" w:usb3="04000000" w:csb0="0000000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3F3907">
    <w:pPr>
      <w:pStyle w:val="51"/>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81</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95</w:t>
    </w:r>
    <w:r>
      <w:rPr>
        <w:rFonts w:hint="eastAsia" w:ascii="仿宋_GB2312" w:eastAsia="仿宋_GB2312"/>
        <w:kern w:val="0"/>
      </w:rPr>
      <w:fldChar w:fldCharType="end"/>
    </w:r>
    <w:r>
      <w:rPr>
        <w:rFonts w:hint="eastAsia" w:ascii="仿宋_GB2312" w:eastAsia="仿宋_GB2312"/>
        <w:kern w:val="0"/>
      </w:rPr>
      <w:t xml:space="preserve"> 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98131A">
    <w:pPr>
      <w:pStyle w:val="51"/>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80</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95</w:t>
    </w:r>
    <w:r>
      <w:rPr>
        <w:rFonts w:hint="eastAsia" w:ascii="仿宋_GB2312" w:eastAsia="仿宋_GB2312"/>
        <w:kern w:val="0"/>
      </w:rPr>
      <w:fldChar w:fldCharType="end"/>
    </w:r>
    <w:r>
      <w:rPr>
        <w:rFonts w:hint="eastAsia" w:ascii="仿宋_GB2312" w:eastAsia="仿宋_GB2312"/>
        <w:kern w:val="0"/>
      </w:rPr>
      <w:t xml:space="preserve"> 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983C53">
    <w:pPr>
      <w:pStyle w:val="51"/>
      <w:jc w:val="center"/>
      <w:rPr>
        <w:rFonts w:ascii="仿宋_GB2312" w:eastAsia="仿宋_GB2312"/>
        <w:szCs w:val="24"/>
      </w:rPr>
    </w:pPr>
    <w:r>
      <w:rPr>
        <w:rFonts w:hint="eastAsia" w:ascii="仿宋_GB2312" w:eastAsia="仿宋_GB2312"/>
        <w:kern w:val="0"/>
        <w:szCs w:val="21"/>
      </w:rPr>
      <w:t xml:space="preserve">第 </w:t>
    </w:r>
    <w:r>
      <w:rPr>
        <w:rFonts w:hint="eastAsia" w:ascii="仿宋_GB2312" w:eastAsia="仿宋_GB2312"/>
        <w:kern w:val="0"/>
        <w:szCs w:val="21"/>
      </w:rPr>
      <w:fldChar w:fldCharType="begin"/>
    </w:r>
    <w:r>
      <w:rPr>
        <w:rFonts w:hint="eastAsia" w:ascii="仿宋_GB2312" w:eastAsia="仿宋_GB2312"/>
        <w:kern w:val="0"/>
        <w:szCs w:val="21"/>
      </w:rPr>
      <w:instrText xml:space="preserve"> PAGE </w:instrText>
    </w:r>
    <w:r>
      <w:rPr>
        <w:rFonts w:hint="eastAsia" w:ascii="仿宋_GB2312" w:eastAsia="仿宋_GB2312"/>
        <w:kern w:val="0"/>
        <w:szCs w:val="21"/>
      </w:rPr>
      <w:fldChar w:fldCharType="separate"/>
    </w:r>
    <w:r>
      <w:rPr>
        <w:rFonts w:ascii="仿宋_GB2312" w:eastAsia="仿宋_GB2312"/>
        <w:kern w:val="0"/>
        <w:szCs w:val="21"/>
      </w:rPr>
      <w:t>84</w:t>
    </w:r>
    <w:r>
      <w:rPr>
        <w:rFonts w:hint="eastAsia" w:ascii="仿宋_GB2312" w:eastAsia="仿宋_GB2312"/>
        <w:kern w:val="0"/>
        <w:szCs w:val="21"/>
      </w:rPr>
      <w:fldChar w:fldCharType="end"/>
    </w:r>
    <w:r>
      <w:rPr>
        <w:rFonts w:hint="eastAsia" w:ascii="仿宋_GB2312" w:eastAsia="仿宋_GB2312"/>
        <w:kern w:val="0"/>
        <w:szCs w:val="21"/>
      </w:rPr>
      <w:t xml:space="preserve"> 页 共 </w:t>
    </w:r>
    <w:r>
      <w:rPr>
        <w:rFonts w:hint="eastAsia" w:ascii="仿宋_GB2312" w:eastAsia="仿宋_GB2312"/>
        <w:kern w:val="0"/>
        <w:szCs w:val="21"/>
      </w:rPr>
      <w:fldChar w:fldCharType="begin"/>
    </w:r>
    <w:r>
      <w:rPr>
        <w:rFonts w:hint="eastAsia" w:ascii="仿宋_GB2312" w:eastAsia="仿宋_GB2312"/>
        <w:kern w:val="0"/>
        <w:szCs w:val="21"/>
      </w:rPr>
      <w:instrText xml:space="preserve"> NUMPAGES </w:instrText>
    </w:r>
    <w:r>
      <w:rPr>
        <w:rFonts w:hint="eastAsia" w:ascii="仿宋_GB2312" w:eastAsia="仿宋_GB2312"/>
        <w:kern w:val="0"/>
        <w:szCs w:val="21"/>
      </w:rPr>
      <w:fldChar w:fldCharType="separate"/>
    </w:r>
    <w:r>
      <w:rPr>
        <w:rFonts w:ascii="仿宋_GB2312" w:eastAsia="仿宋_GB2312"/>
        <w:kern w:val="0"/>
        <w:szCs w:val="21"/>
      </w:rPr>
      <w:t>95</w:t>
    </w:r>
    <w:r>
      <w:rPr>
        <w:rFonts w:hint="eastAsia" w:ascii="仿宋_GB2312" w:eastAsia="仿宋_GB2312"/>
        <w:kern w:val="0"/>
        <w:szCs w:val="21"/>
      </w:rPr>
      <w:fldChar w:fldCharType="end"/>
    </w:r>
    <w:r>
      <w:rPr>
        <w:rFonts w:hint="eastAsia" w:ascii="仿宋_GB2312" w:eastAsia="仿宋_GB2312"/>
        <w:kern w:val="0"/>
        <w:szCs w:val="21"/>
      </w:rPr>
      <w:t xml:space="preserve"> 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0B35DE">
    <w:pPr>
      <w:pStyle w:val="51"/>
      <w:framePr w:wrap="around" w:vAnchor="text" w:hAnchor="margin" w:xAlign="right" w:y="1"/>
      <w:rPr>
        <w:rStyle w:val="90"/>
      </w:rPr>
    </w:pPr>
    <w:r>
      <w:fldChar w:fldCharType="begin"/>
    </w:r>
    <w:r>
      <w:rPr>
        <w:rStyle w:val="90"/>
      </w:rPr>
      <w:instrText xml:space="preserve">PAGE  </w:instrText>
    </w:r>
    <w:r>
      <w:fldChar w:fldCharType="end"/>
    </w:r>
  </w:p>
  <w:p w14:paraId="7259620D">
    <w:pPr>
      <w:pStyle w:val="51"/>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5499C5">
    <w:pPr>
      <w:pStyle w:val="51"/>
      <w:jc w:val="center"/>
      <w:rPr>
        <w:rFonts w:ascii="仿宋_GB2312" w:eastAsia="仿宋_GB2312"/>
      </w:rPr>
    </w:pPr>
    <w:r>
      <w:rPr>
        <w:rFonts w:hint="eastAsia" w:ascii="仿宋_GB2312" w:eastAsia="仿宋_GB2312"/>
        <w:kern w:val="0"/>
        <w:szCs w:val="21"/>
      </w:rPr>
      <w:t xml:space="preserve">第 </w:t>
    </w:r>
    <w:r>
      <w:rPr>
        <w:rFonts w:hint="eastAsia" w:ascii="仿宋_GB2312" w:eastAsia="仿宋_GB2312"/>
        <w:kern w:val="0"/>
        <w:szCs w:val="21"/>
      </w:rPr>
      <w:fldChar w:fldCharType="begin"/>
    </w:r>
    <w:r>
      <w:rPr>
        <w:rFonts w:hint="eastAsia" w:ascii="仿宋_GB2312" w:eastAsia="仿宋_GB2312"/>
        <w:kern w:val="0"/>
        <w:szCs w:val="21"/>
      </w:rPr>
      <w:instrText xml:space="preserve"> PAGE </w:instrText>
    </w:r>
    <w:r>
      <w:rPr>
        <w:rFonts w:hint="eastAsia" w:ascii="仿宋_GB2312" w:eastAsia="仿宋_GB2312"/>
        <w:kern w:val="0"/>
        <w:szCs w:val="21"/>
      </w:rPr>
      <w:fldChar w:fldCharType="separate"/>
    </w:r>
    <w:r>
      <w:rPr>
        <w:rFonts w:ascii="仿宋_GB2312" w:eastAsia="仿宋_GB2312"/>
        <w:kern w:val="0"/>
        <w:szCs w:val="21"/>
      </w:rPr>
      <w:t>83</w:t>
    </w:r>
    <w:r>
      <w:rPr>
        <w:rFonts w:hint="eastAsia" w:ascii="仿宋_GB2312" w:eastAsia="仿宋_GB2312"/>
        <w:kern w:val="0"/>
        <w:szCs w:val="21"/>
      </w:rPr>
      <w:fldChar w:fldCharType="end"/>
    </w:r>
    <w:r>
      <w:rPr>
        <w:rFonts w:hint="eastAsia" w:ascii="仿宋_GB2312" w:eastAsia="仿宋_GB2312"/>
        <w:kern w:val="0"/>
        <w:szCs w:val="21"/>
      </w:rPr>
      <w:t xml:space="preserve"> 页 共 </w:t>
    </w:r>
    <w:r>
      <w:rPr>
        <w:rFonts w:hint="eastAsia" w:ascii="仿宋_GB2312" w:eastAsia="仿宋_GB2312"/>
        <w:kern w:val="0"/>
        <w:szCs w:val="21"/>
      </w:rPr>
      <w:fldChar w:fldCharType="begin"/>
    </w:r>
    <w:r>
      <w:rPr>
        <w:rFonts w:hint="eastAsia" w:ascii="仿宋_GB2312" w:eastAsia="仿宋_GB2312"/>
        <w:kern w:val="0"/>
        <w:szCs w:val="21"/>
      </w:rPr>
      <w:instrText xml:space="preserve"> NUMPAGES </w:instrText>
    </w:r>
    <w:r>
      <w:rPr>
        <w:rFonts w:hint="eastAsia" w:ascii="仿宋_GB2312" w:eastAsia="仿宋_GB2312"/>
        <w:kern w:val="0"/>
        <w:szCs w:val="21"/>
      </w:rPr>
      <w:fldChar w:fldCharType="separate"/>
    </w:r>
    <w:r>
      <w:rPr>
        <w:rFonts w:ascii="仿宋_GB2312" w:eastAsia="仿宋_GB2312"/>
        <w:kern w:val="0"/>
        <w:szCs w:val="21"/>
      </w:rPr>
      <w:t>95</w:t>
    </w:r>
    <w:r>
      <w:rPr>
        <w:rFonts w:hint="eastAsia" w:ascii="仿宋_GB2312" w:eastAsia="仿宋_GB2312"/>
        <w:kern w:val="0"/>
        <w:szCs w:val="21"/>
      </w:rPr>
      <w:fldChar w:fldCharType="end"/>
    </w:r>
    <w:bookmarkStart w:id="534" w:name="_Toc164085800"/>
    <w:bookmarkStart w:id="535" w:name="_Toc91899912"/>
    <w:bookmarkStart w:id="536" w:name="_Toc131845147"/>
    <w:bookmarkStart w:id="537" w:name="_Toc36110187"/>
    <w:r>
      <w:rPr>
        <w:rFonts w:hint="eastAsia" w:ascii="仿宋_GB2312" w:eastAsia="仿宋_GB2312"/>
        <w:kern w:val="0"/>
        <w:szCs w:val="21"/>
      </w:rPr>
      <w:t xml:space="preserve"> 页</w:t>
    </w:r>
    <w:bookmarkEnd w:id="534"/>
    <w:bookmarkEnd w:id="535"/>
    <w:bookmarkEnd w:id="536"/>
    <w:bookmarkEnd w:id="537"/>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6EE1C1">
    <w:pPr>
      <w:pStyle w:val="52"/>
      <w:jc w:val="right"/>
      <w:rPr>
        <w:rFonts w:hint="eastAsia" w:ascii="仿宋" w:hAnsi="仿宋" w:eastAsia="仿宋" w:cs="仿宋"/>
        <w:b/>
        <w:i/>
        <w:sz w:val="18"/>
        <w:u w:val="single"/>
      </w:rPr>
    </w:pPr>
    <w:r>
      <w:rPr>
        <w:rFonts w:hint="eastAsia" w:ascii="仿宋" w:hAnsi="仿宋" w:eastAsia="仿宋" w:cs="仿宋"/>
      </w:rPr>
      <w:t>杭州市政府采购公开招标文件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FA5933">
    <w:pPr>
      <w:pStyle w:val="52"/>
      <w:jc w:val="right"/>
      <w:rPr>
        <w:rFonts w:hint="eastAsia" w:ascii="仿宋" w:hAnsi="仿宋" w:eastAsia="仿宋" w:cs="仿宋"/>
      </w:rPr>
    </w:pPr>
    <w:r>
      <w:rPr>
        <w:rFonts w:hint="eastAsia" w:ascii="仿宋" w:hAnsi="仿宋" w:eastAsia="仿宋" w:cs="仿宋"/>
      </w:rPr>
      <w:t>杭州市政府采购公开招标文件</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6B7687">
    <w:pPr>
      <w:pStyle w:val="52"/>
      <w:jc w:val="right"/>
      <w:rPr>
        <w:rFonts w:hint="eastAsia" w:ascii="仿宋" w:hAnsi="仿宋" w:eastAsia="仿宋" w:cs="仿宋"/>
        <w:b/>
        <w:i/>
        <w:iCs/>
        <w:u w:val="single"/>
      </w:rPr>
    </w:pPr>
    <w:r>
      <w:rPr>
        <w:rFonts w:hint="eastAsia" w:ascii="仿宋" w:hAnsi="仿宋" w:eastAsia="仿宋" w:cs="仿宋"/>
      </w:rPr>
      <w:t>杭州市政府采购公开招标文件</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19C7E9">
    <w:pPr>
      <w:pStyle w:val="52"/>
      <w:jc w:val="right"/>
      <w:rPr>
        <w:rFonts w:hint="eastAsia" w:ascii="仿宋" w:hAnsi="仿宋" w:eastAsia="仿宋" w:cs="仿宋"/>
      </w:rPr>
    </w:pPr>
    <w:r>
      <w:rPr>
        <w:rFonts w:hint="eastAsia" w:ascii="仿宋" w:hAnsi="仿宋" w:eastAsia="仿宋" w:cs="仿宋"/>
      </w:rPr>
      <w:t>杭州市政府采购公开招标文件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7A9217F"/>
    <w:multiLevelType w:val="multilevel"/>
    <w:tmpl w:val="B7A9217F"/>
    <w:lvl w:ilvl="0" w:tentative="0">
      <w:start w:val="1"/>
      <w:numFmt w:val="decimal"/>
      <w:lvlText w:val="%1)"/>
      <w:lvlJc w:val="left"/>
      <w:pPr>
        <w:ind w:left="84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3874EA7"/>
    <w:multiLevelType w:val="multilevel"/>
    <w:tmpl w:val="03874EA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11DE32E4"/>
    <w:multiLevelType w:val="multilevel"/>
    <w:tmpl w:val="11DE32E4"/>
    <w:lvl w:ilvl="0" w:tentative="0">
      <w:start w:val="1"/>
      <w:numFmt w:val="decimal"/>
      <w:lvlText w:val="%1."/>
      <w:lvlJc w:val="left"/>
      <w:pPr>
        <w:ind w:left="846" w:hanging="420"/>
      </w:pPr>
      <w:rPr>
        <w:rFonts w:hint="default"/>
      </w:rPr>
    </w:lvl>
    <w:lvl w:ilvl="1" w:tentative="0">
      <w:start w:val="1"/>
      <w:numFmt w:val="lowerLetter"/>
      <w:lvlText w:val="%2)"/>
      <w:lvlJc w:val="left"/>
      <w:pPr>
        <w:ind w:left="1266" w:hanging="420"/>
      </w:pPr>
    </w:lvl>
    <w:lvl w:ilvl="2" w:tentative="0">
      <w:start w:val="1"/>
      <w:numFmt w:val="lowerRoman"/>
      <w:lvlText w:val="%3."/>
      <w:lvlJc w:val="right"/>
      <w:pPr>
        <w:ind w:left="1686" w:hanging="420"/>
      </w:pPr>
    </w:lvl>
    <w:lvl w:ilvl="3" w:tentative="0">
      <w:start w:val="1"/>
      <w:numFmt w:val="decimal"/>
      <w:lvlText w:val="%4."/>
      <w:lvlJc w:val="left"/>
      <w:pPr>
        <w:ind w:left="2106" w:hanging="420"/>
      </w:pPr>
    </w:lvl>
    <w:lvl w:ilvl="4" w:tentative="0">
      <w:start w:val="1"/>
      <w:numFmt w:val="lowerLetter"/>
      <w:lvlText w:val="%5)"/>
      <w:lvlJc w:val="left"/>
      <w:pPr>
        <w:ind w:left="2526" w:hanging="420"/>
      </w:pPr>
    </w:lvl>
    <w:lvl w:ilvl="5" w:tentative="0">
      <w:start w:val="1"/>
      <w:numFmt w:val="lowerRoman"/>
      <w:lvlText w:val="%6."/>
      <w:lvlJc w:val="right"/>
      <w:pPr>
        <w:ind w:left="2946" w:hanging="420"/>
      </w:pPr>
    </w:lvl>
    <w:lvl w:ilvl="6" w:tentative="0">
      <w:start w:val="1"/>
      <w:numFmt w:val="decimal"/>
      <w:lvlText w:val="%7."/>
      <w:lvlJc w:val="left"/>
      <w:pPr>
        <w:ind w:left="3366" w:hanging="420"/>
      </w:pPr>
    </w:lvl>
    <w:lvl w:ilvl="7" w:tentative="0">
      <w:start w:val="1"/>
      <w:numFmt w:val="lowerLetter"/>
      <w:lvlText w:val="%8)"/>
      <w:lvlJc w:val="left"/>
      <w:pPr>
        <w:ind w:left="3786" w:hanging="420"/>
      </w:pPr>
    </w:lvl>
    <w:lvl w:ilvl="8" w:tentative="0">
      <w:start w:val="1"/>
      <w:numFmt w:val="lowerRoman"/>
      <w:lvlText w:val="%9."/>
      <w:lvlJc w:val="right"/>
      <w:pPr>
        <w:ind w:left="4206" w:hanging="420"/>
      </w:pPr>
    </w:lvl>
  </w:abstractNum>
  <w:abstractNum w:abstractNumId="3">
    <w:nsid w:val="3A6D30E1"/>
    <w:multiLevelType w:val="multilevel"/>
    <w:tmpl w:val="3A6D30E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51A01B70"/>
    <w:multiLevelType w:val="multilevel"/>
    <w:tmpl w:val="51A01B70"/>
    <w:lvl w:ilvl="0" w:tentative="0">
      <w:start w:val="1"/>
      <w:numFmt w:val="decimal"/>
      <w:lvlText w:val="（%1）"/>
      <w:lvlJc w:val="left"/>
      <w:pPr>
        <w:ind w:left="1140" w:hanging="7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5">
    <w:nsid w:val="5F26D261"/>
    <w:multiLevelType w:val="multilevel"/>
    <w:tmpl w:val="5F26D261"/>
    <w:lvl w:ilvl="0" w:tentative="0">
      <w:start w:val="1"/>
      <w:numFmt w:val="decimal"/>
      <w:lvlText w:val="%1."/>
      <w:lvlJc w:val="left"/>
      <w:pPr>
        <w:ind w:left="846" w:hanging="420"/>
      </w:pPr>
      <w:rPr>
        <w:rFonts w:hint="default"/>
      </w:rPr>
    </w:lvl>
    <w:lvl w:ilvl="1" w:tentative="0">
      <w:start w:val="1"/>
      <w:numFmt w:val="lowerLetter"/>
      <w:lvlText w:val="%2)"/>
      <w:lvlJc w:val="left"/>
      <w:pPr>
        <w:ind w:left="1266" w:hanging="420"/>
      </w:pPr>
    </w:lvl>
    <w:lvl w:ilvl="2" w:tentative="0">
      <w:start w:val="1"/>
      <w:numFmt w:val="lowerRoman"/>
      <w:lvlText w:val="%3."/>
      <w:lvlJc w:val="right"/>
      <w:pPr>
        <w:ind w:left="1686" w:hanging="420"/>
      </w:pPr>
    </w:lvl>
    <w:lvl w:ilvl="3" w:tentative="0">
      <w:start w:val="1"/>
      <w:numFmt w:val="decimal"/>
      <w:lvlText w:val="%4."/>
      <w:lvlJc w:val="left"/>
      <w:pPr>
        <w:ind w:left="2106" w:hanging="420"/>
      </w:pPr>
    </w:lvl>
    <w:lvl w:ilvl="4" w:tentative="0">
      <w:start w:val="1"/>
      <w:numFmt w:val="lowerLetter"/>
      <w:lvlText w:val="%5)"/>
      <w:lvlJc w:val="left"/>
      <w:pPr>
        <w:ind w:left="2526" w:hanging="420"/>
      </w:pPr>
    </w:lvl>
    <w:lvl w:ilvl="5" w:tentative="0">
      <w:start w:val="1"/>
      <w:numFmt w:val="lowerRoman"/>
      <w:lvlText w:val="%6."/>
      <w:lvlJc w:val="right"/>
      <w:pPr>
        <w:ind w:left="2946" w:hanging="420"/>
      </w:pPr>
    </w:lvl>
    <w:lvl w:ilvl="6" w:tentative="0">
      <w:start w:val="1"/>
      <w:numFmt w:val="decimal"/>
      <w:lvlText w:val="%7."/>
      <w:lvlJc w:val="left"/>
      <w:pPr>
        <w:ind w:left="3366" w:hanging="420"/>
      </w:pPr>
    </w:lvl>
    <w:lvl w:ilvl="7" w:tentative="0">
      <w:start w:val="1"/>
      <w:numFmt w:val="lowerLetter"/>
      <w:lvlText w:val="%8)"/>
      <w:lvlJc w:val="left"/>
      <w:pPr>
        <w:ind w:left="3786" w:hanging="420"/>
      </w:pPr>
    </w:lvl>
    <w:lvl w:ilvl="8" w:tentative="0">
      <w:start w:val="1"/>
      <w:numFmt w:val="lowerRoman"/>
      <w:lvlText w:val="%9."/>
      <w:lvlJc w:val="right"/>
      <w:pPr>
        <w:ind w:left="4206" w:hanging="420"/>
      </w:pPr>
    </w:lvl>
  </w:abstractNum>
  <w:abstractNum w:abstractNumId="6">
    <w:nsid w:val="6125036B"/>
    <w:multiLevelType w:val="multilevel"/>
    <w:tmpl w:val="6125036B"/>
    <w:lvl w:ilvl="0" w:tentative="0">
      <w:start w:val="1"/>
      <w:numFmt w:val="decimal"/>
      <w:lvlText w:val="%1)"/>
      <w:lvlJc w:val="left"/>
      <w:pPr>
        <w:ind w:left="84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657A0C98"/>
    <w:multiLevelType w:val="multilevel"/>
    <w:tmpl w:val="657A0C98"/>
    <w:lvl w:ilvl="0" w:tentative="0">
      <w:start w:val="1"/>
      <w:numFmt w:val="decimal"/>
      <w:lvlText w:val="%1)"/>
      <w:lvlJc w:val="left"/>
      <w:pPr>
        <w:ind w:left="84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70AD18E1"/>
    <w:multiLevelType w:val="multilevel"/>
    <w:tmpl w:val="70AD18E1"/>
    <w:lvl w:ilvl="0" w:tentative="0">
      <w:start w:val="1"/>
      <w:numFmt w:val="decimal"/>
      <w:lvlText w:val="（%1）"/>
      <w:lvlJc w:val="left"/>
      <w:pPr>
        <w:ind w:left="1140" w:hanging="7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9">
    <w:nsid w:val="70F653A6"/>
    <w:multiLevelType w:val="multilevel"/>
    <w:tmpl w:val="70F653A6"/>
    <w:lvl w:ilvl="0" w:tentative="0">
      <w:start w:val="1"/>
      <w:numFmt w:val="decimal"/>
      <w:lvlText w:val="%1)"/>
      <w:lvlJc w:val="left"/>
      <w:pPr>
        <w:ind w:left="84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3"/>
  </w:num>
  <w:num w:numId="2">
    <w:abstractNumId w:val="2"/>
  </w:num>
  <w:num w:numId="3">
    <w:abstractNumId w:val="6"/>
  </w:num>
  <w:num w:numId="4">
    <w:abstractNumId w:val="9"/>
  </w:num>
  <w:num w:numId="5">
    <w:abstractNumId w:val="4"/>
  </w:num>
  <w:num w:numId="6">
    <w:abstractNumId w:val="8"/>
  </w:num>
  <w:num w:numId="7">
    <w:abstractNumId w:val="1"/>
  </w:num>
  <w:num w:numId="8">
    <w:abstractNumId w:val="5"/>
  </w:num>
  <w:num w:numId="9">
    <w:abstractNumId w:val="7"/>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hideSpellingErrors/>
  <w:documentProtection w:edit="readOnly" w:enforcement="1" w:cryptProviderType="rsaFull" w:cryptAlgorithmClass="hash" w:cryptAlgorithmType="typeAny" w:cryptAlgorithmSid="4" w:cryptSpinCount="0" w:hash="KCm5mZ3IjVB/N2IP0rGsfhQ9MdM=" w:salt="faWN5+N22eDEW4B42xG85A=="/>
  <w:defaultTabStop w:val="42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NhMzM4YzVlMTBkMWM4MjU2NTNhZGI3ZDI4OGVjMTQifQ=="/>
  </w:docVars>
  <w:rsids>
    <w:rsidRoot w:val="00172A27"/>
    <w:rsid w:val="00000451"/>
    <w:rsid w:val="00000F53"/>
    <w:rsid w:val="0000108B"/>
    <w:rsid w:val="0000133D"/>
    <w:rsid w:val="00001509"/>
    <w:rsid w:val="00001E3F"/>
    <w:rsid w:val="00002B6C"/>
    <w:rsid w:val="000032B2"/>
    <w:rsid w:val="0000363B"/>
    <w:rsid w:val="000058BD"/>
    <w:rsid w:val="00006109"/>
    <w:rsid w:val="00006150"/>
    <w:rsid w:val="000063E8"/>
    <w:rsid w:val="00006725"/>
    <w:rsid w:val="0000675E"/>
    <w:rsid w:val="000071E3"/>
    <w:rsid w:val="00007CAA"/>
    <w:rsid w:val="00010780"/>
    <w:rsid w:val="00010FE9"/>
    <w:rsid w:val="0001122F"/>
    <w:rsid w:val="00011A4B"/>
    <w:rsid w:val="00012251"/>
    <w:rsid w:val="00012B4A"/>
    <w:rsid w:val="0001337C"/>
    <w:rsid w:val="000138C4"/>
    <w:rsid w:val="00013C1F"/>
    <w:rsid w:val="00013F31"/>
    <w:rsid w:val="000140D8"/>
    <w:rsid w:val="00014530"/>
    <w:rsid w:val="00014BBC"/>
    <w:rsid w:val="000150EE"/>
    <w:rsid w:val="000168D8"/>
    <w:rsid w:val="000170C8"/>
    <w:rsid w:val="000173F4"/>
    <w:rsid w:val="00020287"/>
    <w:rsid w:val="000202FE"/>
    <w:rsid w:val="00020B5F"/>
    <w:rsid w:val="000211BC"/>
    <w:rsid w:val="0002207B"/>
    <w:rsid w:val="000232FD"/>
    <w:rsid w:val="00023323"/>
    <w:rsid w:val="000233E4"/>
    <w:rsid w:val="00023495"/>
    <w:rsid w:val="00023777"/>
    <w:rsid w:val="00024130"/>
    <w:rsid w:val="00024584"/>
    <w:rsid w:val="00024962"/>
    <w:rsid w:val="000249AA"/>
    <w:rsid w:val="00025350"/>
    <w:rsid w:val="000253E5"/>
    <w:rsid w:val="00025776"/>
    <w:rsid w:val="00026EAC"/>
    <w:rsid w:val="000270F2"/>
    <w:rsid w:val="00027540"/>
    <w:rsid w:val="00030572"/>
    <w:rsid w:val="00030A97"/>
    <w:rsid w:val="00030CB3"/>
    <w:rsid w:val="0003206A"/>
    <w:rsid w:val="000326A7"/>
    <w:rsid w:val="00032EA0"/>
    <w:rsid w:val="000331B0"/>
    <w:rsid w:val="000336D4"/>
    <w:rsid w:val="00034FA7"/>
    <w:rsid w:val="0003533D"/>
    <w:rsid w:val="000357E4"/>
    <w:rsid w:val="00035ACA"/>
    <w:rsid w:val="00040447"/>
    <w:rsid w:val="00040494"/>
    <w:rsid w:val="00040B70"/>
    <w:rsid w:val="00042441"/>
    <w:rsid w:val="00042533"/>
    <w:rsid w:val="00042DBB"/>
    <w:rsid w:val="00042E65"/>
    <w:rsid w:val="0004347C"/>
    <w:rsid w:val="00043907"/>
    <w:rsid w:val="00044F48"/>
    <w:rsid w:val="00047354"/>
    <w:rsid w:val="00050656"/>
    <w:rsid w:val="00050A19"/>
    <w:rsid w:val="000511B6"/>
    <w:rsid w:val="00051B00"/>
    <w:rsid w:val="00051C72"/>
    <w:rsid w:val="00052192"/>
    <w:rsid w:val="0005238F"/>
    <w:rsid w:val="00052787"/>
    <w:rsid w:val="00052BB8"/>
    <w:rsid w:val="0005417A"/>
    <w:rsid w:val="00054D39"/>
    <w:rsid w:val="0005501B"/>
    <w:rsid w:val="000550F5"/>
    <w:rsid w:val="00055337"/>
    <w:rsid w:val="000554C7"/>
    <w:rsid w:val="000559B0"/>
    <w:rsid w:val="00056145"/>
    <w:rsid w:val="00056402"/>
    <w:rsid w:val="00056791"/>
    <w:rsid w:val="00056868"/>
    <w:rsid w:val="00056876"/>
    <w:rsid w:val="000568DF"/>
    <w:rsid w:val="000578A3"/>
    <w:rsid w:val="00057D4C"/>
    <w:rsid w:val="00060C48"/>
    <w:rsid w:val="00061A3C"/>
    <w:rsid w:val="00061C48"/>
    <w:rsid w:val="00064278"/>
    <w:rsid w:val="000646CA"/>
    <w:rsid w:val="00065E78"/>
    <w:rsid w:val="0006640A"/>
    <w:rsid w:val="000665C4"/>
    <w:rsid w:val="00066965"/>
    <w:rsid w:val="00067821"/>
    <w:rsid w:val="0006785E"/>
    <w:rsid w:val="00067AFB"/>
    <w:rsid w:val="00067F92"/>
    <w:rsid w:val="00067FA7"/>
    <w:rsid w:val="0007038E"/>
    <w:rsid w:val="0007077C"/>
    <w:rsid w:val="00070825"/>
    <w:rsid w:val="00071CD8"/>
    <w:rsid w:val="00071DB2"/>
    <w:rsid w:val="00072AED"/>
    <w:rsid w:val="00072B56"/>
    <w:rsid w:val="00072D2B"/>
    <w:rsid w:val="00072D51"/>
    <w:rsid w:val="000730B1"/>
    <w:rsid w:val="00073860"/>
    <w:rsid w:val="000738EA"/>
    <w:rsid w:val="00074078"/>
    <w:rsid w:val="00075B15"/>
    <w:rsid w:val="00075D0E"/>
    <w:rsid w:val="00075F6A"/>
    <w:rsid w:val="00076159"/>
    <w:rsid w:val="0007616C"/>
    <w:rsid w:val="000763B5"/>
    <w:rsid w:val="000763F3"/>
    <w:rsid w:val="000766D2"/>
    <w:rsid w:val="00076801"/>
    <w:rsid w:val="00077577"/>
    <w:rsid w:val="00077607"/>
    <w:rsid w:val="00077756"/>
    <w:rsid w:val="00077B7F"/>
    <w:rsid w:val="000808C1"/>
    <w:rsid w:val="00080970"/>
    <w:rsid w:val="00081671"/>
    <w:rsid w:val="00082AD4"/>
    <w:rsid w:val="00083E07"/>
    <w:rsid w:val="00084A3E"/>
    <w:rsid w:val="00084D27"/>
    <w:rsid w:val="00084ED6"/>
    <w:rsid w:val="0008580E"/>
    <w:rsid w:val="00085A0E"/>
    <w:rsid w:val="00085C4F"/>
    <w:rsid w:val="00086EFD"/>
    <w:rsid w:val="00086F8A"/>
    <w:rsid w:val="00087031"/>
    <w:rsid w:val="00090243"/>
    <w:rsid w:val="000904F6"/>
    <w:rsid w:val="00090918"/>
    <w:rsid w:val="00090ED8"/>
    <w:rsid w:val="00090F9F"/>
    <w:rsid w:val="0009145F"/>
    <w:rsid w:val="0009184E"/>
    <w:rsid w:val="00091B4E"/>
    <w:rsid w:val="00092467"/>
    <w:rsid w:val="00092FE9"/>
    <w:rsid w:val="000936BF"/>
    <w:rsid w:val="0009382F"/>
    <w:rsid w:val="00093A30"/>
    <w:rsid w:val="00094342"/>
    <w:rsid w:val="000945BA"/>
    <w:rsid w:val="00095954"/>
    <w:rsid w:val="000960BA"/>
    <w:rsid w:val="0009662A"/>
    <w:rsid w:val="0009690D"/>
    <w:rsid w:val="00096DFF"/>
    <w:rsid w:val="00097CDB"/>
    <w:rsid w:val="000A0729"/>
    <w:rsid w:val="000A0E69"/>
    <w:rsid w:val="000A1A52"/>
    <w:rsid w:val="000A1F98"/>
    <w:rsid w:val="000A3D58"/>
    <w:rsid w:val="000A3FE3"/>
    <w:rsid w:val="000A47B0"/>
    <w:rsid w:val="000A4851"/>
    <w:rsid w:val="000A49BB"/>
    <w:rsid w:val="000A4F22"/>
    <w:rsid w:val="000A5674"/>
    <w:rsid w:val="000A5A46"/>
    <w:rsid w:val="000A7299"/>
    <w:rsid w:val="000A752E"/>
    <w:rsid w:val="000B0E04"/>
    <w:rsid w:val="000B1D51"/>
    <w:rsid w:val="000B268D"/>
    <w:rsid w:val="000B291B"/>
    <w:rsid w:val="000B456C"/>
    <w:rsid w:val="000B45B9"/>
    <w:rsid w:val="000B47CE"/>
    <w:rsid w:val="000B4B56"/>
    <w:rsid w:val="000B4C62"/>
    <w:rsid w:val="000B541D"/>
    <w:rsid w:val="000B54C1"/>
    <w:rsid w:val="000B5553"/>
    <w:rsid w:val="000B5FE8"/>
    <w:rsid w:val="000B666E"/>
    <w:rsid w:val="000C0A43"/>
    <w:rsid w:val="000C0CB1"/>
    <w:rsid w:val="000C1411"/>
    <w:rsid w:val="000C1ADE"/>
    <w:rsid w:val="000C1C38"/>
    <w:rsid w:val="000C21DC"/>
    <w:rsid w:val="000C2264"/>
    <w:rsid w:val="000C256B"/>
    <w:rsid w:val="000C3970"/>
    <w:rsid w:val="000C3B1A"/>
    <w:rsid w:val="000C4727"/>
    <w:rsid w:val="000C47AE"/>
    <w:rsid w:val="000C51AD"/>
    <w:rsid w:val="000C5374"/>
    <w:rsid w:val="000C5EC0"/>
    <w:rsid w:val="000C6162"/>
    <w:rsid w:val="000C64CC"/>
    <w:rsid w:val="000C6688"/>
    <w:rsid w:val="000C692E"/>
    <w:rsid w:val="000C6B28"/>
    <w:rsid w:val="000C7BEB"/>
    <w:rsid w:val="000D0124"/>
    <w:rsid w:val="000D11E5"/>
    <w:rsid w:val="000D19E8"/>
    <w:rsid w:val="000D1FA1"/>
    <w:rsid w:val="000D2834"/>
    <w:rsid w:val="000D2CAC"/>
    <w:rsid w:val="000D34C8"/>
    <w:rsid w:val="000D34FD"/>
    <w:rsid w:val="000D3BE5"/>
    <w:rsid w:val="000D3C37"/>
    <w:rsid w:val="000D453A"/>
    <w:rsid w:val="000D4AFA"/>
    <w:rsid w:val="000D5EA6"/>
    <w:rsid w:val="000D5F00"/>
    <w:rsid w:val="000D6C9F"/>
    <w:rsid w:val="000D6E3B"/>
    <w:rsid w:val="000D6F30"/>
    <w:rsid w:val="000D74E4"/>
    <w:rsid w:val="000D7C9D"/>
    <w:rsid w:val="000D7CE0"/>
    <w:rsid w:val="000E2785"/>
    <w:rsid w:val="000E27BB"/>
    <w:rsid w:val="000E3153"/>
    <w:rsid w:val="000E3484"/>
    <w:rsid w:val="000E386F"/>
    <w:rsid w:val="000E4051"/>
    <w:rsid w:val="000E4139"/>
    <w:rsid w:val="000E4765"/>
    <w:rsid w:val="000E5B51"/>
    <w:rsid w:val="000E5B7E"/>
    <w:rsid w:val="000E5FF9"/>
    <w:rsid w:val="000E6AE1"/>
    <w:rsid w:val="000E7142"/>
    <w:rsid w:val="000E7632"/>
    <w:rsid w:val="000E7737"/>
    <w:rsid w:val="000E7739"/>
    <w:rsid w:val="000E77EE"/>
    <w:rsid w:val="000F1604"/>
    <w:rsid w:val="000F287A"/>
    <w:rsid w:val="000F2940"/>
    <w:rsid w:val="000F2AB3"/>
    <w:rsid w:val="000F3D08"/>
    <w:rsid w:val="000F4495"/>
    <w:rsid w:val="000F4A05"/>
    <w:rsid w:val="000F4AA8"/>
    <w:rsid w:val="000F4AEA"/>
    <w:rsid w:val="000F4E67"/>
    <w:rsid w:val="000F505B"/>
    <w:rsid w:val="000F5651"/>
    <w:rsid w:val="000F5677"/>
    <w:rsid w:val="000F5DDB"/>
    <w:rsid w:val="000F628E"/>
    <w:rsid w:val="000F68A0"/>
    <w:rsid w:val="000F6CC2"/>
    <w:rsid w:val="000F729C"/>
    <w:rsid w:val="000F7D4B"/>
    <w:rsid w:val="0010118C"/>
    <w:rsid w:val="0010125E"/>
    <w:rsid w:val="001015F8"/>
    <w:rsid w:val="00101967"/>
    <w:rsid w:val="00103251"/>
    <w:rsid w:val="00103509"/>
    <w:rsid w:val="0010393D"/>
    <w:rsid w:val="00103EBD"/>
    <w:rsid w:val="00104699"/>
    <w:rsid w:val="00104E5B"/>
    <w:rsid w:val="00104EEC"/>
    <w:rsid w:val="001050DC"/>
    <w:rsid w:val="00105482"/>
    <w:rsid w:val="001056A5"/>
    <w:rsid w:val="00105BA9"/>
    <w:rsid w:val="00105FE1"/>
    <w:rsid w:val="00106AAA"/>
    <w:rsid w:val="00106E0E"/>
    <w:rsid w:val="001078A5"/>
    <w:rsid w:val="00107BBD"/>
    <w:rsid w:val="00107BC7"/>
    <w:rsid w:val="00110033"/>
    <w:rsid w:val="001102B5"/>
    <w:rsid w:val="00110F57"/>
    <w:rsid w:val="00111993"/>
    <w:rsid w:val="00111C7D"/>
    <w:rsid w:val="00112038"/>
    <w:rsid w:val="001127FF"/>
    <w:rsid w:val="00112B0B"/>
    <w:rsid w:val="00112EB5"/>
    <w:rsid w:val="0011383E"/>
    <w:rsid w:val="00113EE3"/>
    <w:rsid w:val="00114847"/>
    <w:rsid w:val="0011585B"/>
    <w:rsid w:val="00115B1A"/>
    <w:rsid w:val="001160FF"/>
    <w:rsid w:val="001164F4"/>
    <w:rsid w:val="001168F8"/>
    <w:rsid w:val="001176FF"/>
    <w:rsid w:val="0012153F"/>
    <w:rsid w:val="0012159D"/>
    <w:rsid w:val="00121804"/>
    <w:rsid w:val="00121EC9"/>
    <w:rsid w:val="001224FE"/>
    <w:rsid w:val="001231D3"/>
    <w:rsid w:val="001232A7"/>
    <w:rsid w:val="00123F7C"/>
    <w:rsid w:val="0012419E"/>
    <w:rsid w:val="001248EF"/>
    <w:rsid w:val="00124AC0"/>
    <w:rsid w:val="00124FC4"/>
    <w:rsid w:val="001253AB"/>
    <w:rsid w:val="0012574C"/>
    <w:rsid w:val="001259B8"/>
    <w:rsid w:val="001264B9"/>
    <w:rsid w:val="0012693E"/>
    <w:rsid w:val="00126A3A"/>
    <w:rsid w:val="00127060"/>
    <w:rsid w:val="00127B83"/>
    <w:rsid w:val="0013116E"/>
    <w:rsid w:val="00131C2D"/>
    <w:rsid w:val="0013202C"/>
    <w:rsid w:val="00132704"/>
    <w:rsid w:val="00132CBF"/>
    <w:rsid w:val="00133707"/>
    <w:rsid w:val="00133742"/>
    <w:rsid w:val="00133B70"/>
    <w:rsid w:val="00133E97"/>
    <w:rsid w:val="001350F7"/>
    <w:rsid w:val="00135769"/>
    <w:rsid w:val="00135BE9"/>
    <w:rsid w:val="00135E5C"/>
    <w:rsid w:val="00136762"/>
    <w:rsid w:val="00136E33"/>
    <w:rsid w:val="0013773D"/>
    <w:rsid w:val="0014042F"/>
    <w:rsid w:val="00140693"/>
    <w:rsid w:val="00140D7A"/>
    <w:rsid w:val="00141D28"/>
    <w:rsid w:val="00141DFE"/>
    <w:rsid w:val="00142185"/>
    <w:rsid w:val="001422E2"/>
    <w:rsid w:val="001433BC"/>
    <w:rsid w:val="00143872"/>
    <w:rsid w:val="00143A85"/>
    <w:rsid w:val="00144649"/>
    <w:rsid w:val="00145022"/>
    <w:rsid w:val="00145662"/>
    <w:rsid w:val="00145C6D"/>
    <w:rsid w:val="001460FC"/>
    <w:rsid w:val="00146151"/>
    <w:rsid w:val="00146326"/>
    <w:rsid w:val="00147032"/>
    <w:rsid w:val="00147EA7"/>
    <w:rsid w:val="00151820"/>
    <w:rsid w:val="00151B2F"/>
    <w:rsid w:val="001524DC"/>
    <w:rsid w:val="001525E5"/>
    <w:rsid w:val="00153859"/>
    <w:rsid w:val="00153915"/>
    <w:rsid w:val="001539F0"/>
    <w:rsid w:val="00154BBA"/>
    <w:rsid w:val="00155B95"/>
    <w:rsid w:val="00156853"/>
    <w:rsid w:val="00157432"/>
    <w:rsid w:val="00160A84"/>
    <w:rsid w:val="00161185"/>
    <w:rsid w:val="001620BA"/>
    <w:rsid w:val="001623AC"/>
    <w:rsid w:val="00162BAA"/>
    <w:rsid w:val="00163C40"/>
    <w:rsid w:val="0016470A"/>
    <w:rsid w:val="0016488B"/>
    <w:rsid w:val="00165758"/>
    <w:rsid w:val="00165A65"/>
    <w:rsid w:val="00166317"/>
    <w:rsid w:val="00167478"/>
    <w:rsid w:val="00167594"/>
    <w:rsid w:val="001702BE"/>
    <w:rsid w:val="001704B3"/>
    <w:rsid w:val="0017059C"/>
    <w:rsid w:val="0017105C"/>
    <w:rsid w:val="00171622"/>
    <w:rsid w:val="00171785"/>
    <w:rsid w:val="00171AB5"/>
    <w:rsid w:val="0017204F"/>
    <w:rsid w:val="001721CF"/>
    <w:rsid w:val="001728FD"/>
    <w:rsid w:val="00172A20"/>
    <w:rsid w:val="00172A27"/>
    <w:rsid w:val="00172F02"/>
    <w:rsid w:val="00172F2D"/>
    <w:rsid w:val="00173631"/>
    <w:rsid w:val="0017372D"/>
    <w:rsid w:val="00173826"/>
    <w:rsid w:val="00173C58"/>
    <w:rsid w:val="00173E59"/>
    <w:rsid w:val="001741DC"/>
    <w:rsid w:val="00174C4F"/>
    <w:rsid w:val="00174F57"/>
    <w:rsid w:val="00175078"/>
    <w:rsid w:val="001755DC"/>
    <w:rsid w:val="00176AA6"/>
    <w:rsid w:val="00177063"/>
    <w:rsid w:val="00180A47"/>
    <w:rsid w:val="00181025"/>
    <w:rsid w:val="001827B7"/>
    <w:rsid w:val="001827EF"/>
    <w:rsid w:val="00182982"/>
    <w:rsid w:val="001829BC"/>
    <w:rsid w:val="00182D68"/>
    <w:rsid w:val="00183031"/>
    <w:rsid w:val="00183468"/>
    <w:rsid w:val="0018397E"/>
    <w:rsid w:val="00184466"/>
    <w:rsid w:val="00184DBF"/>
    <w:rsid w:val="001852A8"/>
    <w:rsid w:val="0018620A"/>
    <w:rsid w:val="00186EB0"/>
    <w:rsid w:val="00187121"/>
    <w:rsid w:val="00187243"/>
    <w:rsid w:val="00187C29"/>
    <w:rsid w:val="00190782"/>
    <w:rsid w:val="00190942"/>
    <w:rsid w:val="001909A7"/>
    <w:rsid w:val="001909C3"/>
    <w:rsid w:val="00191459"/>
    <w:rsid w:val="00191603"/>
    <w:rsid w:val="0019173E"/>
    <w:rsid w:val="0019174E"/>
    <w:rsid w:val="0019196B"/>
    <w:rsid w:val="001923D5"/>
    <w:rsid w:val="00192991"/>
    <w:rsid w:val="00193470"/>
    <w:rsid w:val="00193B94"/>
    <w:rsid w:val="001940A7"/>
    <w:rsid w:val="00194BB1"/>
    <w:rsid w:val="00194BC6"/>
    <w:rsid w:val="00194DE5"/>
    <w:rsid w:val="00195070"/>
    <w:rsid w:val="00195245"/>
    <w:rsid w:val="0019526D"/>
    <w:rsid w:val="0019553F"/>
    <w:rsid w:val="001956BE"/>
    <w:rsid w:val="0019602C"/>
    <w:rsid w:val="001969F2"/>
    <w:rsid w:val="00196CD6"/>
    <w:rsid w:val="0019756A"/>
    <w:rsid w:val="001A06B5"/>
    <w:rsid w:val="001A07F8"/>
    <w:rsid w:val="001A0A23"/>
    <w:rsid w:val="001A0C98"/>
    <w:rsid w:val="001A128B"/>
    <w:rsid w:val="001A1475"/>
    <w:rsid w:val="001A1619"/>
    <w:rsid w:val="001A1F0E"/>
    <w:rsid w:val="001A3335"/>
    <w:rsid w:val="001A473A"/>
    <w:rsid w:val="001A4977"/>
    <w:rsid w:val="001A4ED9"/>
    <w:rsid w:val="001A5785"/>
    <w:rsid w:val="001A5FD7"/>
    <w:rsid w:val="001A66A6"/>
    <w:rsid w:val="001A6BAF"/>
    <w:rsid w:val="001A6BBB"/>
    <w:rsid w:val="001A79A2"/>
    <w:rsid w:val="001A7F98"/>
    <w:rsid w:val="001B06A6"/>
    <w:rsid w:val="001B13BF"/>
    <w:rsid w:val="001B16F5"/>
    <w:rsid w:val="001B1C1F"/>
    <w:rsid w:val="001B219B"/>
    <w:rsid w:val="001B2703"/>
    <w:rsid w:val="001B3DCD"/>
    <w:rsid w:val="001B45B9"/>
    <w:rsid w:val="001B46B2"/>
    <w:rsid w:val="001B4725"/>
    <w:rsid w:val="001B48B2"/>
    <w:rsid w:val="001B49DA"/>
    <w:rsid w:val="001B4CA8"/>
    <w:rsid w:val="001B572D"/>
    <w:rsid w:val="001B576E"/>
    <w:rsid w:val="001B5B10"/>
    <w:rsid w:val="001B6025"/>
    <w:rsid w:val="001B6D58"/>
    <w:rsid w:val="001B6FA7"/>
    <w:rsid w:val="001B7A15"/>
    <w:rsid w:val="001B7B69"/>
    <w:rsid w:val="001B7DC1"/>
    <w:rsid w:val="001C08DB"/>
    <w:rsid w:val="001C10BD"/>
    <w:rsid w:val="001C1F01"/>
    <w:rsid w:val="001C2092"/>
    <w:rsid w:val="001C232F"/>
    <w:rsid w:val="001C2544"/>
    <w:rsid w:val="001C2A17"/>
    <w:rsid w:val="001C31F5"/>
    <w:rsid w:val="001C35BF"/>
    <w:rsid w:val="001C4316"/>
    <w:rsid w:val="001C6047"/>
    <w:rsid w:val="001C6698"/>
    <w:rsid w:val="001C6C5B"/>
    <w:rsid w:val="001C7399"/>
    <w:rsid w:val="001C7CE0"/>
    <w:rsid w:val="001D005B"/>
    <w:rsid w:val="001D0947"/>
    <w:rsid w:val="001D16F5"/>
    <w:rsid w:val="001D1970"/>
    <w:rsid w:val="001D1D55"/>
    <w:rsid w:val="001D21EF"/>
    <w:rsid w:val="001D29A4"/>
    <w:rsid w:val="001D2B73"/>
    <w:rsid w:val="001D3136"/>
    <w:rsid w:val="001D330D"/>
    <w:rsid w:val="001D4AB6"/>
    <w:rsid w:val="001D4AD3"/>
    <w:rsid w:val="001D5281"/>
    <w:rsid w:val="001E0F77"/>
    <w:rsid w:val="001E17E3"/>
    <w:rsid w:val="001E2052"/>
    <w:rsid w:val="001E2492"/>
    <w:rsid w:val="001E257C"/>
    <w:rsid w:val="001E286C"/>
    <w:rsid w:val="001E2F34"/>
    <w:rsid w:val="001E35EE"/>
    <w:rsid w:val="001E4B2C"/>
    <w:rsid w:val="001E507F"/>
    <w:rsid w:val="001E56C2"/>
    <w:rsid w:val="001E59FB"/>
    <w:rsid w:val="001E7F81"/>
    <w:rsid w:val="001F0FD1"/>
    <w:rsid w:val="001F1526"/>
    <w:rsid w:val="001F19D1"/>
    <w:rsid w:val="001F1CB9"/>
    <w:rsid w:val="001F1F18"/>
    <w:rsid w:val="001F2F92"/>
    <w:rsid w:val="001F456F"/>
    <w:rsid w:val="001F5DA1"/>
    <w:rsid w:val="001F612E"/>
    <w:rsid w:val="001F6A92"/>
    <w:rsid w:val="001F77E8"/>
    <w:rsid w:val="00201A0C"/>
    <w:rsid w:val="00201B0F"/>
    <w:rsid w:val="0020255A"/>
    <w:rsid w:val="00202800"/>
    <w:rsid w:val="002029C7"/>
    <w:rsid w:val="00202D33"/>
    <w:rsid w:val="00202E58"/>
    <w:rsid w:val="00202F99"/>
    <w:rsid w:val="00203C85"/>
    <w:rsid w:val="0020449A"/>
    <w:rsid w:val="00204E9B"/>
    <w:rsid w:val="00205298"/>
    <w:rsid w:val="002055C0"/>
    <w:rsid w:val="0020569E"/>
    <w:rsid w:val="00206698"/>
    <w:rsid w:val="00206736"/>
    <w:rsid w:val="00206C88"/>
    <w:rsid w:val="00210B9C"/>
    <w:rsid w:val="00211185"/>
    <w:rsid w:val="00211A94"/>
    <w:rsid w:val="002126F2"/>
    <w:rsid w:val="00213478"/>
    <w:rsid w:val="00214028"/>
    <w:rsid w:val="002141C3"/>
    <w:rsid w:val="002141DC"/>
    <w:rsid w:val="0021440C"/>
    <w:rsid w:val="00214479"/>
    <w:rsid w:val="002144F3"/>
    <w:rsid w:val="002146C3"/>
    <w:rsid w:val="00215334"/>
    <w:rsid w:val="00215514"/>
    <w:rsid w:val="00215A2A"/>
    <w:rsid w:val="00215A3F"/>
    <w:rsid w:val="00215D21"/>
    <w:rsid w:val="0021636B"/>
    <w:rsid w:val="00216387"/>
    <w:rsid w:val="00216E7B"/>
    <w:rsid w:val="00217E1F"/>
    <w:rsid w:val="002204BC"/>
    <w:rsid w:val="00220F7B"/>
    <w:rsid w:val="002213CE"/>
    <w:rsid w:val="00221AF7"/>
    <w:rsid w:val="00222494"/>
    <w:rsid w:val="00222775"/>
    <w:rsid w:val="00222A31"/>
    <w:rsid w:val="00222CF6"/>
    <w:rsid w:val="00224037"/>
    <w:rsid w:val="002244E4"/>
    <w:rsid w:val="00224D2A"/>
    <w:rsid w:val="00224D8D"/>
    <w:rsid w:val="0022555A"/>
    <w:rsid w:val="00227214"/>
    <w:rsid w:val="00227DDC"/>
    <w:rsid w:val="0023079F"/>
    <w:rsid w:val="00231135"/>
    <w:rsid w:val="00231B0B"/>
    <w:rsid w:val="00232555"/>
    <w:rsid w:val="00233538"/>
    <w:rsid w:val="00234248"/>
    <w:rsid w:val="0023449F"/>
    <w:rsid w:val="002344F5"/>
    <w:rsid w:val="0023454D"/>
    <w:rsid w:val="00234679"/>
    <w:rsid w:val="002359FC"/>
    <w:rsid w:val="002361C8"/>
    <w:rsid w:val="00236690"/>
    <w:rsid w:val="0023669D"/>
    <w:rsid w:val="00237EAE"/>
    <w:rsid w:val="00237FA2"/>
    <w:rsid w:val="002403D5"/>
    <w:rsid w:val="00240C1F"/>
    <w:rsid w:val="00240F55"/>
    <w:rsid w:val="00240F67"/>
    <w:rsid w:val="00241144"/>
    <w:rsid w:val="00242510"/>
    <w:rsid w:val="00242F79"/>
    <w:rsid w:val="0024415B"/>
    <w:rsid w:val="00245565"/>
    <w:rsid w:val="002458C1"/>
    <w:rsid w:val="00245E62"/>
    <w:rsid w:val="002460D0"/>
    <w:rsid w:val="00246357"/>
    <w:rsid w:val="00247356"/>
    <w:rsid w:val="00247422"/>
    <w:rsid w:val="00247BA2"/>
    <w:rsid w:val="00250870"/>
    <w:rsid w:val="0025151C"/>
    <w:rsid w:val="0025184F"/>
    <w:rsid w:val="00251967"/>
    <w:rsid w:val="002527CC"/>
    <w:rsid w:val="00252F48"/>
    <w:rsid w:val="002530C0"/>
    <w:rsid w:val="00253586"/>
    <w:rsid w:val="002537FC"/>
    <w:rsid w:val="002542F8"/>
    <w:rsid w:val="002543EF"/>
    <w:rsid w:val="00254F2A"/>
    <w:rsid w:val="00255784"/>
    <w:rsid w:val="00255A29"/>
    <w:rsid w:val="0025631F"/>
    <w:rsid w:val="00256986"/>
    <w:rsid w:val="00256D61"/>
    <w:rsid w:val="00256E23"/>
    <w:rsid w:val="00257246"/>
    <w:rsid w:val="00257438"/>
    <w:rsid w:val="0026119C"/>
    <w:rsid w:val="00261AFE"/>
    <w:rsid w:val="00261E58"/>
    <w:rsid w:val="0026212A"/>
    <w:rsid w:val="002621D7"/>
    <w:rsid w:val="00262996"/>
    <w:rsid w:val="00263044"/>
    <w:rsid w:val="00263759"/>
    <w:rsid w:val="002638BD"/>
    <w:rsid w:val="0026470B"/>
    <w:rsid w:val="0026486D"/>
    <w:rsid w:val="00264C4B"/>
    <w:rsid w:val="00264ED0"/>
    <w:rsid w:val="00265346"/>
    <w:rsid w:val="00265501"/>
    <w:rsid w:val="00266045"/>
    <w:rsid w:val="002660C3"/>
    <w:rsid w:val="00266519"/>
    <w:rsid w:val="00266C21"/>
    <w:rsid w:val="00266DE1"/>
    <w:rsid w:val="00267A92"/>
    <w:rsid w:val="00267E43"/>
    <w:rsid w:val="00270282"/>
    <w:rsid w:val="00270780"/>
    <w:rsid w:val="00270CF6"/>
    <w:rsid w:val="00271097"/>
    <w:rsid w:val="00271C53"/>
    <w:rsid w:val="0027244F"/>
    <w:rsid w:val="00273052"/>
    <w:rsid w:val="002739CE"/>
    <w:rsid w:val="00273C5F"/>
    <w:rsid w:val="002741D4"/>
    <w:rsid w:val="002743AC"/>
    <w:rsid w:val="0027499D"/>
    <w:rsid w:val="002751CA"/>
    <w:rsid w:val="0027544D"/>
    <w:rsid w:val="00275D6E"/>
    <w:rsid w:val="00277196"/>
    <w:rsid w:val="002775ED"/>
    <w:rsid w:val="002778AB"/>
    <w:rsid w:val="002802A5"/>
    <w:rsid w:val="00280CFB"/>
    <w:rsid w:val="00280D24"/>
    <w:rsid w:val="002815C4"/>
    <w:rsid w:val="00281BCB"/>
    <w:rsid w:val="00281C76"/>
    <w:rsid w:val="0028316D"/>
    <w:rsid w:val="00283296"/>
    <w:rsid w:val="0028583E"/>
    <w:rsid w:val="00285853"/>
    <w:rsid w:val="00285B1A"/>
    <w:rsid w:val="00285FF3"/>
    <w:rsid w:val="002866EC"/>
    <w:rsid w:val="0028744E"/>
    <w:rsid w:val="002876D2"/>
    <w:rsid w:val="00287936"/>
    <w:rsid w:val="00287BB7"/>
    <w:rsid w:val="002903C5"/>
    <w:rsid w:val="0029041B"/>
    <w:rsid w:val="00290A99"/>
    <w:rsid w:val="00290EAF"/>
    <w:rsid w:val="0029159A"/>
    <w:rsid w:val="00291CF1"/>
    <w:rsid w:val="00292AA1"/>
    <w:rsid w:val="00294012"/>
    <w:rsid w:val="002945B0"/>
    <w:rsid w:val="0029499D"/>
    <w:rsid w:val="00294A13"/>
    <w:rsid w:val="00294B10"/>
    <w:rsid w:val="00294DF9"/>
    <w:rsid w:val="00295073"/>
    <w:rsid w:val="00295468"/>
    <w:rsid w:val="00296C32"/>
    <w:rsid w:val="002977CE"/>
    <w:rsid w:val="00297AF5"/>
    <w:rsid w:val="002A02D6"/>
    <w:rsid w:val="002A07C4"/>
    <w:rsid w:val="002A0921"/>
    <w:rsid w:val="002A0CB3"/>
    <w:rsid w:val="002A1887"/>
    <w:rsid w:val="002A2001"/>
    <w:rsid w:val="002A4060"/>
    <w:rsid w:val="002A41AB"/>
    <w:rsid w:val="002A4868"/>
    <w:rsid w:val="002A4A05"/>
    <w:rsid w:val="002A4EB3"/>
    <w:rsid w:val="002A51D9"/>
    <w:rsid w:val="002A525A"/>
    <w:rsid w:val="002A5968"/>
    <w:rsid w:val="002A5CAB"/>
    <w:rsid w:val="002A5D40"/>
    <w:rsid w:val="002A622E"/>
    <w:rsid w:val="002A6424"/>
    <w:rsid w:val="002A64E7"/>
    <w:rsid w:val="002A70AD"/>
    <w:rsid w:val="002A7748"/>
    <w:rsid w:val="002A7ED3"/>
    <w:rsid w:val="002A7FB1"/>
    <w:rsid w:val="002A7FC9"/>
    <w:rsid w:val="002B139C"/>
    <w:rsid w:val="002B1881"/>
    <w:rsid w:val="002B1F61"/>
    <w:rsid w:val="002B2070"/>
    <w:rsid w:val="002B2906"/>
    <w:rsid w:val="002B2C66"/>
    <w:rsid w:val="002B34E3"/>
    <w:rsid w:val="002B51B6"/>
    <w:rsid w:val="002B5AEE"/>
    <w:rsid w:val="002B6177"/>
    <w:rsid w:val="002B650C"/>
    <w:rsid w:val="002B68E6"/>
    <w:rsid w:val="002B6985"/>
    <w:rsid w:val="002B6D7A"/>
    <w:rsid w:val="002C02BA"/>
    <w:rsid w:val="002C0301"/>
    <w:rsid w:val="002C0326"/>
    <w:rsid w:val="002C0A9F"/>
    <w:rsid w:val="002C1AB3"/>
    <w:rsid w:val="002C1BB7"/>
    <w:rsid w:val="002C1FB3"/>
    <w:rsid w:val="002C2665"/>
    <w:rsid w:val="002C28E1"/>
    <w:rsid w:val="002C327D"/>
    <w:rsid w:val="002C3890"/>
    <w:rsid w:val="002C3AD9"/>
    <w:rsid w:val="002C4286"/>
    <w:rsid w:val="002C43FC"/>
    <w:rsid w:val="002C45C3"/>
    <w:rsid w:val="002C483B"/>
    <w:rsid w:val="002C4DFE"/>
    <w:rsid w:val="002C519E"/>
    <w:rsid w:val="002C5D5E"/>
    <w:rsid w:val="002C6116"/>
    <w:rsid w:val="002C643D"/>
    <w:rsid w:val="002C66B8"/>
    <w:rsid w:val="002C70E7"/>
    <w:rsid w:val="002D0C27"/>
    <w:rsid w:val="002D0E88"/>
    <w:rsid w:val="002D0EA7"/>
    <w:rsid w:val="002D0F31"/>
    <w:rsid w:val="002D1593"/>
    <w:rsid w:val="002D1A1E"/>
    <w:rsid w:val="002D22A6"/>
    <w:rsid w:val="002D2819"/>
    <w:rsid w:val="002D2CD6"/>
    <w:rsid w:val="002D2F81"/>
    <w:rsid w:val="002D38A3"/>
    <w:rsid w:val="002D3BA3"/>
    <w:rsid w:val="002D43EE"/>
    <w:rsid w:val="002D4892"/>
    <w:rsid w:val="002D4D06"/>
    <w:rsid w:val="002D4DDE"/>
    <w:rsid w:val="002D4EE7"/>
    <w:rsid w:val="002D4EED"/>
    <w:rsid w:val="002D5AAD"/>
    <w:rsid w:val="002D5DA3"/>
    <w:rsid w:val="002D6097"/>
    <w:rsid w:val="002D65AD"/>
    <w:rsid w:val="002D6782"/>
    <w:rsid w:val="002D74A4"/>
    <w:rsid w:val="002D7DB2"/>
    <w:rsid w:val="002D7DBD"/>
    <w:rsid w:val="002D7EA8"/>
    <w:rsid w:val="002E00E1"/>
    <w:rsid w:val="002E0102"/>
    <w:rsid w:val="002E03AE"/>
    <w:rsid w:val="002E0542"/>
    <w:rsid w:val="002E05F2"/>
    <w:rsid w:val="002E0E87"/>
    <w:rsid w:val="002E12FA"/>
    <w:rsid w:val="002E13CF"/>
    <w:rsid w:val="002E201C"/>
    <w:rsid w:val="002E22CA"/>
    <w:rsid w:val="002E236F"/>
    <w:rsid w:val="002E30C6"/>
    <w:rsid w:val="002E37C5"/>
    <w:rsid w:val="002E3956"/>
    <w:rsid w:val="002E3C08"/>
    <w:rsid w:val="002E3CF2"/>
    <w:rsid w:val="002E469E"/>
    <w:rsid w:val="002E4C01"/>
    <w:rsid w:val="002E4D50"/>
    <w:rsid w:val="002E55FF"/>
    <w:rsid w:val="002E587E"/>
    <w:rsid w:val="002E672A"/>
    <w:rsid w:val="002E6853"/>
    <w:rsid w:val="002E7EC1"/>
    <w:rsid w:val="002E7EE5"/>
    <w:rsid w:val="002F0323"/>
    <w:rsid w:val="002F0DFB"/>
    <w:rsid w:val="002F134F"/>
    <w:rsid w:val="002F1D0B"/>
    <w:rsid w:val="002F1E1D"/>
    <w:rsid w:val="002F1F02"/>
    <w:rsid w:val="002F27E5"/>
    <w:rsid w:val="002F2D81"/>
    <w:rsid w:val="002F2F66"/>
    <w:rsid w:val="002F39D4"/>
    <w:rsid w:val="002F4BA9"/>
    <w:rsid w:val="002F541B"/>
    <w:rsid w:val="002F5BFE"/>
    <w:rsid w:val="002F5DA5"/>
    <w:rsid w:val="002F5E17"/>
    <w:rsid w:val="002F647C"/>
    <w:rsid w:val="002F6C6B"/>
    <w:rsid w:val="002F6CB0"/>
    <w:rsid w:val="002F6EFF"/>
    <w:rsid w:val="002F7DF0"/>
    <w:rsid w:val="002F7FAF"/>
    <w:rsid w:val="00300573"/>
    <w:rsid w:val="003025FE"/>
    <w:rsid w:val="00302A27"/>
    <w:rsid w:val="00303AB6"/>
    <w:rsid w:val="00304640"/>
    <w:rsid w:val="00304AC1"/>
    <w:rsid w:val="00305090"/>
    <w:rsid w:val="00305454"/>
    <w:rsid w:val="00305B9F"/>
    <w:rsid w:val="00305E21"/>
    <w:rsid w:val="003066C6"/>
    <w:rsid w:val="003066FA"/>
    <w:rsid w:val="003068C1"/>
    <w:rsid w:val="00306AD6"/>
    <w:rsid w:val="003077F4"/>
    <w:rsid w:val="00307DC7"/>
    <w:rsid w:val="00307FF2"/>
    <w:rsid w:val="00310EDB"/>
    <w:rsid w:val="00311C51"/>
    <w:rsid w:val="00311D56"/>
    <w:rsid w:val="00312016"/>
    <w:rsid w:val="00312340"/>
    <w:rsid w:val="00312DFC"/>
    <w:rsid w:val="00313032"/>
    <w:rsid w:val="0031318C"/>
    <w:rsid w:val="00313C9D"/>
    <w:rsid w:val="0031430C"/>
    <w:rsid w:val="00314919"/>
    <w:rsid w:val="00314C5A"/>
    <w:rsid w:val="0031531A"/>
    <w:rsid w:val="00315394"/>
    <w:rsid w:val="00315D77"/>
    <w:rsid w:val="00315D8E"/>
    <w:rsid w:val="00316002"/>
    <w:rsid w:val="003162EE"/>
    <w:rsid w:val="00316CDE"/>
    <w:rsid w:val="00316E94"/>
    <w:rsid w:val="0031752D"/>
    <w:rsid w:val="00317709"/>
    <w:rsid w:val="00320688"/>
    <w:rsid w:val="00320B75"/>
    <w:rsid w:val="00321DB7"/>
    <w:rsid w:val="00321E7A"/>
    <w:rsid w:val="0032226D"/>
    <w:rsid w:val="003235E6"/>
    <w:rsid w:val="00324038"/>
    <w:rsid w:val="00324951"/>
    <w:rsid w:val="003249F6"/>
    <w:rsid w:val="00324B2F"/>
    <w:rsid w:val="003254FB"/>
    <w:rsid w:val="00325FCC"/>
    <w:rsid w:val="00326106"/>
    <w:rsid w:val="00326805"/>
    <w:rsid w:val="003269B7"/>
    <w:rsid w:val="00326C0E"/>
    <w:rsid w:val="003272A3"/>
    <w:rsid w:val="003272E4"/>
    <w:rsid w:val="00327B71"/>
    <w:rsid w:val="00331461"/>
    <w:rsid w:val="003316A8"/>
    <w:rsid w:val="00331C80"/>
    <w:rsid w:val="00331CC9"/>
    <w:rsid w:val="003320D7"/>
    <w:rsid w:val="00332265"/>
    <w:rsid w:val="00332862"/>
    <w:rsid w:val="00332D52"/>
    <w:rsid w:val="00333337"/>
    <w:rsid w:val="00333A28"/>
    <w:rsid w:val="00333B6C"/>
    <w:rsid w:val="00334927"/>
    <w:rsid w:val="003360AD"/>
    <w:rsid w:val="0033631D"/>
    <w:rsid w:val="003369C7"/>
    <w:rsid w:val="003373A6"/>
    <w:rsid w:val="00337409"/>
    <w:rsid w:val="00337E18"/>
    <w:rsid w:val="003405AF"/>
    <w:rsid w:val="0034088F"/>
    <w:rsid w:val="00340B3E"/>
    <w:rsid w:val="003413D2"/>
    <w:rsid w:val="00341525"/>
    <w:rsid w:val="0034257E"/>
    <w:rsid w:val="003429A1"/>
    <w:rsid w:val="003429FC"/>
    <w:rsid w:val="00343079"/>
    <w:rsid w:val="00343127"/>
    <w:rsid w:val="00343320"/>
    <w:rsid w:val="00344066"/>
    <w:rsid w:val="00344BBF"/>
    <w:rsid w:val="0034509B"/>
    <w:rsid w:val="00345644"/>
    <w:rsid w:val="00345D0E"/>
    <w:rsid w:val="00345D7A"/>
    <w:rsid w:val="0034607E"/>
    <w:rsid w:val="00346A96"/>
    <w:rsid w:val="00346B6D"/>
    <w:rsid w:val="00346BA3"/>
    <w:rsid w:val="00346C69"/>
    <w:rsid w:val="00347356"/>
    <w:rsid w:val="0035005C"/>
    <w:rsid w:val="00350896"/>
    <w:rsid w:val="00350C31"/>
    <w:rsid w:val="00350C9F"/>
    <w:rsid w:val="00351391"/>
    <w:rsid w:val="003519CD"/>
    <w:rsid w:val="00351A3A"/>
    <w:rsid w:val="0035455F"/>
    <w:rsid w:val="00354A88"/>
    <w:rsid w:val="00355D75"/>
    <w:rsid w:val="00355D8F"/>
    <w:rsid w:val="00356A73"/>
    <w:rsid w:val="00356FF0"/>
    <w:rsid w:val="003573C1"/>
    <w:rsid w:val="003577EF"/>
    <w:rsid w:val="00357A60"/>
    <w:rsid w:val="00360304"/>
    <w:rsid w:val="00360A78"/>
    <w:rsid w:val="00361750"/>
    <w:rsid w:val="00363894"/>
    <w:rsid w:val="00363B2A"/>
    <w:rsid w:val="00363BF1"/>
    <w:rsid w:val="00365DDA"/>
    <w:rsid w:val="00366779"/>
    <w:rsid w:val="003668E5"/>
    <w:rsid w:val="003669C8"/>
    <w:rsid w:val="00366CEB"/>
    <w:rsid w:val="003672B3"/>
    <w:rsid w:val="003676DF"/>
    <w:rsid w:val="00367783"/>
    <w:rsid w:val="00367898"/>
    <w:rsid w:val="003679D3"/>
    <w:rsid w:val="00367A87"/>
    <w:rsid w:val="00367EE7"/>
    <w:rsid w:val="003703BB"/>
    <w:rsid w:val="003705EA"/>
    <w:rsid w:val="00370A56"/>
    <w:rsid w:val="00371213"/>
    <w:rsid w:val="00372842"/>
    <w:rsid w:val="003729A5"/>
    <w:rsid w:val="00372C89"/>
    <w:rsid w:val="00372E9A"/>
    <w:rsid w:val="003735B9"/>
    <w:rsid w:val="00373634"/>
    <w:rsid w:val="00374677"/>
    <w:rsid w:val="0037510C"/>
    <w:rsid w:val="00375850"/>
    <w:rsid w:val="0037632F"/>
    <w:rsid w:val="00377B26"/>
    <w:rsid w:val="003809D6"/>
    <w:rsid w:val="00381014"/>
    <w:rsid w:val="00381604"/>
    <w:rsid w:val="00381C68"/>
    <w:rsid w:val="00381F60"/>
    <w:rsid w:val="00383204"/>
    <w:rsid w:val="00383AB0"/>
    <w:rsid w:val="003847BB"/>
    <w:rsid w:val="00384814"/>
    <w:rsid w:val="00384C0A"/>
    <w:rsid w:val="00385B16"/>
    <w:rsid w:val="00385B96"/>
    <w:rsid w:val="0038637D"/>
    <w:rsid w:val="003868F6"/>
    <w:rsid w:val="003869DC"/>
    <w:rsid w:val="00386C07"/>
    <w:rsid w:val="00386F58"/>
    <w:rsid w:val="0038700D"/>
    <w:rsid w:val="003879CE"/>
    <w:rsid w:val="00387B88"/>
    <w:rsid w:val="00390B8F"/>
    <w:rsid w:val="00390C0D"/>
    <w:rsid w:val="00391447"/>
    <w:rsid w:val="003919D9"/>
    <w:rsid w:val="00391BDD"/>
    <w:rsid w:val="003922DE"/>
    <w:rsid w:val="00392E35"/>
    <w:rsid w:val="00393247"/>
    <w:rsid w:val="00393551"/>
    <w:rsid w:val="00393816"/>
    <w:rsid w:val="00393FCD"/>
    <w:rsid w:val="003944EA"/>
    <w:rsid w:val="00394639"/>
    <w:rsid w:val="00394DF6"/>
    <w:rsid w:val="00394EC6"/>
    <w:rsid w:val="00395A02"/>
    <w:rsid w:val="00395CD9"/>
    <w:rsid w:val="003962E6"/>
    <w:rsid w:val="00396831"/>
    <w:rsid w:val="00396FBC"/>
    <w:rsid w:val="003971A1"/>
    <w:rsid w:val="003A03D0"/>
    <w:rsid w:val="003A0F6B"/>
    <w:rsid w:val="003A12B6"/>
    <w:rsid w:val="003A1C44"/>
    <w:rsid w:val="003A20D5"/>
    <w:rsid w:val="003A24CC"/>
    <w:rsid w:val="003A2512"/>
    <w:rsid w:val="003A2A53"/>
    <w:rsid w:val="003A2EE8"/>
    <w:rsid w:val="003A373C"/>
    <w:rsid w:val="003A5378"/>
    <w:rsid w:val="003A553C"/>
    <w:rsid w:val="003A56DF"/>
    <w:rsid w:val="003A6008"/>
    <w:rsid w:val="003A703F"/>
    <w:rsid w:val="003A7E2B"/>
    <w:rsid w:val="003A7E40"/>
    <w:rsid w:val="003B0336"/>
    <w:rsid w:val="003B0985"/>
    <w:rsid w:val="003B0A3A"/>
    <w:rsid w:val="003B0D79"/>
    <w:rsid w:val="003B2930"/>
    <w:rsid w:val="003B31A7"/>
    <w:rsid w:val="003B4587"/>
    <w:rsid w:val="003B4B51"/>
    <w:rsid w:val="003B4FE1"/>
    <w:rsid w:val="003B514E"/>
    <w:rsid w:val="003B5531"/>
    <w:rsid w:val="003B636A"/>
    <w:rsid w:val="003B69CE"/>
    <w:rsid w:val="003B7403"/>
    <w:rsid w:val="003B7751"/>
    <w:rsid w:val="003C011C"/>
    <w:rsid w:val="003C0456"/>
    <w:rsid w:val="003C0E32"/>
    <w:rsid w:val="003C11D7"/>
    <w:rsid w:val="003C16CB"/>
    <w:rsid w:val="003C1B97"/>
    <w:rsid w:val="003C247B"/>
    <w:rsid w:val="003C3292"/>
    <w:rsid w:val="003C3C1E"/>
    <w:rsid w:val="003C3D88"/>
    <w:rsid w:val="003C4134"/>
    <w:rsid w:val="003C435B"/>
    <w:rsid w:val="003C4EBE"/>
    <w:rsid w:val="003C62EC"/>
    <w:rsid w:val="003C685A"/>
    <w:rsid w:val="003C6E9C"/>
    <w:rsid w:val="003C746F"/>
    <w:rsid w:val="003C7570"/>
    <w:rsid w:val="003C76E6"/>
    <w:rsid w:val="003C7E59"/>
    <w:rsid w:val="003C7F12"/>
    <w:rsid w:val="003D03D6"/>
    <w:rsid w:val="003D075D"/>
    <w:rsid w:val="003D0EE2"/>
    <w:rsid w:val="003D1283"/>
    <w:rsid w:val="003D14C8"/>
    <w:rsid w:val="003D1517"/>
    <w:rsid w:val="003D16C5"/>
    <w:rsid w:val="003D1CA9"/>
    <w:rsid w:val="003D2DA0"/>
    <w:rsid w:val="003D34C3"/>
    <w:rsid w:val="003D3D83"/>
    <w:rsid w:val="003D4685"/>
    <w:rsid w:val="003D4A41"/>
    <w:rsid w:val="003D4CDF"/>
    <w:rsid w:val="003D514A"/>
    <w:rsid w:val="003D5ADB"/>
    <w:rsid w:val="003D6448"/>
    <w:rsid w:val="003D646C"/>
    <w:rsid w:val="003D663E"/>
    <w:rsid w:val="003D664B"/>
    <w:rsid w:val="003D6793"/>
    <w:rsid w:val="003D6B03"/>
    <w:rsid w:val="003D75D8"/>
    <w:rsid w:val="003E006E"/>
    <w:rsid w:val="003E0947"/>
    <w:rsid w:val="003E0E96"/>
    <w:rsid w:val="003E20F7"/>
    <w:rsid w:val="003E336A"/>
    <w:rsid w:val="003E3E2F"/>
    <w:rsid w:val="003E4048"/>
    <w:rsid w:val="003E4CE5"/>
    <w:rsid w:val="003E51FF"/>
    <w:rsid w:val="003E604C"/>
    <w:rsid w:val="003E60DA"/>
    <w:rsid w:val="003E6E00"/>
    <w:rsid w:val="003E7111"/>
    <w:rsid w:val="003E7940"/>
    <w:rsid w:val="003F01BD"/>
    <w:rsid w:val="003F0486"/>
    <w:rsid w:val="003F048E"/>
    <w:rsid w:val="003F09FA"/>
    <w:rsid w:val="003F0AFF"/>
    <w:rsid w:val="003F0DF2"/>
    <w:rsid w:val="003F1AA2"/>
    <w:rsid w:val="003F26DC"/>
    <w:rsid w:val="003F3BD0"/>
    <w:rsid w:val="003F42FF"/>
    <w:rsid w:val="003F4B48"/>
    <w:rsid w:val="003F4DDC"/>
    <w:rsid w:val="003F56B8"/>
    <w:rsid w:val="003F57CB"/>
    <w:rsid w:val="003F5F1A"/>
    <w:rsid w:val="003F6327"/>
    <w:rsid w:val="003F7425"/>
    <w:rsid w:val="003F765B"/>
    <w:rsid w:val="003F7CB8"/>
    <w:rsid w:val="00400CB4"/>
    <w:rsid w:val="00401386"/>
    <w:rsid w:val="004013E6"/>
    <w:rsid w:val="00401E31"/>
    <w:rsid w:val="00402BBA"/>
    <w:rsid w:val="004035D0"/>
    <w:rsid w:val="0040361D"/>
    <w:rsid w:val="00403795"/>
    <w:rsid w:val="00403F5E"/>
    <w:rsid w:val="004041FB"/>
    <w:rsid w:val="0040443E"/>
    <w:rsid w:val="004054BE"/>
    <w:rsid w:val="004056B6"/>
    <w:rsid w:val="00405764"/>
    <w:rsid w:val="00406745"/>
    <w:rsid w:val="0040674B"/>
    <w:rsid w:val="00406B32"/>
    <w:rsid w:val="004074FA"/>
    <w:rsid w:val="00407A56"/>
    <w:rsid w:val="00407FB7"/>
    <w:rsid w:val="00407FCC"/>
    <w:rsid w:val="0041035A"/>
    <w:rsid w:val="00410E76"/>
    <w:rsid w:val="004112D1"/>
    <w:rsid w:val="004113C9"/>
    <w:rsid w:val="00411D1E"/>
    <w:rsid w:val="00411DF2"/>
    <w:rsid w:val="004120DF"/>
    <w:rsid w:val="004126B5"/>
    <w:rsid w:val="00414909"/>
    <w:rsid w:val="00415034"/>
    <w:rsid w:val="00415B1A"/>
    <w:rsid w:val="00415DFD"/>
    <w:rsid w:val="00416208"/>
    <w:rsid w:val="0041690F"/>
    <w:rsid w:val="004169D3"/>
    <w:rsid w:val="00416C2B"/>
    <w:rsid w:val="00416D41"/>
    <w:rsid w:val="00416E70"/>
    <w:rsid w:val="00417264"/>
    <w:rsid w:val="004172B3"/>
    <w:rsid w:val="004210C0"/>
    <w:rsid w:val="004211DD"/>
    <w:rsid w:val="00421762"/>
    <w:rsid w:val="00421D4B"/>
    <w:rsid w:val="00421ED8"/>
    <w:rsid w:val="00422907"/>
    <w:rsid w:val="00423125"/>
    <w:rsid w:val="00423309"/>
    <w:rsid w:val="004233AD"/>
    <w:rsid w:val="00424446"/>
    <w:rsid w:val="00424867"/>
    <w:rsid w:val="00424B04"/>
    <w:rsid w:val="00425341"/>
    <w:rsid w:val="004255FE"/>
    <w:rsid w:val="00425674"/>
    <w:rsid w:val="00425A82"/>
    <w:rsid w:val="00425C60"/>
    <w:rsid w:val="00426B2C"/>
    <w:rsid w:val="00427183"/>
    <w:rsid w:val="00427FA8"/>
    <w:rsid w:val="0043009D"/>
    <w:rsid w:val="0043026B"/>
    <w:rsid w:val="00430299"/>
    <w:rsid w:val="004306D4"/>
    <w:rsid w:val="00431A2A"/>
    <w:rsid w:val="00432ECA"/>
    <w:rsid w:val="0043554E"/>
    <w:rsid w:val="004355D4"/>
    <w:rsid w:val="004357B1"/>
    <w:rsid w:val="00435821"/>
    <w:rsid w:val="0043583E"/>
    <w:rsid w:val="00436CCE"/>
    <w:rsid w:val="00436EAD"/>
    <w:rsid w:val="004375E1"/>
    <w:rsid w:val="00437A2F"/>
    <w:rsid w:val="00440262"/>
    <w:rsid w:val="004406BF"/>
    <w:rsid w:val="00440814"/>
    <w:rsid w:val="004408AE"/>
    <w:rsid w:val="0044105D"/>
    <w:rsid w:val="00441424"/>
    <w:rsid w:val="00442731"/>
    <w:rsid w:val="00442C12"/>
    <w:rsid w:val="004434DF"/>
    <w:rsid w:val="0044354B"/>
    <w:rsid w:val="0044493E"/>
    <w:rsid w:val="00444A1F"/>
    <w:rsid w:val="00444FC6"/>
    <w:rsid w:val="00445874"/>
    <w:rsid w:val="00445C38"/>
    <w:rsid w:val="0044686B"/>
    <w:rsid w:val="004475F7"/>
    <w:rsid w:val="0045057B"/>
    <w:rsid w:val="0045069B"/>
    <w:rsid w:val="00450B22"/>
    <w:rsid w:val="00451709"/>
    <w:rsid w:val="004518FA"/>
    <w:rsid w:val="00451A02"/>
    <w:rsid w:val="0045277C"/>
    <w:rsid w:val="00453507"/>
    <w:rsid w:val="00453592"/>
    <w:rsid w:val="004543AB"/>
    <w:rsid w:val="004545EC"/>
    <w:rsid w:val="00455967"/>
    <w:rsid w:val="00455BDB"/>
    <w:rsid w:val="00455F71"/>
    <w:rsid w:val="00456272"/>
    <w:rsid w:val="004570EF"/>
    <w:rsid w:val="00457517"/>
    <w:rsid w:val="00457CF7"/>
    <w:rsid w:val="00457D37"/>
    <w:rsid w:val="0046028A"/>
    <w:rsid w:val="00460E3A"/>
    <w:rsid w:val="00460E68"/>
    <w:rsid w:val="004614BC"/>
    <w:rsid w:val="004619A5"/>
    <w:rsid w:val="00461F80"/>
    <w:rsid w:val="0046240D"/>
    <w:rsid w:val="00462898"/>
    <w:rsid w:val="00462D84"/>
    <w:rsid w:val="00463208"/>
    <w:rsid w:val="00463576"/>
    <w:rsid w:val="004636D6"/>
    <w:rsid w:val="0046399D"/>
    <w:rsid w:val="00463EA4"/>
    <w:rsid w:val="004642C9"/>
    <w:rsid w:val="00465A21"/>
    <w:rsid w:val="00465DE5"/>
    <w:rsid w:val="00466151"/>
    <w:rsid w:val="00466978"/>
    <w:rsid w:val="00466ABA"/>
    <w:rsid w:val="004672E3"/>
    <w:rsid w:val="0046775D"/>
    <w:rsid w:val="00467823"/>
    <w:rsid w:val="004705FA"/>
    <w:rsid w:val="004708AC"/>
    <w:rsid w:val="00470B42"/>
    <w:rsid w:val="00471387"/>
    <w:rsid w:val="0047146C"/>
    <w:rsid w:val="0047149F"/>
    <w:rsid w:val="00471963"/>
    <w:rsid w:val="004724B8"/>
    <w:rsid w:val="004728FB"/>
    <w:rsid w:val="004729AD"/>
    <w:rsid w:val="00472CA7"/>
    <w:rsid w:val="00472CEC"/>
    <w:rsid w:val="0047307D"/>
    <w:rsid w:val="00473308"/>
    <w:rsid w:val="0047377C"/>
    <w:rsid w:val="0047471E"/>
    <w:rsid w:val="004749DA"/>
    <w:rsid w:val="00474DEF"/>
    <w:rsid w:val="00475729"/>
    <w:rsid w:val="004758E7"/>
    <w:rsid w:val="00475BAB"/>
    <w:rsid w:val="00475CBD"/>
    <w:rsid w:val="004764C6"/>
    <w:rsid w:val="00476AC1"/>
    <w:rsid w:val="00476F97"/>
    <w:rsid w:val="00477247"/>
    <w:rsid w:val="004776BB"/>
    <w:rsid w:val="004776FB"/>
    <w:rsid w:val="0048055E"/>
    <w:rsid w:val="00480C2B"/>
    <w:rsid w:val="00480DC5"/>
    <w:rsid w:val="00480FD9"/>
    <w:rsid w:val="0048131D"/>
    <w:rsid w:val="00481D0B"/>
    <w:rsid w:val="004824A9"/>
    <w:rsid w:val="00483091"/>
    <w:rsid w:val="00483140"/>
    <w:rsid w:val="00483984"/>
    <w:rsid w:val="00483BC7"/>
    <w:rsid w:val="00483CF0"/>
    <w:rsid w:val="00484D4D"/>
    <w:rsid w:val="00486516"/>
    <w:rsid w:val="0048664F"/>
    <w:rsid w:val="004868AD"/>
    <w:rsid w:val="00486D00"/>
    <w:rsid w:val="00487FE1"/>
    <w:rsid w:val="00490707"/>
    <w:rsid w:val="00490815"/>
    <w:rsid w:val="0049117E"/>
    <w:rsid w:val="00492503"/>
    <w:rsid w:val="004925C8"/>
    <w:rsid w:val="00492AF9"/>
    <w:rsid w:val="00492B76"/>
    <w:rsid w:val="0049333E"/>
    <w:rsid w:val="0049418F"/>
    <w:rsid w:val="0049570D"/>
    <w:rsid w:val="00495C48"/>
    <w:rsid w:val="00495DC6"/>
    <w:rsid w:val="00496CCE"/>
    <w:rsid w:val="004978C1"/>
    <w:rsid w:val="00497AAD"/>
    <w:rsid w:val="00497BD7"/>
    <w:rsid w:val="00497D1A"/>
    <w:rsid w:val="004A00C9"/>
    <w:rsid w:val="004A03D0"/>
    <w:rsid w:val="004A1049"/>
    <w:rsid w:val="004A1AFA"/>
    <w:rsid w:val="004A1EA7"/>
    <w:rsid w:val="004A26F5"/>
    <w:rsid w:val="004A2EF8"/>
    <w:rsid w:val="004A3A21"/>
    <w:rsid w:val="004A407A"/>
    <w:rsid w:val="004A4E3B"/>
    <w:rsid w:val="004A6110"/>
    <w:rsid w:val="004A61B8"/>
    <w:rsid w:val="004A6415"/>
    <w:rsid w:val="004A64F9"/>
    <w:rsid w:val="004A65F4"/>
    <w:rsid w:val="004A6D2C"/>
    <w:rsid w:val="004B026C"/>
    <w:rsid w:val="004B0271"/>
    <w:rsid w:val="004B0BE8"/>
    <w:rsid w:val="004B0E4A"/>
    <w:rsid w:val="004B18F4"/>
    <w:rsid w:val="004B1A98"/>
    <w:rsid w:val="004B2463"/>
    <w:rsid w:val="004B2E9D"/>
    <w:rsid w:val="004B305F"/>
    <w:rsid w:val="004B34C4"/>
    <w:rsid w:val="004B34E8"/>
    <w:rsid w:val="004B3981"/>
    <w:rsid w:val="004B3A03"/>
    <w:rsid w:val="004B419F"/>
    <w:rsid w:val="004B4EA9"/>
    <w:rsid w:val="004B5C96"/>
    <w:rsid w:val="004B6124"/>
    <w:rsid w:val="004B6E50"/>
    <w:rsid w:val="004B728F"/>
    <w:rsid w:val="004B7317"/>
    <w:rsid w:val="004B75B2"/>
    <w:rsid w:val="004B75C6"/>
    <w:rsid w:val="004C02C5"/>
    <w:rsid w:val="004C0BF0"/>
    <w:rsid w:val="004C0D40"/>
    <w:rsid w:val="004C114F"/>
    <w:rsid w:val="004C11A9"/>
    <w:rsid w:val="004C27CF"/>
    <w:rsid w:val="004C2CA7"/>
    <w:rsid w:val="004C3592"/>
    <w:rsid w:val="004C36D8"/>
    <w:rsid w:val="004C42EE"/>
    <w:rsid w:val="004C45C8"/>
    <w:rsid w:val="004C4F8F"/>
    <w:rsid w:val="004C5F4B"/>
    <w:rsid w:val="004C612E"/>
    <w:rsid w:val="004C61B8"/>
    <w:rsid w:val="004C69FE"/>
    <w:rsid w:val="004C6C0A"/>
    <w:rsid w:val="004C6C6D"/>
    <w:rsid w:val="004C77FF"/>
    <w:rsid w:val="004C7DB0"/>
    <w:rsid w:val="004C7FFC"/>
    <w:rsid w:val="004D0223"/>
    <w:rsid w:val="004D0C4C"/>
    <w:rsid w:val="004D16A3"/>
    <w:rsid w:val="004D1934"/>
    <w:rsid w:val="004D1E41"/>
    <w:rsid w:val="004D2326"/>
    <w:rsid w:val="004D2E11"/>
    <w:rsid w:val="004D2F9F"/>
    <w:rsid w:val="004D3108"/>
    <w:rsid w:val="004D329C"/>
    <w:rsid w:val="004D34D1"/>
    <w:rsid w:val="004D4523"/>
    <w:rsid w:val="004D4990"/>
    <w:rsid w:val="004D51D6"/>
    <w:rsid w:val="004D6BF2"/>
    <w:rsid w:val="004D6F29"/>
    <w:rsid w:val="004D7BF5"/>
    <w:rsid w:val="004D7F9C"/>
    <w:rsid w:val="004E03F4"/>
    <w:rsid w:val="004E068F"/>
    <w:rsid w:val="004E0860"/>
    <w:rsid w:val="004E09CF"/>
    <w:rsid w:val="004E0B75"/>
    <w:rsid w:val="004E0C29"/>
    <w:rsid w:val="004E0DC4"/>
    <w:rsid w:val="004E109C"/>
    <w:rsid w:val="004E1D6F"/>
    <w:rsid w:val="004E1DF3"/>
    <w:rsid w:val="004E2393"/>
    <w:rsid w:val="004E3117"/>
    <w:rsid w:val="004E3A2A"/>
    <w:rsid w:val="004E3AB1"/>
    <w:rsid w:val="004E4003"/>
    <w:rsid w:val="004E4626"/>
    <w:rsid w:val="004E4984"/>
    <w:rsid w:val="004E5101"/>
    <w:rsid w:val="004E5380"/>
    <w:rsid w:val="004E6746"/>
    <w:rsid w:val="004E6CAC"/>
    <w:rsid w:val="004E6F69"/>
    <w:rsid w:val="004E75C1"/>
    <w:rsid w:val="004E7683"/>
    <w:rsid w:val="004E777F"/>
    <w:rsid w:val="004F07F2"/>
    <w:rsid w:val="004F07F9"/>
    <w:rsid w:val="004F0A50"/>
    <w:rsid w:val="004F0D1F"/>
    <w:rsid w:val="004F0E82"/>
    <w:rsid w:val="004F1523"/>
    <w:rsid w:val="004F1847"/>
    <w:rsid w:val="004F1CE1"/>
    <w:rsid w:val="004F1F9E"/>
    <w:rsid w:val="004F2CB6"/>
    <w:rsid w:val="004F2E6E"/>
    <w:rsid w:val="004F3015"/>
    <w:rsid w:val="004F313F"/>
    <w:rsid w:val="004F367F"/>
    <w:rsid w:val="004F3EEF"/>
    <w:rsid w:val="004F43A7"/>
    <w:rsid w:val="004F447B"/>
    <w:rsid w:val="004F497C"/>
    <w:rsid w:val="004F4FAC"/>
    <w:rsid w:val="004F4FE8"/>
    <w:rsid w:val="004F531B"/>
    <w:rsid w:val="004F560C"/>
    <w:rsid w:val="004F5DBB"/>
    <w:rsid w:val="004F60B4"/>
    <w:rsid w:val="004F61A3"/>
    <w:rsid w:val="004F6874"/>
    <w:rsid w:val="004F7922"/>
    <w:rsid w:val="004F7A1F"/>
    <w:rsid w:val="004F7B47"/>
    <w:rsid w:val="0050079C"/>
    <w:rsid w:val="0050106A"/>
    <w:rsid w:val="005010BC"/>
    <w:rsid w:val="00501848"/>
    <w:rsid w:val="00502B31"/>
    <w:rsid w:val="0050434C"/>
    <w:rsid w:val="0050537D"/>
    <w:rsid w:val="0050591C"/>
    <w:rsid w:val="005059BD"/>
    <w:rsid w:val="005060AE"/>
    <w:rsid w:val="0050790B"/>
    <w:rsid w:val="00507FDF"/>
    <w:rsid w:val="0051037C"/>
    <w:rsid w:val="0051050F"/>
    <w:rsid w:val="0051058B"/>
    <w:rsid w:val="00510DDC"/>
    <w:rsid w:val="00511166"/>
    <w:rsid w:val="00512217"/>
    <w:rsid w:val="00512459"/>
    <w:rsid w:val="005131A2"/>
    <w:rsid w:val="005137E4"/>
    <w:rsid w:val="00513BB9"/>
    <w:rsid w:val="0051440E"/>
    <w:rsid w:val="00514480"/>
    <w:rsid w:val="005148CD"/>
    <w:rsid w:val="00515180"/>
    <w:rsid w:val="00515973"/>
    <w:rsid w:val="00516069"/>
    <w:rsid w:val="00517AC8"/>
    <w:rsid w:val="00517C3E"/>
    <w:rsid w:val="005207D8"/>
    <w:rsid w:val="0052091D"/>
    <w:rsid w:val="005212F4"/>
    <w:rsid w:val="00521908"/>
    <w:rsid w:val="005224BC"/>
    <w:rsid w:val="00522928"/>
    <w:rsid w:val="00522FF1"/>
    <w:rsid w:val="005235D8"/>
    <w:rsid w:val="00523946"/>
    <w:rsid w:val="0052397A"/>
    <w:rsid w:val="005256D6"/>
    <w:rsid w:val="00525AD8"/>
    <w:rsid w:val="00526429"/>
    <w:rsid w:val="005266C1"/>
    <w:rsid w:val="005267F4"/>
    <w:rsid w:val="005269D3"/>
    <w:rsid w:val="00527317"/>
    <w:rsid w:val="00527ED6"/>
    <w:rsid w:val="0053024F"/>
    <w:rsid w:val="00531064"/>
    <w:rsid w:val="005312CB"/>
    <w:rsid w:val="005313B2"/>
    <w:rsid w:val="00531911"/>
    <w:rsid w:val="00531E92"/>
    <w:rsid w:val="005324D7"/>
    <w:rsid w:val="005326F0"/>
    <w:rsid w:val="00532764"/>
    <w:rsid w:val="00532AA5"/>
    <w:rsid w:val="00532C5F"/>
    <w:rsid w:val="00533233"/>
    <w:rsid w:val="005335A2"/>
    <w:rsid w:val="00533D13"/>
    <w:rsid w:val="00533DEC"/>
    <w:rsid w:val="00534026"/>
    <w:rsid w:val="00534D55"/>
    <w:rsid w:val="00535B53"/>
    <w:rsid w:val="00536B03"/>
    <w:rsid w:val="00537456"/>
    <w:rsid w:val="0053790C"/>
    <w:rsid w:val="00537B3D"/>
    <w:rsid w:val="00540401"/>
    <w:rsid w:val="005405B2"/>
    <w:rsid w:val="0054076A"/>
    <w:rsid w:val="00540BBA"/>
    <w:rsid w:val="00540D47"/>
    <w:rsid w:val="00540E71"/>
    <w:rsid w:val="00540EE7"/>
    <w:rsid w:val="00541A22"/>
    <w:rsid w:val="00541EAD"/>
    <w:rsid w:val="005424C2"/>
    <w:rsid w:val="005426B2"/>
    <w:rsid w:val="00543519"/>
    <w:rsid w:val="00543640"/>
    <w:rsid w:val="00544019"/>
    <w:rsid w:val="0054422C"/>
    <w:rsid w:val="005444C6"/>
    <w:rsid w:val="00544BF9"/>
    <w:rsid w:val="00544F05"/>
    <w:rsid w:val="00544FCC"/>
    <w:rsid w:val="005454B8"/>
    <w:rsid w:val="00545697"/>
    <w:rsid w:val="00545ACB"/>
    <w:rsid w:val="00545C4E"/>
    <w:rsid w:val="00545DB9"/>
    <w:rsid w:val="005462ED"/>
    <w:rsid w:val="00546585"/>
    <w:rsid w:val="00546703"/>
    <w:rsid w:val="0054680A"/>
    <w:rsid w:val="00546BF8"/>
    <w:rsid w:val="00547BA2"/>
    <w:rsid w:val="00550AC5"/>
    <w:rsid w:val="00550B7E"/>
    <w:rsid w:val="00551052"/>
    <w:rsid w:val="005524ED"/>
    <w:rsid w:val="00553F91"/>
    <w:rsid w:val="00554007"/>
    <w:rsid w:val="005543C0"/>
    <w:rsid w:val="00554C03"/>
    <w:rsid w:val="00554C58"/>
    <w:rsid w:val="00554D5D"/>
    <w:rsid w:val="005550F9"/>
    <w:rsid w:val="00556338"/>
    <w:rsid w:val="00556441"/>
    <w:rsid w:val="00557031"/>
    <w:rsid w:val="00557F87"/>
    <w:rsid w:val="00560841"/>
    <w:rsid w:val="00560FCB"/>
    <w:rsid w:val="00561001"/>
    <w:rsid w:val="0056111C"/>
    <w:rsid w:val="00561140"/>
    <w:rsid w:val="00561412"/>
    <w:rsid w:val="00561903"/>
    <w:rsid w:val="00561A9B"/>
    <w:rsid w:val="00561E54"/>
    <w:rsid w:val="00561F73"/>
    <w:rsid w:val="005621F7"/>
    <w:rsid w:val="0056278F"/>
    <w:rsid w:val="00562FB1"/>
    <w:rsid w:val="00563068"/>
    <w:rsid w:val="0056376A"/>
    <w:rsid w:val="00563B3C"/>
    <w:rsid w:val="0056419C"/>
    <w:rsid w:val="00564DA7"/>
    <w:rsid w:val="00565204"/>
    <w:rsid w:val="00565473"/>
    <w:rsid w:val="00565DAC"/>
    <w:rsid w:val="00565F0D"/>
    <w:rsid w:val="005662DC"/>
    <w:rsid w:val="00566329"/>
    <w:rsid w:val="005668B9"/>
    <w:rsid w:val="00566E39"/>
    <w:rsid w:val="0056704E"/>
    <w:rsid w:val="00567623"/>
    <w:rsid w:val="005701C2"/>
    <w:rsid w:val="00570763"/>
    <w:rsid w:val="0057200B"/>
    <w:rsid w:val="00572297"/>
    <w:rsid w:val="0057345D"/>
    <w:rsid w:val="0057347D"/>
    <w:rsid w:val="00573560"/>
    <w:rsid w:val="00574E7B"/>
    <w:rsid w:val="00574F36"/>
    <w:rsid w:val="00576B5C"/>
    <w:rsid w:val="005770CC"/>
    <w:rsid w:val="005802F9"/>
    <w:rsid w:val="005806D5"/>
    <w:rsid w:val="00580DFC"/>
    <w:rsid w:val="0058134C"/>
    <w:rsid w:val="005815CD"/>
    <w:rsid w:val="00581AA8"/>
    <w:rsid w:val="00581D39"/>
    <w:rsid w:val="005827A7"/>
    <w:rsid w:val="00583D43"/>
    <w:rsid w:val="005846C3"/>
    <w:rsid w:val="00584F04"/>
    <w:rsid w:val="0058544C"/>
    <w:rsid w:val="00585623"/>
    <w:rsid w:val="005857F7"/>
    <w:rsid w:val="005865E9"/>
    <w:rsid w:val="005868FD"/>
    <w:rsid w:val="00587D7B"/>
    <w:rsid w:val="005904DB"/>
    <w:rsid w:val="005905ED"/>
    <w:rsid w:val="00590D11"/>
    <w:rsid w:val="00591BA6"/>
    <w:rsid w:val="00592825"/>
    <w:rsid w:val="00594437"/>
    <w:rsid w:val="00594B70"/>
    <w:rsid w:val="00596CFA"/>
    <w:rsid w:val="00596EC6"/>
    <w:rsid w:val="005975CE"/>
    <w:rsid w:val="005A0088"/>
    <w:rsid w:val="005A04F6"/>
    <w:rsid w:val="005A14F0"/>
    <w:rsid w:val="005A1861"/>
    <w:rsid w:val="005A1A31"/>
    <w:rsid w:val="005A30D5"/>
    <w:rsid w:val="005A361D"/>
    <w:rsid w:val="005A36C2"/>
    <w:rsid w:val="005A3719"/>
    <w:rsid w:val="005A3DD7"/>
    <w:rsid w:val="005A40FA"/>
    <w:rsid w:val="005A4C20"/>
    <w:rsid w:val="005A4F48"/>
    <w:rsid w:val="005A54F1"/>
    <w:rsid w:val="005A57B8"/>
    <w:rsid w:val="005A5DDE"/>
    <w:rsid w:val="005A64A8"/>
    <w:rsid w:val="005A65C5"/>
    <w:rsid w:val="005A6875"/>
    <w:rsid w:val="005A7016"/>
    <w:rsid w:val="005A7A32"/>
    <w:rsid w:val="005A7F85"/>
    <w:rsid w:val="005B00DD"/>
    <w:rsid w:val="005B03B1"/>
    <w:rsid w:val="005B07D5"/>
    <w:rsid w:val="005B1A8A"/>
    <w:rsid w:val="005B1AAB"/>
    <w:rsid w:val="005B2578"/>
    <w:rsid w:val="005B2694"/>
    <w:rsid w:val="005B2930"/>
    <w:rsid w:val="005B2B87"/>
    <w:rsid w:val="005B2FAA"/>
    <w:rsid w:val="005B33C8"/>
    <w:rsid w:val="005B387B"/>
    <w:rsid w:val="005B3B01"/>
    <w:rsid w:val="005B4333"/>
    <w:rsid w:val="005B48BE"/>
    <w:rsid w:val="005B58F7"/>
    <w:rsid w:val="005B5981"/>
    <w:rsid w:val="005B5994"/>
    <w:rsid w:val="005B6474"/>
    <w:rsid w:val="005B666D"/>
    <w:rsid w:val="005B667A"/>
    <w:rsid w:val="005B6865"/>
    <w:rsid w:val="005C039B"/>
    <w:rsid w:val="005C059F"/>
    <w:rsid w:val="005C07CE"/>
    <w:rsid w:val="005C0B8F"/>
    <w:rsid w:val="005C194E"/>
    <w:rsid w:val="005C1C83"/>
    <w:rsid w:val="005C1DB1"/>
    <w:rsid w:val="005C226F"/>
    <w:rsid w:val="005C2294"/>
    <w:rsid w:val="005C2E48"/>
    <w:rsid w:val="005C30A1"/>
    <w:rsid w:val="005C3344"/>
    <w:rsid w:val="005C4E4D"/>
    <w:rsid w:val="005C58F2"/>
    <w:rsid w:val="005C5A97"/>
    <w:rsid w:val="005C5F77"/>
    <w:rsid w:val="005C6AAB"/>
    <w:rsid w:val="005C6D5D"/>
    <w:rsid w:val="005C6FD0"/>
    <w:rsid w:val="005D01C3"/>
    <w:rsid w:val="005D05FF"/>
    <w:rsid w:val="005D0FB4"/>
    <w:rsid w:val="005D1176"/>
    <w:rsid w:val="005D1747"/>
    <w:rsid w:val="005D266D"/>
    <w:rsid w:val="005D306D"/>
    <w:rsid w:val="005D3327"/>
    <w:rsid w:val="005D4854"/>
    <w:rsid w:val="005D5BCF"/>
    <w:rsid w:val="005D65BF"/>
    <w:rsid w:val="005D6D84"/>
    <w:rsid w:val="005D70A1"/>
    <w:rsid w:val="005D79F2"/>
    <w:rsid w:val="005D7CB1"/>
    <w:rsid w:val="005D7F57"/>
    <w:rsid w:val="005E0067"/>
    <w:rsid w:val="005E0141"/>
    <w:rsid w:val="005E09CA"/>
    <w:rsid w:val="005E14C8"/>
    <w:rsid w:val="005E1AB4"/>
    <w:rsid w:val="005E255B"/>
    <w:rsid w:val="005E2CF7"/>
    <w:rsid w:val="005E37FD"/>
    <w:rsid w:val="005E4543"/>
    <w:rsid w:val="005E4A1C"/>
    <w:rsid w:val="005E56C9"/>
    <w:rsid w:val="005E5CF7"/>
    <w:rsid w:val="005E5FF0"/>
    <w:rsid w:val="005E642A"/>
    <w:rsid w:val="005E65A7"/>
    <w:rsid w:val="005E6A54"/>
    <w:rsid w:val="005E721E"/>
    <w:rsid w:val="005F0857"/>
    <w:rsid w:val="005F1470"/>
    <w:rsid w:val="005F15A9"/>
    <w:rsid w:val="005F2807"/>
    <w:rsid w:val="005F2CD5"/>
    <w:rsid w:val="005F3382"/>
    <w:rsid w:val="005F3720"/>
    <w:rsid w:val="005F3949"/>
    <w:rsid w:val="005F4F00"/>
    <w:rsid w:val="005F5506"/>
    <w:rsid w:val="005F5A0D"/>
    <w:rsid w:val="005F60DF"/>
    <w:rsid w:val="005F615B"/>
    <w:rsid w:val="005F61DF"/>
    <w:rsid w:val="005F680A"/>
    <w:rsid w:val="005F6880"/>
    <w:rsid w:val="005F6B3E"/>
    <w:rsid w:val="005F6ED2"/>
    <w:rsid w:val="005F745B"/>
    <w:rsid w:val="005F77F8"/>
    <w:rsid w:val="005F7CA8"/>
    <w:rsid w:val="00600DE1"/>
    <w:rsid w:val="00600F93"/>
    <w:rsid w:val="00601506"/>
    <w:rsid w:val="00601596"/>
    <w:rsid w:val="00601C92"/>
    <w:rsid w:val="00601F66"/>
    <w:rsid w:val="0060200D"/>
    <w:rsid w:val="00602764"/>
    <w:rsid w:val="00602B29"/>
    <w:rsid w:val="00602DAD"/>
    <w:rsid w:val="00603373"/>
    <w:rsid w:val="006036D0"/>
    <w:rsid w:val="00603B1C"/>
    <w:rsid w:val="006042CD"/>
    <w:rsid w:val="00605217"/>
    <w:rsid w:val="006054A5"/>
    <w:rsid w:val="006059E4"/>
    <w:rsid w:val="00605D60"/>
    <w:rsid w:val="006062A0"/>
    <w:rsid w:val="00607015"/>
    <w:rsid w:val="0061098D"/>
    <w:rsid w:val="00610B78"/>
    <w:rsid w:val="00611B59"/>
    <w:rsid w:val="00611FBA"/>
    <w:rsid w:val="00612098"/>
    <w:rsid w:val="0061272A"/>
    <w:rsid w:val="0061299E"/>
    <w:rsid w:val="006130D0"/>
    <w:rsid w:val="0061355D"/>
    <w:rsid w:val="006139F7"/>
    <w:rsid w:val="00613AA2"/>
    <w:rsid w:val="00614906"/>
    <w:rsid w:val="0061517F"/>
    <w:rsid w:val="00615276"/>
    <w:rsid w:val="006155F1"/>
    <w:rsid w:val="00615846"/>
    <w:rsid w:val="006160F0"/>
    <w:rsid w:val="0061618F"/>
    <w:rsid w:val="0061624B"/>
    <w:rsid w:val="006166AD"/>
    <w:rsid w:val="00616C1E"/>
    <w:rsid w:val="00617EFC"/>
    <w:rsid w:val="00620055"/>
    <w:rsid w:val="00620336"/>
    <w:rsid w:val="006204B3"/>
    <w:rsid w:val="006204C2"/>
    <w:rsid w:val="00620815"/>
    <w:rsid w:val="006212D3"/>
    <w:rsid w:val="00621639"/>
    <w:rsid w:val="00622B22"/>
    <w:rsid w:val="00622F67"/>
    <w:rsid w:val="00623571"/>
    <w:rsid w:val="00623A5E"/>
    <w:rsid w:val="006241E9"/>
    <w:rsid w:val="00625008"/>
    <w:rsid w:val="0062548B"/>
    <w:rsid w:val="00626710"/>
    <w:rsid w:val="00626930"/>
    <w:rsid w:val="00626AD3"/>
    <w:rsid w:val="00626BAC"/>
    <w:rsid w:val="006271C3"/>
    <w:rsid w:val="00627B14"/>
    <w:rsid w:val="0063001E"/>
    <w:rsid w:val="00630023"/>
    <w:rsid w:val="006308EE"/>
    <w:rsid w:val="00630C70"/>
    <w:rsid w:val="00630D67"/>
    <w:rsid w:val="00631005"/>
    <w:rsid w:val="00631C79"/>
    <w:rsid w:val="00632727"/>
    <w:rsid w:val="0063283D"/>
    <w:rsid w:val="00633769"/>
    <w:rsid w:val="00633FE3"/>
    <w:rsid w:val="00634276"/>
    <w:rsid w:val="00634570"/>
    <w:rsid w:val="0063487C"/>
    <w:rsid w:val="00634CE6"/>
    <w:rsid w:val="00635B73"/>
    <w:rsid w:val="00635BB7"/>
    <w:rsid w:val="006364D5"/>
    <w:rsid w:val="00636888"/>
    <w:rsid w:val="00636CC7"/>
    <w:rsid w:val="00637F27"/>
    <w:rsid w:val="006405EC"/>
    <w:rsid w:val="00640A4D"/>
    <w:rsid w:val="006418F2"/>
    <w:rsid w:val="00641A84"/>
    <w:rsid w:val="00641B05"/>
    <w:rsid w:val="00641DA1"/>
    <w:rsid w:val="00641E5B"/>
    <w:rsid w:val="00642C69"/>
    <w:rsid w:val="0064330A"/>
    <w:rsid w:val="00643F89"/>
    <w:rsid w:val="00644334"/>
    <w:rsid w:val="0064487C"/>
    <w:rsid w:val="00644BED"/>
    <w:rsid w:val="00644E2E"/>
    <w:rsid w:val="00645A3A"/>
    <w:rsid w:val="00645B87"/>
    <w:rsid w:val="00645CB4"/>
    <w:rsid w:val="00646084"/>
    <w:rsid w:val="006468ED"/>
    <w:rsid w:val="00646ED8"/>
    <w:rsid w:val="00647664"/>
    <w:rsid w:val="00650D19"/>
    <w:rsid w:val="00652CF5"/>
    <w:rsid w:val="00652F6C"/>
    <w:rsid w:val="0065343E"/>
    <w:rsid w:val="00653548"/>
    <w:rsid w:val="006536BB"/>
    <w:rsid w:val="0065398F"/>
    <w:rsid w:val="00653C7C"/>
    <w:rsid w:val="00654252"/>
    <w:rsid w:val="006543B7"/>
    <w:rsid w:val="00654EA5"/>
    <w:rsid w:val="0065587E"/>
    <w:rsid w:val="006558CD"/>
    <w:rsid w:val="00655C26"/>
    <w:rsid w:val="0065637A"/>
    <w:rsid w:val="00656998"/>
    <w:rsid w:val="00656E4D"/>
    <w:rsid w:val="006576BA"/>
    <w:rsid w:val="006600BF"/>
    <w:rsid w:val="00660AF7"/>
    <w:rsid w:val="00660D3E"/>
    <w:rsid w:val="00661691"/>
    <w:rsid w:val="00662D3D"/>
    <w:rsid w:val="00662F1F"/>
    <w:rsid w:val="00663D15"/>
    <w:rsid w:val="00665030"/>
    <w:rsid w:val="00665670"/>
    <w:rsid w:val="006659EA"/>
    <w:rsid w:val="006661E8"/>
    <w:rsid w:val="00666424"/>
    <w:rsid w:val="0066676C"/>
    <w:rsid w:val="006673B9"/>
    <w:rsid w:val="0066790C"/>
    <w:rsid w:val="00667A15"/>
    <w:rsid w:val="00667FF0"/>
    <w:rsid w:val="00670C7C"/>
    <w:rsid w:val="00671480"/>
    <w:rsid w:val="006717E7"/>
    <w:rsid w:val="00671FD5"/>
    <w:rsid w:val="006720BC"/>
    <w:rsid w:val="00672906"/>
    <w:rsid w:val="00672C73"/>
    <w:rsid w:val="00673B64"/>
    <w:rsid w:val="006753AC"/>
    <w:rsid w:val="00675430"/>
    <w:rsid w:val="006755F0"/>
    <w:rsid w:val="00675749"/>
    <w:rsid w:val="006759FE"/>
    <w:rsid w:val="00677382"/>
    <w:rsid w:val="0067772D"/>
    <w:rsid w:val="00677991"/>
    <w:rsid w:val="00677AD2"/>
    <w:rsid w:val="00680052"/>
    <w:rsid w:val="00680326"/>
    <w:rsid w:val="00680714"/>
    <w:rsid w:val="0068071D"/>
    <w:rsid w:val="00680C6B"/>
    <w:rsid w:val="006811F3"/>
    <w:rsid w:val="00681240"/>
    <w:rsid w:val="00681E43"/>
    <w:rsid w:val="00683068"/>
    <w:rsid w:val="006836D3"/>
    <w:rsid w:val="00683DAD"/>
    <w:rsid w:val="00684592"/>
    <w:rsid w:val="00684963"/>
    <w:rsid w:val="00685033"/>
    <w:rsid w:val="0068517F"/>
    <w:rsid w:val="00685D65"/>
    <w:rsid w:val="00685FC8"/>
    <w:rsid w:val="00686E80"/>
    <w:rsid w:val="00686FA0"/>
    <w:rsid w:val="0068790B"/>
    <w:rsid w:val="00687AF2"/>
    <w:rsid w:val="006901AC"/>
    <w:rsid w:val="00690C8D"/>
    <w:rsid w:val="00691890"/>
    <w:rsid w:val="00691AAD"/>
    <w:rsid w:val="00692416"/>
    <w:rsid w:val="00692AFF"/>
    <w:rsid w:val="00692D2D"/>
    <w:rsid w:val="00693B73"/>
    <w:rsid w:val="006945A1"/>
    <w:rsid w:val="00694A53"/>
    <w:rsid w:val="006952DE"/>
    <w:rsid w:val="00695985"/>
    <w:rsid w:val="00695C78"/>
    <w:rsid w:val="00695E6C"/>
    <w:rsid w:val="00695EAC"/>
    <w:rsid w:val="00696C79"/>
    <w:rsid w:val="00697068"/>
    <w:rsid w:val="006977DE"/>
    <w:rsid w:val="00697CE7"/>
    <w:rsid w:val="00697D5F"/>
    <w:rsid w:val="006A035B"/>
    <w:rsid w:val="006A0582"/>
    <w:rsid w:val="006A060C"/>
    <w:rsid w:val="006A06F8"/>
    <w:rsid w:val="006A071C"/>
    <w:rsid w:val="006A0DC7"/>
    <w:rsid w:val="006A150D"/>
    <w:rsid w:val="006A1B00"/>
    <w:rsid w:val="006A2766"/>
    <w:rsid w:val="006A39D0"/>
    <w:rsid w:val="006A3E91"/>
    <w:rsid w:val="006A430B"/>
    <w:rsid w:val="006A4321"/>
    <w:rsid w:val="006A4788"/>
    <w:rsid w:val="006A4E20"/>
    <w:rsid w:val="006A4F11"/>
    <w:rsid w:val="006A563C"/>
    <w:rsid w:val="006A5A6F"/>
    <w:rsid w:val="006A5F7E"/>
    <w:rsid w:val="006A6786"/>
    <w:rsid w:val="006A7C29"/>
    <w:rsid w:val="006B0580"/>
    <w:rsid w:val="006B0DA2"/>
    <w:rsid w:val="006B0F70"/>
    <w:rsid w:val="006B1486"/>
    <w:rsid w:val="006B169F"/>
    <w:rsid w:val="006B1BEB"/>
    <w:rsid w:val="006B1D06"/>
    <w:rsid w:val="006B2506"/>
    <w:rsid w:val="006B2823"/>
    <w:rsid w:val="006B29DC"/>
    <w:rsid w:val="006B2E37"/>
    <w:rsid w:val="006B2F60"/>
    <w:rsid w:val="006B33DB"/>
    <w:rsid w:val="006B33DD"/>
    <w:rsid w:val="006B3669"/>
    <w:rsid w:val="006B36E5"/>
    <w:rsid w:val="006B3D00"/>
    <w:rsid w:val="006B4CF8"/>
    <w:rsid w:val="006B506B"/>
    <w:rsid w:val="006B54E8"/>
    <w:rsid w:val="006B5FBC"/>
    <w:rsid w:val="006B6ED2"/>
    <w:rsid w:val="006B7F74"/>
    <w:rsid w:val="006C0230"/>
    <w:rsid w:val="006C05C7"/>
    <w:rsid w:val="006C0EBF"/>
    <w:rsid w:val="006C25AB"/>
    <w:rsid w:val="006C2DA6"/>
    <w:rsid w:val="006C3581"/>
    <w:rsid w:val="006C39A0"/>
    <w:rsid w:val="006C3EFE"/>
    <w:rsid w:val="006C46C7"/>
    <w:rsid w:val="006C4767"/>
    <w:rsid w:val="006C4A1A"/>
    <w:rsid w:val="006C4D02"/>
    <w:rsid w:val="006C53A4"/>
    <w:rsid w:val="006C54DF"/>
    <w:rsid w:val="006C5D2E"/>
    <w:rsid w:val="006C5D5D"/>
    <w:rsid w:val="006C627E"/>
    <w:rsid w:val="006C6303"/>
    <w:rsid w:val="006C6A51"/>
    <w:rsid w:val="006C6EBD"/>
    <w:rsid w:val="006C7E04"/>
    <w:rsid w:val="006C7F79"/>
    <w:rsid w:val="006D0004"/>
    <w:rsid w:val="006D015F"/>
    <w:rsid w:val="006D060E"/>
    <w:rsid w:val="006D0665"/>
    <w:rsid w:val="006D0681"/>
    <w:rsid w:val="006D0A80"/>
    <w:rsid w:val="006D0AE8"/>
    <w:rsid w:val="006D135C"/>
    <w:rsid w:val="006D2F72"/>
    <w:rsid w:val="006D43C1"/>
    <w:rsid w:val="006D5442"/>
    <w:rsid w:val="006D6E4E"/>
    <w:rsid w:val="006D7A7B"/>
    <w:rsid w:val="006D7A8E"/>
    <w:rsid w:val="006D7C59"/>
    <w:rsid w:val="006E00E3"/>
    <w:rsid w:val="006E045C"/>
    <w:rsid w:val="006E0569"/>
    <w:rsid w:val="006E065E"/>
    <w:rsid w:val="006E0849"/>
    <w:rsid w:val="006E11D6"/>
    <w:rsid w:val="006E17AC"/>
    <w:rsid w:val="006E189B"/>
    <w:rsid w:val="006E20D9"/>
    <w:rsid w:val="006E27DC"/>
    <w:rsid w:val="006E2902"/>
    <w:rsid w:val="006E2F9D"/>
    <w:rsid w:val="006E37C6"/>
    <w:rsid w:val="006E3CF3"/>
    <w:rsid w:val="006E41ED"/>
    <w:rsid w:val="006E4667"/>
    <w:rsid w:val="006E46B7"/>
    <w:rsid w:val="006E475A"/>
    <w:rsid w:val="006E486D"/>
    <w:rsid w:val="006E4880"/>
    <w:rsid w:val="006E48BB"/>
    <w:rsid w:val="006E4C35"/>
    <w:rsid w:val="006E727B"/>
    <w:rsid w:val="006E76C8"/>
    <w:rsid w:val="006E7A92"/>
    <w:rsid w:val="006F01FF"/>
    <w:rsid w:val="006F0CB2"/>
    <w:rsid w:val="006F1DE9"/>
    <w:rsid w:val="006F2046"/>
    <w:rsid w:val="006F2F59"/>
    <w:rsid w:val="006F311E"/>
    <w:rsid w:val="006F3442"/>
    <w:rsid w:val="006F36A5"/>
    <w:rsid w:val="006F41F4"/>
    <w:rsid w:val="006F4576"/>
    <w:rsid w:val="006F49D2"/>
    <w:rsid w:val="006F4D5F"/>
    <w:rsid w:val="006F5813"/>
    <w:rsid w:val="006F59A8"/>
    <w:rsid w:val="006F5A1D"/>
    <w:rsid w:val="006F71A6"/>
    <w:rsid w:val="006F7974"/>
    <w:rsid w:val="006F7C2C"/>
    <w:rsid w:val="006F7FD5"/>
    <w:rsid w:val="00700405"/>
    <w:rsid w:val="00700D18"/>
    <w:rsid w:val="0070168D"/>
    <w:rsid w:val="00701C36"/>
    <w:rsid w:val="00702F2D"/>
    <w:rsid w:val="0070353F"/>
    <w:rsid w:val="0070415E"/>
    <w:rsid w:val="00704631"/>
    <w:rsid w:val="00704B79"/>
    <w:rsid w:val="00704E7D"/>
    <w:rsid w:val="00705060"/>
    <w:rsid w:val="00705351"/>
    <w:rsid w:val="00705619"/>
    <w:rsid w:val="00705E93"/>
    <w:rsid w:val="007062AF"/>
    <w:rsid w:val="00706637"/>
    <w:rsid w:val="007069AE"/>
    <w:rsid w:val="007069D4"/>
    <w:rsid w:val="00706C89"/>
    <w:rsid w:val="00707967"/>
    <w:rsid w:val="00710257"/>
    <w:rsid w:val="00710587"/>
    <w:rsid w:val="007107D5"/>
    <w:rsid w:val="007119DC"/>
    <w:rsid w:val="00711CC7"/>
    <w:rsid w:val="0071230A"/>
    <w:rsid w:val="0071294A"/>
    <w:rsid w:val="00712BDD"/>
    <w:rsid w:val="00712E1E"/>
    <w:rsid w:val="00712F37"/>
    <w:rsid w:val="00713A6B"/>
    <w:rsid w:val="00713CB5"/>
    <w:rsid w:val="0071499C"/>
    <w:rsid w:val="00714F9D"/>
    <w:rsid w:val="007154D8"/>
    <w:rsid w:val="00715577"/>
    <w:rsid w:val="0071604D"/>
    <w:rsid w:val="00716C67"/>
    <w:rsid w:val="007170AB"/>
    <w:rsid w:val="0071779C"/>
    <w:rsid w:val="00717808"/>
    <w:rsid w:val="007208A7"/>
    <w:rsid w:val="00720B3D"/>
    <w:rsid w:val="00720B6A"/>
    <w:rsid w:val="007210F6"/>
    <w:rsid w:val="0072129A"/>
    <w:rsid w:val="0072139F"/>
    <w:rsid w:val="0072198A"/>
    <w:rsid w:val="00721AD9"/>
    <w:rsid w:val="00721FC3"/>
    <w:rsid w:val="00722A86"/>
    <w:rsid w:val="00722BC6"/>
    <w:rsid w:val="00722C69"/>
    <w:rsid w:val="0072311F"/>
    <w:rsid w:val="0072388C"/>
    <w:rsid w:val="0072454E"/>
    <w:rsid w:val="007249D1"/>
    <w:rsid w:val="00724FE4"/>
    <w:rsid w:val="00725829"/>
    <w:rsid w:val="00725D6A"/>
    <w:rsid w:val="007263A2"/>
    <w:rsid w:val="007266B9"/>
    <w:rsid w:val="00727351"/>
    <w:rsid w:val="00727AC5"/>
    <w:rsid w:val="00727C65"/>
    <w:rsid w:val="007300F0"/>
    <w:rsid w:val="00730904"/>
    <w:rsid w:val="00731EDE"/>
    <w:rsid w:val="0073245C"/>
    <w:rsid w:val="00732493"/>
    <w:rsid w:val="00732FE9"/>
    <w:rsid w:val="00733772"/>
    <w:rsid w:val="00733A43"/>
    <w:rsid w:val="00733AE4"/>
    <w:rsid w:val="00733D5F"/>
    <w:rsid w:val="00734932"/>
    <w:rsid w:val="00735D53"/>
    <w:rsid w:val="0073618A"/>
    <w:rsid w:val="007364A3"/>
    <w:rsid w:val="00736740"/>
    <w:rsid w:val="007378FD"/>
    <w:rsid w:val="007403FE"/>
    <w:rsid w:val="007413EB"/>
    <w:rsid w:val="007413FB"/>
    <w:rsid w:val="00742CF8"/>
    <w:rsid w:val="00742D32"/>
    <w:rsid w:val="00742E9B"/>
    <w:rsid w:val="007444E6"/>
    <w:rsid w:val="00745844"/>
    <w:rsid w:val="0074592C"/>
    <w:rsid w:val="00745C91"/>
    <w:rsid w:val="00746098"/>
    <w:rsid w:val="00746814"/>
    <w:rsid w:val="00746D58"/>
    <w:rsid w:val="00746E93"/>
    <w:rsid w:val="00747578"/>
    <w:rsid w:val="00750D12"/>
    <w:rsid w:val="00751073"/>
    <w:rsid w:val="00751AF2"/>
    <w:rsid w:val="00751B1A"/>
    <w:rsid w:val="00751BD2"/>
    <w:rsid w:val="00751CE5"/>
    <w:rsid w:val="00752188"/>
    <w:rsid w:val="00752CC6"/>
    <w:rsid w:val="00753938"/>
    <w:rsid w:val="00753A57"/>
    <w:rsid w:val="007543CE"/>
    <w:rsid w:val="0075497E"/>
    <w:rsid w:val="00754A29"/>
    <w:rsid w:val="00755B6F"/>
    <w:rsid w:val="00755BCF"/>
    <w:rsid w:val="00756C5F"/>
    <w:rsid w:val="00756D69"/>
    <w:rsid w:val="0075701B"/>
    <w:rsid w:val="00757029"/>
    <w:rsid w:val="007571FD"/>
    <w:rsid w:val="0075723D"/>
    <w:rsid w:val="007602D4"/>
    <w:rsid w:val="00760B79"/>
    <w:rsid w:val="00760D96"/>
    <w:rsid w:val="0076124A"/>
    <w:rsid w:val="0076161B"/>
    <w:rsid w:val="0076182A"/>
    <w:rsid w:val="00761950"/>
    <w:rsid w:val="00761CB5"/>
    <w:rsid w:val="0076216B"/>
    <w:rsid w:val="00762948"/>
    <w:rsid w:val="00762A81"/>
    <w:rsid w:val="00763137"/>
    <w:rsid w:val="00763AED"/>
    <w:rsid w:val="00763BF0"/>
    <w:rsid w:val="00763F8B"/>
    <w:rsid w:val="007640F3"/>
    <w:rsid w:val="0076417E"/>
    <w:rsid w:val="0076497F"/>
    <w:rsid w:val="007660EC"/>
    <w:rsid w:val="007662C7"/>
    <w:rsid w:val="00766862"/>
    <w:rsid w:val="007675DD"/>
    <w:rsid w:val="007702BF"/>
    <w:rsid w:val="007705F0"/>
    <w:rsid w:val="00771CAC"/>
    <w:rsid w:val="00772036"/>
    <w:rsid w:val="00772AD2"/>
    <w:rsid w:val="00773098"/>
    <w:rsid w:val="007739A3"/>
    <w:rsid w:val="00773BD9"/>
    <w:rsid w:val="00773CB0"/>
    <w:rsid w:val="00773D71"/>
    <w:rsid w:val="00775526"/>
    <w:rsid w:val="00775651"/>
    <w:rsid w:val="00775F3F"/>
    <w:rsid w:val="0077710B"/>
    <w:rsid w:val="0077765A"/>
    <w:rsid w:val="007776E8"/>
    <w:rsid w:val="007778AE"/>
    <w:rsid w:val="00780032"/>
    <w:rsid w:val="00780636"/>
    <w:rsid w:val="00780E86"/>
    <w:rsid w:val="0078108C"/>
    <w:rsid w:val="00781727"/>
    <w:rsid w:val="007823E8"/>
    <w:rsid w:val="00782CF3"/>
    <w:rsid w:val="00783959"/>
    <w:rsid w:val="00783BA5"/>
    <w:rsid w:val="007844A9"/>
    <w:rsid w:val="00785091"/>
    <w:rsid w:val="0078638C"/>
    <w:rsid w:val="007869F9"/>
    <w:rsid w:val="00786CBB"/>
    <w:rsid w:val="00786E21"/>
    <w:rsid w:val="0079038E"/>
    <w:rsid w:val="00790EBB"/>
    <w:rsid w:val="00791C6E"/>
    <w:rsid w:val="007921F7"/>
    <w:rsid w:val="00792909"/>
    <w:rsid w:val="00792BC6"/>
    <w:rsid w:val="00792C3F"/>
    <w:rsid w:val="00792EE2"/>
    <w:rsid w:val="00792EFD"/>
    <w:rsid w:val="00793105"/>
    <w:rsid w:val="007931E8"/>
    <w:rsid w:val="00793333"/>
    <w:rsid w:val="00794158"/>
    <w:rsid w:val="00794509"/>
    <w:rsid w:val="00794E46"/>
    <w:rsid w:val="007952DE"/>
    <w:rsid w:val="00795479"/>
    <w:rsid w:val="00796134"/>
    <w:rsid w:val="00796292"/>
    <w:rsid w:val="007965D9"/>
    <w:rsid w:val="00796BA2"/>
    <w:rsid w:val="007972D5"/>
    <w:rsid w:val="0079778D"/>
    <w:rsid w:val="00797D73"/>
    <w:rsid w:val="007A006C"/>
    <w:rsid w:val="007A0789"/>
    <w:rsid w:val="007A130E"/>
    <w:rsid w:val="007A18B1"/>
    <w:rsid w:val="007A1BBD"/>
    <w:rsid w:val="007A1F08"/>
    <w:rsid w:val="007A2555"/>
    <w:rsid w:val="007A25FA"/>
    <w:rsid w:val="007A2DB8"/>
    <w:rsid w:val="007A2FCB"/>
    <w:rsid w:val="007A3520"/>
    <w:rsid w:val="007A3604"/>
    <w:rsid w:val="007A3878"/>
    <w:rsid w:val="007A3D85"/>
    <w:rsid w:val="007A3E0D"/>
    <w:rsid w:val="007A436D"/>
    <w:rsid w:val="007A54F6"/>
    <w:rsid w:val="007A55FE"/>
    <w:rsid w:val="007A582C"/>
    <w:rsid w:val="007A5950"/>
    <w:rsid w:val="007A6D91"/>
    <w:rsid w:val="007A7618"/>
    <w:rsid w:val="007B00C9"/>
    <w:rsid w:val="007B02C7"/>
    <w:rsid w:val="007B0306"/>
    <w:rsid w:val="007B08E4"/>
    <w:rsid w:val="007B0D86"/>
    <w:rsid w:val="007B28C3"/>
    <w:rsid w:val="007B3A8E"/>
    <w:rsid w:val="007B3C9B"/>
    <w:rsid w:val="007B4271"/>
    <w:rsid w:val="007B497D"/>
    <w:rsid w:val="007B4EE9"/>
    <w:rsid w:val="007B5234"/>
    <w:rsid w:val="007B54C7"/>
    <w:rsid w:val="007B5637"/>
    <w:rsid w:val="007B5DC5"/>
    <w:rsid w:val="007B5F32"/>
    <w:rsid w:val="007B63FC"/>
    <w:rsid w:val="007B6708"/>
    <w:rsid w:val="007B6C20"/>
    <w:rsid w:val="007B6E8D"/>
    <w:rsid w:val="007C029E"/>
    <w:rsid w:val="007C0636"/>
    <w:rsid w:val="007C10E4"/>
    <w:rsid w:val="007C17B4"/>
    <w:rsid w:val="007C20F8"/>
    <w:rsid w:val="007C21C5"/>
    <w:rsid w:val="007C2229"/>
    <w:rsid w:val="007C2313"/>
    <w:rsid w:val="007C3590"/>
    <w:rsid w:val="007C387A"/>
    <w:rsid w:val="007C3A0D"/>
    <w:rsid w:val="007C3EB0"/>
    <w:rsid w:val="007C43D6"/>
    <w:rsid w:val="007C47FF"/>
    <w:rsid w:val="007C60A8"/>
    <w:rsid w:val="007C660F"/>
    <w:rsid w:val="007C6664"/>
    <w:rsid w:val="007C66FF"/>
    <w:rsid w:val="007C69AE"/>
    <w:rsid w:val="007C6FE9"/>
    <w:rsid w:val="007C7688"/>
    <w:rsid w:val="007C76E3"/>
    <w:rsid w:val="007C76F3"/>
    <w:rsid w:val="007C7DD9"/>
    <w:rsid w:val="007D03BC"/>
    <w:rsid w:val="007D0DC9"/>
    <w:rsid w:val="007D0ECD"/>
    <w:rsid w:val="007D2882"/>
    <w:rsid w:val="007D296C"/>
    <w:rsid w:val="007D2C31"/>
    <w:rsid w:val="007D2E50"/>
    <w:rsid w:val="007D3D74"/>
    <w:rsid w:val="007D445F"/>
    <w:rsid w:val="007D4DED"/>
    <w:rsid w:val="007D5BA2"/>
    <w:rsid w:val="007D5ED3"/>
    <w:rsid w:val="007D682F"/>
    <w:rsid w:val="007D6FB9"/>
    <w:rsid w:val="007D7211"/>
    <w:rsid w:val="007E0595"/>
    <w:rsid w:val="007E0A63"/>
    <w:rsid w:val="007E0C63"/>
    <w:rsid w:val="007E0E05"/>
    <w:rsid w:val="007E0F5D"/>
    <w:rsid w:val="007E1C5D"/>
    <w:rsid w:val="007E23A1"/>
    <w:rsid w:val="007E259F"/>
    <w:rsid w:val="007E347E"/>
    <w:rsid w:val="007E41A4"/>
    <w:rsid w:val="007E43E3"/>
    <w:rsid w:val="007E54B8"/>
    <w:rsid w:val="007E5D12"/>
    <w:rsid w:val="007E6420"/>
    <w:rsid w:val="007E677F"/>
    <w:rsid w:val="007E6B25"/>
    <w:rsid w:val="007E6E06"/>
    <w:rsid w:val="007E6F4A"/>
    <w:rsid w:val="007E79CC"/>
    <w:rsid w:val="007F1124"/>
    <w:rsid w:val="007F152D"/>
    <w:rsid w:val="007F20C4"/>
    <w:rsid w:val="007F20EE"/>
    <w:rsid w:val="007F23D8"/>
    <w:rsid w:val="007F3030"/>
    <w:rsid w:val="007F307A"/>
    <w:rsid w:val="007F30C6"/>
    <w:rsid w:val="007F38FD"/>
    <w:rsid w:val="007F3C18"/>
    <w:rsid w:val="007F4318"/>
    <w:rsid w:val="007F4709"/>
    <w:rsid w:val="007F47DA"/>
    <w:rsid w:val="007F4E52"/>
    <w:rsid w:val="007F4F84"/>
    <w:rsid w:val="007F5382"/>
    <w:rsid w:val="007F55A4"/>
    <w:rsid w:val="007F5D28"/>
    <w:rsid w:val="007F6260"/>
    <w:rsid w:val="007F682B"/>
    <w:rsid w:val="007F78E8"/>
    <w:rsid w:val="007F7F8F"/>
    <w:rsid w:val="00800509"/>
    <w:rsid w:val="0080078E"/>
    <w:rsid w:val="00800B7F"/>
    <w:rsid w:val="008012B1"/>
    <w:rsid w:val="00801D63"/>
    <w:rsid w:val="0080348B"/>
    <w:rsid w:val="00803D82"/>
    <w:rsid w:val="00803D98"/>
    <w:rsid w:val="008052CE"/>
    <w:rsid w:val="008058D0"/>
    <w:rsid w:val="00806A4C"/>
    <w:rsid w:val="00806FED"/>
    <w:rsid w:val="0080705B"/>
    <w:rsid w:val="0080723C"/>
    <w:rsid w:val="00807F71"/>
    <w:rsid w:val="0081000F"/>
    <w:rsid w:val="00812657"/>
    <w:rsid w:val="00812A1A"/>
    <w:rsid w:val="00812DFF"/>
    <w:rsid w:val="0081362F"/>
    <w:rsid w:val="0081383A"/>
    <w:rsid w:val="0081497F"/>
    <w:rsid w:val="00814B90"/>
    <w:rsid w:val="00814FC7"/>
    <w:rsid w:val="0081660C"/>
    <w:rsid w:val="00816AD8"/>
    <w:rsid w:val="00817195"/>
    <w:rsid w:val="00817416"/>
    <w:rsid w:val="00817658"/>
    <w:rsid w:val="008206AE"/>
    <w:rsid w:val="00821271"/>
    <w:rsid w:val="00821306"/>
    <w:rsid w:val="008213D9"/>
    <w:rsid w:val="008216CE"/>
    <w:rsid w:val="008218AE"/>
    <w:rsid w:val="00821D85"/>
    <w:rsid w:val="00821E47"/>
    <w:rsid w:val="008220F6"/>
    <w:rsid w:val="00822456"/>
    <w:rsid w:val="00823819"/>
    <w:rsid w:val="00823C4B"/>
    <w:rsid w:val="0082427D"/>
    <w:rsid w:val="00825441"/>
    <w:rsid w:val="00826855"/>
    <w:rsid w:val="00826E73"/>
    <w:rsid w:val="00830052"/>
    <w:rsid w:val="008300D0"/>
    <w:rsid w:val="008308D8"/>
    <w:rsid w:val="00830ECE"/>
    <w:rsid w:val="008320D2"/>
    <w:rsid w:val="008321CE"/>
    <w:rsid w:val="0083257C"/>
    <w:rsid w:val="0083261B"/>
    <w:rsid w:val="00832B44"/>
    <w:rsid w:val="00832EC9"/>
    <w:rsid w:val="00833307"/>
    <w:rsid w:val="00833583"/>
    <w:rsid w:val="00833B5B"/>
    <w:rsid w:val="00833E9A"/>
    <w:rsid w:val="00834FEF"/>
    <w:rsid w:val="00836323"/>
    <w:rsid w:val="008379FF"/>
    <w:rsid w:val="00837D3D"/>
    <w:rsid w:val="00837E9B"/>
    <w:rsid w:val="008404AA"/>
    <w:rsid w:val="008406D7"/>
    <w:rsid w:val="0084074F"/>
    <w:rsid w:val="008407BA"/>
    <w:rsid w:val="00840AA3"/>
    <w:rsid w:val="00840AAC"/>
    <w:rsid w:val="0084101C"/>
    <w:rsid w:val="0084181B"/>
    <w:rsid w:val="00841F29"/>
    <w:rsid w:val="00841FAE"/>
    <w:rsid w:val="0084218B"/>
    <w:rsid w:val="008425CC"/>
    <w:rsid w:val="00842DC2"/>
    <w:rsid w:val="0084357B"/>
    <w:rsid w:val="008465B4"/>
    <w:rsid w:val="00846D25"/>
    <w:rsid w:val="00850013"/>
    <w:rsid w:val="008500DD"/>
    <w:rsid w:val="00850A0A"/>
    <w:rsid w:val="00850A94"/>
    <w:rsid w:val="00851CEF"/>
    <w:rsid w:val="00851E96"/>
    <w:rsid w:val="00851F1C"/>
    <w:rsid w:val="0085237B"/>
    <w:rsid w:val="00852FA5"/>
    <w:rsid w:val="00853864"/>
    <w:rsid w:val="00853F7D"/>
    <w:rsid w:val="0085517F"/>
    <w:rsid w:val="0085562D"/>
    <w:rsid w:val="00855A78"/>
    <w:rsid w:val="00856154"/>
    <w:rsid w:val="00856286"/>
    <w:rsid w:val="0085657E"/>
    <w:rsid w:val="00856F0E"/>
    <w:rsid w:val="008573AF"/>
    <w:rsid w:val="008576B0"/>
    <w:rsid w:val="00860296"/>
    <w:rsid w:val="008602E3"/>
    <w:rsid w:val="00860DA4"/>
    <w:rsid w:val="00861146"/>
    <w:rsid w:val="00861948"/>
    <w:rsid w:val="00862011"/>
    <w:rsid w:val="00862A15"/>
    <w:rsid w:val="00862CC9"/>
    <w:rsid w:val="00862D8E"/>
    <w:rsid w:val="00862EF2"/>
    <w:rsid w:val="0086598A"/>
    <w:rsid w:val="00865C3D"/>
    <w:rsid w:val="00865F4C"/>
    <w:rsid w:val="00866453"/>
    <w:rsid w:val="0086707F"/>
    <w:rsid w:val="00867501"/>
    <w:rsid w:val="00867D8E"/>
    <w:rsid w:val="008700C0"/>
    <w:rsid w:val="0087058B"/>
    <w:rsid w:val="0087099A"/>
    <w:rsid w:val="00870D79"/>
    <w:rsid w:val="00871333"/>
    <w:rsid w:val="00871952"/>
    <w:rsid w:val="00872006"/>
    <w:rsid w:val="00872386"/>
    <w:rsid w:val="008726D7"/>
    <w:rsid w:val="008730BB"/>
    <w:rsid w:val="00873128"/>
    <w:rsid w:val="008735BC"/>
    <w:rsid w:val="00873AAC"/>
    <w:rsid w:val="00873C61"/>
    <w:rsid w:val="00873DFD"/>
    <w:rsid w:val="008749BF"/>
    <w:rsid w:val="008754E2"/>
    <w:rsid w:val="00875542"/>
    <w:rsid w:val="00875E14"/>
    <w:rsid w:val="0087677E"/>
    <w:rsid w:val="0087712C"/>
    <w:rsid w:val="008776E7"/>
    <w:rsid w:val="00877746"/>
    <w:rsid w:val="00877C5D"/>
    <w:rsid w:val="00880354"/>
    <w:rsid w:val="0088093C"/>
    <w:rsid w:val="00880BC0"/>
    <w:rsid w:val="0088127A"/>
    <w:rsid w:val="00881D59"/>
    <w:rsid w:val="00882991"/>
    <w:rsid w:val="00882EC1"/>
    <w:rsid w:val="0088324E"/>
    <w:rsid w:val="0088434F"/>
    <w:rsid w:val="00884371"/>
    <w:rsid w:val="008848E2"/>
    <w:rsid w:val="00884B7A"/>
    <w:rsid w:val="00884D47"/>
    <w:rsid w:val="008856C5"/>
    <w:rsid w:val="00885D58"/>
    <w:rsid w:val="00886112"/>
    <w:rsid w:val="008872B3"/>
    <w:rsid w:val="00887392"/>
    <w:rsid w:val="00887A89"/>
    <w:rsid w:val="00890A64"/>
    <w:rsid w:val="00890C40"/>
    <w:rsid w:val="0089122E"/>
    <w:rsid w:val="008912A7"/>
    <w:rsid w:val="0089183A"/>
    <w:rsid w:val="008920B4"/>
    <w:rsid w:val="008925EB"/>
    <w:rsid w:val="0089275E"/>
    <w:rsid w:val="00892B43"/>
    <w:rsid w:val="00893432"/>
    <w:rsid w:val="00893936"/>
    <w:rsid w:val="00893CE2"/>
    <w:rsid w:val="00893F41"/>
    <w:rsid w:val="00895144"/>
    <w:rsid w:val="00895963"/>
    <w:rsid w:val="0089653D"/>
    <w:rsid w:val="008972B6"/>
    <w:rsid w:val="00897339"/>
    <w:rsid w:val="00897697"/>
    <w:rsid w:val="008977E1"/>
    <w:rsid w:val="00897BFA"/>
    <w:rsid w:val="00897D19"/>
    <w:rsid w:val="008A0044"/>
    <w:rsid w:val="008A0BFE"/>
    <w:rsid w:val="008A1932"/>
    <w:rsid w:val="008A21D9"/>
    <w:rsid w:val="008A232D"/>
    <w:rsid w:val="008A3182"/>
    <w:rsid w:val="008A3C76"/>
    <w:rsid w:val="008A3D54"/>
    <w:rsid w:val="008A3E10"/>
    <w:rsid w:val="008A411C"/>
    <w:rsid w:val="008A45AC"/>
    <w:rsid w:val="008A4630"/>
    <w:rsid w:val="008A47CE"/>
    <w:rsid w:val="008A4DFA"/>
    <w:rsid w:val="008A5F2F"/>
    <w:rsid w:val="008A6BAE"/>
    <w:rsid w:val="008A7350"/>
    <w:rsid w:val="008A7A72"/>
    <w:rsid w:val="008B09F3"/>
    <w:rsid w:val="008B111A"/>
    <w:rsid w:val="008B16E6"/>
    <w:rsid w:val="008B1AB2"/>
    <w:rsid w:val="008B1D9B"/>
    <w:rsid w:val="008B2042"/>
    <w:rsid w:val="008B25F1"/>
    <w:rsid w:val="008B3567"/>
    <w:rsid w:val="008B36D0"/>
    <w:rsid w:val="008B38AF"/>
    <w:rsid w:val="008B3D7F"/>
    <w:rsid w:val="008B3E1B"/>
    <w:rsid w:val="008B3F4B"/>
    <w:rsid w:val="008B48EC"/>
    <w:rsid w:val="008B4AF0"/>
    <w:rsid w:val="008B518E"/>
    <w:rsid w:val="008B527B"/>
    <w:rsid w:val="008B5AB9"/>
    <w:rsid w:val="008B67E6"/>
    <w:rsid w:val="008B69B8"/>
    <w:rsid w:val="008B7042"/>
    <w:rsid w:val="008B770C"/>
    <w:rsid w:val="008C0325"/>
    <w:rsid w:val="008C094A"/>
    <w:rsid w:val="008C1570"/>
    <w:rsid w:val="008C1792"/>
    <w:rsid w:val="008C17B2"/>
    <w:rsid w:val="008C1E3E"/>
    <w:rsid w:val="008C2059"/>
    <w:rsid w:val="008C21D0"/>
    <w:rsid w:val="008C2DBC"/>
    <w:rsid w:val="008C3A4E"/>
    <w:rsid w:val="008C5371"/>
    <w:rsid w:val="008C623D"/>
    <w:rsid w:val="008C65F4"/>
    <w:rsid w:val="008C6683"/>
    <w:rsid w:val="008C6E0C"/>
    <w:rsid w:val="008C7273"/>
    <w:rsid w:val="008C78F8"/>
    <w:rsid w:val="008D0254"/>
    <w:rsid w:val="008D05DF"/>
    <w:rsid w:val="008D09E8"/>
    <w:rsid w:val="008D0E65"/>
    <w:rsid w:val="008D110A"/>
    <w:rsid w:val="008D1612"/>
    <w:rsid w:val="008D2259"/>
    <w:rsid w:val="008D2531"/>
    <w:rsid w:val="008D2833"/>
    <w:rsid w:val="008D2A5B"/>
    <w:rsid w:val="008D313A"/>
    <w:rsid w:val="008D3381"/>
    <w:rsid w:val="008D33FE"/>
    <w:rsid w:val="008D3B9F"/>
    <w:rsid w:val="008D3D02"/>
    <w:rsid w:val="008D3D5A"/>
    <w:rsid w:val="008D4226"/>
    <w:rsid w:val="008D4D7C"/>
    <w:rsid w:val="008D4EE8"/>
    <w:rsid w:val="008D5432"/>
    <w:rsid w:val="008D54C0"/>
    <w:rsid w:val="008D5558"/>
    <w:rsid w:val="008D5806"/>
    <w:rsid w:val="008D5ED9"/>
    <w:rsid w:val="008D65BE"/>
    <w:rsid w:val="008D7247"/>
    <w:rsid w:val="008D7567"/>
    <w:rsid w:val="008E0EE4"/>
    <w:rsid w:val="008E12BE"/>
    <w:rsid w:val="008E13FD"/>
    <w:rsid w:val="008E1C24"/>
    <w:rsid w:val="008E2626"/>
    <w:rsid w:val="008E27A9"/>
    <w:rsid w:val="008E323C"/>
    <w:rsid w:val="008E32E0"/>
    <w:rsid w:val="008E35A6"/>
    <w:rsid w:val="008E36D9"/>
    <w:rsid w:val="008E3A5C"/>
    <w:rsid w:val="008E3A9A"/>
    <w:rsid w:val="008E429E"/>
    <w:rsid w:val="008E58A3"/>
    <w:rsid w:val="008E5938"/>
    <w:rsid w:val="008E6109"/>
    <w:rsid w:val="008E6A39"/>
    <w:rsid w:val="008E76BB"/>
    <w:rsid w:val="008F1764"/>
    <w:rsid w:val="008F1E3D"/>
    <w:rsid w:val="008F235C"/>
    <w:rsid w:val="008F290B"/>
    <w:rsid w:val="008F2D6B"/>
    <w:rsid w:val="008F2F11"/>
    <w:rsid w:val="008F3369"/>
    <w:rsid w:val="008F33A6"/>
    <w:rsid w:val="008F35EC"/>
    <w:rsid w:val="008F4FE8"/>
    <w:rsid w:val="008F4FED"/>
    <w:rsid w:val="008F5D5A"/>
    <w:rsid w:val="008F60F3"/>
    <w:rsid w:val="008F6200"/>
    <w:rsid w:val="008F62F8"/>
    <w:rsid w:val="008F6893"/>
    <w:rsid w:val="008F7292"/>
    <w:rsid w:val="008F76C0"/>
    <w:rsid w:val="009000F2"/>
    <w:rsid w:val="0090079D"/>
    <w:rsid w:val="0090086A"/>
    <w:rsid w:val="00900D2C"/>
    <w:rsid w:val="00901807"/>
    <w:rsid w:val="00901F0E"/>
    <w:rsid w:val="00902A26"/>
    <w:rsid w:val="00902A57"/>
    <w:rsid w:val="00902B29"/>
    <w:rsid w:val="00903C83"/>
    <w:rsid w:val="00903D77"/>
    <w:rsid w:val="0090408F"/>
    <w:rsid w:val="0090446A"/>
    <w:rsid w:val="00904537"/>
    <w:rsid w:val="00904DC3"/>
    <w:rsid w:val="0090534A"/>
    <w:rsid w:val="00905469"/>
    <w:rsid w:val="00906078"/>
    <w:rsid w:val="0090629C"/>
    <w:rsid w:val="00906EA2"/>
    <w:rsid w:val="00907278"/>
    <w:rsid w:val="009076CA"/>
    <w:rsid w:val="00910041"/>
    <w:rsid w:val="0091112B"/>
    <w:rsid w:val="00911D61"/>
    <w:rsid w:val="00912850"/>
    <w:rsid w:val="009128B8"/>
    <w:rsid w:val="009141F2"/>
    <w:rsid w:val="0091472C"/>
    <w:rsid w:val="00914DC9"/>
    <w:rsid w:val="00915243"/>
    <w:rsid w:val="00915351"/>
    <w:rsid w:val="00915679"/>
    <w:rsid w:val="009159C2"/>
    <w:rsid w:val="0091627F"/>
    <w:rsid w:val="00916E45"/>
    <w:rsid w:val="0092077A"/>
    <w:rsid w:val="00920DC0"/>
    <w:rsid w:val="009219F3"/>
    <w:rsid w:val="009221CB"/>
    <w:rsid w:val="00922320"/>
    <w:rsid w:val="00923643"/>
    <w:rsid w:val="00923E1A"/>
    <w:rsid w:val="009245CC"/>
    <w:rsid w:val="0092490A"/>
    <w:rsid w:val="00924E4B"/>
    <w:rsid w:val="00925A3E"/>
    <w:rsid w:val="009261DB"/>
    <w:rsid w:val="00926939"/>
    <w:rsid w:val="00926F4C"/>
    <w:rsid w:val="00927330"/>
    <w:rsid w:val="00927710"/>
    <w:rsid w:val="009307CA"/>
    <w:rsid w:val="009312F9"/>
    <w:rsid w:val="00931445"/>
    <w:rsid w:val="00931AB8"/>
    <w:rsid w:val="00931C19"/>
    <w:rsid w:val="00931C63"/>
    <w:rsid w:val="00931D10"/>
    <w:rsid w:val="0093218A"/>
    <w:rsid w:val="0093386D"/>
    <w:rsid w:val="00934C8E"/>
    <w:rsid w:val="00935194"/>
    <w:rsid w:val="0093545F"/>
    <w:rsid w:val="00936EA5"/>
    <w:rsid w:val="00937114"/>
    <w:rsid w:val="0094015D"/>
    <w:rsid w:val="00940916"/>
    <w:rsid w:val="009412B7"/>
    <w:rsid w:val="00941B13"/>
    <w:rsid w:val="0094215C"/>
    <w:rsid w:val="00942A27"/>
    <w:rsid w:val="00942F8E"/>
    <w:rsid w:val="00943543"/>
    <w:rsid w:val="009441DB"/>
    <w:rsid w:val="00944834"/>
    <w:rsid w:val="00946128"/>
    <w:rsid w:val="0094633F"/>
    <w:rsid w:val="00947BA5"/>
    <w:rsid w:val="00950805"/>
    <w:rsid w:val="009517E4"/>
    <w:rsid w:val="009518D4"/>
    <w:rsid w:val="009520BC"/>
    <w:rsid w:val="009521D2"/>
    <w:rsid w:val="00952403"/>
    <w:rsid w:val="00952589"/>
    <w:rsid w:val="00952BD8"/>
    <w:rsid w:val="00953573"/>
    <w:rsid w:val="0095370A"/>
    <w:rsid w:val="009537C0"/>
    <w:rsid w:val="009557A9"/>
    <w:rsid w:val="00956647"/>
    <w:rsid w:val="00956CF3"/>
    <w:rsid w:val="00957380"/>
    <w:rsid w:val="00957409"/>
    <w:rsid w:val="00957499"/>
    <w:rsid w:val="00957ED2"/>
    <w:rsid w:val="009604AE"/>
    <w:rsid w:val="009609AF"/>
    <w:rsid w:val="00960DE4"/>
    <w:rsid w:val="009610C7"/>
    <w:rsid w:val="00961164"/>
    <w:rsid w:val="009612A4"/>
    <w:rsid w:val="00961867"/>
    <w:rsid w:val="00961A07"/>
    <w:rsid w:val="00961A4F"/>
    <w:rsid w:val="009625B7"/>
    <w:rsid w:val="00962FB8"/>
    <w:rsid w:val="00963183"/>
    <w:rsid w:val="0096373F"/>
    <w:rsid w:val="00964007"/>
    <w:rsid w:val="00964283"/>
    <w:rsid w:val="009642A4"/>
    <w:rsid w:val="009643F4"/>
    <w:rsid w:val="009645A6"/>
    <w:rsid w:val="00964F5A"/>
    <w:rsid w:val="0096527F"/>
    <w:rsid w:val="009653ED"/>
    <w:rsid w:val="009664AE"/>
    <w:rsid w:val="00966A21"/>
    <w:rsid w:val="00966AD2"/>
    <w:rsid w:val="0097025C"/>
    <w:rsid w:val="00971415"/>
    <w:rsid w:val="009716D8"/>
    <w:rsid w:val="00971F54"/>
    <w:rsid w:val="00972057"/>
    <w:rsid w:val="0097227B"/>
    <w:rsid w:val="0097262E"/>
    <w:rsid w:val="0097293F"/>
    <w:rsid w:val="00973103"/>
    <w:rsid w:val="00974022"/>
    <w:rsid w:val="009743E8"/>
    <w:rsid w:val="009745D8"/>
    <w:rsid w:val="00974F3B"/>
    <w:rsid w:val="0097552A"/>
    <w:rsid w:val="0097564A"/>
    <w:rsid w:val="00975974"/>
    <w:rsid w:val="00975D06"/>
    <w:rsid w:val="00975D63"/>
    <w:rsid w:val="00975DAE"/>
    <w:rsid w:val="00976BBE"/>
    <w:rsid w:val="0098055B"/>
    <w:rsid w:val="00980B30"/>
    <w:rsid w:val="009810BE"/>
    <w:rsid w:val="009817BC"/>
    <w:rsid w:val="009819A7"/>
    <w:rsid w:val="0098220A"/>
    <w:rsid w:val="00982E75"/>
    <w:rsid w:val="00983337"/>
    <w:rsid w:val="009836AA"/>
    <w:rsid w:val="009846BF"/>
    <w:rsid w:val="009851F5"/>
    <w:rsid w:val="0098534B"/>
    <w:rsid w:val="00986019"/>
    <w:rsid w:val="00986281"/>
    <w:rsid w:val="00986FC9"/>
    <w:rsid w:val="0098764E"/>
    <w:rsid w:val="00987683"/>
    <w:rsid w:val="00987826"/>
    <w:rsid w:val="00987B4F"/>
    <w:rsid w:val="00987D58"/>
    <w:rsid w:val="0099034B"/>
    <w:rsid w:val="009906D4"/>
    <w:rsid w:val="00990A8E"/>
    <w:rsid w:val="00990EB7"/>
    <w:rsid w:val="00990F5F"/>
    <w:rsid w:val="009911A7"/>
    <w:rsid w:val="009913B8"/>
    <w:rsid w:val="009914E4"/>
    <w:rsid w:val="00992141"/>
    <w:rsid w:val="009921DB"/>
    <w:rsid w:val="00992C67"/>
    <w:rsid w:val="00992D5B"/>
    <w:rsid w:val="00993135"/>
    <w:rsid w:val="00993AC7"/>
    <w:rsid w:val="00993BAD"/>
    <w:rsid w:val="00993E49"/>
    <w:rsid w:val="00994120"/>
    <w:rsid w:val="009942F5"/>
    <w:rsid w:val="00994568"/>
    <w:rsid w:val="00994602"/>
    <w:rsid w:val="00995B01"/>
    <w:rsid w:val="00996055"/>
    <w:rsid w:val="00996981"/>
    <w:rsid w:val="00996EF4"/>
    <w:rsid w:val="00997044"/>
    <w:rsid w:val="00997BC9"/>
    <w:rsid w:val="009A113D"/>
    <w:rsid w:val="009A1ECA"/>
    <w:rsid w:val="009A2BE9"/>
    <w:rsid w:val="009A2BF3"/>
    <w:rsid w:val="009A3688"/>
    <w:rsid w:val="009A3713"/>
    <w:rsid w:val="009A3C3E"/>
    <w:rsid w:val="009A4153"/>
    <w:rsid w:val="009A4C2C"/>
    <w:rsid w:val="009A4E60"/>
    <w:rsid w:val="009A59B3"/>
    <w:rsid w:val="009A5FAE"/>
    <w:rsid w:val="009A6B3A"/>
    <w:rsid w:val="009A70A3"/>
    <w:rsid w:val="009A7E7C"/>
    <w:rsid w:val="009B05D2"/>
    <w:rsid w:val="009B152B"/>
    <w:rsid w:val="009B2731"/>
    <w:rsid w:val="009B2DCF"/>
    <w:rsid w:val="009B39D8"/>
    <w:rsid w:val="009B3D38"/>
    <w:rsid w:val="009B4368"/>
    <w:rsid w:val="009B4D4C"/>
    <w:rsid w:val="009B66F5"/>
    <w:rsid w:val="009B7505"/>
    <w:rsid w:val="009C0020"/>
    <w:rsid w:val="009C03F7"/>
    <w:rsid w:val="009C10DA"/>
    <w:rsid w:val="009C19FC"/>
    <w:rsid w:val="009C27F7"/>
    <w:rsid w:val="009C3BC4"/>
    <w:rsid w:val="009C3C93"/>
    <w:rsid w:val="009C3E97"/>
    <w:rsid w:val="009C4017"/>
    <w:rsid w:val="009C424E"/>
    <w:rsid w:val="009C4708"/>
    <w:rsid w:val="009C4870"/>
    <w:rsid w:val="009C4896"/>
    <w:rsid w:val="009C4C4E"/>
    <w:rsid w:val="009C4D37"/>
    <w:rsid w:val="009C574C"/>
    <w:rsid w:val="009C5753"/>
    <w:rsid w:val="009C5E42"/>
    <w:rsid w:val="009C620F"/>
    <w:rsid w:val="009C657D"/>
    <w:rsid w:val="009C724B"/>
    <w:rsid w:val="009C7266"/>
    <w:rsid w:val="009C748A"/>
    <w:rsid w:val="009D03B7"/>
    <w:rsid w:val="009D07AD"/>
    <w:rsid w:val="009D0824"/>
    <w:rsid w:val="009D1172"/>
    <w:rsid w:val="009D13CC"/>
    <w:rsid w:val="009D1654"/>
    <w:rsid w:val="009D1AAC"/>
    <w:rsid w:val="009D1BDB"/>
    <w:rsid w:val="009D298F"/>
    <w:rsid w:val="009D2F9C"/>
    <w:rsid w:val="009D4207"/>
    <w:rsid w:val="009D4E4A"/>
    <w:rsid w:val="009D5130"/>
    <w:rsid w:val="009D53D1"/>
    <w:rsid w:val="009D53FB"/>
    <w:rsid w:val="009D56A4"/>
    <w:rsid w:val="009D6081"/>
    <w:rsid w:val="009D678C"/>
    <w:rsid w:val="009D6B9A"/>
    <w:rsid w:val="009D6D30"/>
    <w:rsid w:val="009D7523"/>
    <w:rsid w:val="009D76B5"/>
    <w:rsid w:val="009D7AF1"/>
    <w:rsid w:val="009D7BC7"/>
    <w:rsid w:val="009D7FAC"/>
    <w:rsid w:val="009E0109"/>
    <w:rsid w:val="009E0342"/>
    <w:rsid w:val="009E098B"/>
    <w:rsid w:val="009E09AB"/>
    <w:rsid w:val="009E0D7D"/>
    <w:rsid w:val="009E0DAF"/>
    <w:rsid w:val="009E19BB"/>
    <w:rsid w:val="009E1C47"/>
    <w:rsid w:val="009E38D1"/>
    <w:rsid w:val="009E3DF1"/>
    <w:rsid w:val="009E514A"/>
    <w:rsid w:val="009E5177"/>
    <w:rsid w:val="009E5701"/>
    <w:rsid w:val="009E5711"/>
    <w:rsid w:val="009E758E"/>
    <w:rsid w:val="009E7BA2"/>
    <w:rsid w:val="009E7BFB"/>
    <w:rsid w:val="009E7D6B"/>
    <w:rsid w:val="009E7E81"/>
    <w:rsid w:val="009F020A"/>
    <w:rsid w:val="009F05AD"/>
    <w:rsid w:val="009F0659"/>
    <w:rsid w:val="009F1109"/>
    <w:rsid w:val="009F143E"/>
    <w:rsid w:val="009F1DE8"/>
    <w:rsid w:val="009F2186"/>
    <w:rsid w:val="009F227C"/>
    <w:rsid w:val="009F28DC"/>
    <w:rsid w:val="009F2EDB"/>
    <w:rsid w:val="009F33DC"/>
    <w:rsid w:val="009F3572"/>
    <w:rsid w:val="009F4550"/>
    <w:rsid w:val="009F56C0"/>
    <w:rsid w:val="009F5C76"/>
    <w:rsid w:val="00A000C5"/>
    <w:rsid w:val="00A007B4"/>
    <w:rsid w:val="00A00930"/>
    <w:rsid w:val="00A00CA0"/>
    <w:rsid w:val="00A00E00"/>
    <w:rsid w:val="00A01221"/>
    <w:rsid w:val="00A012A8"/>
    <w:rsid w:val="00A012F1"/>
    <w:rsid w:val="00A016FF"/>
    <w:rsid w:val="00A01886"/>
    <w:rsid w:val="00A0207F"/>
    <w:rsid w:val="00A021AF"/>
    <w:rsid w:val="00A027B1"/>
    <w:rsid w:val="00A0307A"/>
    <w:rsid w:val="00A03A7C"/>
    <w:rsid w:val="00A044AA"/>
    <w:rsid w:val="00A0686F"/>
    <w:rsid w:val="00A0700C"/>
    <w:rsid w:val="00A102F8"/>
    <w:rsid w:val="00A10A20"/>
    <w:rsid w:val="00A117D5"/>
    <w:rsid w:val="00A11C11"/>
    <w:rsid w:val="00A12720"/>
    <w:rsid w:val="00A12ED1"/>
    <w:rsid w:val="00A13121"/>
    <w:rsid w:val="00A131F5"/>
    <w:rsid w:val="00A133C1"/>
    <w:rsid w:val="00A13414"/>
    <w:rsid w:val="00A13675"/>
    <w:rsid w:val="00A138B7"/>
    <w:rsid w:val="00A13F2D"/>
    <w:rsid w:val="00A148A0"/>
    <w:rsid w:val="00A14AA8"/>
    <w:rsid w:val="00A14F81"/>
    <w:rsid w:val="00A1535F"/>
    <w:rsid w:val="00A15CB1"/>
    <w:rsid w:val="00A15DCC"/>
    <w:rsid w:val="00A15E7D"/>
    <w:rsid w:val="00A15E84"/>
    <w:rsid w:val="00A16021"/>
    <w:rsid w:val="00A16961"/>
    <w:rsid w:val="00A176DD"/>
    <w:rsid w:val="00A21838"/>
    <w:rsid w:val="00A22C3E"/>
    <w:rsid w:val="00A22C4D"/>
    <w:rsid w:val="00A2334E"/>
    <w:rsid w:val="00A23442"/>
    <w:rsid w:val="00A249D2"/>
    <w:rsid w:val="00A254AB"/>
    <w:rsid w:val="00A259F2"/>
    <w:rsid w:val="00A266CC"/>
    <w:rsid w:val="00A26DB4"/>
    <w:rsid w:val="00A26F03"/>
    <w:rsid w:val="00A27425"/>
    <w:rsid w:val="00A3023E"/>
    <w:rsid w:val="00A305C5"/>
    <w:rsid w:val="00A30919"/>
    <w:rsid w:val="00A31F05"/>
    <w:rsid w:val="00A31FD2"/>
    <w:rsid w:val="00A3404D"/>
    <w:rsid w:val="00A341AB"/>
    <w:rsid w:val="00A34290"/>
    <w:rsid w:val="00A355F9"/>
    <w:rsid w:val="00A357D3"/>
    <w:rsid w:val="00A35AA9"/>
    <w:rsid w:val="00A35F3C"/>
    <w:rsid w:val="00A36CF6"/>
    <w:rsid w:val="00A37309"/>
    <w:rsid w:val="00A37329"/>
    <w:rsid w:val="00A37558"/>
    <w:rsid w:val="00A3786A"/>
    <w:rsid w:val="00A4008C"/>
    <w:rsid w:val="00A402A8"/>
    <w:rsid w:val="00A40685"/>
    <w:rsid w:val="00A40E2F"/>
    <w:rsid w:val="00A41819"/>
    <w:rsid w:val="00A41C9A"/>
    <w:rsid w:val="00A41D73"/>
    <w:rsid w:val="00A42406"/>
    <w:rsid w:val="00A42A74"/>
    <w:rsid w:val="00A433E8"/>
    <w:rsid w:val="00A43A1D"/>
    <w:rsid w:val="00A43AB0"/>
    <w:rsid w:val="00A44854"/>
    <w:rsid w:val="00A44A45"/>
    <w:rsid w:val="00A4665D"/>
    <w:rsid w:val="00A46859"/>
    <w:rsid w:val="00A46D39"/>
    <w:rsid w:val="00A47019"/>
    <w:rsid w:val="00A472B8"/>
    <w:rsid w:val="00A5004A"/>
    <w:rsid w:val="00A5017C"/>
    <w:rsid w:val="00A502D6"/>
    <w:rsid w:val="00A502F5"/>
    <w:rsid w:val="00A504F4"/>
    <w:rsid w:val="00A507C4"/>
    <w:rsid w:val="00A508AA"/>
    <w:rsid w:val="00A50EE7"/>
    <w:rsid w:val="00A526CE"/>
    <w:rsid w:val="00A53D28"/>
    <w:rsid w:val="00A5468F"/>
    <w:rsid w:val="00A54909"/>
    <w:rsid w:val="00A54DC0"/>
    <w:rsid w:val="00A550C9"/>
    <w:rsid w:val="00A55228"/>
    <w:rsid w:val="00A55410"/>
    <w:rsid w:val="00A55A04"/>
    <w:rsid w:val="00A564DE"/>
    <w:rsid w:val="00A57DCF"/>
    <w:rsid w:val="00A6054E"/>
    <w:rsid w:val="00A60799"/>
    <w:rsid w:val="00A6170B"/>
    <w:rsid w:val="00A61767"/>
    <w:rsid w:val="00A61991"/>
    <w:rsid w:val="00A61B7F"/>
    <w:rsid w:val="00A61B91"/>
    <w:rsid w:val="00A61C3A"/>
    <w:rsid w:val="00A620E8"/>
    <w:rsid w:val="00A63335"/>
    <w:rsid w:val="00A634EB"/>
    <w:rsid w:val="00A63685"/>
    <w:rsid w:val="00A63EA5"/>
    <w:rsid w:val="00A64545"/>
    <w:rsid w:val="00A645AC"/>
    <w:rsid w:val="00A64C79"/>
    <w:rsid w:val="00A65EFB"/>
    <w:rsid w:val="00A66E28"/>
    <w:rsid w:val="00A6707F"/>
    <w:rsid w:val="00A67429"/>
    <w:rsid w:val="00A677E7"/>
    <w:rsid w:val="00A67CE9"/>
    <w:rsid w:val="00A70590"/>
    <w:rsid w:val="00A7062E"/>
    <w:rsid w:val="00A70834"/>
    <w:rsid w:val="00A71542"/>
    <w:rsid w:val="00A7171F"/>
    <w:rsid w:val="00A71FA0"/>
    <w:rsid w:val="00A71FBD"/>
    <w:rsid w:val="00A72727"/>
    <w:rsid w:val="00A727D8"/>
    <w:rsid w:val="00A72C1A"/>
    <w:rsid w:val="00A732FB"/>
    <w:rsid w:val="00A7463E"/>
    <w:rsid w:val="00A74E67"/>
    <w:rsid w:val="00A758E2"/>
    <w:rsid w:val="00A765B1"/>
    <w:rsid w:val="00A772F2"/>
    <w:rsid w:val="00A77828"/>
    <w:rsid w:val="00A77BAA"/>
    <w:rsid w:val="00A800F9"/>
    <w:rsid w:val="00A803A6"/>
    <w:rsid w:val="00A8073D"/>
    <w:rsid w:val="00A80D02"/>
    <w:rsid w:val="00A815FB"/>
    <w:rsid w:val="00A81AEB"/>
    <w:rsid w:val="00A82D32"/>
    <w:rsid w:val="00A82EAE"/>
    <w:rsid w:val="00A82FC7"/>
    <w:rsid w:val="00A847F9"/>
    <w:rsid w:val="00A84F27"/>
    <w:rsid w:val="00A8519C"/>
    <w:rsid w:val="00A855EE"/>
    <w:rsid w:val="00A8597A"/>
    <w:rsid w:val="00A85B87"/>
    <w:rsid w:val="00A85F83"/>
    <w:rsid w:val="00A86019"/>
    <w:rsid w:val="00A86EED"/>
    <w:rsid w:val="00A8733A"/>
    <w:rsid w:val="00A9151F"/>
    <w:rsid w:val="00A9196B"/>
    <w:rsid w:val="00A91BB5"/>
    <w:rsid w:val="00A91BEE"/>
    <w:rsid w:val="00A91D4B"/>
    <w:rsid w:val="00A920B2"/>
    <w:rsid w:val="00A92A96"/>
    <w:rsid w:val="00A92AF0"/>
    <w:rsid w:val="00A933FE"/>
    <w:rsid w:val="00A937D5"/>
    <w:rsid w:val="00A93C70"/>
    <w:rsid w:val="00A943ED"/>
    <w:rsid w:val="00A94A32"/>
    <w:rsid w:val="00A94AFC"/>
    <w:rsid w:val="00A94B4E"/>
    <w:rsid w:val="00A94BF5"/>
    <w:rsid w:val="00A954F8"/>
    <w:rsid w:val="00A962AE"/>
    <w:rsid w:val="00A9686A"/>
    <w:rsid w:val="00A96B4A"/>
    <w:rsid w:val="00A97BDA"/>
    <w:rsid w:val="00AA043A"/>
    <w:rsid w:val="00AA0779"/>
    <w:rsid w:val="00AA08F3"/>
    <w:rsid w:val="00AA0A7E"/>
    <w:rsid w:val="00AA0F23"/>
    <w:rsid w:val="00AA1067"/>
    <w:rsid w:val="00AA1163"/>
    <w:rsid w:val="00AA1DA8"/>
    <w:rsid w:val="00AA222C"/>
    <w:rsid w:val="00AA2264"/>
    <w:rsid w:val="00AA238E"/>
    <w:rsid w:val="00AA2483"/>
    <w:rsid w:val="00AA253B"/>
    <w:rsid w:val="00AA29F8"/>
    <w:rsid w:val="00AA3243"/>
    <w:rsid w:val="00AA388F"/>
    <w:rsid w:val="00AA3C4C"/>
    <w:rsid w:val="00AA408E"/>
    <w:rsid w:val="00AA4DA9"/>
    <w:rsid w:val="00AA4F6D"/>
    <w:rsid w:val="00AA50CE"/>
    <w:rsid w:val="00AA536B"/>
    <w:rsid w:val="00AA57C9"/>
    <w:rsid w:val="00AA5A5C"/>
    <w:rsid w:val="00AA5A6F"/>
    <w:rsid w:val="00AA634D"/>
    <w:rsid w:val="00AA6F6C"/>
    <w:rsid w:val="00AA721D"/>
    <w:rsid w:val="00AA7519"/>
    <w:rsid w:val="00AA790A"/>
    <w:rsid w:val="00AB02EA"/>
    <w:rsid w:val="00AB110C"/>
    <w:rsid w:val="00AB18F1"/>
    <w:rsid w:val="00AB227A"/>
    <w:rsid w:val="00AB22BF"/>
    <w:rsid w:val="00AB256E"/>
    <w:rsid w:val="00AB318B"/>
    <w:rsid w:val="00AB3466"/>
    <w:rsid w:val="00AB38B2"/>
    <w:rsid w:val="00AB3BBB"/>
    <w:rsid w:val="00AB408C"/>
    <w:rsid w:val="00AB43AF"/>
    <w:rsid w:val="00AB4E41"/>
    <w:rsid w:val="00AB5EB1"/>
    <w:rsid w:val="00AB6003"/>
    <w:rsid w:val="00AB759A"/>
    <w:rsid w:val="00AB7B06"/>
    <w:rsid w:val="00AB7EAA"/>
    <w:rsid w:val="00AC0432"/>
    <w:rsid w:val="00AC0770"/>
    <w:rsid w:val="00AC1683"/>
    <w:rsid w:val="00AC1D82"/>
    <w:rsid w:val="00AC2D5F"/>
    <w:rsid w:val="00AC4094"/>
    <w:rsid w:val="00AC42B6"/>
    <w:rsid w:val="00AC4AB7"/>
    <w:rsid w:val="00AC51E0"/>
    <w:rsid w:val="00AC6D24"/>
    <w:rsid w:val="00AC6E18"/>
    <w:rsid w:val="00AC7F64"/>
    <w:rsid w:val="00AD1065"/>
    <w:rsid w:val="00AD159E"/>
    <w:rsid w:val="00AD2AB1"/>
    <w:rsid w:val="00AD3132"/>
    <w:rsid w:val="00AD3DA6"/>
    <w:rsid w:val="00AD3F3C"/>
    <w:rsid w:val="00AD447E"/>
    <w:rsid w:val="00AD4B2F"/>
    <w:rsid w:val="00AD5F0A"/>
    <w:rsid w:val="00AD6A5B"/>
    <w:rsid w:val="00AD6B4F"/>
    <w:rsid w:val="00AD6D19"/>
    <w:rsid w:val="00AD7812"/>
    <w:rsid w:val="00AD7C42"/>
    <w:rsid w:val="00AD7CFA"/>
    <w:rsid w:val="00AE06B0"/>
    <w:rsid w:val="00AE0BD6"/>
    <w:rsid w:val="00AE11C1"/>
    <w:rsid w:val="00AE163D"/>
    <w:rsid w:val="00AE1A42"/>
    <w:rsid w:val="00AE1C5C"/>
    <w:rsid w:val="00AE315E"/>
    <w:rsid w:val="00AE319F"/>
    <w:rsid w:val="00AE31D9"/>
    <w:rsid w:val="00AE3CF0"/>
    <w:rsid w:val="00AE4546"/>
    <w:rsid w:val="00AE6575"/>
    <w:rsid w:val="00AE71EE"/>
    <w:rsid w:val="00AF03CF"/>
    <w:rsid w:val="00AF0A0A"/>
    <w:rsid w:val="00AF14FC"/>
    <w:rsid w:val="00AF1ED2"/>
    <w:rsid w:val="00AF1F4E"/>
    <w:rsid w:val="00AF2302"/>
    <w:rsid w:val="00AF262A"/>
    <w:rsid w:val="00AF3557"/>
    <w:rsid w:val="00AF3F86"/>
    <w:rsid w:val="00AF4CEE"/>
    <w:rsid w:val="00AF4F4A"/>
    <w:rsid w:val="00AF584C"/>
    <w:rsid w:val="00AF5D84"/>
    <w:rsid w:val="00AF6476"/>
    <w:rsid w:val="00AF669D"/>
    <w:rsid w:val="00AF672C"/>
    <w:rsid w:val="00AF673E"/>
    <w:rsid w:val="00AF6ABE"/>
    <w:rsid w:val="00AF7389"/>
    <w:rsid w:val="00AF79DF"/>
    <w:rsid w:val="00AF7C37"/>
    <w:rsid w:val="00B00378"/>
    <w:rsid w:val="00B00D91"/>
    <w:rsid w:val="00B00E84"/>
    <w:rsid w:val="00B01DD9"/>
    <w:rsid w:val="00B01F0E"/>
    <w:rsid w:val="00B038F1"/>
    <w:rsid w:val="00B03C1B"/>
    <w:rsid w:val="00B04678"/>
    <w:rsid w:val="00B047C9"/>
    <w:rsid w:val="00B04A04"/>
    <w:rsid w:val="00B04B78"/>
    <w:rsid w:val="00B04C37"/>
    <w:rsid w:val="00B04F00"/>
    <w:rsid w:val="00B05BA6"/>
    <w:rsid w:val="00B066FE"/>
    <w:rsid w:val="00B06912"/>
    <w:rsid w:val="00B06B4F"/>
    <w:rsid w:val="00B06BEA"/>
    <w:rsid w:val="00B07316"/>
    <w:rsid w:val="00B07A43"/>
    <w:rsid w:val="00B07F74"/>
    <w:rsid w:val="00B10618"/>
    <w:rsid w:val="00B10B04"/>
    <w:rsid w:val="00B10CC6"/>
    <w:rsid w:val="00B11932"/>
    <w:rsid w:val="00B11A61"/>
    <w:rsid w:val="00B12082"/>
    <w:rsid w:val="00B12648"/>
    <w:rsid w:val="00B1270C"/>
    <w:rsid w:val="00B12710"/>
    <w:rsid w:val="00B13389"/>
    <w:rsid w:val="00B1364C"/>
    <w:rsid w:val="00B13EDB"/>
    <w:rsid w:val="00B141A5"/>
    <w:rsid w:val="00B14F47"/>
    <w:rsid w:val="00B15282"/>
    <w:rsid w:val="00B15286"/>
    <w:rsid w:val="00B1539F"/>
    <w:rsid w:val="00B1550D"/>
    <w:rsid w:val="00B15F6C"/>
    <w:rsid w:val="00B163E8"/>
    <w:rsid w:val="00B1767E"/>
    <w:rsid w:val="00B20760"/>
    <w:rsid w:val="00B2125C"/>
    <w:rsid w:val="00B21676"/>
    <w:rsid w:val="00B219E1"/>
    <w:rsid w:val="00B21ECF"/>
    <w:rsid w:val="00B22150"/>
    <w:rsid w:val="00B226DE"/>
    <w:rsid w:val="00B22FB5"/>
    <w:rsid w:val="00B241D5"/>
    <w:rsid w:val="00B2494E"/>
    <w:rsid w:val="00B24BE9"/>
    <w:rsid w:val="00B2551D"/>
    <w:rsid w:val="00B25F8C"/>
    <w:rsid w:val="00B260BE"/>
    <w:rsid w:val="00B26677"/>
    <w:rsid w:val="00B26A96"/>
    <w:rsid w:val="00B274E3"/>
    <w:rsid w:val="00B2765C"/>
    <w:rsid w:val="00B27C4B"/>
    <w:rsid w:val="00B30563"/>
    <w:rsid w:val="00B3069E"/>
    <w:rsid w:val="00B30A76"/>
    <w:rsid w:val="00B31246"/>
    <w:rsid w:val="00B32295"/>
    <w:rsid w:val="00B33AB5"/>
    <w:rsid w:val="00B3412E"/>
    <w:rsid w:val="00B343E0"/>
    <w:rsid w:val="00B35B6D"/>
    <w:rsid w:val="00B35D53"/>
    <w:rsid w:val="00B367C4"/>
    <w:rsid w:val="00B36D3E"/>
    <w:rsid w:val="00B37B8E"/>
    <w:rsid w:val="00B40222"/>
    <w:rsid w:val="00B404C3"/>
    <w:rsid w:val="00B41938"/>
    <w:rsid w:val="00B41A04"/>
    <w:rsid w:val="00B42743"/>
    <w:rsid w:val="00B430E9"/>
    <w:rsid w:val="00B4311F"/>
    <w:rsid w:val="00B431AE"/>
    <w:rsid w:val="00B44288"/>
    <w:rsid w:val="00B448BF"/>
    <w:rsid w:val="00B45A59"/>
    <w:rsid w:val="00B45F9F"/>
    <w:rsid w:val="00B4627C"/>
    <w:rsid w:val="00B4638F"/>
    <w:rsid w:val="00B4641F"/>
    <w:rsid w:val="00B46793"/>
    <w:rsid w:val="00B46953"/>
    <w:rsid w:val="00B47455"/>
    <w:rsid w:val="00B47979"/>
    <w:rsid w:val="00B47A59"/>
    <w:rsid w:val="00B47ECD"/>
    <w:rsid w:val="00B47FF3"/>
    <w:rsid w:val="00B503D6"/>
    <w:rsid w:val="00B51520"/>
    <w:rsid w:val="00B515C3"/>
    <w:rsid w:val="00B517C2"/>
    <w:rsid w:val="00B518CE"/>
    <w:rsid w:val="00B51F56"/>
    <w:rsid w:val="00B52234"/>
    <w:rsid w:val="00B53623"/>
    <w:rsid w:val="00B536FC"/>
    <w:rsid w:val="00B53D1D"/>
    <w:rsid w:val="00B53E98"/>
    <w:rsid w:val="00B53F9B"/>
    <w:rsid w:val="00B54B19"/>
    <w:rsid w:val="00B55F64"/>
    <w:rsid w:val="00B56ECA"/>
    <w:rsid w:val="00B57093"/>
    <w:rsid w:val="00B57B5D"/>
    <w:rsid w:val="00B60613"/>
    <w:rsid w:val="00B61AEC"/>
    <w:rsid w:val="00B6244C"/>
    <w:rsid w:val="00B62A2F"/>
    <w:rsid w:val="00B62B7B"/>
    <w:rsid w:val="00B62F0A"/>
    <w:rsid w:val="00B63484"/>
    <w:rsid w:val="00B634B7"/>
    <w:rsid w:val="00B634F1"/>
    <w:rsid w:val="00B637EF"/>
    <w:rsid w:val="00B63EF6"/>
    <w:rsid w:val="00B6440A"/>
    <w:rsid w:val="00B65788"/>
    <w:rsid w:val="00B65844"/>
    <w:rsid w:val="00B66054"/>
    <w:rsid w:val="00B6677F"/>
    <w:rsid w:val="00B66C7A"/>
    <w:rsid w:val="00B672EA"/>
    <w:rsid w:val="00B6747B"/>
    <w:rsid w:val="00B701B7"/>
    <w:rsid w:val="00B70200"/>
    <w:rsid w:val="00B702D7"/>
    <w:rsid w:val="00B70389"/>
    <w:rsid w:val="00B70E01"/>
    <w:rsid w:val="00B718FA"/>
    <w:rsid w:val="00B72A0B"/>
    <w:rsid w:val="00B72CF0"/>
    <w:rsid w:val="00B7380E"/>
    <w:rsid w:val="00B740F6"/>
    <w:rsid w:val="00B74615"/>
    <w:rsid w:val="00B74789"/>
    <w:rsid w:val="00B755B6"/>
    <w:rsid w:val="00B75977"/>
    <w:rsid w:val="00B75A48"/>
    <w:rsid w:val="00B75CC0"/>
    <w:rsid w:val="00B76021"/>
    <w:rsid w:val="00B76FCD"/>
    <w:rsid w:val="00B7764D"/>
    <w:rsid w:val="00B804F8"/>
    <w:rsid w:val="00B8095A"/>
    <w:rsid w:val="00B81274"/>
    <w:rsid w:val="00B815D3"/>
    <w:rsid w:val="00B81742"/>
    <w:rsid w:val="00B817B5"/>
    <w:rsid w:val="00B823A6"/>
    <w:rsid w:val="00B83E76"/>
    <w:rsid w:val="00B83FA0"/>
    <w:rsid w:val="00B84156"/>
    <w:rsid w:val="00B846E6"/>
    <w:rsid w:val="00B8537B"/>
    <w:rsid w:val="00B85586"/>
    <w:rsid w:val="00B86289"/>
    <w:rsid w:val="00B863B3"/>
    <w:rsid w:val="00B869D3"/>
    <w:rsid w:val="00B86CF8"/>
    <w:rsid w:val="00B86E44"/>
    <w:rsid w:val="00B87359"/>
    <w:rsid w:val="00B87F1C"/>
    <w:rsid w:val="00B90D8D"/>
    <w:rsid w:val="00B91263"/>
    <w:rsid w:val="00B91B61"/>
    <w:rsid w:val="00B93849"/>
    <w:rsid w:val="00B938BD"/>
    <w:rsid w:val="00B93CF3"/>
    <w:rsid w:val="00B9407F"/>
    <w:rsid w:val="00B944E9"/>
    <w:rsid w:val="00B945D7"/>
    <w:rsid w:val="00B94896"/>
    <w:rsid w:val="00B94CDD"/>
    <w:rsid w:val="00B94DA7"/>
    <w:rsid w:val="00B95163"/>
    <w:rsid w:val="00B954D0"/>
    <w:rsid w:val="00B95CDD"/>
    <w:rsid w:val="00B96DD9"/>
    <w:rsid w:val="00B96EA6"/>
    <w:rsid w:val="00B9789D"/>
    <w:rsid w:val="00B97A4C"/>
    <w:rsid w:val="00BA050E"/>
    <w:rsid w:val="00BA1289"/>
    <w:rsid w:val="00BA14B2"/>
    <w:rsid w:val="00BA15DC"/>
    <w:rsid w:val="00BA1E2F"/>
    <w:rsid w:val="00BA1EB8"/>
    <w:rsid w:val="00BA2C82"/>
    <w:rsid w:val="00BA3869"/>
    <w:rsid w:val="00BA4399"/>
    <w:rsid w:val="00BA4452"/>
    <w:rsid w:val="00BA46C6"/>
    <w:rsid w:val="00BA4ACF"/>
    <w:rsid w:val="00BA5039"/>
    <w:rsid w:val="00BA583B"/>
    <w:rsid w:val="00BA5DF2"/>
    <w:rsid w:val="00BA5EC7"/>
    <w:rsid w:val="00BA6319"/>
    <w:rsid w:val="00BA63CE"/>
    <w:rsid w:val="00BA676E"/>
    <w:rsid w:val="00BA6980"/>
    <w:rsid w:val="00BA6EF2"/>
    <w:rsid w:val="00BA7227"/>
    <w:rsid w:val="00BA763C"/>
    <w:rsid w:val="00BA784D"/>
    <w:rsid w:val="00BA7CD7"/>
    <w:rsid w:val="00BB00E5"/>
    <w:rsid w:val="00BB1688"/>
    <w:rsid w:val="00BB1EFB"/>
    <w:rsid w:val="00BB269F"/>
    <w:rsid w:val="00BB27CC"/>
    <w:rsid w:val="00BB2ACE"/>
    <w:rsid w:val="00BB2E4E"/>
    <w:rsid w:val="00BB2E62"/>
    <w:rsid w:val="00BB36C9"/>
    <w:rsid w:val="00BB3A66"/>
    <w:rsid w:val="00BB40D1"/>
    <w:rsid w:val="00BB6D85"/>
    <w:rsid w:val="00BB777D"/>
    <w:rsid w:val="00BB7EC0"/>
    <w:rsid w:val="00BB7F88"/>
    <w:rsid w:val="00BC0207"/>
    <w:rsid w:val="00BC089F"/>
    <w:rsid w:val="00BC0A0C"/>
    <w:rsid w:val="00BC0A5A"/>
    <w:rsid w:val="00BC0E64"/>
    <w:rsid w:val="00BC25D1"/>
    <w:rsid w:val="00BC2DBD"/>
    <w:rsid w:val="00BC3215"/>
    <w:rsid w:val="00BC3BCB"/>
    <w:rsid w:val="00BC3CF1"/>
    <w:rsid w:val="00BC40EF"/>
    <w:rsid w:val="00BC4202"/>
    <w:rsid w:val="00BC428A"/>
    <w:rsid w:val="00BC4C40"/>
    <w:rsid w:val="00BC5A29"/>
    <w:rsid w:val="00BC5AE3"/>
    <w:rsid w:val="00BC5BAD"/>
    <w:rsid w:val="00BC692A"/>
    <w:rsid w:val="00BC7459"/>
    <w:rsid w:val="00BC76C5"/>
    <w:rsid w:val="00BC7F94"/>
    <w:rsid w:val="00BD1039"/>
    <w:rsid w:val="00BD10B7"/>
    <w:rsid w:val="00BD138A"/>
    <w:rsid w:val="00BD164A"/>
    <w:rsid w:val="00BD1BDD"/>
    <w:rsid w:val="00BD1D7D"/>
    <w:rsid w:val="00BD1E27"/>
    <w:rsid w:val="00BD2B4D"/>
    <w:rsid w:val="00BD2F08"/>
    <w:rsid w:val="00BD2FB9"/>
    <w:rsid w:val="00BD31C2"/>
    <w:rsid w:val="00BD3683"/>
    <w:rsid w:val="00BD450A"/>
    <w:rsid w:val="00BD4717"/>
    <w:rsid w:val="00BD48EA"/>
    <w:rsid w:val="00BD4BA8"/>
    <w:rsid w:val="00BD5624"/>
    <w:rsid w:val="00BD62E6"/>
    <w:rsid w:val="00BD6B0E"/>
    <w:rsid w:val="00BD734D"/>
    <w:rsid w:val="00BD7941"/>
    <w:rsid w:val="00BE0591"/>
    <w:rsid w:val="00BE0C55"/>
    <w:rsid w:val="00BE0F03"/>
    <w:rsid w:val="00BE11A2"/>
    <w:rsid w:val="00BE1EF0"/>
    <w:rsid w:val="00BE246C"/>
    <w:rsid w:val="00BE2657"/>
    <w:rsid w:val="00BE2FD2"/>
    <w:rsid w:val="00BE377A"/>
    <w:rsid w:val="00BE37AE"/>
    <w:rsid w:val="00BE3B14"/>
    <w:rsid w:val="00BE3C65"/>
    <w:rsid w:val="00BE4222"/>
    <w:rsid w:val="00BE472D"/>
    <w:rsid w:val="00BE4C03"/>
    <w:rsid w:val="00BE7F4D"/>
    <w:rsid w:val="00BF03C0"/>
    <w:rsid w:val="00BF0EBF"/>
    <w:rsid w:val="00BF1534"/>
    <w:rsid w:val="00BF2021"/>
    <w:rsid w:val="00BF21D4"/>
    <w:rsid w:val="00BF2DDC"/>
    <w:rsid w:val="00BF32DE"/>
    <w:rsid w:val="00BF4A15"/>
    <w:rsid w:val="00BF4E0E"/>
    <w:rsid w:val="00BF4E27"/>
    <w:rsid w:val="00BF4F7C"/>
    <w:rsid w:val="00BF537B"/>
    <w:rsid w:val="00BF5901"/>
    <w:rsid w:val="00BF626A"/>
    <w:rsid w:val="00BF688E"/>
    <w:rsid w:val="00BF6D77"/>
    <w:rsid w:val="00BF704C"/>
    <w:rsid w:val="00BF739A"/>
    <w:rsid w:val="00BF7EF5"/>
    <w:rsid w:val="00C00BF1"/>
    <w:rsid w:val="00C00BF6"/>
    <w:rsid w:val="00C01992"/>
    <w:rsid w:val="00C0234A"/>
    <w:rsid w:val="00C0247B"/>
    <w:rsid w:val="00C0378E"/>
    <w:rsid w:val="00C04314"/>
    <w:rsid w:val="00C04BD0"/>
    <w:rsid w:val="00C05730"/>
    <w:rsid w:val="00C05AF4"/>
    <w:rsid w:val="00C05AFD"/>
    <w:rsid w:val="00C0661C"/>
    <w:rsid w:val="00C0675F"/>
    <w:rsid w:val="00C06ECC"/>
    <w:rsid w:val="00C0702A"/>
    <w:rsid w:val="00C0724C"/>
    <w:rsid w:val="00C07C11"/>
    <w:rsid w:val="00C07E10"/>
    <w:rsid w:val="00C10015"/>
    <w:rsid w:val="00C1110A"/>
    <w:rsid w:val="00C11689"/>
    <w:rsid w:val="00C12414"/>
    <w:rsid w:val="00C12ECB"/>
    <w:rsid w:val="00C148B2"/>
    <w:rsid w:val="00C14ABD"/>
    <w:rsid w:val="00C151E0"/>
    <w:rsid w:val="00C155A8"/>
    <w:rsid w:val="00C159FD"/>
    <w:rsid w:val="00C15B31"/>
    <w:rsid w:val="00C15F66"/>
    <w:rsid w:val="00C1604F"/>
    <w:rsid w:val="00C166D4"/>
    <w:rsid w:val="00C168E5"/>
    <w:rsid w:val="00C1696D"/>
    <w:rsid w:val="00C16C90"/>
    <w:rsid w:val="00C17AB5"/>
    <w:rsid w:val="00C20051"/>
    <w:rsid w:val="00C2021B"/>
    <w:rsid w:val="00C20B6C"/>
    <w:rsid w:val="00C20B86"/>
    <w:rsid w:val="00C21145"/>
    <w:rsid w:val="00C215ED"/>
    <w:rsid w:val="00C22350"/>
    <w:rsid w:val="00C2302B"/>
    <w:rsid w:val="00C23615"/>
    <w:rsid w:val="00C2397E"/>
    <w:rsid w:val="00C23A83"/>
    <w:rsid w:val="00C24381"/>
    <w:rsid w:val="00C24801"/>
    <w:rsid w:val="00C24964"/>
    <w:rsid w:val="00C24C2E"/>
    <w:rsid w:val="00C24C7A"/>
    <w:rsid w:val="00C24FFB"/>
    <w:rsid w:val="00C25CFF"/>
    <w:rsid w:val="00C25EA6"/>
    <w:rsid w:val="00C26164"/>
    <w:rsid w:val="00C261C1"/>
    <w:rsid w:val="00C26574"/>
    <w:rsid w:val="00C266A3"/>
    <w:rsid w:val="00C26DBF"/>
    <w:rsid w:val="00C27199"/>
    <w:rsid w:val="00C27204"/>
    <w:rsid w:val="00C304E9"/>
    <w:rsid w:val="00C30B0B"/>
    <w:rsid w:val="00C31320"/>
    <w:rsid w:val="00C316B4"/>
    <w:rsid w:val="00C332D4"/>
    <w:rsid w:val="00C33A66"/>
    <w:rsid w:val="00C33E51"/>
    <w:rsid w:val="00C34C45"/>
    <w:rsid w:val="00C34C47"/>
    <w:rsid w:val="00C34FCE"/>
    <w:rsid w:val="00C35411"/>
    <w:rsid w:val="00C35EED"/>
    <w:rsid w:val="00C36B2C"/>
    <w:rsid w:val="00C3701A"/>
    <w:rsid w:val="00C379EF"/>
    <w:rsid w:val="00C405C8"/>
    <w:rsid w:val="00C40C2F"/>
    <w:rsid w:val="00C415AC"/>
    <w:rsid w:val="00C4297A"/>
    <w:rsid w:val="00C42E9B"/>
    <w:rsid w:val="00C4360C"/>
    <w:rsid w:val="00C439B8"/>
    <w:rsid w:val="00C43A0B"/>
    <w:rsid w:val="00C43EDA"/>
    <w:rsid w:val="00C43FEC"/>
    <w:rsid w:val="00C4414C"/>
    <w:rsid w:val="00C45512"/>
    <w:rsid w:val="00C4602B"/>
    <w:rsid w:val="00C46564"/>
    <w:rsid w:val="00C46BFA"/>
    <w:rsid w:val="00C46DDF"/>
    <w:rsid w:val="00C500A1"/>
    <w:rsid w:val="00C50A02"/>
    <w:rsid w:val="00C51149"/>
    <w:rsid w:val="00C5117E"/>
    <w:rsid w:val="00C512D1"/>
    <w:rsid w:val="00C515C3"/>
    <w:rsid w:val="00C51856"/>
    <w:rsid w:val="00C51B04"/>
    <w:rsid w:val="00C51DB5"/>
    <w:rsid w:val="00C53CE9"/>
    <w:rsid w:val="00C5531B"/>
    <w:rsid w:val="00C55375"/>
    <w:rsid w:val="00C5570F"/>
    <w:rsid w:val="00C56C98"/>
    <w:rsid w:val="00C56DE1"/>
    <w:rsid w:val="00C56DEE"/>
    <w:rsid w:val="00C57120"/>
    <w:rsid w:val="00C571D5"/>
    <w:rsid w:val="00C575D4"/>
    <w:rsid w:val="00C57612"/>
    <w:rsid w:val="00C60CB2"/>
    <w:rsid w:val="00C61223"/>
    <w:rsid w:val="00C61246"/>
    <w:rsid w:val="00C618A8"/>
    <w:rsid w:val="00C61A78"/>
    <w:rsid w:val="00C629F3"/>
    <w:rsid w:val="00C62B88"/>
    <w:rsid w:val="00C62CD3"/>
    <w:rsid w:val="00C634F9"/>
    <w:rsid w:val="00C63CDE"/>
    <w:rsid w:val="00C643ED"/>
    <w:rsid w:val="00C64534"/>
    <w:rsid w:val="00C64D93"/>
    <w:rsid w:val="00C64F49"/>
    <w:rsid w:val="00C64F71"/>
    <w:rsid w:val="00C650E3"/>
    <w:rsid w:val="00C65200"/>
    <w:rsid w:val="00C65BD3"/>
    <w:rsid w:val="00C664FB"/>
    <w:rsid w:val="00C665DE"/>
    <w:rsid w:val="00C667C3"/>
    <w:rsid w:val="00C6728B"/>
    <w:rsid w:val="00C70718"/>
    <w:rsid w:val="00C70B25"/>
    <w:rsid w:val="00C71528"/>
    <w:rsid w:val="00C717E4"/>
    <w:rsid w:val="00C7191B"/>
    <w:rsid w:val="00C71F09"/>
    <w:rsid w:val="00C72588"/>
    <w:rsid w:val="00C727B9"/>
    <w:rsid w:val="00C72F44"/>
    <w:rsid w:val="00C73670"/>
    <w:rsid w:val="00C737D1"/>
    <w:rsid w:val="00C738A0"/>
    <w:rsid w:val="00C73DE0"/>
    <w:rsid w:val="00C74609"/>
    <w:rsid w:val="00C749AB"/>
    <w:rsid w:val="00C75A8F"/>
    <w:rsid w:val="00C76129"/>
    <w:rsid w:val="00C76C0C"/>
    <w:rsid w:val="00C76FFC"/>
    <w:rsid w:val="00C774E0"/>
    <w:rsid w:val="00C776BA"/>
    <w:rsid w:val="00C7791E"/>
    <w:rsid w:val="00C81716"/>
    <w:rsid w:val="00C832CB"/>
    <w:rsid w:val="00C84085"/>
    <w:rsid w:val="00C852DC"/>
    <w:rsid w:val="00C854A8"/>
    <w:rsid w:val="00C85677"/>
    <w:rsid w:val="00C85E17"/>
    <w:rsid w:val="00C868A7"/>
    <w:rsid w:val="00C86ABA"/>
    <w:rsid w:val="00C86BF7"/>
    <w:rsid w:val="00C87164"/>
    <w:rsid w:val="00C8786A"/>
    <w:rsid w:val="00C87BBA"/>
    <w:rsid w:val="00C87BD0"/>
    <w:rsid w:val="00C905E5"/>
    <w:rsid w:val="00C90754"/>
    <w:rsid w:val="00C90B95"/>
    <w:rsid w:val="00C90BC4"/>
    <w:rsid w:val="00C90CA9"/>
    <w:rsid w:val="00C91802"/>
    <w:rsid w:val="00C924C8"/>
    <w:rsid w:val="00C92E41"/>
    <w:rsid w:val="00C92F62"/>
    <w:rsid w:val="00C93097"/>
    <w:rsid w:val="00C93B40"/>
    <w:rsid w:val="00C93DB5"/>
    <w:rsid w:val="00C94CB9"/>
    <w:rsid w:val="00C95853"/>
    <w:rsid w:val="00C95C2F"/>
    <w:rsid w:val="00C95F87"/>
    <w:rsid w:val="00C96035"/>
    <w:rsid w:val="00C968EF"/>
    <w:rsid w:val="00C972CE"/>
    <w:rsid w:val="00CA0492"/>
    <w:rsid w:val="00CA05B0"/>
    <w:rsid w:val="00CA0632"/>
    <w:rsid w:val="00CA0A04"/>
    <w:rsid w:val="00CA2528"/>
    <w:rsid w:val="00CA3CAB"/>
    <w:rsid w:val="00CA3FC0"/>
    <w:rsid w:val="00CA5685"/>
    <w:rsid w:val="00CA6A2E"/>
    <w:rsid w:val="00CA6B56"/>
    <w:rsid w:val="00CA7D3E"/>
    <w:rsid w:val="00CB0317"/>
    <w:rsid w:val="00CB0662"/>
    <w:rsid w:val="00CB0A82"/>
    <w:rsid w:val="00CB0F2F"/>
    <w:rsid w:val="00CB0F76"/>
    <w:rsid w:val="00CB1556"/>
    <w:rsid w:val="00CB2913"/>
    <w:rsid w:val="00CB3970"/>
    <w:rsid w:val="00CB42B9"/>
    <w:rsid w:val="00CB4550"/>
    <w:rsid w:val="00CB4F39"/>
    <w:rsid w:val="00CB52A4"/>
    <w:rsid w:val="00CB537C"/>
    <w:rsid w:val="00CB5A26"/>
    <w:rsid w:val="00CB645B"/>
    <w:rsid w:val="00CB65DB"/>
    <w:rsid w:val="00CB6A93"/>
    <w:rsid w:val="00CB6C79"/>
    <w:rsid w:val="00CB77C3"/>
    <w:rsid w:val="00CB7E9C"/>
    <w:rsid w:val="00CC0072"/>
    <w:rsid w:val="00CC027A"/>
    <w:rsid w:val="00CC0915"/>
    <w:rsid w:val="00CC1398"/>
    <w:rsid w:val="00CC1AF5"/>
    <w:rsid w:val="00CC1B74"/>
    <w:rsid w:val="00CC291E"/>
    <w:rsid w:val="00CC2D03"/>
    <w:rsid w:val="00CC2EB0"/>
    <w:rsid w:val="00CC4701"/>
    <w:rsid w:val="00CC56B4"/>
    <w:rsid w:val="00CC5F95"/>
    <w:rsid w:val="00CC642A"/>
    <w:rsid w:val="00CC6AC7"/>
    <w:rsid w:val="00CC733D"/>
    <w:rsid w:val="00CC7617"/>
    <w:rsid w:val="00CC7E0D"/>
    <w:rsid w:val="00CC7E97"/>
    <w:rsid w:val="00CD00EB"/>
    <w:rsid w:val="00CD1255"/>
    <w:rsid w:val="00CD1484"/>
    <w:rsid w:val="00CD1892"/>
    <w:rsid w:val="00CD1C01"/>
    <w:rsid w:val="00CD1D00"/>
    <w:rsid w:val="00CD2009"/>
    <w:rsid w:val="00CD27AC"/>
    <w:rsid w:val="00CD2A82"/>
    <w:rsid w:val="00CD3CAB"/>
    <w:rsid w:val="00CD44FF"/>
    <w:rsid w:val="00CD46A7"/>
    <w:rsid w:val="00CD47BC"/>
    <w:rsid w:val="00CD4E50"/>
    <w:rsid w:val="00CD57CB"/>
    <w:rsid w:val="00CD64E1"/>
    <w:rsid w:val="00CD66BA"/>
    <w:rsid w:val="00CD68D5"/>
    <w:rsid w:val="00CD699D"/>
    <w:rsid w:val="00CD6BA3"/>
    <w:rsid w:val="00CD70DB"/>
    <w:rsid w:val="00CD7544"/>
    <w:rsid w:val="00CD78D4"/>
    <w:rsid w:val="00CE0697"/>
    <w:rsid w:val="00CE14CB"/>
    <w:rsid w:val="00CE2E2E"/>
    <w:rsid w:val="00CE3A51"/>
    <w:rsid w:val="00CE41F9"/>
    <w:rsid w:val="00CE59F6"/>
    <w:rsid w:val="00CE66CD"/>
    <w:rsid w:val="00CE6BA9"/>
    <w:rsid w:val="00CE71C3"/>
    <w:rsid w:val="00CE727A"/>
    <w:rsid w:val="00CF029C"/>
    <w:rsid w:val="00CF0AF0"/>
    <w:rsid w:val="00CF157E"/>
    <w:rsid w:val="00CF1631"/>
    <w:rsid w:val="00CF1834"/>
    <w:rsid w:val="00CF1AAA"/>
    <w:rsid w:val="00CF1EC2"/>
    <w:rsid w:val="00CF2ACF"/>
    <w:rsid w:val="00CF345B"/>
    <w:rsid w:val="00CF3510"/>
    <w:rsid w:val="00CF475F"/>
    <w:rsid w:val="00CF5008"/>
    <w:rsid w:val="00CF5069"/>
    <w:rsid w:val="00CF5E34"/>
    <w:rsid w:val="00CF6707"/>
    <w:rsid w:val="00CF7101"/>
    <w:rsid w:val="00CF7327"/>
    <w:rsid w:val="00CF7385"/>
    <w:rsid w:val="00CF7539"/>
    <w:rsid w:val="00CF75C6"/>
    <w:rsid w:val="00CF7B77"/>
    <w:rsid w:val="00CF7DF5"/>
    <w:rsid w:val="00D001D2"/>
    <w:rsid w:val="00D02A80"/>
    <w:rsid w:val="00D0352D"/>
    <w:rsid w:val="00D038DC"/>
    <w:rsid w:val="00D04F01"/>
    <w:rsid w:val="00D04F8B"/>
    <w:rsid w:val="00D054EF"/>
    <w:rsid w:val="00D05637"/>
    <w:rsid w:val="00D05BA9"/>
    <w:rsid w:val="00D05EB1"/>
    <w:rsid w:val="00D0650B"/>
    <w:rsid w:val="00D0654A"/>
    <w:rsid w:val="00D068AA"/>
    <w:rsid w:val="00D06E71"/>
    <w:rsid w:val="00D06E9C"/>
    <w:rsid w:val="00D0714B"/>
    <w:rsid w:val="00D0764E"/>
    <w:rsid w:val="00D07D82"/>
    <w:rsid w:val="00D10327"/>
    <w:rsid w:val="00D103C9"/>
    <w:rsid w:val="00D1079C"/>
    <w:rsid w:val="00D10BE1"/>
    <w:rsid w:val="00D11FE3"/>
    <w:rsid w:val="00D12393"/>
    <w:rsid w:val="00D12945"/>
    <w:rsid w:val="00D12CC0"/>
    <w:rsid w:val="00D12DA1"/>
    <w:rsid w:val="00D130C0"/>
    <w:rsid w:val="00D1343A"/>
    <w:rsid w:val="00D13D50"/>
    <w:rsid w:val="00D14101"/>
    <w:rsid w:val="00D144D8"/>
    <w:rsid w:val="00D14919"/>
    <w:rsid w:val="00D14E25"/>
    <w:rsid w:val="00D15470"/>
    <w:rsid w:val="00D15AE3"/>
    <w:rsid w:val="00D160C4"/>
    <w:rsid w:val="00D165D8"/>
    <w:rsid w:val="00D1724E"/>
    <w:rsid w:val="00D17C26"/>
    <w:rsid w:val="00D17E08"/>
    <w:rsid w:val="00D206F6"/>
    <w:rsid w:val="00D20FD1"/>
    <w:rsid w:val="00D214D4"/>
    <w:rsid w:val="00D21AAA"/>
    <w:rsid w:val="00D21E6F"/>
    <w:rsid w:val="00D2218A"/>
    <w:rsid w:val="00D22B13"/>
    <w:rsid w:val="00D2371E"/>
    <w:rsid w:val="00D237E0"/>
    <w:rsid w:val="00D23A17"/>
    <w:rsid w:val="00D25676"/>
    <w:rsid w:val="00D2579F"/>
    <w:rsid w:val="00D2580E"/>
    <w:rsid w:val="00D265A7"/>
    <w:rsid w:val="00D2690C"/>
    <w:rsid w:val="00D27129"/>
    <w:rsid w:val="00D279E7"/>
    <w:rsid w:val="00D27F75"/>
    <w:rsid w:val="00D3046D"/>
    <w:rsid w:val="00D30497"/>
    <w:rsid w:val="00D30C4D"/>
    <w:rsid w:val="00D30F5F"/>
    <w:rsid w:val="00D31243"/>
    <w:rsid w:val="00D316D9"/>
    <w:rsid w:val="00D31B07"/>
    <w:rsid w:val="00D31B9D"/>
    <w:rsid w:val="00D3272E"/>
    <w:rsid w:val="00D32D38"/>
    <w:rsid w:val="00D32FA0"/>
    <w:rsid w:val="00D33112"/>
    <w:rsid w:val="00D331CB"/>
    <w:rsid w:val="00D3451E"/>
    <w:rsid w:val="00D3497A"/>
    <w:rsid w:val="00D35F2F"/>
    <w:rsid w:val="00D35FC6"/>
    <w:rsid w:val="00D36BB8"/>
    <w:rsid w:val="00D3756D"/>
    <w:rsid w:val="00D377D4"/>
    <w:rsid w:val="00D401A1"/>
    <w:rsid w:val="00D40217"/>
    <w:rsid w:val="00D40385"/>
    <w:rsid w:val="00D404CE"/>
    <w:rsid w:val="00D40E8F"/>
    <w:rsid w:val="00D412BF"/>
    <w:rsid w:val="00D417C6"/>
    <w:rsid w:val="00D417D0"/>
    <w:rsid w:val="00D42B0C"/>
    <w:rsid w:val="00D42D6E"/>
    <w:rsid w:val="00D43DEF"/>
    <w:rsid w:val="00D44259"/>
    <w:rsid w:val="00D45C61"/>
    <w:rsid w:val="00D45DDC"/>
    <w:rsid w:val="00D5064C"/>
    <w:rsid w:val="00D50C94"/>
    <w:rsid w:val="00D511E7"/>
    <w:rsid w:val="00D51372"/>
    <w:rsid w:val="00D51711"/>
    <w:rsid w:val="00D517ED"/>
    <w:rsid w:val="00D5251C"/>
    <w:rsid w:val="00D52F56"/>
    <w:rsid w:val="00D539DA"/>
    <w:rsid w:val="00D546D8"/>
    <w:rsid w:val="00D54A50"/>
    <w:rsid w:val="00D54FFD"/>
    <w:rsid w:val="00D5552C"/>
    <w:rsid w:val="00D5556D"/>
    <w:rsid w:val="00D55C34"/>
    <w:rsid w:val="00D55C81"/>
    <w:rsid w:val="00D5674B"/>
    <w:rsid w:val="00D56B56"/>
    <w:rsid w:val="00D56BF5"/>
    <w:rsid w:val="00D56F99"/>
    <w:rsid w:val="00D5743F"/>
    <w:rsid w:val="00D57F1F"/>
    <w:rsid w:val="00D60065"/>
    <w:rsid w:val="00D60270"/>
    <w:rsid w:val="00D605C2"/>
    <w:rsid w:val="00D60733"/>
    <w:rsid w:val="00D60C60"/>
    <w:rsid w:val="00D61E1D"/>
    <w:rsid w:val="00D629A4"/>
    <w:rsid w:val="00D62BDF"/>
    <w:rsid w:val="00D62EEE"/>
    <w:rsid w:val="00D64F1C"/>
    <w:rsid w:val="00D6570C"/>
    <w:rsid w:val="00D659EA"/>
    <w:rsid w:val="00D65A89"/>
    <w:rsid w:val="00D65E85"/>
    <w:rsid w:val="00D6611C"/>
    <w:rsid w:val="00D671C7"/>
    <w:rsid w:val="00D675B0"/>
    <w:rsid w:val="00D675DE"/>
    <w:rsid w:val="00D678BB"/>
    <w:rsid w:val="00D67D81"/>
    <w:rsid w:val="00D70170"/>
    <w:rsid w:val="00D702E8"/>
    <w:rsid w:val="00D70552"/>
    <w:rsid w:val="00D70D42"/>
    <w:rsid w:val="00D71285"/>
    <w:rsid w:val="00D71ABC"/>
    <w:rsid w:val="00D721C5"/>
    <w:rsid w:val="00D72454"/>
    <w:rsid w:val="00D729A7"/>
    <w:rsid w:val="00D72A5B"/>
    <w:rsid w:val="00D73991"/>
    <w:rsid w:val="00D73CD4"/>
    <w:rsid w:val="00D73F06"/>
    <w:rsid w:val="00D740B2"/>
    <w:rsid w:val="00D74247"/>
    <w:rsid w:val="00D743F1"/>
    <w:rsid w:val="00D744CF"/>
    <w:rsid w:val="00D7456E"/>
    <w:rsid w:val="00D753A9"/>
    <w:rsid w:val="00D755F7"/>
    <w:rsid w:val="00D75DDB"/>
    <w:rsid w:val="00D75E4B"/>
    <w:rsid w:val="00D774F4"/>
    <w:rsid w:val="00D77687"/>
    <w:rsid w:val="00D77AF6"/>
    <w:rsid w:val="00D804C5"/>
    <w:rsid w:val="00D815E6"/>
    <w:rsid w:val="00D81A28"/>
    <w:rsid w:val="00D81BDE"/>
    <w:rsid w:val="00D8201D"/>
    <w:rsid w:val="00D82B00"/>
    <w:rsid w:val="00D82B04"/>
    <w:rsid w:val="00D82BE4"/>
    <w:rsid w:val="00D82E05"/>
    <w:rsid w:val="00D83C0D"/>
    <w:rsid w:val="00D83C80"/>
    <w:rsid w:val="00D83F5B"/>
    <w:rsid w:val="00D85FDE"/>
    <w:rsid w:val="00D8665E"/>
    <w:rsid w:val="00D869C1"/>
    <w:rsid w:val="00D86EC6"/>
    <w:rsid w:val="00D87418"/>
    <w:rsid w:val="00D87A39"/>
    <w:rsid w:val="00D87FE6"/>
    <w:rsid w:val="00D90BC3"/>
    <w:rsid w:val="00D90C93"/>
    <w:rsid w:val="00D90DB9"/>
    <w:rsid w:val="00D91001"/>
    <w:rsid w:val="00D910FF"/>
    <w:rsid w:val="00D91337"/>
    <w:rsid w:val="00D915C9"/>
    <w:rsid w:val="00D918DA"/>
    <w:rsid w:val="00D9198F"/>
    <w:rsid w:val="00D92078"/>
    <w:rsid w:val="00D926F0"/>
    <w:rsid w:val="00D928A5"/>
    <w:rsid w:val="00D92A87"/>
    <w:rsid w:val="00D9384E"/>
    <w:rsid w:val="00D93AEE"/>
    <w:rsid w:val="00D9413E"/>
    <w:rsid w:val="00D9456E"/>
    <w:rsid w:val="00D94C8D"/>
    <w:rsid w:val="00D95F88"/>
    <w:rsid w:val="00D96698"/>
    <w:rsid w:val="00D96876"/>
    <w:rsid w:val="00D96940"/>
    <w:rsid w:val="00D96B12"/>
    <w:rsid w:val="00D96F59"/>
    <w:rsid w:val="00D9726C"/>
    <w:rsid w:val="00DA0175"/>
    <w:rsid w:val="00DA099C"/>
    <w:rsid w:val="00DA0F18"/>
    <w:rsid w:val="00DA1A57"/>
    <w:rsid w:val="00DA2125"/>
    <w:rsid w:val="00DA21EC"/>
    <w:rsid w:val="00DA24DE"/>
    <w:rsid w:val="00DA270C"/>
    <w:rsid w:val="00DA281F"/>
    <w:rsid w:val="00DA3C5B"/>
    <w:rsid w:val="00DA3D23"/>
    <w:rsid w:val="00DA4A61"/>
    <w:rsid w:val="00DA5AFE"/>
    <w:rsid w:val="00DA61AB"/>
    <w:rsid w:val="00DA61CD"/>
    <w:rsid w:val="00DA6EE2"/>
    <w:rsid w:val="00DA718A"/>
    <w:rsid w:val="00DA78CF"/>
    <w:rsid w:val="00DA78D5"/>
    <w:rsid w:val="00DA7A89"/>
    <w:rsid w:val="00DA7BF4"/>
    <w:rsid w:val="00DB052F"/>
    <w:rsid w:val="00DB14D3"/>
    <w:rsid w:val="00DB154B"/>
    <w:rsid w:val="00DB1BDC"/>
    <w:rsid w:val="00DB3490"/>
    <w:rsid w:val="00DB3593"/>
    <w:rsid w:val="00DB440B"/>
    <w:rsid w:val="00DB4426"/>
    <w:rsid w:val="00DB4522"/>
    <w:rsid w:val="00DB4B40"/>
    <w:rsid w:val="00DB4F12"/>
    <w:rsid w:val="00DB4F21"/>
    <w:rsid w:val="00DB4F42"/>
    <w:rsid w:val="00DB540C"/>
    <w:rsid w:val="00DB6F96"/>
    <w:rsid w:val="00DB71B9"/>
    <w:rsid w:val="00DB733F"/>
    <w:rsid w:val="00DB7662"/>
    <w:rsid w:val="00DB7E46"/>
    <w:rsid w:val="00DC1395"/>
    <w:rsid w:val="00DC203C"/>
    <w:rsid w:val="00DC2F04"/>
    <w:rsid w:val="00DC32FC"/>
    <w:rsid w:val="00DC3D89"/>
    <w:rsid w:val="00DC4567"/>
    <w:rsid w:val="00DC4D6C"/>
    <w:rsid w:val="00DC4F47"/>
    <w:rsid w:val="00DC5059"/>
    <w:rsid w:val="00DC5860"/>
    <w:rsid w:val="00DC5BD0"/>
    <w:rsid w:val="00DC5BE2"/>
    <w:rsid w:val="00DC6284"/>
    <w:rsid w:val="00DC628E"/>
    <w:rsid w:val="00DC6747"/>
    <w:rsid w:val="00DC6AF3"/>
    <w:rsid w:val="00DC7608"/>
    <w:rsid w:val="00DC761E"/>
    <w:rsid w:val="00DC7B3B"/>
    <w:rsid w:val="00DC7CFC"/>
    <w:rsid w:val="00DD09F2"/>
    <w:rsid w:val="00DD0DEE"/>
    <w:rsid w:val="00DD1205"/>
    <w:rsid w:val="00DD1633"/>
    <w:rsid w:val="00DD17A0"/>
    <w:rsid w:val="00DD1B97"/>
    <w:rsid w:val="00DD2831"/>
    <w:rsid w:val="00DD2A6D"/>
    <w:rsid w:val="00DD2E17"/>
    <w:rsid w:val="00DD42DE"/>
    <w:rsid w:val="00DD4309"/>
    <w:rsid w:val="00DD4344"/>
    <w:rsid w:val="00DD4357"/>
    <w:rsid w:val="00DD47EE"/>
    <w:rsid w:val="00DD4DDD"/>
    <w:rsid w:val="00DD573B"/>
    <w:rsid w:val="00DD57E7"/>
    <w:rsid w:val="00DD5A1E"/>
    <w:rsid w:val="00DD5B8C"/>
    <w:rsid w:val="00DD5DFA"/>
    <w:rsid w:val="00DD5E91"/>
    <w:rsid w:val="00DD6CE2"/>
    <w:rsid w:val="00DD720D"/>
    <w:rsid w:val="00DE0229"/>
    <w:rsid w:val="00DE04E0"/>
    <w:rsid w:val="00DE12F1"/>
    <w:rsid w:val="00DE1A9D"/>
    <w:rsid w:val="00DE1CB1"/>
    <w:rsid w:val="00DE2073"/>
    <w:rsid w:val="00DE30AC"/>
    <w:rsid w:val="00DE32CD"/>
    <w:rsid w:val="00DE38D1"/>
    <w:rsid w:val="00DE4106"/>
    <w:rsid w:val="00DE466B"/>
    <w:rsid w:val="00DE48F4"/>
    <w:rsid w:val="00DE5563"/>
    <w:rsid w:val="00DE5C19"/>
    <w:rsid w:val="00DE5D48"/>
    <w:rsid w:val="00DE6E4D"/>
    <w:rsid w:val="00DE7498"/>
    <w:rsid w:val="00DE75EF"/>
    <w:rsid w:val="00DE7611"/>
    <w:rsid w:val="00DE7D19"/>
    <w:rsid w:val="00DF05A0"/>
    <w:rsid w:val="00DF1162"/>
    <w:rsid w:val="00DF1BA8"/>
    <w:rsid w:val="00DF1F63"/>
    <w:rsid w:val="00DF28F2"/>
    <w:rsid w:val="00DF2BFF"/>
    <w:rsid w:val="00DF339B"/>
    <w:rsid w:val="00DF3798"/>
    <w:rsid w:val="00DF393E"/>
    <w:rsid w:val="00DF4FF1"/>
    <w:rsid w:val="00DF56A3"/>
    <w:rsid w:val="00DF5B33"/>
    <w:rsid w:val="00DF6FD2"/>
    <w:rsid w:val="00DF72EF"/>
    <w:rsid w:val="00DF743D"/>
    <w:rsid w:val="00DF7724"/>
    <w:rsid w:val="00E000D8"/>
    <w:rsid w:val="00E00C1E"/>
    <w:rsid w:val="00E00F5F"/>
    <w:rsid w:val="00E010E6"/>
    <w:rsid w:val="00E01377"/>
    <w:rsid w:val="00E014E7"/>
    <w:rsid w:val="00E0232F"/>
    <w:rsid w:val="00E026A9"/>
    <w:rsid w:val="00E0356F"/>
    <w:rsid w:val="00E03B42"/>
    <w:rsid w:val="00E03C10"/>
    <w:rsid w:val="00E0479F"/>
    <w:rsid w:val="00E04816"/>
    <w:rsid w:val="00E04982"/>
    <w:rsid w:val="00E04D6A"/>
    <w:rsid w:val="00E04DAE"/>
    <w:rsid w:val="00E058DB"/>
    <w:rsid w:val="00E05950"/>
    <w:rsid w:val="00E05CD4"/>
    <w:rsid w:val="00E05DE8"/>
    <w:rsid w:val="00E06100"/>
    <w:rsid w:val="00E0614E"/>
    <w:rsid w:val="00E06E97"/>
    <w:rsid w:val="00E07B8F"/>
    <w:rsid w:val="00E105CE"/>
    <w:rsid w:val="00E10712"/>
    <w:rsid w:val="00E10DD1"/>
    <w:rsid w:val="00E1224C"/>
    <w:rsid w:val="00E1254C"/>
    <w:rsid w:val="00E12BDF"/>
    <w:rsid w:val="00E13326"/>
    <w:rsid w:val="00E13D07"/>
    <w:rsid w:val="00E14356"/>
    <w:rsid w:val="00E14961"/>
    <w:rsid w:val="00E14D76"/>
    <w:rsid w:val="00E15183"/>
    <w:rsid w:val="00E15D6C"/>
    <w:rsid w:val="00E1720B"/>
    <w:rsid w:val="00E203DE"/>
    <w:rsid w:val="00E20CE7"/>
    <w:rsid w:val="00E217B1"/>
    <w:rsid w:val="00E21E43"/>
    <w:rsid w:val="00E222FA"/>
    <w:rsid w:val="00E229CE"/>
    <w:rsid w:val="00E22B4A"/>
    <w:rsid w:val="00E2449B"/>
    <w:rsid w:val="00E24A62"/>
    <w:rsid w:val="00E24F52"/>
    <w:rsid w:val="00E255CC"/>
    <w:rsid w:val="00E25636"/>
    <w:rsid w:val="00E25755"/>
    <w:rsid w:val="00E25F90"/>
    <w:rsid w:val="00E266DD"/>
    <w:rsid w:val="00E26D2E"/>
    <w:rsid w:val="00E279B2"/>
    <w:rsid w:val="00E303C0"/>
    <w:rsid w:val="00E3055B"/>
    <w:rsid w:val="00E31687"/>
    <w:rsid w:val="00E31699"/>
    <w:rsid w:val="00E31761"/>
    <w:rsid w:val="00E31812"/>
    <w:rsid w:val="00E31889"/>
    <w:rsid w:val="00E31CE7"/>
    <w:rsid w:val="00E333D5"/>
    <w:rsid w:val="00E3394F"/>
    <w:rsid w:val="00E33A0B"/>
    <w:rsid w:val="00E34A2F"/>
    <w:rsid w:val="00E35A45"/>
    <w:rsid w:val="00E35F7F"/>
    <w:rsid w:val="00E36392"/>
    <w:rsid w:val="00E36B32"/>
    <w:rsid w:val="00E37A6F"/>
    <w:rsid w:val="00E37A9C"/>
    <w:rsid w:val="00E40222"/>
    <w:rsid w:val="00E40406"/>
    <w:rsid w:val="00E4082B"/>
    <w:rsid w:val="00E40835"/>
    <w:rsid w:val="00E408EC"/>
    <w:rsid w:val="00E409B5"/>
    <w:rsid w:val="00E40BCB"/>
    <w:rsid w:val="00E4208F"/>
    <w:rsid w:val="00E42E94"/>
    <w:rsid w:val="00E43006"/>
    <w:rsid w:val="00E4312A"/>
    <w:rsid w:val="00E4331B"/>
    <w:rsid w:val="00E43551"/>
    <w:rsid w:val="00E437FA"/>
    <w:rsid w:val="00E45A2C"/>
    <w:rsid w:val="00E46A6B"/>
    <w:rsid w:val="00E46A9C"/>
    <w:rsid w:val="00E47DB1"/>
    <w:rsid w:val="00E50BDD"/>
    <w:rsid w:val="00E510CF"/>
    <w:rsid w:val="00E513D7"/>
    <w:rsid w:val="00E519FE"/>
    <w:rsid w:val="00E5206C"/>
    <w:rsid w:val="00E52AAB"/>
    <w:rsid w:val="00E5448E"/>
    <w:rsid w:val="00E54E0D"/>
    <w:rsid w:val="00E55247"/>
    <w:rsid w:val="00E558E5"/>
    <w:rsid w:val="00E55B3C"/>
    <w:rsid w:val="00E56795"/>
    <w:rsid w:val="00E57932"/>
    <w:rsid w:val="00E606C4"/>
    <w:rsid w:val="00E60811"/>
    <w:rsid w:val="00E60AB8"/>
    <w:rsid w:val="00E6103E"/>
    <w:rsid w:val="00E6185F"/>
    <w:rsid w:val="00E61D32"/>
    <w:rsid w:val="00E637EE"/>
    <w:rsid w:val="00E63C60"/>
    <w:rsid w:val="00E64050"/>
    <w:rsid w:val="00E64B7B"/>
    <w:rsid w:val="00E6514D"/>
    <w:rsid w:val="00E65161"/>
    <w:rsid w:val="00E652C9"/>
    <w:rsid w:val="00E6593B"/>
    <w:rsid w:val="00E65D74"/>
    <w:rsid w:val="00E66E11"/>
    <w:rsid w:val="00E672C6"/>
    <w:rsid w:val="00E70192"/>
    <w:rsid w:val="00E70C55"/>
    <w:rsid w:val="00E70E34"/>
    <w:rsid w:val="00E71809"/>
    <w:rsid w:val="00E71D1E"/>
    <w:rsid w:val="00E725F7"/>
    <w:rsid w:val="00E726F2"/>
    <w:rsid w:val="00E728E2"/>
    <w:rsid w:val="00E738FA"/>
    <w:rsid w:val="00E739B6"/>
    <w:rsid w:val="00E74A2B"/>
    <w:rsid w:val="00E75667"/>
    <w:rsid w:val="00E756D3"/>
    <w:rsid w:val="00E75A5A"/>
    <w:rsid w:val="00E76004"/>
    <w:rsid w:val="00E7608F"/>
    <w:rsid w:val="00E760D7"/>
    <w:rsid w:val="00E769CC"/>
    <w:rsid w:val="00E76E26"/>
    <w:rsid w:val="00E77124"/>
    <w:rsid w:val="00E77341"/>
    <w:rsid w:val="00E7783E"/>
    <w:rsid w:val="00E778B8"/>
    <w:rsid w:val="00E801C7"/>
    <w:rsid w:val="00E8062F"/>
    <w:rsid w:val="00E80AF8"/>
    <w:rsid w:val="00E80BED"/>
    <w:rsid w:val="00E816E8"/>
    <w:rsid w:val="00E82592"/>
    <w:rsid w:val="00E825ED"/>
    <w:rsid w:val="00E827BB"/>
    <w:rsid w:val="00E82D24"/>
    <w:rsid w:val="00E8357D"/>
    <w:rsid w:val="00E83C4F"/>
    <w:rsid w:val="00E84212"/>
    <w:rsid w:val="00E84C04"/>
    <w:rsid w:val="00E84F72"/>
    <w:rsid w:val="00E856A2"/>
    <w:rsid w:val="00E8572B"/>
    <w:rsid w:val="00E8575B"/>
    <w:rsid w:val="00E85929"/>
    <w:rsid w:val="00E85AD2"/>
    <w:rsid w:val="00E86976"/>
    <w:rsid w:val="00E87A37"/>
    <w:rsid w:val="00E87CF7"/>
    <w:rsid w:val="00E9036E"/>
    <w:rsid w:val="00E9078A"/>
    <w:rsid w:val="00E912FD"/>
    <w:rsid w:val="00E91B26"/>
    <w:rsid w:val="00E92C6E"/>
    <w:rsid w:val="00E92D0B"/>
    <w:rsid w:val="00E92FFF"/>
    <w:rsid w:val="00E93195"/>
    <w:rsid w:val="00E9391C"/>
    <w:rsid w:val="00E93D05"/>
    <w:rsid w:val="00E951D8"/>
    <w:rsid w:val="00E95745"/>
    <w:rsid w:val="00E95C2A"/>
    <w:rsid w:val="00E961CB"/>
    <w:rsid w:val="00E963BC"/>
    <w:rsid w:val="00E966A6"/>
    <w:rsid w:val="00E96E91"/>
    <w:rsid w:val="00E9751D"/>
    <w:rsid w:val="00E97DC6"/>
    <w:rsid w:val="00E97F7A"/>
    <w:rsid w:val="00EA0010"/>
    <w:rsid w:val="00EA0143"/>
    <w:rsid w:val="00EA089B"/>
    <w:rsid w:val="00EA1ACC"/>
    <w:rsid w:val="00EA23E8"/>
    <w:rsid w:val="00EA2E21"/>
    <w:rsid w:val="00EA2EAA"/>
    <w:rsid w:val="00EA380C"/>
    <w:rsid w:val="00EA613D"/>
    <w:rsid w:val="00EA6744"/>
    <w:rsid w:val="00EA6768"/>
    <w:rsid w:val="00EA7308"/>
    <w:rsid w:val="00EA7474"/>
    <w:rsid w:val="00EA7C70"/>
    <w:rsid w:val="00EB0214"/>
    <w:rsid w:val="00EB0831"/>
    <w:rsid w:val="00EB089C"/>
    <w:rsid w:val="00EB0AA8"/>
    <w:rsid w:val="00EB0B65"/>
    <w:rsid w:val="00EB0C65"/>
    <w:rsid w:val="00EB1624"/>
    <w:rsid w:val="00EB169F"/>
    <w:rsid w:val="00EB2635"/>
    <w:rsid w:val="00EB2961"/>
    <w:rsid w:val="00EB2E1A"/>
    <w:rsid w:val="00EB2F8A"/>
    <w:rsid w:val="00EB3268"/>
    <w:rsid w:val="00EB3298"/>
    <w:rsid w:val="00EB3939"/>
    <w:rsid w:val="00EB3CE6"/>
    <w:rsid w:val="00EB3E92"/>
    <w:rsid w:val="00EB54AB"/>
    <w:rsid w:val="00EB6257"/>
    <w:rsid w:val="00EB68E6"/>
    <w:rsid w:val="00EB6AE9"/>
    <w:rsid w:val="00EB6B2D"/>
    <w:rsid w:val="00EB71C9"/>
    <w:rsid w:val="00EB763E"/>
    <w:rsid w:val="00EB7659"/>
    <w:rsid w:val="00EB7B67"/>
    <w:rsid w:val="00EC07F1"/>
    <w:rsid w:val="00EC1E8A"/>
    <w:rsid w:val="00EC328C"/>
    <w:rsid w:val="00EC32F5"/>
    <w:rsid w:val="00EC3852"/>
    <w:rsid w:val="00EC4528"/>
    <w:rsid w:val="00EC5241"/>
    <w:rsid w:val="00EC5817"/>
    <w:rsid w:val="00EC594C"/>
    <w:rsid w:val="00EC5C7B"/>
    <w:rsid w:val="00EC66AA"/>
    <w:rsid w:val="00EC6B30"/>
    <w:rsid w:val="00EC6B8F"/>
    <w:rsid w:val="00EC7154"/>
    <w:rsid w:val="00EC7371"/>
    <w:rsid w:val="00EC73F5"/>
    <w:rsid w:val="00EC7894"/>
    <w:rsid w:val="00EC7A28"/>
    <w:rsid w:val="00EC7B48"/>
    <w:rsid w:val="00ED0151"/>
    <w:rsid w:val="00ED0257"/>
    <w:rsid w:val="00ED071B"/>
    <w:rsid w:val="00ED18B1"/>
    <w:rsid w:val="00ED1ADE"/>
    <w:rsid w:val="00ED3692"/>
    <w:rsid w:val="00ED4A77"/>
    <w:rsid w:val="00ED4B6E"/>
    <w:rsid w:val="00ED5981"/>
    <w:rsid w:val="00ED613A"/>
    <w:rsid w:val="00ED6514"/>
    <w:rsid w:val="00ED66B2"/>
    <w:rsid w:val="00ED71BA"/>
    <w:rsid w:val="00ED728F"/>
    <w:rsid w:val="00ED73A1"/>
    <w:rsid w:val="00ED7CA2"/>
    <w:rsid w:val="00EE04F9"/>
    <w:rsid w:val="00EE05E0"/>
    <w:rsid w:val="00EE13DA"/>
    <w:rsid w:val="00EE1595"/>
    <w:rsid w:val="00EE1E71"/>
    <w:rsid w:val="00EE2087"/>
    <w:rsid w:val="00EE20C2"/>
    <w:rsid w:val="00EE2A65"/>
    <w:rsid w:val="00EE2A9D"/>
    <w:rsid w:val="00EE3384"/>
    <w:rsid w:val="00EE499F"/>
    <w:rsid w:val="00EE56E2"/>
    <w:rsid w:val="00EE5FCD"/>
    <w:rsid w:val="00EE63BF"/>
    <w:rsid w:val="00EE6D45"/>
    <w:rsid w:val="00EE6E89"/>
    <w:rsid w:val="00EF0D4B"/>
    <w:rsid w:val="00EF0FE6"/>
    <w:rsid w:val="00EF1130"/>
    <w:rsid w:val="00EF1432"/>
    <w:rsid w:val="00EF1511"/>
    <w:rsid w:val="00EF1F01"/>
    <w:rsid w:val="00EF2AF1"/>
    <w:rsid w:val="00EF2C39"/>
    <w:rsid w:val="00EF2C5F"/>
    <w:rsid w:val="00EF3811"/>
    <w:rsid w:val="00EF3AC4"/>
    <w:rsid w:val="00EF3FF9"/>
    <w:rsid w:val="00EF41AF"/>
    <w:rsid w:val="00EF4B87"/>
    <w:rsid w:val="00EF4DB4"/>
    <w:rsid w:val="00EF50D5"/>
    <w:rsid w:val="00EF5234"/>
    <w:rsid w:val="00EF55E9"/>
    <w:rsid w:val="00EF5B41"/>
    <w:rsid w:val="00EF611C"/>
    <w:rsid w:val="00EF625F"/>
    <w:rsid w:val="00EF62C0"/>
    <w:rsid w:val="00EF6D5A"/>
    <w:rsid w:val="00EF71E6"/>
    <w:rsid w:val="00F0058A"/>
    <w:rsid w:val="00F00630"/>
    <w:rsid w:val="00F00922"/>
    <w:rsid w:val="00F00924"/>
    <w:rsid w:val="00F0187E"/>
    <w:rsid w:val="00F01BE6"/>
    <w:rsid w:val="00F01F75"/>
    <w:rsid w:val="00F0217A"/>
    <w:rsid w:val="00F026D3"/>
    <w:rsid w:val="00F027E8"/>
    <w:rsid w:val="00F03395"/>
    <w:rsid w:val="00F034E6"/>
    <w:rsid w:val="00F03E4C"/>
    <w:rsid w:val="00F04D19"/>
    <w:rsid w:val="00F050A3"/>
    <w:rsid w:val="00F06340"/>
    <w:rsid w:val="00F0665D"/>
    <w:rsid w:val="00F06D42"/>
    <w:rsid w:val="00F06D97"/>
    <w:rsid w:val="00F07134"/>
    <w:rsid w:val="00F0724D"/>
    <w:rsid w:val="00F07378"/>
    <w:rsid w:val="00F07B29"/>
    <w:rsid w:val="00F10B81"/>
    <w:rsid w:val="00F10BC9"/>
    <w:rsid w:val="00F11078"/>
    <w:rsid w:val="00F113C9"/>
    <w:rsid w:val="00F11C01"/>
    <w:rsid w:val="00F11D80"/>
    <w:rsid w:val="00F1360D"/>
    <w:rsid w:val="00F14B08"/>
    <w:rsid w:val="00F14B4B"/>
    <w:rsid w:val="00F14CD1"/>
    <w:rsid w:val="00F15115"/>
    <w:rsid w:val="00F15A85"/>
    <w:rsid w:val="00F15C81"/>
    <w:rsid w:val="00F15D8C"/>
    <w:rsid w:val="00F15F18"/>
    <w:rsid w:val="00F16B86"/>
    <w:rsid w:val="00F16E1A"/>
    <w:rsid w:val="00F16F92"/>
    <w:rsid w:val="00F17C3E"/>
    <w:rsid w:val="00F17CAC"/>
    <w:rsid w:val="00F20197"/>
    <w:rsid w:val="00F20369"/>
    <w:rsid w:val="00F20607"/>
    <w:rsid w:val="00F208BB"/>
    <w:rsid w:val="00F20C9E"/>
    <w:rsid w:val="00F213D8"/>
    <w:rsid w:val="00F21A5D"/>
    <w:rsid w:val="00F21C13"/>
    <w:rsid w:val="00F22362"/>
    <w:rsid w:val="00F22796"/>
    <w:rsid w:val="00F2296A"/>
    <w:rsid w:val="00F234A4"/>
    <w:rsid w:val="00F2363A"/>
    <w:rsid w:val="00F238F7"/>
    <w:rsid w:val="00F23BA0"/>
    <w:rsid w:val="00F2420C"/>
    <w:rsid w:val="00F24C28"/>
    <w:rsid w:val="00F254C4"/>
    <w:rsid w:val="00F25641"/>
    <w:rsid w:val="00F256D8"/>
    <w:rsid w:val="00F25824"/>
    <w:rsid w:val="00F25E8C"/>
    <w:rsid w:val="00F26065"/>
    <w:rsid w:val="00F266E3"/>
    <w:rsid w:val="00F2689C"/>
    <w:rsid w:val="00F27E44"/>
    <w:rsid w:val="00F30313"/>
    <w:rsid w:val="00F303BC"/>
    <w:rsid w:val="00F30472"/>
    <w:rsid w:val="00F31052"/>
    <w:rsid w:val="00F31068"/>
    <w:rsid w:val="00F318A1"/>
    <w:rsid w:val="00F31CF5"/>
    <w:rsid w:val="00F3265C"/>
    <w:rsid w:val="00F32C4A"/>
    <w:rsid w:val="00F33262"/>
    <w:rsid w:val="00F343EE"/>
    <w:rsid w:val="00F353F4"/>
    <w:rsid w:val="00F35494"/>
    <w:rsid w:val="00F35607"/>
    <w:rsid w:val="00F359AB"/>
    <w:rsid w:val="00F35DBA"/>
    <w:rsid w:val="00F3619D"/>
    <w:rsid w:val="00F36DDE"/>
    <w:rsid w:val="00F3722A"/>
    <w:rsid w:val="00F37366"/>
    <w:rsid w:val="00F37C99"/>
    <w:rsid w:val="00F37FCC"/>
    <w:rsid w:val="00F419B8"/>
    <w:rsid w:val="00F41C0F"/>
    <w:rsid w:val="00F42856"/>
    <w:rsid w:val="00F42ED7"/>
    <w:rsid w:val="00F43777"/>
    <w:rsid w:val="00F4482B"/>
    <w:rsid w:val="00F44F02"/>
    <w:rsid w:val="00F45039"/>
    <w:rsid w:val="00F4526B"/>
    <w:rsid w:val="00F45298"/>
    <w:rsid w:val="00F45F64"/>
    <w:rsid w:val="00F462DF"/>
    <w:rsid w:val="00F46534"/>
    <w:rsid w:val="00F4662D"/>
    <w:rsid w:val="00F467BA"/>
    <w:rsid w:val="00F4689E"/>
    <w:rsid w:val="00F468AC"/>
    <w:rsid w:val="00F4696F"/>
    <w:rsid w:val="00F46A5F"/>
    <w:rsid w:val="00F47316"/>
    <w:rsid w:val="00F47507"/>
    <w:rsid w:val="00F47A01"/>
    <w:rsid w:val="00F47CEE"/>
    <w:rsid w:val="00F5052D"/>
    <w:rsid w:val="00F51A82"/>
    <w:rsid w:val="00F51B78"/>
    <w:rsid w:val="00F51BDD"/>
    <w:rsid w:val="00F52065"/>
    <w:rsid w:val="00F521CE"/>
    <w:rsid w:val="00F5253E"/>
    <w:rsid w:val="00F5254B"/>
    <w:rsid w:val="00F52CB7"/>
    <w:rsid w:val="00F53A44"/>
    <w:rsid w:val="00F54E5E"/>
    <w:rsid w:val="00F551DB"/>
    <w:rsid w:val="00F55810"/>
    <w:rsid w:val="00F559BE"/>
    <w:rsid w:val="00F56F7E"/>
    <w:rsid w:val="00F56FEF"/>
    <w:rsid w:val="00F57521"/>
    <w:rsid w:val="00F60938"/>
    <w:rsid w:val="00F60C7E"/>
    <w:rsid w:val="00F60E0A"/>
    <w:rsid w:val="00F61606"/>
    <w:rsid w:val="00F61918"/>
    <w:rsid w:val="00F62151"/>
    <w:rsid w:val="00F62BA9"/>
    <w:rsid w:val="00F62CA8"/>
    <w:rsid w:val="00F62F92"/>
    <w:rsid w:val="00F630B4"/>
    <w:rsid w:val="00F635EF"/>
    <w:rsid w:val="00F63BF4"/>
    <w:rsid w:val="00F63C55"/>
    <w:rsid w:val="00F63C60"/>
    <w:rsid w:val="00F64991"/>
    <w:rsid w:val="00F65425"/>
    <w:rsid w:val="00F65BA9"/>
    <w:rsid w:val="00F65BC8"/>
    <w:rsid w:val="00F65EEA"/>
    <w:rsid w:val="00F66205"/>
    <w:rsid w:val="00F6630F"/>
    <w:rsid w:val="00F66419"/>
    <w:rsid w:val="00F67079"/>
    <w:rsid w:val="00F67B58"/>
    <w:rsid w:val="00F67E81"/>
    <w:rsid w:val="00F7044B"/>
    <w:rsid w:val="00F70FD4"/>
    <w:rsid w:val="00F71342"/>
    <w:rsid w:val="00F71C68"/>
    <w:rsid w:val="00F724E2"/>
    <w:rsid w:val="00F74103"/>
    <w:rsid w:val="00F7410A"/>
    <w:rsid w:val="00F745A4"/>
    <w:rsid w:val="00F74C0C"/>
    <w:rsid w:val="00F758E1"/>
    <w:rsid w:val="00F75BB5"/>
    <w:rsid w:val="00F75FD5"/>
    <w:rsid w:val="00F7604C"/>
    <w:rsid w:val="00F773A9"/>
    <w:rsid w:val="00F8056E"/>
    <w:rsid w:val="00F805B7"/>
    <w:rsid w:val="00F810C1"/>
    <w:rsid w:val="00F81623"/>
    <w:rsid w:val="00F81D25"/>
    <w:rsid w:val="00F8245C"/>
    <w:rsid w:val="00F82928"/>
    <w:rsid w:val="00F829B9"/>
    <w:rsid w:val="00F83045"/>
    <w:rsid w:val="00F83615"/>
    <w:rsid w:val="00F83EC7"/>
    <w:rsid w:val="00F8421D"/>
    <w:rsid w:val="00F85329"/>
    <w:rsid w:val="00F85683"/>
    <w:rsid w:val="00F85841"/>
    <w:rsid w:val="00F86079"/>
    <w:rsid w:val="00F8610A"/>
    <w:rsid w:val="00F87282"/>
    <w:rsid w:val="00F878CD"/>
    <w:rsid w:val="00F87905"/>
    <w:rsid w:val="00F87A66"/>
    <w:rsid w:val="00F90C1F"/>
    <w:rsid w:val="00F91255"/>
    <w:rsid w:val="00F912D9"/>
    <w:rsid w:val="00F91A44"/>
    <w:rsid w:val="00F91BFA"/>
    <w:rsid w:val="00F91F8F"/>
    <w:rsid w:val="00F9217B"/>
    <w:rsid w:val="00F934DD"/>
    <w:rsid w:val="00F97A34"/>
    <w:rsid w:val="00F97E4A"/>
    <w:rsid w:val="00F97EA1"/>
    <w:rsid w:val="00FA003A"/>
    <w:rsid w:val="00FA05C8"/>
    <w:rsid w:val="00FA0678"/>
    <w:rsid w:val="00FA0DB6"/>
    <w:rsid w:val="00FA23F7"/>
    <w:rsid w:val="00FA27EB"/>
    <w:rsid w:val="00FA35B6"/>
    <w:rsid w:val="00FA3EBC"/>
    <w:rsid w:val="00FA423C"/>
    <w:rsid w:val="00FA44D0"/>
    <w:rsid w:val="00FA4590"/>
    <w:rsid w:val="00FA55A2"/>
    <w:rsid w:val="00FA672F"/>
    <w:rsid w:val="00FA775E"/>
    <w:rsid w:val="00FA7792"/>
    <w:rsid w:val="00FA7AA8"/>
    <w:rsid w:val="00FA7F1D"/>
    <w:rsid w:val="00FB011C"/>
    <w:rsid w:val="00FB0D60"/>
    <w:rsid w:val="00FB18FD"/>
    <w:rsid w:val="00FB2BF5"/>
    <w:rsid w:val="00FB2F8E"/>
    <w:rsid w:val="00FB30C3"/>
    <w:rsid w:val="00FB39B0"/>
    <w:rsid w:val="00FB5138"/>
    <w:rsid w:val="00FB547F"/>
    <w:rsid w:val="00FB5A71"/>
    <w:rsid w:val="00FB63F6"/>
    <w:rsid w:val="00FB7823"/>
    <w:rsid w:val="00FC05B2"/>
    <w:rsid w:val="00FC08B3"/>
    <w:rsid w:val="00FC09D7"/>
    <w:rsid w:val="00FC0ABE"/>
    <w:rsid w:val="00FC1269"/>
    <w:rsid w:val="00FC22D0"/>
    <w:rsid w:val="00FC28BC"/>
    <w:rsid w:val="00FC2F74"/>
    <w:rsid w:val="00FC38D4"/>
    <w:rsid w:val="00FC391E"/>
    <w:rsid w:val="00FC39B3"/>
    <w:rsid w:val="00FC3BB7"/>
    <w:rsid w:val="00FC4345"/>
    <w:rsid w:val="00FC444A"/>
    <w:rsid w:val="00FC453D"/>
    <w:rsid w:val="00FC4A89"/>
    <w:rsid w:val="00FC5856"/>
    <w:rsid w:val="00FC619B"/>
    <w:rsid w:val="00FC665F"/>
    <w:rsid w:val="00FC6C35"/>
    <w:rsid w:val="00FC6D59"/>
    <w:rsid w:val="00FC7561"/>
    <w:rsid w:val="00FC78F5"/>
    <w:rsid w:val="00FC7ACA"/>
    <w:rsid w:val="00FC7AD2"/>
    <w:rsid w:val="00FD10B3"/>
    <w:rsid w:val="00FD11C3"/>
    <w:rsid w:val="00FD154E"/>
    <w:rsid w:val="00FD24D7"/>
    <w:rsid w:val="00FD29CE"/>
    <w:rsid w:val="00FD3AE2"/>
    <w:rsid w:val="00FD3E41"/>
    <w:rsid w:val="00FD3EFA"/>
    <w:rsid w:val="00FD54A8"/>
    <w:rsid w:val="00FD5AE4"/>
    <w:rsid w:val="00FD5F25"/>
    <w:rsid w:val="00FD60BE"/>
    <w:rsid w:val="00FD6894"/>
    <w:rsid w:val="00FD6AF0"/>
    <w:rsid w:val="00FD704D"/>
    <w:rsid w:val="00FD74EF"/>
    <w:rsid w:val="00FD79B8"/>
    <w:rsid w:val="00FD79F6"/>
    <w:rsid w:val="00FE033F"/>
    <w:rsid w:val="00FE07A8"/>
    <w:rsid w:val="00FE0AD1"/>
    <w:rsid w:val="00FE0CC0"/>
    <w:rsid w:val="00FE1852"/>
    <w:rsid w:val="00FE1963"/>
    <w:rsid w:val="00FE1981"/>
    <w:rsid w:val="00FE1BF1"/>
    <w:rsid w:val="00FE1DE4"/>
    <w:rsid w:val="00FE33DB"/>
    <w:rsid w:val="00FE33F5"/>
    <w:rsid w:val="00FE352A"/>
    <w:rsid w:val="00FE37DD"/>
    <w:rsid w:val="00FE3C31"/>
    <w:rsid w:val="00FE4015"/>
    <w:rsid w:val="00FE44F5"/>
    <w:rsid w:val="00FE4783"/>
    <w:rsid w:val="00FE480D"/>
    <w:rsid w:val="00FE4ACC"/>
    <w:rsid w:val="00FE4F80"/>
    <w:rsid w:val="00FE570E"/>
    <w:rsid w:val="00FE6870"/>
    <w:rsid w:val="00FE713E"/>
    <w:rsid w:val="00FE7877"/>
    <w:rsid w:val="00FE7DD1"/>
    <w:rsid w:val="00FF0B4F"/>
    <w:rsid w:val="00FF0F58"/>
    <w:rsid w:val="00FF183C"/>
    <w:rsid w:val="00FF1A06"/>
    <w:rsid w:val="00FF1AD3"/>
    <w:rsid w:val="00FF1B46"/>
    <w:rsid w:val="00FF219D"/>
    <w:rsid w:val="00FF2A7B"/>
    <w:rsid w:val="00FF3D2B"/>
    <w:rsid w:val="00FF49B4"/>
    <w:rsid w:val="00FF49F4"/>
    <w:rsid w:val="00FF5C6A"/>
    <w:rsid w:val="00FF651D"/>
    <w:rsid w:val="00FF6843"/>
    <w:rsid w:val="00FF6C25"/>
    <w:rsid w:val="010651D9"/>
    <w:rsid w:val="011F6449"/>
    <w:rsid w:val="01236AFB"/>
    <w:rsid w:val="01303B82"/>
    <w:rsid w:val="01486C7D"/>
    <w:rsid w:val="014A102B"/>
    <w:rsid w:val="01527EDF"/>
    <w:rsid w:val="01586F89"/>
    <w:rsid w:val="016025FC"/>
    <w:rsid w:val="016467F5"/>
    <w:rsid w:val="01791376"/>
    <w:rsid w:val="018D0F17"/>
    <w:rsid w:val="019F7441"/>
    <w:rsid w:val="01B37585"/>
    <w:rsid w:val="01D55165"/>
    <w:rsid w:val="01DB6127"/>
    <w:rsid w:val="01DF6BF8"/>
    <w:rsid w:val="01EC2C57"/>
    <w:rsid w:val="02181129"/>
    <w:rsid w:val="02445A7A"/>
    <w:rsid w:val="0256755B"/>
    <w:rsid w:val="025F0711"/>
    <w:rsid w:val="02676F88"/>
    <w:rsid w:val="026B2E25"/>
    <w:rsid w:val="02766588"/>
    <w:rsid w:val="02824D4D"/>
    <w:rsid w:val="02953272"/>
    <w:rsid w:val="029F53A6"/>
    <w:rsid w:val="02BA5D3C"/>
    <w:rsid w:val="02DA63DE"/>
    <w:rsid w:val="02DC4B10"/>
    <w:rsid w:val="02DD76CE"/>
    <w:rsid w:val="02F36323"/>
    <w:rsid w:val="02F5619C"/>
    <w:rsid w:val="02FE031F"/>
    <w:rsid w:val="030C37A2"/>
    <w:rsid w:val="032453A9"/>
    <w:rsid w:val="03261624"/>
    <w:rsid w:val="0326446A"/>
    <w:rsid w:val="032D5555"/>
    <w:rsid w:val="035717DD"/>
    <w:rsid w:val="036634D2"/>
    <w:rsid w:val="03716D43"/>
    <w:rsid w:val="037B196F"/>
    <w:rsid w:val="03B15391"/>
    <w:rsid w:val="03B52946"/>
    <w:rsid w:val="03DD35E4"/>
    <w:rsid w:val="04076900"/>
    <w:rsid w:val="041A5A3B"/>
    <w:rsid w:val="041B684A"/>
    <w:rsid w:val="042311BA"/>
    <w:rsid w:val="042B157A"/>
    <w:rsid w:val="044B7594"/>
    <w:rsid w:val="04510922"/>
    <w:rsid w:val="04512A3D"/>
    <w:rsid w:val="0452064C"/>
    <w:rsid w:val="04521DC8"/>
    <w:rsid w:val="04732647"/>
    <w:rsid w:val="04832496"/>
    <w:rsid w:val="048F763B"/>
    <w:rsid w:val="049A4077"/>
    <w:rsid w:val="049F330E"/>
    <w:rsid w:val="04AA775C"/>
    <w:rsid w:val="04AF1889"/>
    <w:rsid w:val="04B45A83"/>
    <w:rsid w:val="04BF588C"/>
    <w:rsid w:val="04F33787"/>
    <w:rsid w:val="04F66F48"/>
    <w:rsid w:val="05025778"/>
    <w:rsid w:val="050339CA"/>
    <w:rsid w:val="050750E4"/>
    <w:rsid w:val="050E236F"/>
    <w:rsid w:val="050E411D"/>
    <w:rsid w:val="051376E4"/>
    <w:rsid w:val="05251E14"/>
    <w:rsid w:val="052D4EEB"/>
    <w:rsid w:val="0563090D"/>
    <w:rsid w:val="057B5469"/>
    <w:rsid w:val="05906988"/>
    <w:rsid w:val="05A16594"/>
    <w:rsid w:val="05A7762D"/>
    <w:rsid w:val="05BC1DCB"/>
    <w:rsid w:val="05D709B3"/>
    <w:rsid w:val="060E5941"/>
    <w:rsid w:val="06110FAF"/>
    <w:rsid w:val="06244862"/>
    <w:rsid w:val="0639166E"/>
    <w:rsid w:val="06493CA7"/>
    <w:rsid w:val="065146E4"/>
    <w:rsid w:val="065A1D10"/>
    <w:rsid w:val="065A6178"/>
    <w:rsid w:val="065B7836"/>
    <w:rsid w:val="0664493D"/>
    <w:rsid w:val="06693D01"/>
    <w:rsid w:val="066F1CF3"/>
    <w:rsid w:val="067775A0"/>
    <w:rsid w:val="06847A2A"/>
    <w:rsid w:val="06930BB8"/>
    <w:rsid w:val="06957F12"/>
    <w:rsid w:val="07013FA5"/>
    <w:rsid w:val="071E0F8F"/>
    <w:rsid w:val="07245D42"/>
    <w:rsid w:val="07264C62"/>
    <w:rsid w:val="07550729"/>
    <w:rsid w:val="0779354C"/>
    <w:rsid w:val="07BB67DE"/>
    <w:rsid w:val="07BF1175"/>
    <w:rsid w:val="07C03DF5"/>
    <w:rsid w:val="07E01DA1"/>
    <w:rsid w:val="07E8527F"/>
    <w:rsid w:val="07E9376A"/>
    <w:rsid w:val="07F67816"/>
    <w:rsid w:val="08061376"/>
    <w:rsid w:val="082F4AD6"/>
    <w:rsid w:val="08452D77"/>
    <w:rsid w:val="085602B5"/>
    <w:rsid w:val="08564759"/>
    <w:rsid w:val="086401F8"/>
    <w:rsid w:val="08657E38"/>
    <w:rsid w:val="086C7AD9"/>
    <w:rsid w:val="086F1377"/>
    <w:rsid w:val="08751CAA"/>
    <w:rsid w:val="087E4C40"/>
    <w:rsid w:val="0882554E"/>
    <w:rsid w:val="08901A19"/>
    <w:rsid w:val="089112ED"/>
    <w:rsid w:val="089D43F1"/>
    <w:rsid w:val="08A763D3"/>
    <w:rsid w:val="08A871D0"/>
    <w:rsid w:val="08B165BE"/>
    <w:rsid w:val="08C31ECA"/>
    <w:rsid w:val="08C96CD9"/>
    <w:rsid w:val="08D66AD6"/>
    <w:rsid w:val="08DA33A3"/>
    <w:rsid w:val="08E80F13"/>
    <w:rsid w:val="09335624"/>
    <w:rsid w:val="0944690F"/>
    <w:rsid w:val="094C55D1"/>
    <w:rsid w:val="094F03C9"/>
    <w:rsid w:val="0951138F"/>
    <w:rsid w:val="09535675"/>
    <w:rsid w:val="095F057D"/>
    <w:rsid w:val="09642282"/>
    <w:rsid w:val="09733572"/>
    <w:rsid w:val="09772C16"/>
    <w:rsid w:val="097C4BA9"/>
    <w:rsid w:val="09811362"/>
    <w:rsid w:val="098353B5"/>
    <w:rsid w:val="09A17C56"/>
    <w:rsid w:val="09A92330"/>
    <w:rsid w:val="09B06B87"/>
    <w:rsid w:val="09B57447"/>
    <w:rsid w:val="09C13146"/>
    <w:rsid w:val="09DE0562"/>
    <w:rsid w:val="09E04166"/>
    <w:rsid w:val="09EC3026"/>
    <w:rsid w:val="09F8748A"/>
    <w:rsid w:val="0A06045F"/>
    <w:rsid w:val="0A0F696E"/>
    <w:rsid w:val="0A1C0718"/>
    <w:rsid w:val="0A256191"/>
    <w:rsid w:val="0A314B36"/>
    <w:rsid w:val="0A3E7710"/>
    <w:rsid w:val="0A5B7E63"/>
    <w:rsid w:val="0A652A31"/>
    <w:rsid w:val="0A717628"/>
    <w:rsid w:val="0A7F6940"/>
    <w:rsid w:val="0A887B3C"/>
    <w:rsid w:val="0A8D39DF"/>
    <w:rsid w:val="0A9F002C"/>
    <w:rsid w:val="0AA374A5"/>
    <w:rsid w:val="0AAB7649"/>
    <w:rsid w:val="0AB351CC"/>
    <w:rsid w:val="0ABC5606"/>
    <w:rsid w:val="0ACB1E9F"/>
    <w:rsid w:val="0ADA52AA"/>
    <w:rsid w:val="0AE76655"/>
    <w:rsid w:val="0AF61F0A"/>
    <w:rsid w:val="0B1F7084"/>
    <w:rsid w:val="0B232D9F"/>
    <w:rsid w:val="0B30404E"/>
    <w:rsid w:val="0B4C6C14"/>
    <w:rsid w:val="0B547599"/>
    <w:rsid w:val="0B631A88"/>
    <w:rsid w:val="0B683D45"/>
    <w:rsid w:val="0B7F3F11"/>
    <w:rsid w:val="0B884417"/>
    <w:rsid w:val="0B9E444D"/>
    <w:rsid w:val="0BA059F0"/>
    <w:rsid w:val="0BAB4DCA"/>
    <w:rsid w:val="0BC1638D"/>
    <w:rsid w:val="0BEF0C16"/>
    <w:rsid w:val="0BF6188C"/>
    <w:rsid w:val="0BF73C91"/>
    <w:rsid w:val="0C170175"/>
    <w:rsid w:val="0C571A41"/>
    <w:rsid w:val="0C5C1171"/>
    <w:rsid w:val="0C5E1CBC"/>
    <w:rsid w:val="0C615B50"/>
    <w:rsid w:val="0C774C9E"/>
    <w:rsid w:val="0C8445DA"/>
    <w:rsid w:val="0C87121B"/>
    <w:rsid w:val="0C871385"/>
    <w:rsid w:val="0C8D7232"/>
    <w:rsid w:val="0C945850"/>
    <w:rsid w:val="0C996222"/>
    <w:rsid w:val="0CA737D5"/>
    <w:rsid w:val="0CC007F7"/>
    <w:rsid w:val="0CC617AC"/>
    <w:rsid w:val="0CE618DF"/>
    <w:rsid w:val="0CED658B"/>
    <w:rsid w:val="0CF13866"/>
    <w:rsid w:val="0CF14A50"/>
    <w:rsid w:val="0CFE707A"/>
    <w:rsid w:val="0D063BDA"/>
    <w:rsid w:val="0D08375F"/>
    <w:rsid w:val="0D174EAC"/>
    <w:rsid w:val="0D184CFB"/>
    <w:rsid w:val="0D4508F8"/>
    <w:rsid w:val="0D4A7419"/>
    <w:rsid w:val="0D7F205C"/>
    <w:rsid w:val="0D827401"/>
    <w:rsid w:val="0D84094E"/>
    <w:rsid w:val="0D8A00E9"/>
    <w:rsid w:val="0D8D589E"/>
    <w:rsid w:val="0DA01C73"/>
    <w:rsid w:val="0DCE6B40"/>
    <w:rsid w:val="0DD63300"/>
    <w:rsid w:val="0DF50604"/>
    <w:rsid w:val="0DF702FE"/>
    <w:rsid w:val="0DFA7935"/>
    <w:rsid w:val="0E060E51"/>
    <w:rsid w:val="0E215F2D"/>
    <w:rsid w:val="0E3C7909"/>
    <w:rsid w:val="0E5604B2"/>
    <w:rsid w:val="0E601E8E"/>
    <w:rsid w:val="0E67321C"/>
    <w:rsid w:val="0E6D5D79"/>
    <w:rsid w:val="0E9D0089"/>
    <w:rsid w:val="0EA05995"/>
    <w:rsid w:val="0EA10E27"/>
    <w:rsid w:val="0EB026FB"/>
    <w:rsid w:val="0EB65F51"/>
    <w:rsid w:val="0EB803EE"/>
    <w:rsid w:val="0EB96337"/>
    <w:rsid w:val="0EF94D4B"/>
    <w:rsid w:val="0F136F00"/>
    <w:rsid w:val="0F3A448D"/>
    <w:rsid w:val="0F451083"/>
    <w:rsid w:val="0F4958DC"/>
    <w:rsid w:val="0F515DF7"/>
    <w:rsid w:val="0F580DB7"/>
    <w:rsid w:val="0F596BA8"/>
    <w:rsid w:val="0F6248D2"/>
    <w:rsid w:val="0F693536"/>
    <w:rsid w:val="0F751969"/>
    <w:rsid w:val="0F7756E1"/>
    <w:rsid w:val="0F7B0511"/>
    <w:rsid w:val="0F7B76D9"/>
    <w:rsid w:val="0F7E2C95"/>
    <w:rsid w:val="0F816ACD"/>
    <w:rsid w:val="0F9832DB"/>
    <w:rsid w:val="0FAE1726"/>
    <w:rsid w:val="0FBF3FD2"/>
    <w:rsid w:val="0FBF7FF3"/>
    <w:rsid w:val="0FEB793D"/>
    <w:rsid w:val="0FF24D67"/>
    <w:rsid w:val="0FFC5BE6"/>
    <w:rsid w:val="10212B3A"/>
    <w:rsid w:val="10374E70"/>
    <w:rsid w:val="103963AA"/>
    <w:rsid w:val="104A4BA3"/>
    <w:rsid w:val="104B091B"/>
    <w:rsid w:val="105A290D"/>
    <w:rsid w:val="10637A13"/>
    <w:rsid w:val="10646583"/>
    <w:rsid w:val="107D4B15"/>
    <w:rsid w:val="108A3C80"/>
    <w:rsid w:val="10961F8F"/>
    <w:rsid w:val="10A5002C"/>
    <w:rsid w:val="10C26171"/>
    <w:rsid w:val="10F33360"/>
    <w:rsid w:val="10FC16EA"/>
    <w:rsid w:val="110E3E23"/>
    <w:rsid w:val="110F1D40"/>
    <w:rsid w:val="11254CC9"/>
    <w:rsid w:val="11266F33"/>
    <w:rsid w:val="11301FEB"/>
    <w:rsid w:val="11661EBA"/>
    <w:rsid w:val="11817522"/>
    <w:rsid w:val="1189534E"/>
    <w:rsid w:val="118963A1"/>
    <w:rsid w:val="119D51A7"/>
    <w:rsid w:val="11B60ED2"/>
    <w:rsid w:val="11C6522A"/>
    <w:rsid w:val="11C9066B"/>
    <w:rsid w:val="11DF131B"/>
    <w:rsid w:val="11E104CC"/>
    <w:rsid w:val="11E20309"/>
    <w:rsid w:val="11F46B21"/>
    <w:rsid w:val="12255233"/>
    <w:rsid w:val="12530213"/>
    <w:rsid w:val="125C6D99"/>
    <w:rsid w:val="127723A9"/>
    <w:rsid w:val="1279034B"/>
    <w:rsid w:val="12862074"/>
    <w:rsid w:val="12883966"/>
    <w:rsid w:val="128D6A97"/>
    <w:rsid w:val="129E45B4"/>
    <w:rsid w:val="12D81596"/>
    <w:rsid w:val="13001549"/>
    <w:rsid w:val="13072A44"/>
    <w:rsid w:val="132E0CD5"/>
    <w:rsid w:val="133438E9"/>
    <w:rsid w:val="13533D6F"/>
    <w:rsid w:val="135F4BE2"/>
    <w:rsid w:val="1361677C"/>
    <w:rsid w:val="13631AD8"/>
    <w:rsid w:val="13641892"/>
    <w:rsid w:val="13857CA0"/>
    <w:rsid w:val="1394394D"/>
    <w:rsid w:val="139B1A0A"/>
    <w:rsid w:val="139D25C7"/>
    <w:rsid w:val="139D4FEA"/>
    <w:rsid w:val="13A55AAA"/>
    <w:rsid w:val="13AA6746"/>
    <w:rsid w:val="13BF3CE4"/>
    <w:rsid w:val="13C62DC6"/>
    <w:rsid w:val="13E16543"/>
    <w:rsid w:val="13EB044B"/>
    <w:rsid w:val="141008D8"/>
    <w:rsid w:val="14125FE6"/>
    <w:rsid w:val="141C2D20"/>
    <w:rsid w:val="14226CB6"/>
    <w:rsid w:val="142757AF"/>
    <w:rsid w:val="1437543F"/>
    <w:rsid w:val="143C1A7D"/>
    <w:rsid w:val="146D0B1E"/>
    <w:rsid w:val="146D271E"/>
    <w:rsid w:val="148B12E6"/>
    <w:rsid w:val="148F1C9B"/>
    <w:rsid w:val="14982588"/>
    <w:rsid w:val="149A5AD9"/>
    <w:rsid w:val="14A7619D"/>
    <w:rsid w:val="14AA5945"/>
    <w:rsid w:val="14B866F2"/>
    <w:rsid w:val="14B92082"/>
    <w:rsid w:val="14D26F15"/>
    <w:rsid w:val="14E82BDD"/>
    <w:rsid w:val="14F74BCE"/>
    <w:rsid w:val="150536C3"/>
    <w:rsid w:val="150C1963"/>
    <w:rsid w:val="150F1F18"/>
    <w:rsid w:val="151447A0"/>
    <w:rsid w:val="152A0AFF"/>
    <w:rsid w:val="15436065"/>
    <w:rsid w:val="15453B8B"/>
    <w:rsid w:val="154A6454"/>
    <w:rsid w:val="15573E98"/>
    <w:rsid w:val="156264EB"/>
    <w:rsid w:val="156F29B6"/>
    <w:rsid w:val="15732BFE"/>
    <w:rsid w:val="15762120"/>
    <w:rsid w:val="15BA6327"/>
    <w:rsid w:val="15F83AD0"/>
    <w:rsid w:val="162714E3"/>
    <w:rsid w:val="16465E0D"/>
    <w:rsid w:val="1662251B"/>
    <w:rsid w:val="16A843D2"/>
    <w:rsid w:val="16A8729C"/>
    <w:rsid w:val="16A9205C"/>
    <w:rsid w:val="16AD7C3A"/>
    <w:rsid w:val="16B33777"/>
    <w:rsid w:val="16BC70A7"/>
    <w:rsid w:val="16C6339E"/>
    <w:rsid w:val="16D451C7"/>
    <w:rsid w:val="16EA49EA"/>
    <w:rsid w:val="16EF2001"/>
    <w:rsid w:val="17020AE3"/>
    <w:rsid w:val="172F2D79"/>
    <w:rsid w:val="17435EBC"/>
    <w:rsid w:val="17557BEF"/>
    <w:rsid w:val="175D574E"/>
    <w:rsid w:val="175E1D9C"/>
    <w:rsid w:val="177249E0"/>
    <w:rsid w:val="178155D2"/>
    <w:rsid w:val="17D349C1"/>
    <w:rsid w:val="1830729E"/>
    <w:rsid w:val="18336B58"/>
    <w:rsid w:val="185C5103"/>
    <w:rsid w:val="1870062C"/>
    <w:rsid w:val="18775C69"/>
    <w:rsid w:val="187C3D68"/>
    <w:rsid w:val="18817102"/>
    <w:rsid w:val="18830A15"/>
    <w:rsid w:val="18852B28"/>
    <w:rsid w:val="1887746D"/>
    <w:rsid w:val="188B5321"/>
    <w:rsid w:val="18C93B7E"/>
    <w:rsid w:val="18E6284D"/>
    <w:rsid w:val="18F47DC5"/>
    <w:rsid w:val="18FA2EDF"/>
    <w:rsid w:val="191F46F3"/>
    <w:rsid w:val="19306900"/>
    <w:rsid w:val="19436634"/>
    <w:rsid w:val="19573E8D"/>
    <w:rsid w:val="19744A3F"/>
    <w:rsid w:val="19866520"/>
    <w:rsid w:val="19932372"/>
    <w:rsid w:val="19A20DD5"/>
    <w:rsid w:val="19AE03F1"/>
    <w:rsid w:val="19B51E53"/>
    <w:rsid w:val="19C92FDD"/>
    <w:rsid w:val="1A071A03"/>
    <w:rsid w:val="1A18186E"/>
    <w:rsid w:val="1A1F16AE"/>
    <w:rsid w:val="1A2F6BB8"/>
    <w:rsid w:val="1A330456"/>
    <w:rsid w:val="1A3B5C77"/>
    <w:rsid w:val="1A5E52C1"/>
    <w:rsid w:val="1A984BAD"/>
    <w:rsid w:val="1AAB623F"/>
    <w:rsid w:val="1AB8220E"/>
    <w:rsid w:val="1AC341D0"/>
    <w:rsid w:val="1ACC4407"/>
    <w:rsid w:val="1ADA4D76"/>
    <w:rsid w:val="1AE4166C"/>
    <w:rsid w:val="1AF06CFB"/>
    <w:rsid w:val="1AF11B8D"/>
    <w:rsid w:val="1B11359C"/>
    <w:rsid w:val="1B2509C5"/>
    <w:rsid w:val="1B2A271F"/>
    <w:rsid w:val="1B3F76DB"/>
    <w:rsid w:val="1B530544"/>
    <w:rsid w:val="1B574618"/>
    <w:rsid w:val="1B713184"/>
    <w:rsid w:val="1B881288"/>
    <w:rsid w:val="1B94489C"/>
    <w:rsid w:val="1BA15893"/>
    <w:rsid w:val="1BA209CF"/>
    <w:rsid w:val="1BA22CBB"/>
    <w:rsid w:val="1BA50EE0"/>
    <w:rsid w:val="1BB4777D"/>
    <w:rsid w:val="1BD75AB8"/>
    <w:rsid w:val="1BF65BDF"/>
    <w:rsid w:val="1C0459C2"/>
    <w:rsid w:val="1C11354F"/>
    <w:rsid w:val="1C1B3B4A"/>
    <w:rsid w:val="1C1E6EE4"/>
    <w:rsid w:val="1C222FFB"/>
    <w:rsid w:val="1C250273"/>
    <w:rsid w:val="1C2A5889"/>
    <w:rsid w:val="1C330BE1"/>
    <w:rsid w:val="1C632B49"/>
    <w:rsid w:val="1C6A68CB"/>
    <w:rsid w:val="1C7B348C"/>
    <w:rsid w:val="1C8036FB"/>
    <w:rsid w:val="1C8224DB"/>
    <w:rsid w:val="1C88086E"/>
    <w:rsid w:val="1C942AC4"/>
    <w:rsid w:val="1CA7512B"/>
    <w:rsid w:val="1CBE55B6"/>
    <w:rsid w:val="1CF814E3"/>
    <w:rsid w:val="1D0205B4"/>
    <w:rsid w:val="1D0460DA"/>
    <w:rsid w:val="1D083E1C"/>
    <w:rsid w:val="1D266CE1"/>
    <w:rsid w:val="1D3963AF"/>
    <w:rsid w:val="1D3C3AC6"/>
    <w:rsid w:val="1D570900"/>
    <w:rsid w:val="1D6923E1"/>
    <w:rsid w:val="1D6A673C"/>
    <w:rsid w:val="1D790876"/>
    <w:rsid w:val="1D84721B"/>
    <w:rsid w:val="1D880AB9"/>
    <w:rsid w:val="1D9247AE"/>
    <w:rsid w:val="1D963570"/>
    <w:rsid w:val="1DB21FDA"/>
    <w:rsid w:val="1DB567EC"/>
    <w:rsid w:val="1DD91315"/>
    <w:rsid w:val="1DF51A98"/>
    <w:rsid w:val="1DF83E91"/>
    <w:rsid w:val="1E0972B0"/>
    <w:rsid w:val="1E1D58DA"/>
    <w:rsid w:val="1E2C0FC6"/>
    <w:rsid w:val="1E2E1A92"/>
    <w:rsid w:val="1E396257"/>
    <w:rsid w:val="1E3D060F"/>
    <w:rsid w:val="1E3F7D2E"/>
    <w:rsid w:val="1E4134E4"/>
    <w:rsid w:val="1E473DD3"/>
    <w:rsid w:val="1E5062B3"/>
    <w:rsid w:val="1E51534F"/>
    <w:rsid w:val="1E523514"/>
    <w:rsid w:val="1E556DA3"/>
    <w:rsid w:val="1E714A66"/>
    <w:rsid w:val="1E761259"/>
    <w:rsid w:val="1E802593"/>
    <w:rsid w:val="1E8B6156"/>
    <w:rsid w:val="1EA47B74"/>
    <w:rsid w:val="1EA703CC"/>
    <w:rsid w:val="1EB7330C"/>
    <w:rsid w:val="1EB853CE"/>
    <w:rsid w:val="1ED61CF8"/>
    <w:rsid w:val="1F0A0FF3"/>
    <w:rsid w:val="1F23368D"/>
    <w:rsid w:val="1F284C6B"/>
    <w:rsid w:val="1F464788"/>
    <w:rsid w:val="1F560A50"/>
    <w:rsid w:val="1F5771FF"/>
    <w:rsid w:val="1F5C21FD"/>
    <w:rsid w:val="1F60462D"/>
    <w:rsid w:val="1F7237CF"/>
    <w:rsid w:val="1F98426B"/>
    <w:rsid w:val="1FB45B95"/>
    <w:rsid w:val="1FB80679"/>
    <w:rsid w:val="1FB9794B"/>
    <w:rsid w:val="1FD52DD5"/>
    <w:rsid w:val="1FE868A9"/>
    <w:rsid w:val="20013310"/>
    <w:rsid w:val="20034907"/>
    <w:rsid w:val="200D34F7"/>
    <w:rsid w:val="20173E4B"/>
    <w:rsid w:val="20464C6E"/>
    <w:rsid w:val="204E48BC"/>
    <w:rsid w:val="205307CD"/>
    <w:rsid w:val="20836FCA"/>
    <w:rsid w:val="208921B3"/>
    <w:rsid w:val="208B3DE8"/>
    <w:rsid w:val="20970935"/>
    <w:rsid w:val="209721D0"/>
    <w:rsid w:val="20973DEB"/>
    <w:rsid w:val="20A51982"/>
    <w:rsid w:val="20AA6F98"/>
    <w:rsid w:val="20B26522"/>
    <w:rsid w:val="20B44310"/>
    <w:rsid w:val="20C84DAB"/>
    <w:rsid w:val="20E64C01"/>
    <w:rsid w:val="210950DE"/>
    <w:rsid w:val="210B3EDB"/>
    <w:rsid w:val="210C395C"/>
    <w:rsid w:val="211116EB"/>
    <w:rsid w:val="21283A9B"/>
    <w:rsid w:val="213B4094"/>
    <w:rsid w:val="21556F04"/>
    <w:rsid w:val="216133FC"/>
    <w:rsid w:val="216A60C6"/>
    <w:rsid w:val="216C07B2"/>
    <w:rsid w:val="217001E2"/>
    <w:rsid w:val="21894E00"/>
    <w:rsid w:val="21A8172A"/>
    <w:rsid w:val="21AF0D0A"/>
    <w:rsid w:val="21B75E11"/>
    <w:rsid w:val="21D56769"/>
    <w:rsid w:val="21D97B35"/>
    <w:rsid w:val="21E52EF3"/>
    <w:rsid w:val="21ED1832"/>
    <w:rsid w:val="21F4496F"/>
    <w:rsid w:val="21FB5D7B"/>
    <w:rsid w:val="22015E94"/>
    <w:rsid w:val="220B1C3D"/>
    <w:rsid w:val="221A374B"/>
    <w:rsid w:val="221D1D20"/>
    <w:rsid w:val="22334A87"/>
    <w:rsid w:val="22465CB3"/>
    <w:rsid w:val="225B679C"/>
    <w:rsid w:val="22770837"/>
    <w:rsid w:val="228A1178"/>
    <w:rsid w:val="22963C78"/>
    <w:rsid w:val="22A67186"/>
    <w:rsid w:val="22B67E76"/>
    <w:rsid w:val="22BE6801"/>
    <w:rsid w:val="22C82D29"/>
    <w:rsid w:val="22F64717"/>
    <w:rsid w:val="233500BF"/>
    <w:rsid w:val="23377FF7"/>
    <w:rsid w:val="23515DF1"/>
    <w:rsid w:val="235D6544"/>
    <w:rsid w:val="236B425F"/>
    <w:rsid w:val="23700025"/>
    <w:rsid w:val="23836192"/>
    <w:rsid w:val="23901F29"/>
    <w:rsid w:val="239C0061"/>
    <w:rsid w:val="23AB5501"/>
    <w:rsid w:val="23B908A4"/>
    <w:rsid w:val="23BE1F4B"/>
    <w:rsid w:val="23C22A15"/>
    <w:rsid w:val="23DF51AB"/>
    <w:rsid w:val="23E95BEF"/>
    <w:rsid w:val="23F92711"/>
    <w:rsid w:val="23FD0064"/>
    <w:rsid w:val="24125580"/>
    <w:rsid w:val="242E1C8E"/>
    <w:rsid w:val="24372B7C"/>
    <w:rsid w:val="24377E3A"/>
    <w:rsid w:val="243E103F"/>
    <w:rsid w:val="245375B0"/>
    <w:rsid w:val="24642C0A"/>
    <w:rsid w:val="2483022C"/>
    <w:rsid w:val="24AB32DF"/>
    <w:rsid w:val="24B22173"/>
    <w:rsid w:val="24B95AD9"/>
    <w:rsid w:val="24BE24DA"/>
    <w:rsid w:val="24CF5825"/>
    <w:rsid w:val="24D663E6"/>
    <w:rsid w:val="24D77F2B"/>
    <w:rsid w:val="24E71483"/>
    <w:rsid w:val="24EC5DD1"/>
    <w:rsid w:val="2500187D"/>
    <w:rsid w:val="25445C0D"/>
    <w:rsid w:val="25505DB5"/>
    <w:rsid w:val="25545725"/>
    <w:rsid w:val="257B29E4"/>
    <w:rsid w:val="257C2079"/>
    <w:rsid w:val="258B00E2"/>
    <w:rsid w:val="258C3110"/>
    <w:rsid w:val="25951FC5"/>
    <w:rsid w:val="25980CAE"/>
    <w:rsid w:val="259A582D"/>
    <w:rsid w:val="25A4045A"/>
    <w:rsid w:val="25A641D2"/>
    <w:rsid w:val="25A917A6"/>
    <w:rsid w:val="25BE27CC"/>
    <w:rsid w:val="25BF4D92"/>
    <w:rsid w:val="25CD79B1"/>
    <w:rsid w:val="25D80104"/>
    <w:rsid w:val="25F74A5C"/>
    <w:rsid w:val="25FF1B34"/>
    <w:rsid w:val="26176E7E"/>
    <w:rsid w:val="2628662C"/>
    <w:rsid w:val="26296907"/>
    <w:rsid w:val="262D45DE"/>
    <w:rsid w:val="26395046"/>
    <w:rsid w:val="264D483A"/>
    <w:rsid w:val="264F486A"/>
    <w:rsid w:val="2677074C"/>
    <w:rsid w:val="26871DC8"/>
    <w:rsid w:val="268B33C8"/>
    <w:rsid w:val="26A53EF9"/>
    <w:rsid w:val="26A53F20"/>
    <w:rsid w:val="26A94201"/>
    <w:rsid w:val="26AC274F"/>
    <w:rsid w:val="26C32062"/>
    <w:rsid w:val="26E810AA"/>
    <w:rsid w:val="27044A29"/>
    <w:rsid w:val="271D34C8"/>
    <w:rsid w:val="276142BF"/>
    <w:rsid w:val="27783712"/>
    <w:rsid w:val="277F2F2D"/>
    <w:rsid w:val="27907362"/>
    <w:rsid w:val="27EE0704"/>
    <w:rsid w:val="27F82CDF"/>
    <w:rsid w:val="2815563F"/>
    <w:rsid w:val="281A7810"/>
    <w:rsid w:val="28333E1D"/>
    <w:rsid w:val="28454BD6"/>
    <w:rsid w:val="28455253"/>
    <w:rsid w:val="28551971"/>
    <w:rsid w:val="285B1C53"/>
    <w:rsid w:val="286A1A1A"/>
    <w:rsid w:val="28721049"/>
    <w:rsid w:val="28782635"/>
    <w:rsid w:val="287C56BE"/>
    <w:rsid w:val="28996270"/>
    <w:rsid w:val="289F7086"/>
    <w:rsid w:val="28C32028"/>
    <w:rsid w:val="28CC490F"/>
    <w:rsid w:val="28DE40AA"/>
    <w:rsid w:val="28EF5E90"/>
    <w:rsid w:val="290C4C94"/>
    <w:rsid w:val="29345E77"/>
    <w:rsid w:val="29474AE4"/>
    <w:rsid w:val="294C65AD"/>
    <w:rsid w:val="29574375"/>
    <w:rsid w:val="295A3156"/>
    <w:rsid w:val="29693E94"/>
    <w:rsid w:val="29806583"/>
    <w:rsid w:val="2984482A"/>
    <w:rsid w:val="298B3C4C"/>
    <w:rsid w:val="299A22A0"/>
    <w:rsid w:val="29D54DB9"/>
    <w:rsid w:val="29DB40F9"/>
    <w:rsid w:val="29E67293"/>
    <w:rsid w:val="29F26D24"/>
    <w:rsid w:val="29FF0355"/>
    <w:rsid w:val="2A15033F"/>
    <w:rsid w:val="2A1662C1"/>
    <w:rsid w:val="2A1C7367"/>
    <w:rsid w:val="2A2815FA"/>
    <w:rsid w:val="2A385615"/>
    <w:rsid w:val="2A443FBA"/>
    <w:rsid w:val="2A571F3F"/>
    <w:rsid w:val="2A64640A"/>
    <w:rsid w:val="2A6D50E4"/>
    <w:rsid w:val="2A6D6092"/>
    <w:rsid w:val="2A76414E"/>
    <w:rsid w:val="2A7D76B4"/>
    <w:rsid w:val="2A9440E1"/>
    <w:rsid w:val="2AA45D31"/>
    <w:rsid w:val="2AB54EB7"/>
    <w:rsid w:val="2ABC6246"/>
    <w:rsid w:val="2AD43590"/>
    <w:rsid w:val="2AD52E64"/>
    <w:rsid w:val="2ADC2444"/>
    <w:rsid w:val="2B022A53"/>
    <w:rsid w:val="2B1F0692"/>
    <w:rsid w:val="2B231E21"/>
    <w:rsid w:val="2B3E4EAD"/>
    <w:rsid w:val="2B437463"/>
    <w:rsid w:val="2B6F150A"/>
    <w:rsid w:val="2B7807EE"/>
    <w:rsid w:val="2B967B5D"/>
    <w:rsid w:val="2BA50BF7"/>
    <w:rsid w:val="2BAA609E"/>
    <w:rsid w:val="2BBF00EC"/>
    <w:rsid w:val="2BC37CFD"/>
    <w:rsid w:val="2BD5237F"/>
    <w:rsid w:val="2BE42CE1"/>
    <w:rsid w:val="2BE536CE"/>
    <w:rsid w:val="2BE758D9"/>
    <w:rsid w:val="2BEB64F6"/>
    <w:rsid w:val="2C016606"/>
    <w:rsid w:val="2C09049E"/>
    <w:rsid w:val="2C0A653C"/>
    <w:rsid w:val="2C191F85"/>
    <w:rsid w:val="2C4C53A8"/>
    <w:rsid w:val="2C730B86"/>
    <w:rsid w:val="2C840FE5"/>
    <w:rsid w:val="2C901738"/>
    <w:rsid w:val="2CC47507"/>
    <w:rsid w:val="2CDC497D"/>
    <w:rsid w:val="2CE82D6F"/>
    <w:rsid w:val="2D03015C"/>
    <w:rsid w:val="2D2554EB"/>
    <w:rsid w:val="2D306A77"/>
    <w:rsid w:val="2D343236"/>
    <w:rsid w:val="2D48771E"/>
    <w:rsid w:val="2D5C5ABE"/>
    <w:rsid w:val="2D707D67"/>
    <w:rsid w:val="2D83304B"/>
    <w:rsid w:val="2D880661"/>
    <w:rsid w:val="2D8F0BF7"/>
    <w:rsid w:val="2D964765"/>
    <w:rsid w:val="2DB256DE"/>
    <w:rsid w:val="2DBC66B0"/>
    <w:rsid w:val="2DD15014"/>
    <w:rsid w:val="2DED49DF"/>
    <w:rsid w:val="2DF72DE4"/>
    <w:rsid w:val="2E0220AF"/>
    <w:rsid w:val="2E334A71"/>
    <w:rsid w:val="2E4107D3"/>
    <w:rsid w:val="2E440A18"/>
    <w:rsid w:val="2E4B082A"/>
    <w:rsid w:val="2E4C168F"/>
    <w:rsid w:val="2E5D4E86"/>
    <w:rsid w:val="2E5D790B"/>
    <w:rsid w:val="2E6C5BC6"/>
    <w:rsid w:val="2E84707B"/>
    <w:rsid w:val="2E905A1F"/>
    <w:rsid w:val="2E9A3C18"/>
    <w:rsid w:val="2EAB7CC4"/>
    <w:rsid w:val="2EBB0FEE"/>
    <w:rsid w:val="2EBD0612"/>
    <w:rsid w:val="2EC63002"/>
    <w:rsid w:val="2EE30245"/>
    <w:rsid w:val="2EE642BE"/>
    <w:rsid w:val="2EE85E91"/>
    <w:rsid w:val="2EED69CE"/>
    <w:rsid w:val="2EF835C5"/>
    <w:rsid w:val="2EFC41D0"/>
    <w:rsid w:val="2EFE6E2D"/>
    <w:rsid w:val="2F0A6B38"/>
    <w:rsid w:val="2F176141"/>
    <w:rsid w:val="2F2B74F6"/>
    <w:rsid w:val="2F322202"/>
    <w:rsid w:val="2F324D29"/>
    <w:rsid w:val="2F524FC5"/>
    <w:rsid w:val="2F5525FF"/>
    <w:rsid w:val="2F8A06C1"/>
    <w:rsid w:val="2F946CCB"/>
    <w:rsid w:val="2FBC5B6E"/>
    <w:rsid w:val="2FC33BD3"/>
    <w:rsid w:val="2FD25781"/>
    <w:rsid w:val="2FDC745C"/>
    <w:rsid w:val="2FEA5603"/>
    <w:rsid w:val="2FEC7FE5"/>
    <w:rsid w:val="2FFD7934"/>
    <w:rsid w:val="30026754"/>
    <w:rsid w:val="3003275C"/>
    <w:rsid w:val="302428C3"/>
    <w:rsid w:val="303D5733"/>
    <w:rsid w:val="304E4A3D"/>
    <w:rsid w:val="30733ACD"/>
    <w:rsid w:val="30801AC4"/>
    <w:rsid w:val="308C3862"/>
    <w:rsid w:val="309379D8"/>
    <w:rsid w:val="30A270F7"/>
    <w:rsid w:val="30B07949"/>
    <w:rsid w:val="30C504CC"/>
    <w:rsid w:val="30DA7426"/>
    <w:rsid w:val="30DF1478"/>
    <w:rsid w:val="30EC586F"/>
    <w:rsid w:val="30F67E62"/>
    <w:rsid w:val="314550B7"/>
    <w:rsid w:val="31556AAC"/>
    <w:rsid w:val="315707D8"/>
    <w:rsid w:val="315E1E05"/>
    <w:rsid w:val="317C7E1E"/>
    <w:rsid w:val="317F34B2"/>
    <w:rsid w:val="31812B9F"/>
    <w:rsid w:val="31842A49"/>
    <w:rsid w:val="3195334D"/>
    <w:rsid w:val="319C6071"/>
    <w:rsid w:val="31A57A34"/>
    <w:rsid w:val="31AC537E"/>
    <w:rsid w:val="31B01FC3"/>
    <w:rsid w:val="31D92BDB"/>
    <w:rsid w:val="31E3679B"/>
    <w:rsid w:val="31E7004C"/>
    <w:rsid w:val="31E732FD"/>
    <w:rsid w:val="31ED7620"/>
    <w:rsid w:val="32292413"/>
    <w:rsid w:val="324A2389"/>
    <w:rsid w:val="325154C6"/>
    <w:rsid w:val="32517576"/>
    <w:rsid w:val="325E7BE3"/>
    <w:rsid w:val="32AE2918"/>
    <w:rsid w:val="32BE5C2C"/>
    <w:rsid w:val="32CB171C"/>
    <w:rsid w:val="32DB5684"/>
    <w:rsid w:val="32E50EAC"/>
    <w:rsid w:val="32FB6478"/>
    <w:rsid w:val="33263B3F"/>
    <w:rsid w:val="334212B2"/>
    <w:rsid w:val="3361798A"/>
    <w:rsid w:val="336358BE"/>
    <w:rsid w:val="336963EB"/>
    <w:rsid w:val="33816EEB"/>
    <w:rsid w:val="33863895"/>
    <w:rsid w:val="33896EE1"/>
    <w:rsid w:val="33BC2E13"/>
    <w:rsid w:val="33CD0644"/>
    <w:rsid w:val="33EB55CD"/>
    <w:rsid w:val="33EC4C02"/>
    <w:rsid w:val="340D2360"/>
    <w:rsid w:val="3410665D"/>
    <w:rsid w:val="34211214"/>
    <w:rsid w:val="342E63AB"/>
    <w:rsid w:val="3445044D"/>
    <w:rsid w:val="3466496F"/>
    <w:rsid w:val="347D6A46"/>
    <w:rsid w:val="34950E68"/>
    <w:rsid w:val="34986E94"/>
    <w:rsid w:val="349D0E96"/>
    <w:rsid w:val="34A246FE"/>
    <w:rsid w:val="34A83397"/>
    <w:rsid w:val="34AA4AE2"/>
    <w:rsid w:val="34AF62C9"/>
    <w:rsid w:val="34BC3327"/>
    <w:rsid w:val="34CB4388"/>
    <w:rsid w:val="34D67F04"/>
    <w:rsid w:val="34DD74E5"/>
    <w:rsid w:val="34E22D4D"/>
    <w:rsid w:val="34F07218"/>
    <w:rsid w:val="34FA6E12"/>
    <w:rsid w:val="350031D3"/>
    <w:rsid w:val="351153E0"/>
    <w:rsid w:val="3518051D"/>
    <w:rsid w:val="353035D2"/>
    <w:rsid w:val="354D7158"/>
    <w:rsid w:val="356D0868"/>
    <w:rsid w:val="358D5588"/>
    <w:rsid w:val="359A53D6"/>
    <w:rsid w:val="35AF70D3"/>
    <w:rsid w:val="35E1465A"/>
    <w:rsid w:val="35EA010B"/>
    <w:rsid w:val="35FC6642"/>
    <w:rsid w:val="36021E86"/>
    <w:rsid w:val="361E6007"/>
    <w:rsid w:val="36212CF4"/>
    <w:rsid w:val="362E6BF2"/>
    <w:rsid w:val="363A3B40"/>
    <w:rsid w:val="365302AE"/>
    <w:rsid w:val="36607A0A"/>
    <w:rsid w:val="366E227C"/>
    <w:rsid w:val="366F2E0D"/>
    <w:rsid w:val="367B6A5C"/>
    <w:rsid w:val="36993444"/>
    <w:rsid w:val="369F2018"/>
    <w:rsid w:val="36A74ADA"/>
    <w:rsid w:val="36AD60D5"/>
    <w:rsid w:val="36B224F9"/>
    <w:rsid w:val="36B920BD"/>
    <w:rsid w:val="36BB2DB7"/>
    <w:rsid w:val="36C50230"/>
    <w:rsid w:val="36DD1A1E"/>
    <w:rsid w:val="36EC0CC9"/>
    <w:rsid w:val="37023232"/>
    <w:rsid w:val="371D62BE"/>
    <w:rsid w:val="37272C99"/>
    <w:rsid w:val="373F410B"/>
    <w:rsid w:val="37541DEE"/>
    <w:rsid w:val="3760732C"/>
    <w:rsid w:val="3760733E"/>
    <w:rsid w:val="37C8622A"/>
    <w:rsid w:val="37DB7D37"/>
    <w:rsid w:val="37E303ED"/>
    <w:rsid w:val="37EE7094"/>
    <w:rsid w:val="380056E0"/>
    <w:rsid w:val="3805122C"/>
    <w:rsid w:val="382316B2"/>
    <w:rsid w:val="38296C89"/>
    <w:rsid w:val="382D0DC5"/>
    <w:rsid w:val="383002EB"/>
    <w:rsid w:val="383E473E"/>
    <w:rsid w:val="384A4956"/>
    <w:rsid w:val="38527079"/>
    <w:rsid w:val="38586797"/>
    <w:rsid w:val="38675A43"/>
    <w:rsid w:val="386C3059"/>
    <w:rsid w:val="38722F2C"/>
    <w:rsid w:val="38BC0149"/>
    <w:rsid w:val="38C509BB"/>
    <w:rsid w:val="38D86941"/>
    <w:rsid w:val="38D87D1C"/>
    <w:rsid w:val="39094D4C"/>
    <w:rsid w:val="390E623C"/>
    <w:rsid w:val="39335925"/>
    <w:rsid w:val="394567F0"/>
    <w:rsid w:val="39636459"/>
    <w:rsid w:val="396B7F6C"/>
    <w:rsid w:val="396C7089"/>
    <w:rsid w:val="39716201"/>
    <w:rsid w:val="397B5DA0"/>
    <w:rsid w:val="398B5761"/>
    <w:rsid w:val="39B417A9"/>
    <w:rsid w:val="39B75696"/>
    <w:rsid w:val="39D760BF"/>
    <w:rsid w:val="39EF1E5C"/>
    <w:rsid w:val="39FC5695"/>
    <w:rsid w:val="39FF7EFD"/>
    <w:rsid w:val="3A006D8E"/>
    <w:rsid w:val="3A0379ED"/>
    <w:rsid w:val="3A3651E5"/>
    <w:rsid w:val="3A5D298A"/>
    <w:rsid w:val="3A631B2C"/>
    <w:rsid w:val="3A685AA2"/>
    <w:rsid w:val="3A6B7341"/>
    <w:rsid w:val="3A744481"/>
    <w:rsid w:val="3A8C7BEF"/>
    <w:rsid w:val="3A906246"/>
    <w:rsid w:val="3AA36ADA"/>
    <w:rsid w:val="3AAC6CC9"/>
    <w:rsid w:val="3ACD3B57"/>
    <w:rsid w:val="3ACD6F7E"/>
    <w:rsid w:val="3AFD443D"/>
    <w:rsid w:val="3B0B37BF"/>
    <w:rsid w:val="3B135A0E"/>
    <w:rsid w:val="3B2349B7"/>
    <w:rsid w:val="3B3F5D44"/>
    <w:rsid w:val="3B487C03"/>
    <w:rsid w:val="3B616CFF"/>
    <w:rsid w:val="3B6259F6"/>
    <w:rsid w:val="3B6D3F15"/>
    <w:rsid w:val="3B976654"/>
    <w:rsid w:val="3B9A1C8B"/>
    <w:rsid w:val="3BC01EFC"/>
    <w:rsid w:val="3BCA786A"/>
    <w:rsid w:val="3BD31E2F"/>
    <w:rsid w:val="3BEE1FD7"/>
    <w:rsid w:val="3BEE647B"/>
    <w:rsid w:val="3BF15831"/>
    <w:rsid w:val="3C0417FB"/>
    <w:rsid w:val="3C065C06"/>
    <w:rsid w:val="3C105946"/>
    <w:rsid w:val="3C1B7B8B"/>
    <w:rsid w:val="3C471448"/>
    <w:rsid w:val="3C5502A8"/>
    <w:rsid w:val="3C5F759A"/>
    <w:rsid w:val="3C6C525A"/>
    <w:rsid w:val="3CA22536"/>
    <w:rsid w:val="3CAB7EC8"/>
    <w:rsid w:val="3CB508F5"/>
    <w:rsid w:val="3CB839A3"/>
    <w:rsid w:val="3CC11E03"/>
    <w:rsid w:val="3CC77088"/>
    <w:rsid w:val="3CCE23CB"/>
    <w:rsid w:val="3CD17D17"/>
    <w:rsid w:val="3CE82ECA"/>
    <w:rsid w:val="3CF74EBC"/>
    <w:rsid w:val="3D3C7F39"/>
    <w:rsid w:val="3D440F09"/>
    <w:rsid w:val="3D4504A0"/>
    <w:rsid w:val="3D455164"/>
    <w:rsid w:val="3D8734BB"/>
    <w:rsid w:val="3D8A5D30"/>
    <w:rsid w:val="3D8E37CE"/>
    <w:rsid w:val="3D9A11D4"/>
    <w:rsid w:val="3DA16D89"/>
    <w:rsid w:val="3DA364BE"/>
    <w:rsid w:val="3DA74B34"/>
    <w:rsid w:val="3DB01C3A"/>
    <w:rsid w:val="3DE041CB"/>
    <w:rsid w:val="3E0D48F6"/>
    <w:rsid w:val="3E1829C4"/>
    <w:rsid w:val="3E1868B4"/>
    <w:rsid w:val="3E246343"/>
    <w:rsid w:val="3E377251"/>
    <w:rsid w:val="3E3C34CE"/>
    <w:rsid w:val="3E42664B"/>
    <w:rsid w:val="3E5A7334"/>
    <w:rsid w:val="3E5F2FA3"/>
    <w:rsid w:val="3E7347AA"/>
    <w:rsid w:val="3E7B5D6B"/>
    <w:rsid w:val="3E8151E3"/>
    <w:rsid w:val="3E843E66"/>
    <w:rsid w:val="3E8F51FE"/>
    <w:rsid w:val="3E926F87"/>
    <w:rsid w:val="3E960EFF"/>
    <w:rsid w:val="3E9A59DE"/>
    <w:rsid w:val="3EAF4836"/>
    <w:rsid w:val="3EB5502E"/>
    <w:rsid w:val="3EC17294"/>
    <w:rsid w:val="3EC33DFA"/>
    <w:rsid w:val="3F014F73"/>
    <w:rsid w:val="3F060E16"/>
    <w:rsid w:val="3F1D1096"/>
    <w:rsid w:val="3F253F62"/>
    <w:rsid w:val="3F2F0234"/>
    <w:rsid w:val="3F6363FE"/>
    <w:rsid w:val="3F732F1F"/>
    <w:rsid w:val="3F756B8F"/>
    <w:rsid w:val="3F8213B4"/>
    <w:rsid w:val="3F91563D"/>
    <w:rsid w:val="3F916815"/>
    <w:rsid w:val="3F95482B"/>
    <w:rsid w:val="3F981CCB"/>
    <w:rsid w:val="3FE756BB"/>
    <w:rsid w:val="400058CE"/>
    <w:rsid w:val="4019356B"/>
    <w:rsid w:val="40273D0A"/>
    <w:rsid w:val="403918D2"/>
    <w:rsid w:val="404228F2"/>
    <w:rsid w:val="404B79F8"/>
    <w:rsid w:val="40543C97"/>
    <w:rsid w:val="40592157"/>
    <w:rsid w:val="405A5E8D"/>
    <w:rsid w:val="4061546E"/>
    <w:rsid w:val="406E1CAE"/>
    <w:rsid w:val="408C4F66"/>
    <w:rsid w:val="40955117"/>
    <w:rsid w:val="40A0133A"/>
    <w:rsid w:val="40AA0ACB"/>
    <w:rsid w:val="40C31A53"/>
    <w:rsid w:val="40DA7341"/>
    <w:rsid w:val="40E4146A"/>
    <w:rsid w:val="40FF545D"/>
    <w:rsid w:val="410067C8"/>
    <w:rsid w:val="4108791B"/>
    <w:rsid w:val="41232723"/>
    <w:rsid w:val="416C231C"/>
    <w:rsid w:val="41770510"/>
    <w:rsid w:val="417E3DFD"/>
    <w:rsid w:val="41886A2A"/>
    <w:rsid w:val="41894625"/>
    <w:rsid w:val="418F0D2A"/>
    <w:rsid w:val="41967399"/>
    <w:rsid w:val="41B45A71"/>
    <w:rsid w:val="41C2018E"/>
    <w:rsid w:val="41C432D7"/>
    <w:rsid w:val="41CF4659"/>
    <w:rsid w:val="41D01505"/>
    <w:rsid w:val="41D93BE5"/>
    <w:rsid w:val="41DA7267"/>
    <w:rsid w:val="42140582"/>
    <w:rsid w:val="42206C63"/>
    <w:rsid w:val="42474939"/>
    <w:rsid w:val="424C3C57"/>
    <w:rsid w:val="42613FF3"/>
    <w:rsid w:val="42660D96"/>
    <w:rsid w:val="428471F1"/>
    <w:rsid w:val="42862F6A"/>
    <w:rsid w:val="428667D2"/>
    <w:rsid w:val="428B67D2"/>
    <w:rsid w:val="429733C9"/>
    <w:rsid w:val="42A17DA3"/>
    <w:rsid w:val="42A41642"/>
    <w:rsid w:val="42BB586E"/>
    <w:rsid w:val="42CD1CE0"/>
    <w:rsid w:val="42E1381E"/>
    <w:rsid w:val="42ED6459"/>
    <w:rsid w:val="42FE58DD"/>
    <w:rsid w:val="431247FD"/>
    <w:rsid w:val="43174B3D"/>
    <w:rsid w:val="43250193"/>
    <w:rsid w:val="433B01F8"/>
    <w:rsid w:val="43482915"/>
    <w:rsid w:val="434B790E"/>
    <w:rsid w:val="435C1F1C"/>
    <w:rsid w:val="435E76BD"/>
    <w:rsid w:val="4360274F"/>
    <w:rsid w:val="43746A4F"/>
    <w:rsid w:val="437A7FB9"/>
    <w:rsid w:val="4389283E"/>
    <w:rsid w:val="43977AB6"/>
    <w:rsid w:val="43A3342B"/>
    <w:rsid w:val="43C006FD"/>
    <w:rsid w:val="43C77C27"/>
    <w:rsid w:val="43D53A75"/>
    <w:rsid w:val="43DE09EE"/>
    <w:rsid w:val="43E075DF"/>
    <w:rsid w:val="43E443EC"/>
    <w:rsid w:val="43FD54AD"/>
    <w:rsid w:val="44002FAD"/>
    <w:rsid w:val="44290050"/>
    <w:rsid w:val="444430DC"/>
    <w:rsid w:val="444A3B66"/>
    <w:rsid w:val="44514633"/>
    <w:rsid w:val="446948F1"/>
    <w:rsid w:val="44753296"/>
    <w:rsid w:val="449101DD"/>
    <w:rsid w:val="44AB1231"/>
    <w:rsid w:val="44DE1391"/>
    <w:rsid w:val="44F26216"/>
    <w:rsid w:val="44FA017D"/>
    <w:rsid w:val="451B225C"/>
    <w:rsid w:val="452410C9"/>
    <w:rsid w:val="452D3B70"/>
    <w:rsid w:val="45317DFB"/>
    <w:rsid w:val="453A628D"/>
    <w:rsid w:val="45472EBB"/>
    <w:rsid w:val="456D3CE4"/>
    <w:rsid w:val="456E3CF0"/>
    <w:rsid w:val="4579042C"/>
    <w:rsid w:val="45796DB6"/>
    <w:rsid w:val="457F0571"/>
    <w:rsid w:val="45851176"/>
    <w:rsid w:val="45876384"/>
    <w:rsid w:val="45C63B94"/>
    <w:rsid w:val="45CE5F0E"/>
    <w:rsid w:val="460E7DA5"/>
    <w:rsid w:val="461E795D"/>
    <w:rsid w:val="462907DC"/>
    <w:rsid w:val="46422483"/>
    <w:rsid w:val="4642364B"/>
    <w:rsid w:val="464C685A"/>
    <w:rsid w:val="4659254A"/>
    <w:rsid w:val="465B0637"/>
    <w:rsid w:val="465E3F0D"/>
    <w:rsid w:val="466A16E6"/>
    <w:rsid w:val="467557CF"/>
    <w:rsid w:val="46837B93"/>
    <w:rsid w:val="46893F2B"/>
    <w:rsid w:val="46A460B4"/>
    <w:rsid w:val="46B6570D"/>
    <w:rsid w:val="46BA58D8"/>
    <w:rsid w:val="46C4686E"/>
    <w:rsid w:val="46CC73B9"/>
    <w:rsid w:val="46D6547D"/>
    <w:rsid w:val="46F96400"/>
    <w:rsid w:val="471F1BDF"/>
    <w:rsid w:val="473311E6"/>
    <w:rsid w:val="474B29D4"/>
    <w:rsid w:val="477B778F"/>
    <w:rsid w:val="477F442B"/>
    <w:rsid w:val="478203EC"/>
    <w:rsid w:val="47B025FA"/>
    <w:rsid w:val="47B059B8"/>
    <w:rsid w:val="47BF1758"/>
    <w:rsid w:val="47CA1D7C"/>
    <w:rsid w:val="4809698F"/>
    <w:rsid w:val="4811697D"/>
    <w:rsid w:val="481334F1"/>
    <w:rsid w:val="48156278"/>
    <w:rsid w:val="4820176A"/>
    <w:rsid w:val="48390A7E"/>
    <w:rsid w:val="48691363"/>
    <w:rsid w:val="487A3E25"/>
    <w:rsid w:val="488B5503"/>
    <w:rsid w:val="48937E21"/>
    <w:rsid w:val="489A0361"/>
    <w:rsid w:val="48B94FF3"/>
    <w:rsid w:val="48CD4F68"/>
    <w:rsid w:val="48CE566A"/>
    <w:rsid w:val="48E37AAB"/>
    <w:rsid w:val="48F16823"/>
    <w:rsid w:val="48FD4B4C"/>
    <w:rsid w:val="49022B9A"/>
    <w:rsid w:val="490A68E0"/>
    <w:rsid w:val="491055FE"/>
    <w:rsid w:val="4913307D"/>
    <w:rsid w:val="4933371F"/>
    <w:rsid w:val="4944592C"/>
    <w:rsid w:val="495E69EE"/>
    <w:rsid w:val="495F5B3E"/>
    <w:rsid w:val="49663AF5"/>
    <w:rsid w:val="496F77D7"/>
    <w:rsid w:val="497654FD"/>
    <w:rsid w:val="49AA1C33"/>
    <w:rsid w:val="49B303BC"/>
    <w:rsid w:val="49B54134"/>
    <w:rsid w:val="49B64211"/>
    <w:rsid w:val="49E56AF9"/>
    <w:rsid w:val="49EF70E0"/>
    <w:rsid w:val="49F6167F"/>
    <w:rsid w:val="4A064FA0"/>
    <w:rsid w:val="4A16615C"/>
    <w:rsid w:val="4A1730BD"/>
    <w:rsid w:val="4A34702F"/>
    <w:rsid w:val="4A352411"/>
    <w:rsid w:val="4A435BE4"/>
    <w:rsid w:val="4A4424D7"/>
    <w:rsid w:val="4A883EE7"/>
    <w:rsid w:val="4AB82D0F"/>
    <w:rsid w:val="4ABD7744"/>
    <w:rsid w:val="4AC40AD3"/>
    <w:rsid w:val="4AE271AB"/>
    <w:rsid w:val="4AEB7664"/>
    <w:rsid w:val="4AFA40F1"/>
    <w:rsid w:val="4AFD7C19"/>
    <w:rsid w:val="4B00619D"/>
    <w:rsid w:val="4B0567D1"/>
    <w:rsid w:val="4B182BCD"/>
    <w:rsid w:val="4B236AAE"/>
    <w:rsid w:val="4B260802"/>
    <w:rsid w:val="4B614574"/>
    <w:rsid w:val="4B683B54"/>
    <w:rsid w:val="4B6B53F2"/>
    <w:rsid w:val="4B707271"/>
    <w:rsid w:val="4B9739F7"/>
    <w:rsid w:val="4BA97CC9"/>
    <w:rsid w:val="4BC6087B"/>
    <w:rsid w:val="4BDE5BC4"/>
    <w:rsid w:val="4BE331DB"/>
    <w:rsid w:val="4BEE2503"/>
    <w:rsid w:val="4C245A30"/>
    <w:rsid w:val="4C324162"/>
    <w:rsid w:val="4C44712C"/>
    <w:rsid w:val="4C5E0306"/>
    <w:rsid w:val="4C7D024F"/>
    <w:rsid w:val="4C820C46"/>
    <w:rsid w:val="4C8A18A8"/>
    <w:rsid w:val="4C8E75EA"/>
    <w:rsid w:val="4CB6685F"/>
    <w:rsid w:val="4CC367FE"/>
    <w:rsid w:val="4CC823D1"/>
    <w:rsid w:val="4CCF550D"/>
    <w:rsid w:val="4CF17509"/>
    <w:rsid w:val="4D077F3C"/>
    <w:rsid w:val="4D123355"/>
    <w:rsid w:val="4D2A3B31"/>
    <w:rsid w:val="4D2E355A"/>
    <w:rsid w:val="4D3006A2"/>
    <w:rsid w:val="4D312C52"/>
    <w:rsid w:val="4D383EB1"/>
    <w:rsid w:val="4D897DB2"/>
    <w:rsid w:val="4D905305"/>
    <w:rsid w:val="4D964A72"/>
    <w:rsid w:val="4D9A1FBF"/>
    <w:rsid w:val="4D9C1254"/>
    <w:rsid w:val="4DA90454"/>
    <w:rsid w:val="4DB56DF9"/>
    <w:rsid w:val="4DB7491F"/>
    <w:rsid w:val="4DB841F3"/>
    <w:rsid w:val="4E061402"/>
    <w:rsid w:val="4E0D2791"/>
    <w:rsid w:val="4E3B6F96"/>
    <w:rsid w:val="4E4E59D3"/>
    <w:rsid w:val="4E5C1022"/>
    <w:rsid w:val="4E793892"/>
    <w:rsid w:val="4E7E368F"/>
    <w:rsid w:val="4E800872"/>
    <w:rsid w:val="4E937B81"/>
    <w:rsid w:val="4E9B5FEF"/>
    <w:rsid w:val="4EB946C7"/>
    <w:rsid w:val="4EBD5F65"/>
    <w:rsid w:val="4EC569ED"/>
    <w:rsid w:val="4ECF5C98"/>
    <w:rsid w:val="4ED50EA1"/>
    <w:rsid w:val="4EE12C5F"/>
    <w:rsid w:val="4EEC050C"/>
    <w:rsid w:val="4EFB0BC7"/>
    <w:rsid w:val="4F062691"/>
    <w:rsid w:val="4F104EC3"/>
    <w:rsid w:val="4F3F4BCC"/>
    <w:rsid w:val="4F47354A"/>
    <w:rsid w:val="4F5F701C"/>
    <w:rsid w:val="4F644633"/>
    <w:rsid w:val="4F6D1560"/>
    <w:rsid w:val="4F7F2410"/>
    <w:rsid w:val="4F7F76BE"/>
    <w:rsid w:val="4F911C54"/>
    <w:rsid w:val="4FAB400F"/>
    <w:rsid w:val="4FAF2089"/>
    <w:rsid w:val="4FDD43E5"/>
    <w:rsid w:val="4FE625E0"/>
    <w:rsid w:val="4FFA6D45"/>
    <w:rsid w:val="5021480F"/>
    <w:rsid w:val="50242062"/>
    <w:rsid w:val="50282821"/>
    <w:rsid w:val="502913D8"/>
    <w:rsid w:val="5030546B"/>
    <w:rsid w:val="50813689"/>
    <w:rsid w:val="508D7BB9"/>
    <w:rsid w:val="509251CF"/>
    <w:rsid w:val="50962ECB"/>
    <w:rsid w:val="50A42E38"/>
    <w:rsid w:val="50A4577F"/>
    <w:rsid w:val="50B73D1F"/>
    <w:rsid w:val="50BD5BC9"/>
    <w:rsid w:val="50C11EEE"/>
    <w:rsid w:val="50D37CC2"/>
    <w:rsid w:val="50E97CFC"/>
    <w:rsid w:val="50FA4028"/>
    <w:rsid w:val="5105541E"/>
    <w:rsid w:val="5106285D"/>
    <w:rsid w:val="510D65B7"/>
    <w:rsid w:val="511157AB"/>
    <w:rsid w:val="511D6F96"/>
    <w:rsid w:val="51340035"/>
    <w:rsid w:val="5142540C"/>
    <w:rsid w:val="5160682D"/>
    <w:rsid w:val="518832C8"/>
    <w:rsid w:val="51960CEF"/>
    <w:rsid w:val="5198589A"/>
    <w:rsid w:val="519D3C50"/>
    <w:rsid w:val="519F3AE7"/>
    <w:rsid w:val="51A0432A"/>
    <w:rsid w:val="51A86090"/>
    <w:rsid w:val="51B7396D"/>
    <w:rsid w:val="51D443D7"/>
    <w:rsid w:val="51ED4DB3"/>
    <w:rsid w:val="51FA74D0"/>
    <w:rsid w:val="51FD2B1C"/>
    <w:rsid w:val="52062AC8"/>
    <w:rsid w:val="520F4584"/>
    <w:rsid w:val="521560B8"/>
    <w:rsid w:val="52186AA9"/>
    <w:rsid w:val="522E4CC3"/>
    <w:rsid w:val="5244713B"/>
    <w:rsid w:val="525F7333"/>
    <w:rsid w:val="52615633"/>
    <w:rsid w:val="526F4DE4"/>
    <w:rsid w:val="52831274"/>
    <w:rsid w:val="52971B40"/>
    <w:rsid w:val="52977FD4"/>
    <w:rsid w:val="52A25790"/>
    <w:rsid w:val="52A96B6F"/>
    <w:rsid w:val="52B45975"/>
    <w:rsid w:val="52B61649"/>
    <w:rsid w:val="52D075B6"/>
    <w:rsid w:val="52D94AA4"/>
    <w:rsid w:val="52E95598"/>
    <w:rsid w:val="52EA3A62"/>
    <w:rsid w:val="52F50BB8"/>
    <w:rsid w:val="5300219B"/>
    <w:rsid w:val="53097272"/>
    <w:rsid w:val="533B38FC"/>
    <w:rsid w:val="534846E2"/>
    <w:rsid w:val="53544462"/>
    <w:rsid w:val="538C4777"/>
    <w:rsid w:val="5397158E"/>
    <w:rsid w:val="53A040C7"/>
    <w:rsid w:val="53B45F59"/>
    <w:rsid w:val="53C676DC"/>
    <w:rsid w:val="53E2021C"/>
    <w:rsid w:val="53E21A33"/>
    <w:rsid w:val="54013861"/>
    <w:rsid w:val="541D1254"/>
    <w:rsid w:val="54257843"/>
    <w:rsid w:val="54371BA3"/>
    <w:rsid w:val="543743EF"/>
    <w:rsid w:val="54487265"/>
    <w:rsid w:val="544D6070"/>
    <w:rsid w:val="54534C76"/>
    <w:rsid w:val="54605E1E"/>
    <w:rsid w:val="547D1CF3"/>
    <w:rsid w:val="54975620"/>
    <w:rsid w:val="54AA5323"/>
    <w:rsid w:val="54B0031A"/>
    <w:rsid w:val="54B3506A"/>
    <w:rsid w:val="54B6568B"/>
    <w:rsid w:val="54CA0D16"/>
    <w:rsid w:val="54DD4057"/>
    <w:rsid w:val="54E7490F"/>
    <w:rsid w:val="54FE1085"/>
    <w:rsid w:val="54FE4BE1"/>
    <w:rsid w:val="550608E4"/>
    <w:rsid w:val="550764A4"/>
    <w:rsid w:val="550B2BF6"/>
    <w:rsid w:val="55214EB5"/>
    <w:rsid w:val="55364EFD"/>
    <w:rsid w:val="555D4828"/>
    <w:rsid w:val="555E1B24"/>
    <w:rsid w:val="55767EF4"/>
    <w:rsid w:val="557A4C8B"/>
    <w:rsid w:val="558931E1"/>
    <w:rsid w:val="55923347"/>
    <w:rsid w:val="55925180"/>
    <w:rsid w:val="55983B1B"/>
    <w:rsid w:val="55987404"/>
    <w:rsid w:val="559B4275"/>
    <w:rsid w:val="55A27799"/>
    <w:rsid w:val="55A8376B"/>
    <w:rsid w:val="55CA06A2"/>
    <w:rsid w:val="55CE3334"/>
    <w:rsid w:val="55DC29B6"/>
    <w:rsid w:val="55DD4241"/>
    <w:rsid w:val="55E0078B"/>
    <w:rsid w:val="5607141B"/>
    <w:rsid w:val="560E52F8"/>
    <w:rsid w:val="5613290E"/>
    <w:rsid w:val="563A69B2"/>
    <w:rsid w:val="56552F27"/>
    <w:rsid w:val="566B6D1E"/>
    <w:rsid w:val="56917B91"/>
    <w:rsid w:val="56927CD7"/>
    <w:rsid w:val="569E48CE"/>
    <w:rsid w:val="569F657B"/>
    <w:rsid w:val="56B85316"/>
    <w:rsid w:val="56DA24ED"/>
    <w:rsid w:val="56EB5639"/>
    <w:rsid w:val="56EB6B22"/>
    <w:rsid w:val="56F73FDE"/>
    <w:rsid w:val="56F97D56"/>
    <w:rsid w:val="56FD6278"/>
    <w:rsid w:val="57032A2C"/>
    <w:rsid w:val="570F5219"/>
    <w:rsid w:val="57215F72"/>
    <w:rsid w:val="57253D43"/>
    <w:rsid w:val="575214C9"/>
    <w:rsid w:val="575D12B5"/>
    <w:rsid w:val="57610A87"/>
    <w:rsid w:val="576158FB"/>
    <w:rsid w:val="577B1140"/>
    <w:rsid w:val="577B7F21"/>
    <w:rsid w:val="577F181B"/>
    <w:rsid w:val="57921984"/>
    <w:rsid w:val="579737F0"/>
    <w:rsid w:val="57AB7B30"/>
    <w:rsid w:val="57AF5251"/>
    <w:rsid w:val="57B26373"/>
    <w:rsid w:val="57B63F04"/>
    <w:rsid w:val="57CD20C2"/>
    <w:rsid w:val="57CE11E3"/>
    <w:rsid w:val="57D675AB"/>
    <w:rsid w:val="57D95FDD"/>
    <w:rsid w:val="57ED2BDF"/>
    <w:rsid w:val="57FB365A"/>
    <w:rsid w:val="58124045"/>
    <w:rsid w:val="58141824"/>
    <w:rsid w:val="58350D4A"/>
    <w:rsid w:val="58917D2F"/>
    <w:rsid w:val="5894085C"/>
    <w:rsid w:val="589B5FCD"/>
    <w:rsid w:val="58AE4F0C"/>
    <w:rsid w:val="58B85899"/>
    <w:rsid w:val="58DE315C"/>
    <w:rsid w:val="58E363A9"/>
    <w:rsid w:val="59044790"/>
    <w:rsid w:val="59101387"/>
    <w:rsid w:val="595B4CF8"/>
    <w:rsid w:val="595E1678"/>
    <w:rsid w:val="596D5BD4"/>
    <w:rsid w:val="596E50AC"/>
    <w:rsid w:val="597E3DD8"/>
    <w:rsid w:val="59907C63"/>
    <w:rsid w:val="59967ADE"/>
    <w:rsid w:val="59A36C12"/>
    <w:rsid w:val="59CC3A4A"/>
    <w:rsid w:val="59E720E8"/>
    <w:rsid w:val="59F80043"/>
    <w:rsid w:val="5A054C64"/>
    <w:rsid w:val="5A09252F"/>
    <w:rsid w:val="5A0B2778"/>
    <w:rsid w:val="5A2A7C7B"/>
    <w:rsid w:val="5A2E7D17"/>
    <w:rsid w:val="5A3E2560"/>
    <w:rsid w:val="5A551748"/>
    <w:rsid w:val="5A5D3B6E"/>
    <w:rsid w:val="5A637A76"/>
    <w:rsid w:val="5A663955"/>
    <w:rsid w:val="5A6D33BA"/>
    <w:rsid w:val="5A792B1F"/>
    <w:rsid w:val="5A7A50C7"/>
    <w:rsid w:val="5A7F4A16"/>
    <w:rsid w:val="5A874767"/>
    <w:rsid w:val="5AA85BE2"/>
    <w:rsid w:val="5AA9356E"/>
    <w:rsid w:val="5AAD6F28"/>
    <w:rsid w:val="5AD63A24"/>
    <w:rsid w:val="5ADC7773"/>
    <w:rsid w:val="5AF947C9"/>
    <w:rsid w:val="5B084A0C"/>
    <w:rsid w:val="5B1038C0"/>
    <w:rsid w:val="5B2E1A1D"/>
    <w:rsid w:val="5B42064D"/>
    <w:rsid w:val="5B5437AD"/>
    <w:rsid w:val="5B5871AB"/>
    <w:rsid w:val="5B843A1C"/>
    <w:rsid w:val="5B871DD5"/>
    <w:rsid w:val="5B873E3F"/>
    <w:rsid w:val="5BC6253B"/>
    <w:rsid w:val="5BD3501A"/>
    <w:rsid w:val="5BD7618C"/>
    <w:rsid w:val="5BF159B7"/>
    <w:rsid w:val="5BF83F06"/>
    <w:rsid w:val="5C02690E"/>
    <w:rsid w:val="5C1473E0"/>
    <w:rsid w:val="5C15053E"/>
    <w:rsid w:val="5C196DA7"/>
    <w:rsid w:val="5C2A048C"/>
    <w:rsid w:val="5C6043D4"/>
    <w:rsid w:val="5C6739B4"/>
    <w:rsid w:val="5C677226"/>
    <w:rsid w:val="5C80234E"/>
    <w:rsid w:val="5C8A680C"/>
    <w:rsid w:val="5C9A1694"/>
    <w:rsid w:val="5CA73146"/>
    <w:rsid w:val="5CA82260"/>
    <w:rsid w:val="5CAE3391"/>
    <w:rsid w:val="5CB12E81"/>
    <w:rsid w:val="5CC91C79"/>
    <w:rsid w:val="5CDE4E52"/>
    <w:rsid w:val="5CF0438B"/>
    <w:rsid w:val="5CFF599B"/>
    <w:rsid w:val="5D023FB3"/>
    <w:rsid w:val="5D0C4701"/>
    <w:rsid w:val="5D0F0395"/>
    <w:rsid w:val="5D21487D"/>
    <w:rsid w:val="5D221076"/>
    <w:rsid w:val="5D397964"/>
    <w:rsid w:val="5D4115DF"/>
    <w:rsid w:val="5D5A391C"/>
    <w:rsid w:val="5D5F10C0"/>
    <w:rsid w:val="5D853AB4"/>
    <w:rsid w:val="5D891B7B"/>
    <w:rsid w:val="5D9E1657"/>
    <w:rsid w:val="5DAD38EE"/>
    <w:rsid w:val="5DB9023F"/>
    <w:rsid w:val="5DD46E27"/>
    <w:rsid w:val="5DD92690"/>
    <w:rsid w:val="5DDC3F2E"/>
    <w:rsid w:val="5E006862"/>
    <w:rsid w:val="5E0207B9"/>
    <w:rsid w:val="5E095E89"/>
    <w:rsid w:val="5E176D14"/>
    <w:rsid w:val="5E1834A1"/>
    <w:rsid w:val="5E261785"/>
    <w:rsid w:val="5E4A7017"/>
    <w:rsid w:val="5E4D2736"/>
    <w:rsid w:val="5E523AC7"/>
    <w:rsid w:val="5E552BBA"/>
    <w:rsid w:val="5E5D2425"/>
    <w:rsid w:val="5E611C10"/>
    <w:rsid w:val="5E7A0F3F"/>
    <w:rsid w:val="5E961400"/>
    <w:rsid w:val="5E972130"/>
    <w:rsid w:val="5EA26F25"/>
    <w:rsid w:val="5EB54CDE"/>
    <w:rsid w:val="5EB62E7E"/>
    <w:rsid w:val="5EBA7DC4"/>
    <w:rsid w:val="5ED510A9"/>
    <w:rsid w:val="5EF332DD"/>
    <w:rsid w:val="5EFC7377"/>
    <w:rsid w:val="5F01388B"/>
    <w:rsid w:val="5F06174D"/>
    <w:rsid w:val="5F3A3602"/>
    <w:rsid w:val="5F45733B"/>
    <w:rsid w:val="5F6277C6"/>
    <w:rsid w:val="5F642082"/>
    <w:rsid w:val="5F6D0B1D"/>
    <w:rsid w:val="5F7C7862"/>
    <w:rsid w:val="5F8D0B82"/>
    <w:rsid w:val="5F9721ED"/>
    <w:rsid w:val="5FCC5339"/>
    <w:rsid w:val="5FCD1CB3"/>
    <w:rsid w:val="5FD255E8"/>
    <w:rsid w:val="5FE34A5B"/>
    <w:rsid w:val="5FEC48FC"/>
    <w:rsid w:val="5FFE1E36"/>
    <w:rsid w:val="60232584"/>
    <w:rsid w:val="6051070B"/>
    <w:rsid w:val="60634492"/>
    <w:rsid w:val="607330CE"/>
    <w:rsid w:val="60825176"/>
    <w:rsid w:val="609F2AC4"/>
    <w:rsid w:val="60BD3BA3"/>
    <w:rsid w:val="60C5281B"/>
    <w:rsid w:val="60CF1B28"/>
    <w:rsid w:val="60E05AE3"/>
    <w:rsid w:val="60FA2EE8"/>
    <w:rsid w:val="61044027"/>
    <w:rsid w:val="61054A27"/>
    <w:rsid w:val="610A52BC"/>
    <w:rsid w:val="611539DF"/>
    <w:rsid w:val="61154C74"/>
    <w:rsid w:val="611D2366"/>
    <w:rsid w:val="61344E6F"/>
    <w:rsid w:val="613A2476"/>
    <w:rsid w:val="61421856"/>
    <w:rsid w:val="61461DEA"/>
    <w:rsid w:val="615227C4"/>
    <w:rsid w:val="61654E3F"/>
    <w:rsid w:val="6182292A"/>
    <w:rsid w:val="6187352E"/>
    <w:rsid w:val="61972646"/>
    <w:rsid w:val="619F7F92"/>
    <w:rsid w:val="61A82AA5"/>
    <w:rsid w:val="61D046FC"/>
    <w:rsid w:val="61D27B22"/>
    <w:rsid w:val="61F94C26"/>
    <w:rsid w:val="62000E56"/>
    <w:rsid w:val="621719D8"/>
    <w:rsid w:val="624F3E49"/>
    <w:rsid w:val="6257391F"/>
    <w:rsid w:val="62632286"/>
    <w:rsid w:val="6284607C"/>
    <w:rsid w:val="628801E0"/>
    <w:rsid w:val="62885958"/>
    <w:rsid w:val="62976AEB"/>
    <w:rsid w:val="62E23D94"/>
    <w:rsid w:val="62E55633"/>
    <w:rsid w:val="62F054C0"/>
    <w:rsid w:val="62F40B65"/>
    <w:rsid w:val="62F44BFE"/>
    <w:rsid w:val="62FC2CFE"/>
    <w:rsid w:val="63024505"/>
    <w:rsid w:val="631101D6"/>
    <w:rsid w:val="632717A7"/>
    <w:rsid w:val="635600A5"/>
    <w:rsid w:val="6356208C"/>
    <w:rsid w:val="63576530"/>
    <w:rsid w:val="635B1DB5"/>
    <w:rsid w:val="63711FED"/>
    <w:rsid w:val="637569B7"/>
    <w:rsid w:val="63880DDC"/>
    <w:rsid w:val="638D1F52"/>
    <w:rsid w:val="638D750D"/>
    <w:rsid w:val="63A948B2"/>
    <w:rsid w:val="63AC6CC0"/>
    <w:rsid w:val="63BC2837"/>
    <w:rsid w:val="63C67212"/>
    <w:rsid w:val="63DA4A6C"/>
    <w:rsid w:val="63FA510E"/>
    <w:rsid w:val="64002776"/>
    <w:rsid w:val="64055776"/>
    <w:rsid w:val="6413109A"/>
    <w:rsid w:val="641461CF"/>
    <w:rsid w:val="64240056"/>
    <w:rsid w:val="643E143A"/>
    <w:rsid w:val="64436AB5"/>
    <w:rsid w:val="64491666"/>
    <w:rsid w:val="64545525"/>
    <w:rsid w:val="646B1B68"/>
    <w:rsid w:val="648B6EEF"/>
    <w:rsid w:val="64964A96"/>
    <w:rsid w:val="64964E36"/>
    <w:rsid w:val="649B41FB"/>
    <w:rsid w:val="64A32E55"/>
    <w:rsid w:val="64BC23C3"/>
    <w:rsid w:val="64C158BF"/>
    <w:rsid w:val="64CE2EAA"/>
    <w:rsid w:val="64D476D0"/>
    <w:rsid w:val="650A1380"/>
    <w:rsid w:val="650A75D2"/>
    <w:rsid w:val="65210047"/>
    <w:rsid w:val="6525101C"/>
    <w:rsid w:val="652A2F3A"/>
    <w:rsid w:val="65324128"/>
    <w:rsid w:val="653C3090"/>
    <w:rsid w:val="65442AE4"/>
    <w:rsid w:val="657B357C"/>
    <w:rsid w:val="65854376"/>
    <w:rsid w:val="658767BE"/>
    <w:rsid w:val="65892531"/>
    <w:rsid w:val="65BC2190"/>
    <w:rsid w:val="65DC0C32"/>
    <w:rsid w:val="65DD003B"/>
    <w:rsid w:val="65F00576"/>
    <w:rsid w:val="66195831"/>
    <w:rsid w:val="66285A6C"/>
    <w:rsid w:val="662E75B1"/>
    <w:rsid w:val="66342C2E"/>
    <w:rsid w:val="663A714D"/>
    <w:rsid w:val="663E784C"/>
    <w:rsid w:val="666E22B6"/>
    <w:rsid w:val="6672542F"/>
    <w:rsid w:val="667C5548"/>
    <w:rsid w:val="668533B4"/>
    <w:rsid w:val="668B6A45"/>
    <w:rsid w:val="66BC437B"/>
    <w:rsid w:val="67011F07"/>
    <w:rsid w:val="670A1B0C"/>
    <w:rsid w:val="670B63F6"/>
    <w:rsid w:val="672F3F24"/>
    <w:rsid w:val="673E055F"/>
    <w:rsid w:val="6747066A"/>
    <w:rsid w:val="67551CE3"/>
    <w:rsid w:val="675B5EC3"/>
    <w:rsid w:val="67655FA1"/>
    <w:rsid w:val="678B06C9"/>
    <w:rsid w:val="679338AF"/>
    <w:rsid w:val="679B09B6"/>
    <w:rsid w:val="679B1CFF"/>
    <w:rsid w:val="67A22552"/>
    <w:rsid w:val="67A61834"/>
    <w:rsid w:val="67A94E81"/>
    <w:rsid w:val="67B22DCC"/>
    <w:rsid w:val="67B53501"/>
    <w:rsid w:val="67BE71AA"/>
    <w:rsid w:val="67C63E7A"/>
    <w:rsid w:val="67C972D1"/>
    <w:rsid w:val="67CB129B"/>
    <w:rsid w:val="67D90273"/>
    <w:rsid w:val="67D96EA8"/>
    <w:rsid w:val="67DE5875"/>
    <w:rsid w:val="67E1286C"/>
    <w:rsid w:val="67E55852"/>
    <w:rsid w:val="67EB1AB4"/>
    <w:rsid w:val="67FA1285"/>
    <w:rsid w:val="681662CF"/>
    <w:rsid w:val="6817628E"/>
    <w:rsid w:val="68212C69"/>
    <w:rsid w:val="68224B15"/>
    <w:rsid w:val="683278D6"/>
    <w:rsid w:val="68456A72"/>
    <w:rsid w:val="68551F4F"/>
    <w:rsid w:val="685564C7"/>
    <w:rsid w:val="68594AF9"/>
    <w:rsid w:val="685C7E37"/>
    <w:rsid w:val="68637725"/>
    <w:rsid w:val="686D187D"/>
    <w:rsid w:val="686E6466"/>
    <w:rsid w:val="68792AA5"/>
    <w:rsid w:val="687C10C9"/>
    <w:rsid w:val="687F68D1"/>
    <w:rsid w:val="68840C16"/>
    <w:rsid w:val="68872541"/>
    <w:rsid w:val="68876EFB"/>
    <w:rsid w:val="68884654"/>
    <w:rsid w:val="688B27D8"/>
    <w:rsid w:val="689F444F"/>
    <w:rsid w:val="68B62CE9"/>
    <w:rsid w:val="68B735CD"/>
    <w:rsid w:val="68B910F3"/>
    <w:rsid w:val="68B96DBB"/>
    <w:rsid w:val="68CA2805"/>
    <w:rsid w:val="68E937A3"/>
    <w:rsid w:val="68EC14C9"/>
    <w:rsid w:val="68FB795E"/>
    <w:rsid w:val="690C5C3E"/>
    <w:rsid w:val="691664E5"/>
    <w:rsid w:val="692B02A6"/>
    <w:rsid w:val="693410C2"/>
    <w:rsid w:val="693A2A49"/>
    <w:rsid w:val="693E15D3"/>
    <w:rsid w:val="6949691B"/>
    <w:rsid w:val="694C640B"/>
    <w:rsid w:val="695C3B96"/>
    <w:rsid w:val="695D4175"/>
    <w:rsid w:val="69627681"/>
    <w:rsid w:val="696848C8"/>
    <w:rsid w:val="6977531D"/>
    <w:rsid w:val="69931944"/>
    <w:rsid w:val="69C04704"/>
    <w:rsid w:val="69CC2BFF"/>
    <w:rsid w:val="69CD3FBC"/>
    <w:rsid w:val="69D06247"/>
    <w:rsid w:val="69D5106C"/>
    <w:rsid w:val="69DE6565"/>
    <w:rsid w:val="69FD55B8"/>
    <w:rsid w:val="6A003140"/>
    <w:rsid w:val="6A0B1C62"/>
    <w:rsid w:val="6A0B3BD1"/>
    <w:rsid w:val="6A1E2879"/>
    <w:rsid w:val="6A2406C8"/>
    <w:rsid w:val="6A4100EA"/>
    <w:rsid w:val="6A425EE6"/>
    <w:rsid w:val="6A5931FC"/>
    <w:rsid w:val="6A721EA2"/>
    <w:rsid w:val="6A955B90"/>
    <w:rsid w:val="6A9D7623"/>
    <w:rsid w:val="6AA47B81"/>
    <w:rsid w:val="6ADE0BD1"/>
    <w:rsid w:val="6AE96859"/>
    <w:rsid w:val="6AFB2D5D"/>
    <w:rsid w:val="6B147746"/>
    <w:rsid w:val="6B24787C"/>
    <w:rsid w:val="6B3B4041"/>
    <w:rsid w:val="6B573233"/>
    <w:rsid w:val="6B5B6274"/>
    <w:rsid w:val="6B8130CD"/>
    <w:rsid w:val="6B935D53"/>
    <w:rsid w:val="6BB44F46"/>
    <w:rsid w:val="6BB87D88"/>
    <w:rsid w:val="6BCA186A"/>
    <w:rsid w:val="6BD34BC2"/>
    <w:rsid w:val="6BE4292B"/>
    <w:rsid w:val="6BF87F3C"/>
    <w:rsid w:val="6C196F71"/>
    <w:rsid w:val="6C226FCB"/>
    <w:rsid w:val="6C31226F"/>
    <w:rsid w:val="6C4671C6"/>
    <w:rsid w:val="6C552F0B"/>
    <w:rsid w:val="6C586E75"/>
    <w:rsid w:val="6C755C79"/>
    <w:rsid w:val="6C7A5A27"/>
    <w:rsid w:val="6C8871D7"/>
    <w:rsid w:val="6C8C67B7"/>
    <w:rsid w:val="6C9C6D62"/>
    <w:rsid w:val="6C9D744C"/>
    <w:rsid w:val="6CB467A2"/>
    <w:rsid w:val="6CE16E6B"/>
    <w:rsid w:val="6CE918D3"/>
    <w:rsid w:val="6CED562C"/>
    <w:rsid w:val="6D08089B"/>
    <w:rsid w:val="6D167928"/>
    <w:rsid w:val="6D26299B"/>
    <w:rsid w:val="6D301BA0"/>
    <w:rsid w:val="6D4772EC"/>
    <w:rsid w:val="6D4F6A1B"/>
    <w:rsid w:val="6D51160B"/>
    <w:rsid w:val="6D837F22"/>
    <w:rsid w:val="6D9078AF"/>
    <w:rsid w:val="6DAA3FEF"/>
    <w:rsid w:val="6DAB0961"/>
    <w:rsid w:val="6DB8406F"/>
    <w:rsid w:val="6DC0172B"/>
    <w:rsid w:val="6DCB690C"/>
    <w:rsid w:val="6DD41A5B"/>
    <w:rsid w:val="6DF43C2E"/>
    <w:rsid w:val="6DF51CA3"/>
    <w:rsid w:val="6E0E5A3E"/>
    <w:rsid w:val="6E0F52F8"/>
    <w:rsid w:val="6E331948"/>
    <w:rsid w:val="6E69536A"/>
    <w:rsid w:val="6E777A87"/>
    <w:rsid w:val="6E7C32EF"/>
    <w:rsid w:val="6E8335BD"/>
    <w:rsid w:val="6E8E12EF"/>
    <w:rsid w:val="6E9028F6"/>
    <w:rsid w:val="6E972936"/>
    <w:rsid w:val="6EB81FD5"/>
    <w:rsid w:val="6EBA3E17"/>
    <w:rsid w:val="6EC36B6F"/>
    <w:rsid w:val="6EC9405A"/>
    <w:rsid w:val="6ED446C5"/>
    <w:rsid w:val="6F03756C"/>
    <w:rsid w:val="6F080F4F"/>
    <w:rsid w:val="6F103A37"/>
    <w:rsid w:val="6F1E6154"/>
    <w:rsid w:val="6F2A7D94"/>
    <w:rsid w:val="6F4436E1"/>
    <w:rsid w:val="6F543924"/>
    <w:rsid w:val="6F5C0549"/>
    <w:rsid w:val="6F692882"/>
    <w:rsid w:val="6F745D74"/>
    <w:rsid w:val="6F8331F1"/>
    <w:rsid w:val="6F975F07"/>
    <w:rsid w:val="6F993A2D"/>
    <w:rsid w:val="6FAE1A09"/>
    <w:rsid w:val="6FD75BF8"/>
    <w:rsid w:val="6FE56C72"/>
    <w:rsid w:val="70076DE2"/>
    <w:rsid w:val="701E15E0"/>
    <w:rsid w:val="704C4790"/>
    <w:rsid w:val="706F0865"/>
    <w:rsid w:val="707723D0"/>
    <w:rsid w:val="707B08A1"/>
    <w:rsid w:val="708015FF"/>
    <w:rsid w:val="70BE44D2"/>
    <w:rsid w:val="70CD7732"/>
    <w:rsid w:val="70F5661B"/>
    <w:rsid w:val="712B2DAA"/>
    <w:rsid w:val="71360107"/>
    <w:rsid w:val="713B4F71"/>
    <w:rsid w:val="713B688E"/>
    <w:rsid w:val="71746ACE"/>
    <w:rsid w:val="71CA4371"/>
    <w:rsid w:val="71D43752"/>
    <w:rsid w:val="71E573FD"/>
    <w:rsid w:val="71E9244E"/>
    <w:rsid w:val="71F1796A"/>
    <w:rsid w:val="720E3052"/>
    <w:rsid w:val="72154626"/>
    <w:rsid w:val="72200435"/>
    <w:rsid w:val="72262B5D"/>
    <w:rsid w:val="72283FF7"/>
    <w:rsid w:val="722E7212"/>
    <w:rsid w:val="723929DF"/>
    <w:rsid w:val="723A0474"/>
    <w:rsid w:val="724618A2"/>
    <w:rsid w:val="724F3294"/>
    <w:rsid w:val="725923E4"/>
    <w:rsid w:val="72604CD6"/>
    <w:rsid w:val="72661558"/>
    <w:rsid w:val="727A7B45"/>
    <w:rsid w:val="727E149A"/>
    <w:rsid w:val="72807126"/>
    <w:rsid w:val="72864BF7"/>
    <w:rsid w:val="729023FC"/>
    <w:rsid w:val="72985CB6"/>
    <w:rsid w:val="729F135A"/>
    <w:rsid w:val="72BD5C84"/>
    <w:rsid w:val="72C77FEB"/>
    <w:rsid w:val="732802B4"/>
    <w:rsid w:val="73893FF6"/>
    <w:rsid w:val="73BC23E0"/>
    <w:rsid w:val="73C05A2C"/>
    <w:rsid w:val="73C0646E"/>
    <w:rsid w:val="73C372CA"/>
    <w:rsid w:val="73CE53A9"/>
    <w:rsid w:val="73DC213A"/>
    <w:rsid w:val="73E86D31"/>
    <w:rsid w:val="73FB2F08"/>
    <w:rsid w:val="742222F5"/>
    <w:rsid w:val="744547F2"/>
    <w:rsid w:val="74476126"/>
    <w:rsid w:val="744C3764"/>
    <w:rsid w:val="7456013E"/>
    <w:rsid w:val="74706664"/>
    <w:rsid w:val="747F3682"/>
    <w:rsid w:val="748E0458"/>
    <w:rsid w:val="749C4185"/>
    <w:rsid w:val="74A0760B"/>
    <w:rsid w:val="74C766D7"/>
    <w:rsid w:val="74D15A17"/>
    <w:rsid w:val="74E03C1D"/>
    <w:rsid w:val="74E13026"/>
    <w:rsid w:val="74FE2E5B"/>
    <w:rsid w:val="75067759"/>
    <w:rsid w:val="75120509"/>
    <w:rsid w:val="752E6DCD"/>
    <w:rsid w:val="75340958"/>
    <w:rsid w:val="7551380D"/>
    <w:rsid w:val="75600BE5"/>
    <w:rsid w:val="7562405C"/>
    <w:rsid w:val="7564475C"/>
    <w:rsid w:val="756643B1"/>
    <w:rsid w:val="756845CD"/>
    <w:rsid w:val="75722D56"/>
    <w:rsid w:val="7583797F"/>
    <w:rsid w:val="75B0387E"/>
    <w:rsid w:val="75B94E29"/>
    <w:rsid w:val="75D15B03"/>
    <w:rsid w:val="75D20F1D"/>
    <w:rsid w:val="75DA2C18"/>
    <w:rsid w:val="75E0705F"/>
    <w:rsid w:val="75F54412"/>
    <w:rsid w:val="760A4FCC"/>
    <w:rsid w:val="76154AE5"/>
    <w:rsid w:val="761D08E0"/>
    <w:rsid w:val="761E2EDE"/>
    <w:rsid w:val="762A7AD4"/>
    <w:rsid w:val="762E7C2D"/>
    <w:rsid w:val="76465F91"/>
    <w:rsid w:val="7656644C"/>
    <w:rsid w:val="765D347C"/>
    <w:rsid w:val="76826699"/>
    <w:rsid w:val="768E0063"/>
    <w:rsid w:val="76946CFC"/>
    <w:rsid w:val="76C87133"/>
    <w:rsid w:val="76CD08D5"/>
    <w:rsid w:val="76D82E17"/>
    <w:rsid w:val="76DB4B92"/>
    <w:rsid w:val="76F65C09"/>
    <w:rsid w:val="77052AA4"/>
    <w:rsid w:val="77136511"/>
    <w:rsid w:val="77176BA7"/>
    <w:rsid w:val="772A50A6"/>
    <w:rsid w:val="77340A39"/>
    <w:rsid w:val="77351FD0"/>
    <w:rsid w:val="77472422"/>
    <w:rsid w:val="77486FBC"/>
    <w:rsid w:val="775F1278"/>
    <w:rsid w:val="776026B5"/>
    <w:rsid w:val="77672662"/>
    <w:rsid w:val="77707769"/>
    <w:rsid w:val="777F31F2"/>
    <w:rsid w:val="779F004E"/>
    <w:rsid w:val="77AD607B"/>
    <w:rsid w:val="77D00208"/>
    <w:rsid w:val="77D1700D"/>
    <w:rsid w:val="77E37F3B"/>
    <w:rsid w:val="77EC04CC"/>
    <w:rsid w:val="77EF4B32"/>
    <w:rsid w:val="77F1053F"/>
    <w:rsid w:val="77FC2DAB"/>
    <w:rsid w:val="781E0F73"/>
    <w:rsid w:val="78473012"/>
    <w:rsid w:val="786167EC"/>
    <w:rsid w:val="78664B90"/>
    <w:rsid w:val="786C7F30"/>
    <w:rsid w:val="786F397E"/>
    <w:rsid w:val="78775729"/>
    <w:rsid w:val="787E1925"/>
    <w:rsid w:val="788214B7"/>
    <w:rsid w:val="78A42DB0"/>
    <w:rsid w:val="78A656AB"/>
    <w:rsid w:val="78B2245C"/>
    <w:rsid w:val="78BB0EB8"/>
    <w:rsid w:val="78CC09CF"/>
    <w:rsid w:val="78E172CC"/>
    <w:rsid w:val="78EA1D1F"/>
    <w:rsid w:val="78F16688"/>
    <w:rsid w:val="7904172F"/>
    <w:rsid w:val="790F7E27"/>
    <w:rsid w:val="791D4BEC"/>
    <w:rsid w:val="792A231A"/>
    <w:rsid w:val="792A3948"/>
    <w:rsid w:val="792E3438"/>
    <w:rsid w:val="79316829"/>
    <w:rsid w:val="793A6280"/>
    <w:rsid w:val="793A7DAA"/>
    <w:rsid w:val="797E66A9"/>
    <w:rsid w:val="79817A0B"/>
    <w:rsid w:val="798518A4"/>
    <w:rsid w:val="79985C86"/>
    <w:rsid w:val="79A97383"/>
    <w:rsid w:val="79E27E8B"/>
    <w:rsid w:val="79EA1A55"/>
    <w:rsid w:val="79F850CE"/>
    <w:rsid w:val="79FD443C"/>
    <w:rsid w:val="7A1563A6"/>
    <w:rsid w:val="7A1611BC"/>
    <w:rsid w:val="7A1D1975"/>
    <w:rsid w:val="7A320D06"/>
    <w:rsid w:val="7A38580D"/>
    <w:rsid w:val="7A3E5150"/>
    <w:rsid w:val="7A4670D6"/>
    <w:rsid w:val="7A534B63"/>
    <w:rsid w:val="7A613399"/>
    <w:rsid w:val="7A615382"/>
    <w:rsid w:val="7A67303B"/>
    <w:rsid w:val="7A6A189D"/>
    <w:rsid w:val="7A9674E6"/>
    <w:rsid w:val="7A9C10D1"/>
    <w:rsid w:val="7AA5772A"/>
    <w:rsid w:val="7AAB1D04"/>
    <w:rsid w:val="7AB4796D"/>
    <w:rsid w:val="7ABA4368"/>
    <w:rsid w:val="7ABA4D5A"/>
    <w:rsid w:val="7AD05746"/>
    <w:rsid w:val="7B0A1C83"/>
    <w:rsid w:val="7B0C77A9"/>
    <w:rsid w:val="7B147439"/>
    <w:rsid w:val="7B25086A"/>
    <w:rsid w:val="7B257FFD"/>
    <w:rsid w:val="7B273D20"/>
    <w:rsid w:val="7B343476"/>
    <w:rsid w:val="7B424F78"/>
    <w:rsid w:val="7B446F42"/>
    <w:rsid w:val="7B4B2A58"/>
    <w:rsid w:val="7B4F4EBD"/>
    <w:rsid w:val="7B51340D"/>
    <w:rsid w:val="7B580972"/>
    <w:rsid w:val="7B5A2978"/>
    <w:rsid w:val="7B5A7E4C"/>
    <w:rsid w:val="7B667AF9"/>
    <w:rsid w:val="7B7468F8"/>
    <w:rsid w:val="7B9C6D7F"/>
    <w:rsid w:val="7BA93249"/>
    <w:rsid w:val="7BB4571A"/>
    <w:rsid w:val="7BBE3C12"/>
    <w:rsid w:val="7BD20030"/>
    <w:rsid w:val="7BEE0103"/>
    <w:rsid w:val="7BF323C6"/>
    <w:rsid w:val="7BF344C5"/>
    <w:rsid w:val="7BF605D5"/>
    <w:rsid w:val="7C0A0FE4"/>
    <w:rsid w:val="7C136A54"/>
    <w:rsid w:val="7C2265AE"/>
    <w:rsid w:val="7C254906"/>
    <w:rsid w:val="7C2D5C29"/>
    <w:rsid w:val="7C2D78D7"/>
    <w:rsid w:val="7C3C2310"/>
    <w:rsid w:val="7C403982"/>
    <w:rsid w:val="7C590818"/>
    <w:rsid w:val="7C644B29"/>
    <w:rsid w:val="7C7C10F6"/>
    <w:rsid w:val="7C853BEA"/>
    <w:rsid w:val="7C881368"/>
    <w:rsid w:val="7C9537CE"/>
    <w:rsid w:val="7C9932BE"/>
    <w:rsid w:val="7CA83501"/>
    <w:rsid w:val="7CB973B8"/>
    <w:rsid w:val="7CE04A49"/>
    <w:rsid w:val="7CE27788"/>
    <w:rsid w:val="7CE54755"/>
    <w:rsid w:val="7D0050EB"/>
    <w:rsid w:val="7D0C32F1"/>
    <w:rsid w:val="7D0F408D"/>
    <w:rsid w:val="7D3134F6"/>
    <w:rsid w:val="7D491C6C"/>
    <w:rsid w:val="7D5429C0"/>
    <w:rsid w:val="7D5A54B6"/>
    <w:rsid w:val="7D627B54"/>
    <w:rsid w:val="7D6619C8"/>
    <w:rsid w:val="7D6E6D43"/>
    <w:rsid w:val="7D7111E9"/>
    <w:rsid w:val="7D7C4B24"/>
    <w:rsid w:val="7D8950E1"/>
    <w:rsid w:val="7D9D6ADF"/>
    <w:rsid w:val="7DA4016C"/>
    <w:rsid w:val="7DB57A34"/>
    <w:rsid w:val="7DCF6D3D"/>
    <w:rsid w:val="7DE60973"/>
    <w:rsid w:val="7DEF0916"/>
    <w:rsid w:val="7DF06F0E"/>
    <w:rsid w:val="7E096221"/>
    <w:rsid w:val="7E1E5218"/>
    <w:rsid w:val="7E2F2EE9"/>
    <w:rsid w:val="7E350DC4"/>
    <w:rsid w:val="7E551467"/>
    <w:rsid w:val="7E84532A"/>
    <w:rsid w:val="7E8B290D"/>
    <w:rsid w:val="7E9A4E1F"/>
    <w:rsid w:val="7EA7723A"/>
    <w:rsid w:val="7EBB39C0"/>
    <w:rsid w:val="7EC16AFC"/>
    <w:rsid w:val="7ED54355"/>
    <w:rsid w:val="7EF04B10"/>
    <w:rsid w:val="7EF56FBB"/>
    <w:rsid w:val="7EF70770"/>
    <w:rsid w:val="7EFB3DBC"/>
    <w:rsid w:val="7F0768EB"/>
    <w:rsid w:val="7F143BEC"/>
    <w:rsid w:val="7F1B07AD"/>
    <w:rsid w:val="7F250E39"/>
    <w:rsid w:val="7F286B7B"/>
    <w:rsid w:val="7F2A46A1"/>
    <w:rsid w:val="7F3C61B7"/>
    <w:rsid w:val="7F475253"/>
    <w:rsid w:val="7F484B27"/>
    <w:rsid w:val="7F4C0ABC"/>
    <w:rsid w:val="7F575330"/>
    <w:rsid w:val="7F60784D"/>
    <w:rsid w:val="7F6639D1"/>
    <w:rsid w:val="7F715AF2"/>
    <w:rsid w:val="7F753A1E"/>
    <w:rsid w:val="7F81044D"/>
    <w:rsid w:val="7F857B2A"/>
    <w:rsid w:val="7F886E69"/>
    <w:rsid w:val="7FA426A6"/>
    <w:rsid w:val="7FA944D4"/>
    <w:rsid w:val="7FFA22C6"/>
    <w:rsid w:val="BB7FA927"/>
    <w:rsid w:val="F5FFD31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9" w:semiHidden="0" w:name="heading 5"/>
    <w:lsdException w:qFormat="1" w:unhideWhenUsed="0" w:uiPriority="0" w:semiHidden="0" w:name="heading 6"/>
    <w:lsdException w:qFormat="1" w:unhideWhenUsed="0" w:uiPriority="0" w:semiHidden="0" w:name="heading 7"/>
    <w:lsdException w:qFormat="1" w:unhideWhenUsed="0" w:uiPriority="9"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qFormat="1" w:unhideWhenUsed="0" w:uiPriority="0" w:semiHidden="0" w:name="List 5"/>
    <w:lsdException w:qFormat="1" w:unhideWhenUsed="0" w:uiPriority="0" w:semiHidden="0" w:name="List Bullet 2"/>
    <w:lsdException w:qFormat="1" w:uiPriority="0" w:semiHidden="0" w:name="List Bullet 3"/>
    <w:lsdException w:qFormat="1"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qFormat="1"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unhideWhenUsed="0" w:uiPriority="0" w:semiHidden="0" w:name="List Continue 3"/>
    <w:lsdException w:qFormat="1" w:unhideWhenUsed="0" w:uiPriority="0" w:semiHidden="0" w:name="List Continue 4"/>
    <w:lsdException w:qFormat="1"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99" w:semiHidden="0" w:name="Normal (Web)"/>
    <w:lsdException w:unhideWhenUsed="0" w:uiPriority="0" w:semiHidden="0" w:name="HTML Acronym"/>
    <w:lsdException w:qFormat="1"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qFormat="1" w:unhideWhenUsed="0" w:uiPriority="0" w:semiHidden="0" w:name="Table Grid 5"/>
    <w:lsdException w:uiPriority="99" w:name="Table Grid 6"/>
    <w:lsdException w:uiPriority="99" w:name="Table Grid 7"/>
    <w:lsdException w:qFormat="1" w:unhideWhenUsed="0" w:uiPriority="0" w:semiHidden="0"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qFormat="1" w:unhideWhenUsed="0" w:uiPriority="0" w:semiHidden="0" w:name="Table Elegant"/>
    <w:lsdException w:qFormat="1" w:unhideWhenUsed="0" w:uiPriority="0" w:semiHidden="0"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0" w:semiHidden="0" w:name="Table Grid"/>
    <w:lsdException w:qFormat="1" w:unhideWhenUsed="0" w:uiPriority="0" w:semiHidden="0" w:name="Table Theme"/>
    <w:lsdException w:qFormat="1" w:unhideWhenUsed="0" w:uiPriority="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adjustRightInd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300"/>
    <w:autoRedefine/>
    <w:qFormat/>
    <w:uiPriority w:val="0"/>
    <w:pPr>
      <w:keepNext/>
      <w:keepLines/>
      <w:tabs>
        <w:tab w:val="left" w:pos="432"/>
      </w:tabs>
      <w:spacing w:before="340" w:after="330" w:line="578" w:lineRule="auto"/>
      <w:ind w:left="432" w:hanging="432"/>
      <w:outlineLvl w:val="0"/>
    </w:pPr>
    <w:rPr>
      <w:b/>
      <w:bCs/>
      <w:kern w:val="44"/>
      <w:sz w:val="44"/>
      <w:szCs w:val="44"/>
    </w:rPr>
  </w:style>
  <w:style w:type="paragraph" w:styleId="4">
    <w:name w:val="heading 2"/>
    <w:basedOn w:val="1"/>
    <w:next w:val="1"/>
    <w:autoRedefine/>
    <w:qFormat/>
    <w:uiPriority w:val="0"/>
    <w:pPr>
      <w:keepNext/>
      <w:keepLines/>
      <w:tabs>
        <w:tab w:val="left" w:pos="432"/>
      </w:tabs>
      <w:adjustRightInd/>
      <w:spacing w:line="360" w:lineRule="auto"/>
      <w:ind w:left="432" w:hanging="432"/>
      <w:jc w:val="left"/>
      <w:outlineLvl w:val="1"/>
    </w:pPr>
    <w:rPr>
      <w:rFonts w:ascii="仿宋_GB2312" w:hAnsi="仿宋" w:eastAsia="仿宋_GB2312"/>
      <w:b/>
      <w:bCs/>
      <w:sz w:val="32"/>
      <w:szCs w:val="32"/>
      <w:lang w:val="zh-CN"/>
    </w:rPr>
  </w:style>
  <w:style w:type="paragraph" w:styleId="5">
    <w:name w:val="heading 3"/>
    <w:basedOn w:val="1"/>
    <w:next w:val="6"/>
    <w:link w:val="984"/>
    <w:autoRedefine/>
    <w:qFormat/>
    <w:uiPriority w:val="0"/>
    <w:pPr>
      <w:keepNext/>
      <w:keepLines/>
      <w:tabs>
        <w:tab w:val="left" w:pos="900"/>
      </w:tabs>
      <w:spacing w:before="260" w:after="260" w:line="416" w:lineRule="auto"/>
      <w:ind w:left="900" w:hanging="720"/>
      <w:outlineLvl w:val="2"/>
    </w:pPr>
    <w:rPr>
      <w:b/>
      <w:bCs/>
      <w:sz w:val="32"/>
      <w:szCs w:val="32"/>
    </w:rPr>
  </w:style>
  <w:style w:type="paragraph" w:styleId="7">
    <w:name w:val="heading 4"/>
    <w:basedOn w:val="1"/>
    <w:next w:val="1"/>
    <w:link w:val="344"/>
    <w:autoRedefine/>
    <w:qFormat/>
    <w:uiPriority w:val="0"/>
    <w:pPr>
      <w:keepNext/>
      <w:keepLines/>
      <w:tabs>
        <w:tab w:val="left" w:pos="864"/>
      </w:tabs>
      <w:spacing w:before="280" w:after="290" w:line="376" w:lineRule="auto"/>
      <w:ind w:left="864" w:hanging="864"/>
      <w:outlineLvl w:val="3"/>
    </w:pPr>
    <w:rPr>
      <w:rFonts w:ascii="Arial" w:hAnsi="Arial" w:eastAsia="黑体"/>
      <w:b/>
      <w:bCs/>
      <w:sz w:val="28"/>
      <w:szCs w:val="28"/>
      <w:lang w:val="zh-CN"/>
    </w:rPr>
  </w:style>
  <w:style w:type="paragraph" w:styleId="8">
    <w:name w:val="heading 5"/>
    <w:basedOn w:val="1"/>
    <w:next w:val="1"/>
    <w:link w:val="310"/>
    <w:autoRedefine/>
    <w:qFormat/>
    <w:uiPriority w:val="9"/>
    <w:pPr>
      <w:keepNext/>
      <w:keepLines/>
      <w:tabs>
        <w:tab w:val="left" w:pos="1008"/>
      </w:tabs>
      <w:spacing w:before="280" w:after="290" w:line="376" w:lineRule="auto"/>
      <w:ind w:left="1008" w:hanging="1008"/>
      <w:outlineLvl w:val="4"/>
    </w:pPr>
    <w:rPr>
      <w:b/>
      <w:bCs/>
      <w:sz w:val="28"/>
      <w:szCs w:val="28"/>
    </w:rPr>
  </w:style>
  <w:style w:type="paragraph" w:styleId="9">
    <w:name w:val="heading 6"/>
    <w:basedOn w:val="1"/>
    <w:next w:val="1"/>
    <w:link w:val="164"/>
    <w:autoRedefine/>
    <w:qFormat/>
    <w:uiPriority w:val="0"/>
    <w:pPr>
      <w:keepNext/>
      <w:keepLines/>
      <w:tabs>
        <w:tab w:val="left" w:pos="1152"/>
      </w:tabs>
      <w:spacing w:before="240" w:after="64" w:line="320" w:lineRule="auto"/>
      <w:ind w:left="1152" w:hanging="1152"/>
      <w:outlineLvl w:val="5"/>
    </w:pPr>
    <w:rPr>
      <w:rFonts w:ascii="Arial" w:hAnsi="Arial" w:eastAsia="黑体"/>
      <w:b/>
      <w:bCs/>
      <w:sz w:val="24"/>
    </w:rPr>
  </w:style>
  <w:style w:type="paragraph" w:styleId="10">
    <w:name w:val="heading 7"/>
    <w:basedOn w:val="1"/>
    <w:next w:val="1"/>
    <w:link w:val="324"/>
    <w:autoRedefine/>
    <w:qFormat/>
    <w:uiPriority w:val="0"/>
    <w:pPr>
      <w:keepNext/>
      <w:keepLines/>
      <w:tabs>
        <w:tab w:val="left" w:pos="1296"/>
      </w:tabs>
      <w:spacing w:before="240" w:after="64" w:line="320" w:lineRule="auto"/>
      <w:ind w:left="1296" w:hanging="1296"/>
      <w:outlineLvl w:val="6"/>
    </w:pPr>
    <w:rPr>
      <w:b/>
      <w:bCs/>
      <w:sz w:val="24"/>
    </w:rPr>
  </w:style>
  <w:style w:type="paragraph" w:styleId="11">
    <w:name w:val="heading 8"/>
    <w:basedOn w:val="1"/>
    <w:next w:val="1"/>
    <w:link w:val="375"/>
    <w:autoRedefine/>
    <w:qFormat/>
    <w:uiPriority w:val="9"/>
    <w:pPr>
      <w:keepNext/>
      <w:keepLines/>
      <w:tabs>
        <w:tab w:val="left" w:pos="1440"/>
      </w:tabs>
      <w:spacing w:before="240" w:after="64" w:line="320" w:lineRule="auto"/>
      <w:ind w:left="1440" w:hanging="1440"/>
      <w:outlineLvl w:val="7"/>
    </w:pPr>
    <w:rPr>
      <w:rFonts w:ascii="Arial" w:hAnsi="Arial" w:eastAsia="黑体"/>
      <w:sz w:val="24"/>
    </w:rPr>
  </w:style>
  <w:style w:type="paragraph" w:styleId="12">
    <w:name w:val="heading 9"/>
    <w:basedOn w:val="1"/>
    <w:next w:val="1"/>
    <w:link w:val="199"/>
    <w:autoRedefine/>
    <w:qFormat/>
    <w:uiPriority w:val="0"/>
    <w:pPr>
      <w:keepNext/>
      <w:keepLines/>
      <w:tabs>
        <w:tab w:val="left" w:pos="1584"/>
      </w:tabs>
      <w:spacing w:before="240" w:after="64" w:line="320" w:lineRule="auto"/>
      <w:ind w:left="1584" w:hanging="1584"/>
      <w:outlineLvl w:val="8"/>
    </w:pPr>
    <w:rPr>
      <w:rFonts w:ascii="Arial" w:hAnsi="Arial" w:eastAsia="黑体"/>
      <w:szCs w:val="21"/>
    </w:rPr>
  </w:style>
  <w:style w:type="character" w:default="1" w:styleId="87">
    <w:name w:val="Default Paragraph Font"/>
    <w:autoRedefine/>
    <w:semiHidden/>
    <w:unhideWhenUsed/>
    <w:qFormat/>
    <w:uiPriority w:val="1"/>
  </w:style>
  <w:style w:type="table" w:default="1" w:styleId="80">
    <w:name w:val="Normal Table"/>
    <w:autoRedefine/>
    <w:semiHidden/>
    <w:unhideWhenUsed/>
    <w:qFormat/>
    <w:uiPriority w:val="99"/>
    <w:tblPr>
      <w:tblCellMar>
        <w:top w:w="0" w:type="dxa"/>
        <w:left w:w="108" w:type="dxa"/>
        <w:bottom w:w="0" w:type="dxa"/>
        <w:right w:w="108" w:type="dxa"/>
      </w:tblCellMar>
    </w:tblPr>
  </w:style>
  <w:style w:type="paragraph" w:styleId="2">
    <w:name w:val="macro"/>
    <w:link w:val="983"/>
    <w:autoRedefine/>
    <w:qFormat/>
    <w:uiPriority w:val="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eastAsia="宋体" w:cs="Courier New"/>
      <w:kern w:val="2"/>
      <w:sz w:val="24"/>
      <w:szCs w:val="24"/>
      <w:lang w:val="en-US" w:eastAsia="zh-CN" w:bidi="ar-SA"/>
    </w:rPr>
  </w:style>
  <w:style w:type="paragraph" w:styleId="6">
    <w:name w:val="Normal Indent"/>
    <w:basedOn w:val="1"/>
    <w:next w:val="1"/>
    <w:link w:val="210"/>
    <w:autoRedefine/>
    <w:qFormat/>
    <w:uiPriority w:val="0"/>
    <w:pPr>
      <w:widowControl/>
      <w:snapToGrid w:val="0"/>
      <w:spacing w:line="480" w:lineRule="exact"/>
      <w:ind w:firstLine="567"/>
    </w:pPr>
    <w:rPr>
      <w:rFonts w:ascii="宋体"/>
      <w:snapToGrid w:val="0"/>
      <w:color w:val="000000"/>
      <w:kern w:val="28"/>
      <w:sz w:val="28"/>
      <w:szCs w:val="20"/>
    </w:rPr>
  </w:style>
  <w:style w:type="paragraph" w:styleId="13">
    <w:name w:val="toc 7"/>
    <w:basedOn w:val="1"/>
    <w:next w:val="1"/>
    <w:autoRedefine/>
    <w:qFormat/>
    <w:uiPriority w:val="0"/>
    <w:pPr>
      <w:ind w:left="2520" w:leftChars="1200"/>
    </w:pPr>
  </w:style>
  <w:style w:type="paragraph" w:styleId="14">
    <w:name w:val="List Number 2"/>
    <w:basedOn w:val="1"/>
    <w:autoRedefine/>
    <w:qFormat/>
    <w:uiPriority w:val="0"/>
    <w:pPr>
      <w:widowControl/>
      <w:tabs>
        <w:tab w:val="left" w:pos="1697"/>
      </w:tabs>
      <w:adjustRightInd/>
      <w:spacing w:afterLines="50"/>
      <w:ind w:left="1697" w:hanging="420"/>
      <w:jc w:val="left"/>
    </w:pPr>
    <w:rPr>
      <w:kern w:val="0"/>
      <w:sz w:val="24"/>
      <w:szCs w:val="20"/>
    </w:rPr>
  </w:style>
  <w:style w:type="paragraph" w:styleId="15">
    <w:name w:val="table of authorities"/>
    <w:basedOn w:val="1"/>
    <w:next w:val="1"/>
    <w:autoRedefine/>
    <w:qFormat/>
    <w:uiPriority w:val="0"/>
    <w:pPr>
      <w:adjustRightInd/>
      <w:spacing w:line="360" w:lineRule="auto"/>
      <w:ind w:left="420" w:leftChars="200"/>
    </w:pPr>
    <w:rPr>
      <w:rFonts w:ascii="等线" w:hAnsi="等线" w:eastAsia="楷体_GB2312"/>
      <w:sz w:val="24"/>
    </w:rPr>
  </w:style>
  <w:style w:type="paragraph" w:styleId="16">
    <w:name w:val="List Bullet 4"/>
    <w:basedOn w:val="1"/>
    <w:autoRedefine/>
    <w:unhideWhenUsed/>
    <w:qFormat/>
    <w:uiPriority w:val="0"/>
    <w:pPr>
      <w:widowControl/>
      <w:tabs>
        <w:tab w:val="left" w:pos="432"/>
      </w:tabs>
      <w:adjustRightInd/>
      <w:spacing w:before="40" w:after="160"/>
      <w:ind w:left="432" w:hanging="432"/>
      <w:contextualSpacing/>
      <w:jc w:val="left"/>
    </w:pPr>
    <w:rPr>
      <w:rFonts w:ascii="Cambria" w:hAnsi="Cambria" w:eastAsia="微软雅黑"/>
      <w:color w:val="595959"/>
      <w:kern w:val="20"/>
      <w:szCs w:val="20"/>
      <w:lang w:val="zh-CN"/>
    </w:rPr>
  </w:style>
  <w:style w:type="paragraph" w:styleId="17">
    <w:name w:val="index 8"/>
    <w:basedOn w:val="1"/>
    <w:next w:val="1"/>
    <w:autoRedefine/>
    <w:qFormat/>
    <w:uiPriority w:val="0"/>
    <w:pPr>
      <w:adjustRightInd/>
      <w:spacing w:line="360" w:lineRule="auto"/>
      <w:ind w:left="1400" w:leftChars="1400"/>
    </w:pPr>
    <w:rPr>
      <w:rFonts w:ascii="等线" w:hAnsi="等线" w:eastAsia="楷体_GB2312"/>
      <w:sz w:val="24"/>
    </w:rPr>
  </w:style>
  <w:style w:type="paragraph" w:styleId="18">
    <w:name w:val="E-mail Signature"/>
    <w:basedOn w:val="1"/>
    <w:link w:val="985"/>
    <w:autoRedefine/>
    <w:qFormat/>
    <w:uiPriority w:val="0"/>
    <w:pPr>
      <w:adjustRightInd/>
      <w:spacing w:line="360" w:lineRule="auto"/>
    </w:pPr>
    <w:rPr>
      <w:rFonts w:eastAsia="楷体_GB2312"/>
      <w:sz w:val="24"/>
    </w:rPr>
  </w:style>
  <w:style w:type="paragraph" w:styleId="19">
    <w:name w:val="List Number"/>
    <w:basedOn w:val="1"/>
    <w:autoRedefine/>
    <w:qFormat/>
    <w:uiPriority w:val="0"/>
    <w:pPr>
      <w:widowControl/>
      <w:tabs>
        <w:tab w:val="left" w:pos="390"/>
        <w:tab w:val="left" w:pos="454"/>
      </w:tabs>
      <w:adjustRightInd/>
      <w:spacing w:afterLines="50"/>
      <w:ind w:left="454" w:hanging="284"/>
      <w:jc w:val="left"/>
    </w:pPr>
    <w:rPr>
      <w:kern w:val="0"/>
      <w:sz w:val="24"/>
      <w:szCs w:val="20"/>
    </w:rPr>
  </w:style>
  <w:style w:type="paragraph" w:styleId="20">
    <w:name w:val="caption"/>
    <w:basedOn w:val="1"/>
    <w:next w:val="1"/>
    <w:link w:val="246"/>
    <w:autoRedefine/>
    <w:qFormat/>
    <w:uiPriority w:val="0"/>
    <w:rPr>
      <w:b/>
      <w:sz w:val="28"/>
      <w:szCs w:val="20"/>
    </w:rPr>
  </w:style>
  <w:style w:type="paragraph" w:styleId="21">
    <w:name w:val="index 5"/>
    <w:basedOn w:val="1"/>
    <w:next w:val="1"/>
    <w:autoRedefine/>
    <w:qFormat/>
    <w:uiPriority w:val="0"/>
    <w:pPr>
      <w:adjustRightInd/>
      <w:ind w:left="800" w:leftChars="800" w:firstLine="200" w:firstLineChars="200"/>
    </w:pPr>
  </w:style>
  <w:style w:type="paragraph" w:styleId="22">
    <w:name w:val="List Bullet"/>
    <w:basedOn w:val="1"/>
    <w:autoRedefine/>
    <w:qFormat/>
    <w:uiPriority w:val="0"/>
    <w:pPr>
      <w:tabs>
        <w:tab w:val="left" w:pos="360"/>
      </w:tabs>
      <w:autoSpaceDE w:val="0"/>
      <w:autoSpaceDN w:val="0"/>
      <w:spacing w:before="100" w:beforeAutospacing="1" w:after="100" w:afterAutospacing="1" w:line="360" w:lineRule="auto"/>
      <w:ind w:left="360" w:hanging="360" w:firstLineChars="200"/>
    </w:pPr>
    <w:rPr>
      <w:rFonts w:ascii="等线" w:hAnsi="等线" w:eastAsia="楷体_GB2312"/>
      <w:color w:val="000000"/>
      <w:sz w:val="24"/>
      <w:szCs w:val="20"/>
    </w:rPr>
  </w:style>
  <w:style w:type="paragraph" w:styleId="23">
    <w:name w:val="Document Map"/>
    <w:basedOn w:val="1"/>
    <w:link w:val="219"/>
    <w:autoRedefine/>
    <w:qFormat/>
    <w:uiPriority w:val="0"/>
    <w:pPr>
      <w:shd w:val="clear" w:color="auto" w:fill="000080"/>
    </w:pPr>
  </w:style>
  <w:style w:type="paragraph" w:styleId="24">
    <w:name w:val="toa heading"/>
    <w:basedOn w:val="1"/>
    <w:next w:val="1"/>
    <w:autoRedefine/>
    <w:qFormat/>
    <w:uiPriority w:val="0"/>
    <w:pPr>
      <w:adjustRightInd/>
      <w:spacing w:before="120" w:line="360" w:lineRule="auto"/>
    </w:pPr>
    <w:rPr>
      <w:rFonts w:ascii="Arial" w:hAnsi="Arial" w:eastAsia="楷体_GB2312" w:cs="Arial"/>
      <w:sz w:val="24"/>
    </w:rPr>
  </w:style>
  <w:style w:type="paragraph" w:styleId="25">
    <w:name w:val="annotation text"/>
    <w:basedOn w:val="1"/>
    <w:link w:val="361"/>
    <w:autoRedefine/>
    <w:qFormat/>
    <w:uiPriority w:val="99"/>
    <w:pPr>
      <w:jc w:val="left"/>
    </w:pPr>
  </w:style>
  <w:style w:type="paragraph" w:styleId="26">
    <w:name w:val="index 6"/>
    <w:basedOn w:val="1"/>
    <w:next w:val="1"/>
    <w:autoRedefine/>
    <w:qFormat/>
    <w:uiPriority w:val="0"/>
    <w:pPr>
      <w:adjustRightInd/>
      <w:spacing w:line="360" w:lineRule="auto"/>
      <w:ind w:left="1000" w:leftChars="1000"/>
    </w:pPr>
    <w:rPr>
      <w:rFonts w:ascii="等线" w:hAnsi="等线" w:eastAsia="楷体_GB2312"/>
      <w:sz w:val="24"/>
    </w:rPr>
  </w:style>
  <w:style w:type="paragraph" w:styleId="27">
    <w:name w:val="Salutation"/>
    <w:basedOn w:val="1"/>
    <w:next w:val="1"/>
    <w:link w:val="315"/>
    <w:autoRedefine/>
    <w:qFormat/>
    <w:uiPriority w:val="0"/>
    <w:rPr>
      <w:rFonts w:ascii="仿宋_GB2312" w:eastAsia="仿宋_GB2312"/>
      <w:sz w:val="28"/>
      <w:szCs w:val="20"/>
    </w:rPr>
  </w:style>
  <w:style w:type="paragraph" w:styleId="28">
    <w:name w:val="Body Text 3"/>
    <w:basedOn w:val="1"/>
    <w:link w:val="347"/>
    <w:autoRedefine/>
    <w:qFormat/>
    <w:uiPriority w:val="0"/>
    <w:pPr>
      <w:jc w:val="center"/>
    </w:pPr>
    <w:rPr>
      <w:szCs w:val="20"/>
    </w:rPr>
  </w:style>
  <w:style w:type="paragraph" w:styleId="29">
    <w:name w:val="List Bullet 3"/>
    <w:basedOn w:val="1"/>
    <w:autoRedefine/>
    <w:unhideWhenUsed/>
    <w:qFormat/>
    <w:uiPriority w:val="0"/>
    <w:pPr>
      <w:snapToGrid w:val="0"/>
      <w:spacing w:line="360" w:lineRule="auto"/>
      <w:ind w:left="360" w:right="238" w:hanging="360"/>
      <w:contextualSpacing/>
    </w:pPr>
    <w:rPr>
      <w:sz w:val="24"/>
    </w:rPr>
  </w:style>
  <w:style w:type="paragraph" w:styleId="30">
    <w:name w:val="Body Text"/>
    <w:basedOn w:val="1"/>
    <w:next w:val="1"/>
    <w:link w:val="447"/>
    <w:autoRedefine/>
    <w:qFormat/>
    <w:uiPriority w:val="99"/>
    <w:pPr>
      <w:autoSpaceDE w:val="0"/>
      <w:autoSpaceDN w:val="0"/>
      <w:spacing w:line="360" w:lineRule="auto"/>
    </w:pPr>
    <w:rPr>
      <w:rFonts w:ascii="宋体" w:hAnsi="Arial" w:cs="Arial"/>
      <w:snapToGrid w:val="0"/>
      <w:sz w:val="24"/>
      <w:szCs w:val="21"/>
      <w:lang w:val="zh-CN"/>
    </w:rPr>
  </w:style>
  <w:style w:type="paragraph" w:styleId="31">
    <w:name w:val="Body Text Indent"/>
    <w:basedOn w:val="1"/>
    <w:next w:val="1"/>
    <w:link w:val="282"/>
    <w:autoRedefine/>
    <w:qFormat/>
    <w:uiPriority w:val="0"/>
    <w:pPr>
      <w:spacing w:line="480" w:lineRule="exact"/>
      <w:ind w:firstLine="480" w:firstLineChars="200"/>
    </w:pPr>
    <w:rPr>
      <w:rFonts w:ascii="宋体" w:hAnsi="宋体"/>
      <w:sz w:val="24"/>
    </w:rPr>
  </w:style>
  <w:style w:type="paragraph" w:styleId="32">
    <w:name w:val="List Number 3"/>
    <w:basedOn w:val="1"/>
    <w:autoRedefine/>
    <w:qFormat/>
    <w:uiPriority w:val="0"/>
    <w:pPr>
      <w:widowControl/>
      <w:tabs>
        <w:tab w:val="left" w:pos="360"/>
        <w:tab w:val="left" w:pos="482"/>
      </w:tabs>
      <w:adjustRightInd/>
      <w:spacing w:afterLines="50"/>
      <w:ind w:left="482" w:hanging="340"/>
      <w:jc w:val="left"/>
    </w:pPr>
    <w:rPr>
      <w:kern w:val="0"/>
      <w:sz w:val="24"/>
      <w:szCs w:val="20"/>
    </w:rPr>
  </w:style>
  <w:style w:type="paragraph" w:styleId="33">
    <w:name w:val="List 2"/>
    <w:basedOn w:val="1"/>
    <w:autoRedefine/>
    <w:qFormat/>
    <w:uiPriority w:val="0"/>
    <w:pPr>
      <w:adjustRightInd/>
      <w:spacing w:line="360" w:lineRule="auto"/>
      <w:ind w:left="100" w:leftChars="200" w:hanging="200" w:hangingChars="200"/>
    </w:pPr>
    <w:rPr>
      <w:rFonts w:eastAsia="微软雅黑"/>
    </w:rPr>
  </w:style>
  <w:style w:type="paragraph" w:styleId="34">
    <w:name w:val="List Continue"/>
    <w:basedOn w:val="1"/>
    <w:autoRedefine/>
    <w:qFormat/>
    <w:uiPriority w:val="0"/>
    <w:pPr>
      <w:adjustRightInd/>
      <w:spacing w:after="120" w:line="360" w:lineRule="auto"/>
      <w:ind w:left="420" w:leftChars="200"/>
    </w:pPr>
    <w:rPr>
      <w:rFonts w:ascii="等线" w:hAnsi="等线" w:eastAsia="楷体_GB2312"/>
      <w:sz w:val="24"/>
    </w:rPr>
  </w:style>
  <w:style w:type="paragraph" w:styleId="35">
    <w:name w:val="Block Text"/>
    <w:basedOn w:val="1"/>
    <w:autoRedefine/>
    <w:qFormat/>
    <w:uiPriority w:val="0"/>
    <w:pPr>
      <w:ind w:left="-359" w:leftChars="-171" w:right="-244" w:rightChars="-244" w:firstLine="501" w:firstLineChars="239"/>
    </w:pPr>
    <w:rPr>
      <w:rFonts w:ascii="仿宋_GB2312" w:eastAsia="仿宋_GB2312"/>
      <w:sz w:val="30"/>
      <w:szCs w:val="20"/>
    </w:rPr>
  </w:style>
  <w:style w:type="paragraph" w:styleId="36">
    <w:name w:val="List Bullet 2"/>
    <w:basedOn w:val="1"/>
    <w:autoRedefine/>
    <w:qFormat/>
    <w:uiPriority w:val="0"/>
    <w:pPr>
      <w:autoSpaceDE w:val="0"/>
      <w:autoSpaceDN w:val="0"/>
      <w:ind w:left="420"/>
      <w:jc w:val="left"/>
    </w:pPr>
    <w:rPr>
      <w:rFonts w:ascii="宋体" w:hAnsi="宋体"/>
      <w:color w:val="000000"/>
      <w:kern w:val="0"/>
      <w:sz w:val="24"/>
      <w:szCs w:val="20"/>
    </w:rPr>
  </w:style>
  <w:style w:type="paragraph" w:styleId="37">
    <w:name w:val="HTML Address"/>
    <w:basedOn w:val="1"/>
    <w:link w:val="236"/>
    <w:autoRedefine/>
    <w:qFormat/>
    <w:uiPriority w:val="0"/>
    <w:pPr>
      <w:widowControl/>
      <w:adjustRightInd/>
      <w:ind w:firstLine="200" w:firstLineChars="200"/>
      <w:jc w:val="left"/>
    </w:pPr>
    <w:rPr>
      <w:rFonts w:ascii="宋体" w:hAnsi="宋体"/>
      <w:i/>
      <w:iCs/>
      <w:kern w:val="0"/>
      <w:sz w:val="24"/>
    </w:rPr>
  </w:style>
  <w:style w:type="paragraph" w:styleId="38">
    <w:name w:val="index 4"/>
    <w:basedOn w:val="1"/>
    <w:next w:val="1"/>
    <w:autoRedefine/>
    <w:qFormat/>
    <w:uiPriority w:val="0"/>
    <w:pPr>
      <w:adjustRightInd/>
      <w:spacing w:line="360" w:lineRule="auto"/>
      <w:ind w:left="600" w:leftChars="600"/>
    </w:pPr>
    <w:rPr>
      <w:rFonts w:ascii="等线" w:hAnsi="等线" w:eastAsia="楷体_GB2312"/>
      <w:sz w:val="24"/>
    </w:rPr>
  </w:style>
  <w:style w:type="paragraph" w:styleId="39">
    <w:name w:val="toc 5"/>
    <w:basedOn w:val="1"/>
    <w:next w:val="1"/>
    <w:autoRedefine/>
    <w:qFormat/>
    <w:uiPriority w:val="0"/>
    <w:pPr>
      <w:ind w:left="1680" w:leftChars="800"/>
    </w:pPr>
  </w:style>
  <w:style w:type="paragraph" w:styleId="40">
    <w:name w:val="toc 3"/>
    <w:basedOn w:val="1"/>
    <w:next w:val="1"/>
    <w:autoRedefine/>
    <w:qFormat/>
    <w:uiPriority w:val="39"/>
    <w:pPr>
      <w:tabs>
        <w:tab w:val="right" w:leader="dot" w:pos="8268"/>
      </w:tabs>
      <w:spacing w:line="460" w:lineRule="exact"/>
      <w:ind w:left="840" w:leftChars="400" w:firstLine="482"/>
    </w:pPr>
    <w:rPr>
      <w:rFonts w:ascii="宋体" w:hAnsi="宋体"/>
    </w:rPr>
  </w:style>
  <w:style w:type="paragraph" w:styleId="41">
    <w:name w:val="Plain Text"/>
    <w:basedOn w:val="1"/>
    <w:link w:val="142"/>
    <w:autoRedefine/>
    <w:qFormat/>
    <w:uiPriority w:val="0"/>
    <w:rPr>
      <w:rFonts w:ascii="宋体" w:hAnsi="Courier New" w:cs="Arial"/>
      <w:snapToGrid w:val="0"/>
      <w:szCs w:val="21"/>
    </w:rPr>
  </w:style>
  <w:style w:type="paragraph" w:styleId="42">
    <w:name w:val="List Bullet 5"/>
    <w:basedOn w:val="1"/>
    <w:autoRedefine/>
    <w:qFormat/>
    <w:uiPriority w:val="0"/>
    <w:pPr>
      <w:tabs>
        <w:tab w:val="left" w:pos="2040"/>
      </w:tabs>
      <w:adjustRightInd/>
      <w:spacing w:line="360" w:lineRule="auto"/>
      <w:ind w:left="2040" w:leftChars="800" w:hanging="360" w:hangingChars="200"/>
    </w:pPr>
    <w:rPr>
      <w:rFonts w:ascii="等线" w:hAnsi="等线" w:eastAsia="楷体_GB2312"/>
      <w:sz w:val="24"/>
    </w:rPr>
  </w:style>
  <w:style w:type="paragraph" w:styleId="43">
    <w:name w:val="List Number 4"/>
    <w:basedOn w:val="1"/>
    <w:autoRedefine/>
    <w:qFormat/>
    <w:uiPriority w:val="0"/>
    <w:pPr>
      <w:tabs>
        <w:tab w:val="left" w:pos="840"/>
      </w:tabs>
      <w:autoSpaceDE w:val="0"/>
      <w:autoSpaceDN w:val="0"/>
      <w:spacing w:line="360" w:lineRule="atLeast"/>
      <w:ind w:left="840" w:hanging="420"/>
    </w:pPr>
    <w:rPr>
      <w:kern w:val="0"/>
      <w:sz w:val="24"/>
    </w:rPr>
  </w:style>
  <w:style w:type="paragraph" w:styleId="44">
    <w:name w:val="toc 8"/>
    <w:basedOn w:val="1"/>
    <w:next w:val="1"/>
    <w:autoRedefine/>
    <w:qFormat/>
    <w:uiPriority w:val="0"/>
    <w:pPr>
      <w:ind w:left="2940" w:leftChars="1400"/>
    </w:pPr>
  </w:style>
  <w:style w:type="paragraph" w:styleId="45">
    <w:name w:val="index 3"/>
    <w:basedOn w:val="1"/>
    <w:next w:val="1"/>
    <w:autoRedefine/>
    <w:qFormat/>
    <w:uiPriority w:val="0"/>
    <w:pPr>
      <w:adjustRightInd/>
      <w:spacing w:line="360" w:lineRule="auto"/>
      <w:ind w:left="400" w:leftChars="400"/>
    </w:pPr>
    <w:rPr>
      <w:rFonts w:ascii="等线" w:hAnsi="等线" w:eastAsia="楷体_GB2312"/>
      <w:sz w:val="24"/>
    </w:rPr>
  </w:style>
  <w:style w:type="paragraph" w:styleId="46">
    <w:name w:val="Date"/>
    <w:basedOn w:val="1"/>
    <w:next w:val="1"/>
    <w:link w:val="198"/>
    <w:autoRedefine/>
    <w:qFormat/>
    <w:uiPriority w:val="0"/>
    <w:pPr>
      <w:ind w:left="100" w:leftChars="2500"/>
    </w:pPr>
    <w:rPr>
      <w:rFonts w:ascii="宋体"/>
      <w:sz w:val="24"/>
      <w:szCs w:val="21"/>
      <w:lang w:val="zh-CN"/>
    </w:rPr>
  </w:style>
  <w:style w:type="paragraph" w:styleId="47">
    <w:name w:val="Body Text Indent 2"/>
    <w:basedOn w:val="1"/>
    <w:link w:val="325"/>
    <w:autoRedefine/>
    <w:qFormat/>
    <w:uiPriority w:val="0"/>
    <w:pPr>
      <w:spacing w:line="360" w:lineRule="auto"/>
      <w:ind w:firstLine="601"/>
      <w:textAlignment w:val="baseline"/>
    </w:pPr>
    <w:rPr>
      <w:rFonts w:ascii="宋体"/>
      <w:kern w:val="0"/>
      <w:sz w:val="28"/>
      <w:szCs w:val="20"/>
    </w:rPr>
  </w:style>
  <w:style w:type="paragraph" w:styleId="48">
    <w:name w:val="endnote text"/>
    <w:basedOn w:val="1"/>
    <w:link w:val="948"/>
    <w:autoRedefine/>
    <w:qFormat/>
    <w:uiPriority w:val="0"/>
    <w:rPr>
      <w:lang w:val="zh-CN"/>
    </w:rPr>
  </w:style>
  <w:style w:type="paragraph" w:styleId="49">
    <w:name w:val="List Continue 5"/>
    <w:basedOn w:val="1"/>
    <w:autoRedefine/>
    <w:qFormat/>
    <w:uiPriority w:val="0"/>
    <w:pPr>
      <w:adjustRightInd/>
      <w:spacing w:after="120" w:line="360" w:lineRule="auto"/>
      <w:ind w:left="2100" w:leftChars="1000"/>
    </w:pPr>
    <w:rPr>
      <w:rFonts w:ascii="等线" w:hAnsi="等线" w:eastAsia="楷体_GB2312"/>
      <w:sz w:val="24"/>
    </w:rPr>
  </w:style>
  <w:style w:type="paragraph" w:styleId="50">
    <w:name w:val="Balloon Text"/>
    <w:basedOn w:val="1"/>
    <w:link w:val="205"/>
    <w:autoRedefine/>
    <w:qFormat/>
    <w:uiPriority w:val="99"/>
    <w:rPr>
      <w:sz w:val="18"/>
      <w:szCs w:val="18"/>
    </w:rPr>
  </w:style>
  <w:style w:type="paragraph" w:styleId="51">
    <w:name w:val="footer"/>
    <w:basedOn w:val="1"/>
    <w:link w:val="400"/>
    <w:autoRedefine/>
    <w:qFormat/>
    <w:uiPriority w:val="99"/>
    <w:pPr>
      <w:tabs>
        <w:tab w:val="center" w:pos="4153"/>
        <w:tab w:val="right" w:pos="8306"/>
      </w:tabs>
      <w:snapToGrid w:val="0"/>
      <w:jc w:val="left"/>
    </w:pPr>
    <w:rPr>
      <w:sz w:val="18"/>
      <w:szCs w:val="18"/>
    </w:rPr>
  </w:style>
  <w:style w:type="paragraph" w:styleId="52">
    <w:name w:val="header"/>
    <w:basedOn w:val="1"/>
    <w:link w:val="409"/>
    <w:autoRedefine/>
    <w:qFormat/>
    <w:uiPriority w:val="99"/>
    <w:pPr>
      <w:pBdr>
        <w:bottom w:val="single" w:color="auto" w:sz="6" w:space="1"/>
      </w:pBdr>
      <w:tabs>
        <w:tab w:val="center" w:pos="4153"/>
        <w:tab w:val="right" w:pos="8306"/>
      </w:tabs>
      <w:snapToGrid w:val="0"/>
      <w:jc w:val="center"/>
    </w:pPr>
    <w:rPr>
      <w:sz w:val="18"/>
      <w:szCs w:val="18"/>
    </w:rPr>
  </w:style>
  <w:style w:type="paragraph" w:styleId="53">
    <w:name w:val="Signature"/>
    <w:basedOn w:val="1"/>
    <w:link w:val="362"/>
    <w:autoRedefine/>
    <w:qFormat/>
    <w:uiPriority w:val="0"/>
    <w:pPr>
      <w:spacing w:after="600" w:line="312" w:lineRule="atLeast"/>
      <w:jc w:val="center"/>
      <w:textAlignment w:val="baseline"/>
    </w:pPr>
    <w:rPr>
      <w:rFonts w:eastAsia="仿宋_GB2312"/>
      <w:kern w:val="0"/>
      <w:sz w:val="24"/>
      <w:szCs w:val="20"/>
    </w:rPr>
  </w:style>
  <w:style w:type="paragraph" w:styleId="54">
    <w:name w:val="toc 1"/>
    <w:basedOn w:val="1"/>
    <w:next w:val="1"/>
    <w:autoRedefine/>
    <w:qFormat/>
    <w:uiPriority w:val="39"/>
  </w:style>
  <w:style w:type="paragraph" w:styleId="55">
    <w:name w:val="List Continue 4"/>
    <w:basedOn w:val="1"/>
    <w:autoRedefine/>
    <w:qFormat/>
    <w:uiPriority w:val="0"/>
    <w:pPr>
      <w:adjustRightInd/>
      <w:spacing w:after="120" w:line="360" w:lineRule="auto"/>
      <w:ind w:left="1680" w:leftChars="800"/>
    </w:pPr>
    <w:rPr>
      <w:rFonts w:ascii="等线" w:hAnsi="等线" w:eastAsia="楷体_GB2312"/>
      <w:sz w:val="24"/>
    </w:rPr>
  </w:style>
  <w:style w:type="paragraph" w:styleId="56">
    <w:name w:val="toc 4"/>
    <w:basedOn w:val="1"/>
    <w:next w:val="1"/>
    <w:autoRedefine/>
    <w:qFormat/>
    <w:uiPriority w:val="0"/>
    <w:pPr>
      <w:ind w:left="1260" w:leftChars="600"/>
    </w:pPr>
  </w:style>
  <w:style w:type="paragraph" w:styleId="57">
    <w:name w:val="index heading"/>
    <w:basedOn w:val="1"/>
    <w:next w:val="58"/>
    <w:autoRedefine/>
    <w:qFormat/>
    <w:uiPriority w:val="0"/>
    <w:pPr>
      <w:adjustRightInd/>
      <w:ind w:firstLine="200" w:firstLineChars="200"/>
    </w:pPr>
  </w:style>
  <w:style w:type="paragraph" w:styleId="58">
    <w:name w:val="index 1"/>
    <w:basedOn w:val="1"/>
    <w:next w:val="1"/>
    <w:autoRedefine/>
    <w:qFormat/>
    <w:uiPriority w:val="0"/>
    <w:pPr>
      <w:adjustRightInd/>
      <w:spacing w:line="360" w:lineRule="auto"/>
      <w:ind w:firstLine="200" w:firstLineChars="200"/>
      <w:jc w:val="center"/>
    </w:pPr>
    <w:rPr>
      <w:sz w:val="24"/>
      <w:szCs w:val="20"/>
    </w:rPr>
  </w:style>
  <w:style w:type="paragraph" w:styleId="59">
    <w:name w:val="Subtitle"/>
    <w:link w:val="150"/>
    <w:autoRedefine/>
    <w:qFormat/>
    <w:uiPriority w:val="0"/>
    <w:pPr>
      <w:adjustRightInd w:val="0"/>
      <w:snapToGrid w:val="0"/>
      <w:spacing w:before="240" w:after="480"/>
      <w:jc w:val="center"/>
    </w:pPr>
    <w:rPr>
      <w:rFonts w:ascii="Arial" w:hAnsi="Arial" w:eastAsia="隶书" w:cs="Times New Roman"/>
      <w:b/>
      <w:bCs/>
      <w:kern w:val="28"/>
      <w:sz w:val="44"/>
      <w:szCs w:val="32"/>
      <w:lang w:val="en-US" w:eastAsia="zh-CN" w:bidi="ar-SA"/>
    </w:rPr>
  </w:style>
  <w:style w:type="paragraph" w:styleId="60">
    <w:name w:val="List Number 5"/>
    <w:basedOn w:val="1"/>
    <w:autoRedefine/>
    <w:qFormat/>
    <w:uiPriority w:val="0"/>
    <w:pPr>
      <w:tabs>
        <w:tab w:val="left" w:pos="902"/>
      </w:tabs>
      <w:adjustRightInd/>
      <w:spacing w:line="400" w:lineRule="exact"/>
      <w:ind w:left="902" w:hanging="420"/>
    </w:pPr>
    <w:rPr>
      <w:sz w:val="24"/>
      <w:szCs w:val="20"/>
    </w:rPr>
  </w:style>
  <w:style w:type="paragraph" w:styleId="61">
    <w:name w:val="List"/>
    <w:basedOn w:val="1"/>
    <w:autoRedefine/>
    <w:qFormat/>
    <w:uiPriority w:val="0"/>
    <w:pPr>
      <w:ind w:left="200" w:hanging="200" w:hangingChars="200"/>
    </w:pPr>
  </w:style>
  <w:style w:type="paragraph" w:styleId="62">
    <w:name w:val="footnote text"/>
    <w:basedOn w:val="6"/>
    <w:link w:val="327"/>
    <w:autoRedefine/>
    <w:qFormat/>
    <w:uiPriority w:val="0"/>
    <w:pPr>
      <w:adjustRightInd/>
      <w:snapToGrid/>
      <w:spacing w:before="60" w:after="60" w:line="300" w:lineRule="exact"/>
      <w:ind w:firstLine="0"/>
    </w:pPr>
    <w:rPr>
      <w:rFonts w:ascii="Calibri"/>
      <w:snapToGrid/>
      <w:color w:val="0000FF"/>
      <w:kern w:val="0"/>
      <w:sz w:val="21"/>
    </w:rPr>
  </w:style>
  <w:style w:type="paragraph" w:styleId="63">
    <w:name w:val="toc 6"/>
    <w:basedOn w:val="1"/>
    <w:next w:val="1"/>
    <w:autoRedefine/>
    <w:qFormat/>
    <w:uiPriority w:val="0"/>
    <w:pPr>
      <w:ind w:left="2100" w:leftChars="1000"/>
    </w:pPr>
  </w:style>
  <w:style w:type="paragraph" w:styleId="64">
    <w:name w:val="List 5"/>
    <w:basedOn w:val="1"/>
    <w:autoRedefine/>
    <w:qFormat/>
    <w:uiPriority w:val="0"/>
    <w:pPr>
      <w:adjustRightInd/>
      <w:ind w:left="100" w:leftChars="800" w:hanging="200" w:hangingChars="200"/>
    </w:pPr>
  </w:style>
  <w:style w:type="paragraph" w:styleId="65">
    <w:name w:val="Body Text Indent 3"/>
    <w:basedOn w:val="1"/>
    <w:link w:val="392"/>
    <w:autoRedefine/>
    <w:qFormat/>
    <w:uiPriority w:val="0"/>
    <w:pPr>
      <w:spacing w:line="360" w:lineRule="auto"/>
      <w:ind w:firstLine="420"/>
    </w:pPr>
    <w:rPr>
      <w:sz w:val="24"/>
      <w:szCs w:val="20"/>
    </w:rPr>
  </w:style>
  <w:style w:type="paragraph" w:styleId="66">
    <w:name w:val="index 7"/>
    <w:basedOn w:val="1"/>
    <w:next w:val="1"/>
    <w:autoRedefine/>
    <w:qFormat/>
    <w:uiPriority w:val="0"/>
    <w:pPr>
      <w:adjustRightInd/>
      <w:spacing w:line="360" w:lineRule="auto"/>
      <w:ind w:left="1200" w:leftChars="1200"/>
    </w:pPr>
    <w:rPr>
      <w:rFonts w:ascii="等线" w:hAnsi="等线" w:eastAsia="楷体_GB2312"/>
      <w:sz w:val="24"/>
    </w:rPr>
  </w:style>
  <w:style w:type="paragraph" w:styleId="67">
    <w:name w:val="index 9"/>
    <w:basedOn w:val="1"/>
    <w:next w:val="1"/>
    <w:autoRedefine/>
    <w:qFormat/>
    <w:uiPriority w:val="0"/>
    <w:pPr>
      <w:adjustRightInd/>
      <w:spacing w:line="360" w:lineRule="auto"/>
      <w:ind w:left="1600" w:leftChars="1600"/>
    </w:pPr>
    <w:rPr>
      <w:rFonts w:ascii="等线" w:hAnsi="等线" w:eastAsia="楷体_GB2312"/>
      <w:sz w:val="24"/>
    </w:rPr>
  </w:style>
  <w:style w:type="paragraph" w:styleId="68">
    <w:name w:val="table of figures"/>
    <w:basedOn w:val="1"/>
    <w:next w:val="1"/>
    <w:autoRedefine/>
    <w:qFormat/>
    <w:uiPriority w:val="0"/>
    <w:pPr>
      <w:adjustRightInd/>
      <w:ind w:left="560" w:hanging="560"/>
      <w:jc w:val="left"/>
    </w:pPr>
    <w:rPr>
      <w:rFonts w:ascii="Calibri" w:hAnsi="Calibri" w:eastAsia="??" w:cs="宋体"/>
      <w:smallCaps/>
      <w:sz w:val="20"/>
      <w:szCs w:val="28"/>
    </w:rPr>
  </w:style>
  <w:style w:type="paragraph" w:styleId="69">
    <w:name w:val="toc 2"/>
    <w:basedOn w:val="1"/>
    <w:next w:val="1"/>
    <w:autoRedefine/>
    <w:qFormat/>
    <w:uiPriority w:val="39"/>
    <w:pPr>
      <w:ind w:left="420" w:leftChars="200"/>
    </w:pPr>
  </w:style>
  <w:style w:type="paragraph" w:styleId="70">
    <w:name w:val="toc 9"/>
    <w:basedOn w:val="1"/>
    <w:next w:val="1"/>
    <w:autoRedefine/>
    <w:qFormat/>
    <w:uiPriority w:val="0"/>
    <w:pPr>
      <w:ind w:left="3360" w:leftChars="1600"/>
    </w:pPr>
  </w:style>
  <w:style w:type="paragraph" w:styleId="71">
    <w:name w:val="Body Text 2"/>
    <w:basedOn w:val="1"/>
    <w:link w:val="319"/>
    <w:autoRedefine/>
    <w:qFormat/>
    <w:uiPriority w:val="0"/>
    <w:pPr>
      <w:spacing w:after="120" w:line="480" w:lineRule="auto"/>
    </w:pPr>
  </w:style>
  <w:style w:type="paragraph" w:styleId="72">
    <w:name w:val="List Continue 2"/>
    <w:basedOn w:val="1"/>
    <w:autoRedefine/>
    <w:qFormat/>
    <w:uiPriority w:val="0"/>
    <w:pPr>
      <w:adjustRightInd/>
      <w:spacing w:after="120" w:line="360" w:lineRule="auto"/>
      <w:ind w:left="840" w:leftChars="400"/>
    </w:pPr>
    <w:rPr>
      <w:rFonts w:ascii="等线" w:hAnsi="等线" w:eastAsia="楷体_GB2312"/>
      <w:sz w:val="24"/>
    </w:rPr>
  </w:style>
  <w:style w:type="paragraph" w:styleId="73">
    <w:name w:val="HTML Preformatted"/>
    <w:basedOn w:val="1"/>
    <w:link w:val="318"/>
    <w:autoRedefine/>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360" w:lineRule="auto"/>
      <w:ind w:firstLine="480" w:firstLineChars="200"/>
      <w:jc w:val="left"/>
    </w:pPr>
    <w:rPr>
      <w:rFonts w:ascii="黑体" w:hAnsi="Courier New" w:eastAsia="黑体"/>
      <w:kern w:val="0"/>
      <w:sz w:val="20"/>
      <w:szCs w:val="20"/>
    </w:rPr>
  </w:style>
  <w:style w:type="paragraph" w:styleId="74">
    <w:name w:val="Normal (Web)"/>
    <w:basedOn w:val="1"/>
    <w:autoRedefine/>
    <w:qFormat/>
    <w:uiPriority w:val="99"/>
    <w:pPr>
      <w:widowControl/>
      <w:spacing w:before="100" w:beforeAutospacing="1" w:after="100" w:afterAutospacing="1"/>
      <w:jc w:val="left"/>
    </w:pPr>
    <w:rPr>
      <w:rFonts w:ascii="宋体" w:hAnsi="宋体"/>
      <w:kern w:val="0"/>
      <w:sz w:val="24"/>
    </w:rPr>
  </w:style>
  <w:style w:type="paragraph" w:styleId="75">
    <w:name w:val="index 2"/>
    <w:basedOn w:val="1"/>
    <w:next w:val="1"/>
    <w:autoRedefine/>
    <w:qFormat/>
    <w:uiPriority w:val="0"/>
    <w:pPr>
      <w:adjustRightInd/>
      <w:spacing w:line="360" w:lineRule="auto"/>
      <w:ind w:left="200" w:leftChars="200"/>
    </w:pPr>
    <w:rPr>
      <w:rFonts w:ascii="等线" w:hAnsi="等线" w:eastAsia="楷体_GB2312"/>
      <w:sz w:val="24"/>
    </w:rPr>
  </w:style>
  <w:style w:type="paragraph" w:styleId="76">
    <w:name w:val="Title"/>
    <w:basedOn w:val="1"/>
    <w:link w:val="303"/>
    <w:autoRedefine/>
    <w:qFormat/>
    <w:uiPriority w:val="0"/>
    <w:pPr>
      <w:widowControl/>
      <w:overflowPunct w:val="0"/>
      <w:autoSpaceDE w:val="0"/>
      <w:autoSpaceDN w:val="0"/>
      <w:jc w:val="center"/>
      <w:textAlignment w:val="baseline"/>
    </w:pPr>
    <w:rPr>
      <w:b/>
      <w:kern w:val="0"/>
      <w:sz w:val="24"/>
      <w:szCs w:val="20"/>
      <w:lang w:val="en-GB"/>
    </w:rPr>
  </w:style>
  <w:style w:type="paragraph" w:styleId="77">
    <w:name w:val="annotation subject"/>
    <w:basedOn w:val="25"/>
    <w:next w:val="25"/>
    <w:link w:val="113"/>
    <w:autoRedefine/>
    <w:qFormat/>
    <w:uiPriority w:val="0"/>
    <w:rPr>
      <w:b/>
      <w:bCs/>
    </w:rPr>
  </w:style>
  <w:style w:type="paragraph" w:styleId="78">
    <w:name w:val="Body Text First Indent"/>
    <w:basedOn w:val="30"/>
    <w:link w:val="338"/>
    <w:autoRedefine/>
    <w:qFormat/>
    <w:uiPriority w:val="0"/>
    <w:pPr>
      <w:ind w:firstLine="420"/>
    </w:pPr>
    <w:rPr>
      <w:rFonts w:hAnsi="Calibri" w:cs="Times New Roman"/>
      <w:snapToGrid/>
      <w:szCs w:val="20"/>
    </w:rPr>
  </w:style>
  <w:style w:type="paragraph" w:styleId="79">
    <w:name w:val="Body Text First Indent 2"/>
    <w:basedOn w:val="31"/>
    <w:link w:val="138"/>
    <w:autoRedefine/>
    <w:qFormat/>
    <w:uiPriority w:val="0"/>
    <w:pPr>
      <w:adjustRightInd/>
      <w:spacing w:after="120" w:line="240" w:lineRule="auto"/>
      <w:ind w:left="420" w:leftChars="200" w:firstLine="210"/>
    </w:pPr>
    <w:rPr>
      <w:sz w:val="21"/>
    </w:rPr>
  </w:style>
  <w:style w:type="table" w:styleId="81">
    <w:name w:val="Table Grid"/>
    <w:basedOn w:val="80"/>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82">
    <w:name w:val="Table Theme"/>
    <w:basedOn w:val="80"/>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83">
    <w:name w:val="Table Elegant"/>
    <w:basedOn w:val="80"/>
    <w:autoRedefine/>
    <w:qFormat/>
    <w:uiPriority w:val="0"/>
    <w:pPr>
      <w:widowControl w:val="0"/>
      <w:jc w:val="both"/>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4">
    <w:name w:val="Table Grid 5"/>
    <w:basedOn w:val="80"/>
    <w:autoRedefine/>
    <w:qFormat/>
    <w:uiPriority w:val="0"/>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tblPr/>
      <w:tcPr>
        <w:tcBorders>
          <w:top w:val="nil"/>
          <w:left w:val="nil"/>
          <w:bottom w:val="single" w:color="000000" w:sz="12" w:space="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85">
    <w:name w:val="Table Grid 8"/>
    <w:basedOn w:val="80"/>
    <w:autoRedefine/>
    <w:qFormat/>
    <w:uiPriority w:val="0"/>
    <w:pPr>
      <w:widowControl w:val="0"/>
      <w:jc w:val="both"/>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86">
    <w:name w:val="Table Professional"/>
    <w:basedOn w:val="80"/>
    <w:autoRedefine/>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88">
    <w:name w:val="Strong"/>
    <w:autoRedefine/>
    <w:qFormat/>
    <w:uiPriority w:val="22"/>
    <w:rPr>
      <w:b/>
      <w:bCs/>
    </w:rPr>
  </w:style>
  <w:style w:type="character" w:styleId="89">
    <w:name w:val="endnote reference"/>
    <w:autoRedefine/>
    <w:qFormat/>
    <w:uiPriority w:val="0"/>
    <w:rPr>
      <w:vertAlign w:val="superscript"/>
    </w:rPr>
  </w:style>
  <w:style w:type="character" w:styleId="90">
    <w:name w:val="page number"/>
    <w:basedOn w:val="87"/>
    <w:autoRedefine/>
    <w:qFormat/>
    <w:uiPriority w:val="0"/>
    <w:rPr>
      <w:rFonts w:ascii="Arial" w:hAnsi="Arial" w:eastAsia="黑体" w:cs="Arial"/>
      <w:snapToGrid w:val="0"/>
      <w:kern w:val="0"/>
      <w:szCs w:val="21"/>
    </w:rPr>
  </w:style>
  <w:style w:type="character" w:styleId="91">
    <w:name w:val="FollowedHyperlink"/>
    <w:autoRedefine/>
    <w:qFormat/>
    <w:uiPriority w:val="99"/>
    <w:rPr>
      <w:rFonts w:ascii="Arial" w:hAnsi="Arial" w:eastAsia="黑体" w:cs="Arial"/>
      <w:snapToGrid w:val="0"/>
      <w:color w:val="000000"/>
      <w:kern w:val="0"/>
      <w:sz w:val="18"/>
      <w:szCs w:val="18"/>
      <w:u w:val="none"/>
    </w:rPr>
  </w:style>
  <w:style w:type="character" w:styleId="92">
    <w:name w:val="Emphasis"/>
    <w:autoRedefine/>
    <w:qFormat/>
    <w:uiPriority w:val="20"/>
    <w:rPr>
      <w:color w:val="CC0033"/>
    </w:rPr>
  </w:style>
  <w:style w:type="character" w:styleId="93">
    <w:name w:val="line number"/>
    <w:basedOn w:val="87"/>
    <w:autoRedefine/>
    <w:qFormat/>
    <w:uiPriority w:val="0"/>
    <w:rPr>
      <w:rFonts w:ascii="Arial" w:hAnsi="Arial" w:eastAsia="黑体" w:cs="Arial"/>
      <w:snapToGrid w:val="0"/>
      <w:kern w:val="0"/>
      <w:szCs w:val="21"/>
    </w:rPr>
  </w:style>
  <w:style w:type="character" w:styleId="94">
    <w:name w:val="Hyperlink"/>
    <w:autoRedefine/>
    <w:qFormat/>
    <w:uiPriority w:val="99"/>
    <w:rPr>
      <w:rFonts w:ascii="Arial" w:hAnsi="Arial" w:eastAsia="黑体" w:cs="Arial"/>
      <w:snapToGrid w:val="0"/>
      <w:color w:val="000000"/>
      <w:kern w:val="0"/>
      <w:sz w:val="18"/>
      <w:szCs w:val="18"/>
      <w:u w:val="none"/>
    </w:rPr>
  </w:style>
  <w:style w:type="character" w:styleId="95">
    <w:name w:val="HTML Code"/>
    <w:autoRedefine/>
    <w:qFormat/>
    <w:uiPriority w:val="0"/>
    <w:rPr>
      <w:rFonts w:ascii="黑体" w:hAnsi="Courier New" w:eastAsia="黑体" w:cs="楷体_GB2312"/>
      <w:sz w:val="20"/>
      <w:szCs w:val="20"/>
    </w:rPr>
  </w:style>
  <w:style w:type="character" w:styleId="96">
    <w:name w:val="annotation reference"/>
    <w:autoRedefine/>
    <w:qFormat/>
    <w:uiPriority w:val="99"/>
    <w:rPr>
      <w:sz w:val="21"/>
      <w:szCs w:val="21"/>
    </w:rPr>
  </w:style>
  <w:style w:type="paragraph" w:customStyle="1" w:styleId="97">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98">
    <w:name w:val="正文1"/>
    <w:basedOn w:val="40"/>
    <w:next w:val="1"/>
    <w:autoRedefine/>
    <w:qFormat/>
    <w:uiPriority w:val="0"/>
    <w:pPr>
      <w:ind w:left="0" w:leftChars="0" w:firstLine="480" w:firstLineChars="200"/>
    </w:pPr>
    <w:rPr>
      <w:rFonts w:ascii="仿宋_GB2312" w:hAnsi="Courier New" w:eastAsia="仿宋_GB2312"/>
      <w:kern w:val="28"/>
      <w:sz w:val="24"/>
    </w:rPr>
  </w:style>
  <w:style w:type="character" w:customStyle="1" w:styleId="99">
    <w:name w:val="表格非标题文字 Char"/>
    <w:link w:val="100"/>
    <w:autoRedefine/>
    <w:qFormat/>
    <w:uiPriority w:val="0"/>
    <w:rPr>
      <w:rFonts w:ascii="Futura Bk" w:hAnsi="Futura Bk"/>
      <w:kern w:val="2"/>
      <w:sz w:val="18"/>
      <w:szCs w:val="21"/>
      <w:lang w:val="en-US" w:eastAsia="zh-CN" w:bidi="ar-SA"/>
    </w:rPr>
  </w:style>
  <w:style w:type="paragraph" w:customStyle="1" w:styleId="100">
    <w:name w:val="表格非标题文字"/>
    <w:link w:val="99"/>
    <w:autoRedefine/>
    <w:qFormat/>
    <w:uiPriority w:val="0"/>
    <w:pPr>
      <w:snapToGrid w:val="0"/>
      <w:spacing w:before="80" w:after="40"/>
    </w:pPr>
    <w:rPr>
      <w:rFonts w:ascii="Futura Bk" w:hAnsi="Futura Bk" w:eastAsia="宋体" w:cs="Times New Roman"/>
      <w:kern w:val="2"/>
      <w:sz w:val="18"/>
      <w:szCs w:val="21"/>
      <w:lang w:val="en-US" w:eastAsia="zh-CN" w:bidi="ar-SA"/>
    </w:rPr>
  </w:style>
  <w:style w:type="character" w:customStyle="1" w:styleId="101">
    <w:name w:val="*正文 Char"/>
    <w:link w:val="102"/>
    <w:autoRedefine/>
    <w:qFormat/>
    <w:locked/>
    <w:uiPriority w:val="0"/>
    <w:rPr>
      <w:rFonts w:ascii="宋体" w:hAnsi="宋体"/>
      <w:sz w:val="24"/>
    </w:rPr>
  </w:style>
  <w:style w:type="paragraph" w:customStyle="1" w:styleId="102">
    <w:name w:val="*正文"/>
    <w:basedOn w:val="1"/>
    <w:link w:val="101"/>
    <w:autoRedefine/>
    <w:qFormat/>
    <w:uiPriority w:val="0"/>
    <w:pPr>
      <w:snapToGrid w:val="0"/>
      <w:spacing w:line="360" w:lineRule="auto"/>
      <w:ind w:firstLine="482"/>
      <w:jc w:val="left"/>
    </w:pPr>
    <w:rPr>
      <w:rFonts w:ascii="宋体" w:hAnsi="宋体"/>
      <w:kern w:val="0"/>
      <w:sz w:val="24"/>
      <w:szCs w:val="20"/>
    </w:rPr>
  </w:style>
  <w:style w:type="character" w:customStyle="1" w:styleId="103">
    <w:name w:val="Char Char71"/>
    <w:autoRedefine/>
    <w:semiHidden/>
    <w:qFormat/>
    <w:uiPriority w:val="0"/>
    <w:rPr>
      <w:rFonts w:eastAsia="宋体"/>
      <w:kern w:val="2"/>
      <w:sz w:val="21"/>
      <w:szCs w:val="24"/>
      <w:lang w:val="en-US" w:eastAsia="zh-CN" w:bidi="ar-SA"/>
    </w:rPr>
  </w:style>
  <w:style w:type="character" w:customStyle="1" w:styleId="104">
    <w:name w:val="Char Char6"/>
    <w:autoRedefine/>
    <w:qFormat/>
    <w:uiPriority w:val="0"/>
    <w:rPr>
      <w:rFonts w:eastAsia="宋体"/>
      <w:kern w:val="2"/>
      <w:sz w:val="21"/>
      <w:szCs w:val="24"/>
      <w:lang w:val="en-US" w:eastAsia="zh-CN" w:bidi="ar-SA"/>
    </w:rPr>
  </w:style>
  <w:style w:type="character" w:customStyle="1" w:styleId="105">
    <w:name w:val="正文缩进 Char"/>
    <w:autoRedefine/>
    <w:qFormat/>
    <w:uiPriority w:val="0"/>
    <w:rPr>
      <w:rFonts w:eastAsia="宋体"/>
      <w:kern w:val="2"/>
      <w:sz w:val="21"/>
      <w:lang w:val="en-US" w:eastAsia="zh-CN"/>
    </w:rPr>
  </w:style>
  <w:style w:type="character" w:customStyle="1" w:styleId="106">
    <w:name w:val="正文首行缩进 Char1"/>
    <w:autoRedefine/>
    <w:qFormat/>
    <w:uiPriority w:val="0"/>
    <w:rPr>
      <w:rFonts w:ascii="宋体" w:hAnsi="Times New Roman" w:eastAsia="宋体" w:cs="Times New Roman"/>
      <w:snapToGrid w:val="0"/>
      <w:kern w:val="2"/>
      <w:sz w:val="24"/>
      <w:szCs w:val="21"/>
      <w:lang w:val="zh-CN"/>
    </w:rPr>
  </w:style>
  <w:style w:type="character" w:customStyle="1" w:styleId="107">
    <w:name w:val="Char Char28"/>
    <w:autoRedefine/>
    <w:qFormat/>
    <w:uiPriority w:val="6"/>
    <w:rPr>
      <w:rFonts w:ascii="仿宋_GB2312" w:hAnsi="仿宋_GB2312" w:eastAsia="仿宋_GB2312"/>
      <w:kern w:val="1"/>
      <w:sz w:val="28"/>
    </w:rPr>
  </w:style>
  <w:style w:type="character" w:customStyle="1" w:styleId="108">
    <w:name w:val="标题 3 Char1"/>
    <w:autoRedefine/>
    <w:qFormat/>
    <w:uiPriority w:val="0"/>
    <w:rPr>
      <w:rFonts w:hint="eastAsia" w:ascii="华文中宋" w:hAnsi="华文中宋" w:eastAsia="华文中宋"/>
      <w:b/>
      <w:bCs/>
      <w:kern w:val="2"/>
      <w:sz w:val="32"/>
      <w:szCs w:val="32"/>
      <w:lang w:val="en-US" w:eastAsia="zh-CN" w:bidi="ar-SA"/>
    </w:rPr>
  </w:style>
  <w:style w:type="character" w:customStyle="1" w:styleId="109">
    <w:name w:val="Heading 1 Char"/>
    <w:autoRedefine/>
    <w:qFormat/>
    <w:uiPriority w:val="6"/>
    <w:rPr>
      <w:rFonts w:ascii="Times New Roman" w:hAnsi="Times New Roman" w:eastAsia="黑体" w:cs="Times New Roman"/>
      <w:b/>
      <w:kern w:val="0"/>
      <w:sz w:val="24"/>
      <w:szCs w:val="24"/>
    </w:rPr>
  </w:style>
  <w:style w:type="character" w:customStyle="1" w:styleId="110">
    <w:name w:val="U_正文 Char"/>
    <w:link w:val="111"/>
    <w:autoRedefine/>
    <w:qFormat/>
    <w:uiPriority w:val="0"/>
    <w:rPr>
      <w:sz w:val="24"/>
      <w:szCs w:val="24"/>
    </w:rPr>
  </w:style>
  <w:style w:type="paragraph" w:customStyle="1" w:styleId="111">
    <w:name w:val="U_正文"/>
    <w:basedOn w:val="1"/>
    <w:link w:val="110"/>
    <w:autoRedefine/>
    <w:qFormat/>
    <w:uiPriority w:val="0"/>
    <w:pPr>
      <w:adjustRightInd/>
      <w:spacing w:beforeLines="20" w:afterLines="20" w:line="300" w:lineRule="auto"/>
      <w:ind w:firstLine="200" w:firstLineChars="200"/>
    </w:pPr>
    <w:rPr>
      <w:kern w:val="0"/>
      <w:sz w:val="24"/>
    </w:rPr>
  </w:style>
  <w:style w:type="character" w:customStyle="1" w:styleId="112">
    <w:name w:val="HTML 地址 Char1"/>
    <w:autoRedefine/>
    <w:qFormat/>
    <w:uiPriority w:val="0"/>
    <w:rPr>
      <w:rFonts w:ascii="Times New Roman" w:hAnsi="Times New Roman" w:eastAsia="宋体" w:cs="Times New Roman"/>
      <w:i/>
      <w:iCs/>
      <w:szCs w:val="24"/>
    </w:rPr>
  </w:style>
  <w:style w:type="character" w:customStyle="1" w:styleId="113">
    <w:name w:val="批注主题 Char1"/>
    <w:link w:val="77"/>
    <w:autoRedefine/>
    <w:qFormat/>
    <w:uiPriority w:val="0"/>
    <w:rPr>
      <w:b/>
      <w:bCs/>
      <w:kern w:val="2"/>
      <w:sz w:val="21"/>
      <w:szCs w:val="24"/>
    </w:rPr>
  </w:style>
  <w:style w:type="character" w:customStyle="1" w:styleId="114">
    <w:name w:val="Char Char51"/>
    <w:autoRedefine/>
    <w:qFormat/>
    <w:uiPriority w:val="0"/>
    <w:rPr>
      <w:rFonts w:ascii="宋体" w:hAnsi="Courier New" w:eastAsia="宋体"/>
      <w:kern w:val="2"/>
      <w:sz w:val="21"/>
      <w:lang w:val="en-US" w:eastAsia="zh-CN"/>
    </w:rPr>
  </w:style>
  <w:style w:type="character" w:customStyle="1" w:styleId="115">
    <w:name w:val="表正文 Char"/>
    <w:autoRedefine/>
    <w:qFormat/>
    <w:uiPriority w:val="0"/>
    <w:rPr>
      <w:rFonts w:ascii="宋体" w:eastAsia="宋体"/>
      <w:snapToGrid w:val="0"/>
      <w:color w:val="000000"/>
      <w:kern w:val="28"/>
      <w:sz w:val="28"/>
      <w:lang w:val="en-US" w:eastAsia="zh-CN" w:bidi="ar-SA"/>
    </w:rPr>
  </w:style>
  <w:style w:type="character" w:customStyle="1" w:styleId="116">
    <w:name w:val="Char Char34"/>
    <w:autoRedefine/>
    <w:qFormat/>
    <w:uiPriority w:val="6"/>
    <w:rPr>
      <w:b/>
      <w:kern w:val="1"/>
      <w:sz w:val="28"/>
      <w:szCs w:val="28"/>
    </w:rPr>
  </w:style>
  <w:style w:type="character" w:customStyle="1" w:styleId="117">
    <w:name w:val="Normal Indent Char"/>
    <w:autoRedefine/>
    <w:qFormat/>
    <w:locked/>
    <w:uiPriority w:val="0"/>
    <w:rPr>
      <w:rFonts w:ascii="Calibri" w:hAnsi="Calibri" w:eastAsia="宋体" w:cs="黑体"/>
      <w:snapToGrid w:val="0"/>
      <w:kern w:val="2"/>
      <w:sz w:val="24"/>
      <w:szCs w:val="22"/>
      <w:lang w:val="en-US" w:eastAsia="zh-CN" w:bidi="ar-SA"/>
    </w:rPr>
  </w:style>
  <w:style w:type="character" w:customStyle="1" w:styleId="118">
    <w:name w:val="哈哈正文 Char"/>
    <w:link w:val="119"/>
    <w:autoRedefine/>
    <w:qFormat/>
    <w:uiPriority w:val="0"/>
    <w:rPr>
      <w:rFonts w:ascii="宋体" w:hAnsi="宋体" w:eastAsia="宋体"/>
      <w:kern w:val="2"/>
      <w:sz w:val="24"/>
      <w:lang w:bidi="ar-SA"/>
    </w:rPr>
  </w:style>
  <w:style w:type="paragraph" w:customStyle="1" w:styleId="119">
    <w:name w:val="哈哈正文"/>
    <w:basedOn w:val="1"/>
    <w:link w:val="118"/>
    <w:autoRedefine/>
    <w:qFormat/>
    <w:uiPriority w:val="0"/>
    <w:pPr>
      <w:adjustRightInd/>
      <w:spacing w:line="360" w:lineRule="auto"/>
      <w:ind w:firstLine="200" w:firstLineChars="200"/>
    </w:pPr>
    <w:rPr>
      <w:rFonts w:ascii="宋体" w:hAnsi="宋体"/>
      <w:sz w:val="24"/>
      <w:szCs w:val="20"/>
    </w:rPr>
  </w:style>
  <w:style w:type="character" w:customStyle="1" w:styleId="120">
    <w:name w:val="未处理的提及1"/>
    <w:autoRedefine/>
    <w:qFormat/>
    <w:uiPriority w:val="0"/>
    <w:rPr>
      <w:color w:val="808080"/>
      <w:shd w:val="clear" w:color="auto" w:fill="E6E6E6"/>
    </w:rPr>
  </w:style>
  <w:style w:type="character" w:customStyle="1" w:styleId="121">
    <w:name w:val="txt"/>
    <w:autoRedefine/>
    <w:qFormat/>
    <w:uiPriority w:val="0"/>
    <w:rPr>
      <w:rFonts w:ascii="仿宋_GB2312" w:eastAsia="微软雅黑"/>
      <w:b/>
      <w:kern w:val="2"/>
      <w:sz w:val="32"/>
      <w:szCs w:val="32"/>
      <w:lang w:val="en-US" w:eastAsia="zh-CN" w:bidi="ar-SA"/>
    </w:rPr>
  </w:style>
  <w:style w:type="character" w:customStyle="1" w:styleId="122">
    <w:name w:val="二级标题 Char Char"/>
    <w:autoRedefine/>
    <w:qFormat/>
    <w:uiPriority w:val="0"/>
    <w:rPr>
      <w:rFonts w:ascii="宋体" w:hAnsi="宋体" w:eastAsia="宋体"/>
      <w:b/>
      <w:snapToGrid w:val="0"/>
      <w:kern w:val="2"/>
      <w:sz w:val="24"/>
      <w:szCs w:val="24"/>
      <w:lang w:val="en-US" w:eastAsia="zh-CN" w:bidi="ar-SA"/>
    </w:rPr>
  </w:style>
  <w:style w:type="character" w:customStyle="1" w:styleId="123">
    <w:name w:val="Char Char32"/>
    <w:autoRedefine/>
    <w:qFormat/>
    <w:uiPriority w:val="6"/>
    <w:rPr>
      <w:b/>
      <w:kern w:val="1"/>
      <w:sz w:val="24"/>
      <w:szCs w:val="24"/>
    </w:rPr>
  </w:style>
  <w:style w:type="character" w:customStyle="1" w:styleId="124">
    <w:name w:val="PI Char1"/>
    <w:autoRedefine/>
    <w:qFormat/>
    <w:uiPriority w:val="0"/>
    <w:rPr>
      <w:rFonts w:ascii="宋体" w:hAnsi="宋体"/>
      <w:kern w:val="2"/>
      <w:sz w:val="24"/>
      <w:szCs w:val="24"/>
    </w:rPr>
  </w:style>
  <w:style w:type="character" w:customStyle="1" w:styleId="125">
    <w:name w:val="tw4winTerm"/>
    <w:autoRedefine/>
    <w:qFormat/>
    <w:uiPriority w:val="0"/>
    <w:rPr>
      <w:color w:val="0000FF"/>
    </w:rPr>
  </w:style>
  <w:style w:type="character" w:customStyle="1" w:styleId="126">
    <w:name w:val="Footer Char"/>
    <w:autoRedefine/>
    <w:qFormat/>
    <w:locked/>
    <w:uiPriority w:val="0"/>
    <w:rPr>
      <w:rFonts w:eastAsia="宋体"/>
      <w:kern w:val="2"/>
      <w:sz w:val="18"/>
      <w:lang w:val="en-US" w:eastAsia="zh-CN" w:bidi="ar-SA"/>
    </w:rPr>
  </w:style>
  <w:style w:type="character" w:customStyle="1" w:styleId="127">
    <w:name w:val="普通文字 Char Char1"/>
    <w:autoRedefine/>
    <w:qFormat/>
    <w:uiPriority w:val="0"/>
    <w:rPr>
      <w:rFonts w:ascii="宋体" w:hAnsi="Courier New"/>
      <w:kern w:val="2"/>
      <w:sz w:val="21"/>
    </w:rPr>
  </w:style>
  <w:style w:type="character" w:customStyle="1" w:styleId="128">
    <w:name w:val="Char Char101"/>
    <w:autoRedefine/>
    <w:qFormat/>
    <w:uiPriority w:val="6"/>
    <w:rPr>
      <w:rFonts w:ascii="宋体" w:hAnsi="宋体"/>
      <w:kern w:val="2"/>
      <w:sz w:val="21"/>
      <w:szCs w:val="24"/>
      <w:lang w:val="en-US" w:eastAsia="zh-CN"/>
    </w:rPr>
  </w:style>
  <w:style w:type="character" w:customStyle="1" w:styleId="129">
    <w:name w:val="标题 4 Char"/>
    <w:autoRedefine/>
    <w:qFormat/>
    <w:uiPriority w:val="0"/>
    <w:rPr>
      <w:rFonts w:ascii="Arial" w:hAnsi="Arial" w:eastAsia="黑体"/>
      <w:b/>
      <w:kern w:val="2"/>
      <w:sz w:val="28"/>
    </w:rPr>
  </w:style>
  <w:style w:type="character" w:customStyle="1" w:styleId="130">
    <w:name w:val="链接"/>
    <w:autoRedefine/>
    <w:qFormat/>
    <w:uiPriority w:val="0"/>
    <w:rPr>
      <w:color w:val="0000FF"/>
      <w:sz w:val="21"/>
      <w:szCs w:val="21"/>
      <w:u w:val="single"/>
    </w:rPr>
  </w:style>
  <w:style w:type="character" w:customStyle="1" w:styleId="131">
    <w:name w:val="h4 Char"/>
    <w:autoRedefine/>
    <w:qFormat/>
    <w:uiPriority w:val="0"/>
    <w:rPr>
      <w:rFonts w:ascii="Arial" w:hAnsi="Arial" w:eastAsia="黑体"/>
      <w:b/>
      <w:bCs/>
      <w:kern w:val="2"/>
      <w:sz w:val="28"/>
      <w:szCs w:val="28"/>
      <w:lang w:val="zh-CN" w:eastAsia="zh-CN" w:bidi="ar-SA"/>
    </w:rPr>
  </w:style>
  <w:style w:type="character" w:customStyle="1" w:styleId="132">
    <w:name w:val="5正文 Char"/>
    <w:link w:val="133"/>
    <w:autoRedefine/>
    <w:qFormat/>
    <w:uiPriority w:val="0"/>
    <w:rPr>
      <w:rFonts w:ascii="仿宋_GB2312" w:hAnsi="微软雅黑" w:eastAsia="仿宋_GB2312"/>
      <w:sz w:val="28"/>
      <w:szCs w:val="21"/>
    </w:rPr>
  </w:style>
  <w:style w:type="paragraph" w:customStyle="1" w:styleId="133">
    <w:name w:val="5正文"/>
    <w:basedOn w:val="1"/>
    <w:link w:val="132"/>
    <w:autoRedefine/>
    <w:qFormat/>
    <w:uiPriority w:val="0"/>
    <w:pPr>
      <w:adjustRightInd/>
      <w:spacing w:line="360" w:lineRule="auto"/>
      <w:ind w:firstLine="566" w:firstLineChars="202"/>
      <w:jc w:val="left"/>
    </w:pPr>
    <w:rPr>
      <w:rFonts w:ascii="仿宋_GB2312" w:hAnsi="微软雅黑" w:eastAsia="仿宋_GB2312"/>
      <w:kern w:val="0"/>
      <w:sz w:val="28"/>
      <w:szCs w:val="21"/>
    </w:rPr>
  </w:style>
  <w:style w:type="character" w:customStyle="1" w:styleId="134">
    <w:name w:val="标题 3 字符"/>
    <w:autoRedefine/>
    <w:qFormat/>
    <w:uiPriority w:val="9"/>
    <w:rPr>
      <w:b/>
      <w:bCs/>
      <w:kern w:val="2"/>
      <w:sz w:val="32"/>
      <w:szCs w:val="32"/>
    </w:rPr>
  </w:style>
  <w:style w:type="character" w:customStyle="1" w:styleId="135">
    <w:name w:val="样式6 Char"/>
    <w:autoRedefine/>
    <w:qFormat/>
    <w:uiPriority w:val="0"/>
    <w:rPr>
      <w:rFonts w:ascii="仿宋_GB2312" w:hAnsi="宋体" w:eastAsia="仿宋_GB2312"/>
      <w:b/>
      <w:bCs/>
      <w:kern w:val="2"/>
      <w:sz w:val="24"/>
      <w:szCs w:val="24"/>
      <w:lang w:val="en-US" w:eastAsia="zh-CN" w:bidi="ar-SA"/>
    </w:rPr>
  </w:style>
  <w:style w:type="character" w:customStyle="1" w:styleId="136">
    <w:name w:val="Char Char14"/>
    <w:autoRedefine/>
    <w:qFormat/>
    <w:uiPriority w:val="0"/>
    <w:rPr>
      <w:rFonts w:ascii="黑体" w:hAnsi="黑体" w:eastAsia="黑体"/>
    </w:rPr>
  </w:style>
  <w:style w:type="character" w:customStyle="1" w:styleId="137">
    <w:name w:val="Heading 2 Hidden Char"/>
    <w:autoRedefine/>
    <w:qFormat/>
    <w:uiPriority w:val="0"/>
    <w:rPr>
      <w:rFonts w:ascii="仿宋_GB2312" w:eastAsia="仿宋_GB2312"/>
      <w:b/>
      <w:bCs/>
      <w:kern w:val="2"/>
      <w:sz w:val="24"/>
      <w:szCs w:val="24"/>
      <w:lang w:val="zh-CN" w:eastAsia="zh-CN" w:bidi="ar-SA"/>
    </w:rPr>
  </w:style>
  <w:style w:type="character" w:customStyle="1" w:styleId="138">
    <w:name w:val="正文首行缩进 2 Char"/>
    <w:link w:val="79"/>
    <w:autoRedefine/>
    <w:qFormat/>
    <w:uiPriority w:val="0"/>
    <w:rPr>
      <w:rFonts w:ascii="宋体" w:hAnsi="宋体"/>
      <w:kern w:val="2"/>
      <w:sz w:val="21"/>
      <w:szCs w:val="24"/>
    </w:rPr>
  </w:style>
  <w:style w:type="character" w:customStyle="1" w:styleId="139">
    <w:name w:val="font11"/>
    <w:autoRedefine/>
    <w:qFormat/>
    <w:uiPriority w:val="0"/>
    <w:rPr>
      <w:rFonts w:hint="default" w:ascii="Times New Roman" w:hAnsi="Times New Roman" w:cs="Times New Roman"/>
      <w:color w:val="000000"/>
      <w:sz w:val="22"/>
      <w:szCs w:val="22"/>
      <w:u w:val="none"/>
    </w:rPr>
  </w:style>
  <w:style w:type="character" w:customStyle="1" w:styleId="140">
    <w:name w:val="表正文 Char1"/>
    <w:autoRedefine/>
    <w:qFormat/>
    <w:uiPriority w:val="0"/>
    <w:rPr>
      <w:rFonts w:ascii="宋体" w:eastAsia="宋体"/>
      <w:snapToGrid w:val="0"/>
      <w:color w:val="000000"/>
      <w:kern w:val="28"/>
      <w:sz w:val="28"/>
    </w:rPr>
  </w:style>
  <w:style w:type="character" w:customStyle="1" w:styleId="141">
    <w:name w:val="blue1"/>
    <w:basedOn w:val="87"/>
    <w:autoRedefine/>
    <w:qFormat/>
    <w:uiPriority w:val="0"/>
    <w:rPr>
      <w:rFonts w:ascii="Arial" w:hAnsi="Arial" w:eastAsia="黑体" w:cs="Arial"/>
      <w:snapToGrid w:val="0"/>
      <w:kern w:val="0"/>
      <w:szCs w:val="21"/>
    </w:rPr>
  </w:style>
  <w:style w:type="character" w:customStyle="1" w:styleId="142">
    <w:name w:val="纯文本 Char"/>
    <w:link w:val="41"/>
    <w:autoRedefine/>
    <w:qFormat/>
    <w:uiPriority w:val="0"/>
    <w:rPr>
      <w:rFonts w:ascii="宋体" w:hAnsi="Courier New" w:eastAsia="宋体" w:cs="Arial"/>
      <w:snapToGrid w:val="0"/>
      <w:kern w:val="2"/>
      <w:sz w:val="21"/>
      <w:szCs w:val="21"/>
      <w:lang w:val="en-US" w:eastAsia="zh-CN" w:bidi="ar-SA"/>
    </w:rPr>
  </w:style>
  <w:style w:type="character" w:customStyle="1" w:styleId="143">
    <w:name w:val="标书1 Char"/>
    <w:autoRedefine/>
    <w:qFormat/>
    <w:uiPriority w:val="0"/>
    <w:rPr>
      <w:rFonts w:eastAsia="宋体"/>
      <w:b/>
      <w:bCs/>
      <w:kern w:val="44"/>
      <w:sz w:val="44"/>
      <w:szCs w:val="44"/>
      <w:lang w:val="en-US" w:eastAsia="zh-CN" w:bidi="ar-SA"/>
    </w:rPr>
  </w:style>
  <w:style w:type="character" w:customStyle="1" w:styleId="144">
    <w:name w:val="样式5 Char"/>
    <w:autoRedefine/>
    <w:qFormat/>
    <w:uiPriority w:val="0"/>
    <w:rPr>
      <w:rFonts w:ascii="仿宋_GB2312" w:hAnsi="仿宋" w:eastAsia="仿宋_GB2312"/>
      <w:kern w:val="2"/>
      <w:sz w:val="24"/>
      <w:szCs w:val="24"/>
    </w:rPr>
  </w:style>
  <w:style w:type="character" w:customStyle="1" w:styleId="145">
    <w:name w:val="样式4 Char"/>
    <w:autoRedefine/>
    <w:qFormat/>
    <w:uiPriority w:val="0"/>
    <w:rPr>
      <w:rFonts w:ascii="仿宋_GB2312" w:hAnsi="仿宋" w:eastAsia="仿宋_GB2312"/>
      <w:b/>
      <w:kern w:val="2"/>
      <w:sz w:val="32"/>
      <w:szCs w:val="32"/>
      <w:lang w:bidi="ar-SA"/>
    </w:rPr>
  </w:style>
  <w:style w:type="character" w:customStyle="1" w:styleId="146">
    <w:name w:val="插图说明 Char"/>
    <w:autoRedefine/>
    <w:qFormat/>
    <w:uiPriority w:val="0"/>
    <w:rPr>
      <w:rFonts w:eastAsia="黑体"/>
      <w:sz w:val="24"/>
      <w:lang w:val="en-US" w:eastAsia="zh-CN"/>
    </w:rPr>
  </w:style>
  <w:style w:type="character" w:customStyle="1" w:styleId="147">
    <w:name w:val="正文2 Char Char"/>
    <w:link w:val="148"/>
    <w:autoRedefine/>
    <w:qFormat/>
    <w:uiPriority w:val="0"/>
    <w:rPr>
      <w:rFonts w:eastAsia="宋体"/>
      <w:kern w:val="2"/>
      <w:sz w:val="24"/>
      <w:lang w:val="en-US" w:eastAsia="zh-CN" w:bidi="ar-SA"/>
    </w:rPr>
  </w:style>
  <w:style w:type="paragraph" w:customStyle="1" w:styleId="148">
    <w:name w:val="正文2"/>
    <w:basedOn w:val="1"/>
    <w:link w:val="147"/>
    <w:autoRedefine/>
    <w:qFormat/>
    <w:uiPriority w:val="0"/>
    <w:pPr>
      <w:spacing w:before="156" w:line="360" w:lineRule="auto"/>
      <w:ind w:firstLine="510" w:firstLineChars="200"/>
    </w:pPr>
    <w:rPr>
      <w:sz w:val="24"/>
      <w:szCs w:val="20"/>
    </w:rPr>
  </w:style>
  <w:style w:type="character" w:customStyle="1" w:styleId="149">
    <w:name w:val="Char Char24"/>
    <w:autoRedefine/>
    <w:qFormat/>
    <w:uiPriority w:val="6"/>
    <w:rPr>
      <w:kern w:val="1"/>
      <w:sz w:val="21"/>
    </w:rPr>
  </w:style>
  <w:style w:type="character" w:customStyle="1" w:styleId="150">
    <w:name w:val="副标题 Char"/>
    <w:link w:val="59"/>
    <w:autoRedefine/>
    <w:qFormat/>
    <w:uiPriority w:val="0"/>
    <w:rPr>
      <w:rFonts w:ascii="Arial" w:hAnsi="Arial" w:eastAsia="隶书"/>
      <w:b/>
      <w:bCs/>
      <w:kern w:val="28"/>
      <w:sz w:val="44"/>
      <w:szCs w:val="32"/>
      <w:lang w:val="en-US" w:eastAsia="zh-CN" w:bidi="ar-SA"/>
    </w:rPr>
  </w:style>
  <w:style w:type="character" w:customStyle="1" w:styleId="151">
    <w:name w:val="普通文字 Char1 Char"/>
    <w:autoRedefine/>
    <w:qFormat/>
    <w:uiPriority w:val="0"/>
    <w:rPr>
      <w:rFonts w:ascii="宋体" w:hAnsi="Courier New" w:eastAsia="宋体"/>
      <w:kern w:val="2"/>
      <w:sz w:val="21"/>
      <w:szCs w:val="24"/>
      <w:lang w:val="en-US" w:eastAsia="zh-CN" w:bidi="ar-SA"/>
    </w:rPr>
  </w:style>
  <w:style w:type="character" w:customStyle="1" w:styleId="152">
    <w:name w:val="h3 Char1"/>
    <w:autoRedefine/>
    <w:qFormat/>
    <w:uiPriority w:val="0"/>
    <w:rPr>
      <w:rFonts w:eastAsia="宋体"/>
      <w:b/>
      <w:bCs/>
      <w:kern w:val="2"/>
      <w:sz w:val="32"/>
      <w:szCs w:val="32"/>
      <w:lang w:bidi="ar-SA"/>
    </w:rPr>
  </w:style>
  <w:style w:type="character" w:customStyle="1" w:styleId="153">
    <w:name w:val="标题 Char1"/>
    <w:autoRedefine/>
    <w:qFormat/>
    <w:uiPriority w:val="0"/>
    <w:rPr>
      <w:rFonts w:ascii="Cambria" w:hAnsi="Cambria" w:eastAsia="宋体" w:cs="Times New Roman"/>
      <w:b/>
      <w:bCs/>
      <w:sz w:val="32"/>
      <w:szCs w:val="32"/>
      <w:lang w:bidi="ar-SA"/>
    </w:rPr>
  </w:style>
  <w:style w:type="character" w:customStyle="1" w:styleId="154">
    <w:name w:val="gf正文1 Char"/>
    <w:autoRedefine/>
    <w:qFormat/>
    <w:uiPriority w:val="0"/>
    <w:rPr>
      <w:rFonts w:ascii="宋体" w:hAnsi="宋体" w:eastAsia="宋体" w:cs="宋体"/>
      <w:kern w:val="2"/>
      <w:sz w:val="24"/>
      <w:szCs w:val="24"/>
      <w:lang w:val="en-US" w:eastAsia="zh-CN" w:bidi="ar-SA"/>
    </w:rPr>
  </w:style>
  <w:style w:type="character" w:customStyle="1" w:styleId="155">
    <w:name w:val="正文文本缩进 Char1"/>
    <w:autoRedefine/>
    <w:qFormat/>
    <w:uiPriority w:val="0"/>
    <w:rPr>
      <w:rFonts w:ascii="Calibri" w:hAnsi="Calibri"/>
      <w:sz w:val="28"/>
    </w:rPr>
  </w:style>
  <w:style w:type="character" w:customStyle="1" w:styleId="156">
    <w:name w:val="No Spacing Char"/>
    <w:link w:val="157"/>
    <w:autoRedefine/>
    <w:qFormat/>
    <w:uiPriority w:val="1"/>
    <w:rPr>
      <w:sz w:val="22"/>
      <w:szCs w:val="22"/>
      <w:lang w:val="en-US" w:eastAsia="zh-CN" w:bidi="ar-SA"/>
    </w:rPr>
  </w:style>
  <w:style w:type="paragraph" w:customStyle="1" w:styleId="157">
    <w:name w:val="无间隔1"/>
    <w:link w:val="156"/>
    <w:autoRedefine/>
    <w:qFormat/>
    <w:uiPriority w:val="0"/>
    <w:rPr>
      <w:rFonts w:ascii="Times New Roman" w:hAnsi="Times New Roman" w:eastAsia="宋体" w:cs="Times New Roman"/>
      <w:sz w:val="22"/>
      <w:szCs w:val="22"/>
      <w:lang w:val="en-US" w:eastAsia="zh-CN" w:bidi="ar-SA"/>
    </w:rPr>
  </w:style>
  <w:style w:type="character" w:customStyle="1" w:styleId="158">
    <w:name w:val="样式7 Char"/>
    <w:autoRedefine/>
    <w:qFormat/>
    <w:uiPriority w:val="0"/>
    <w:rPr>
      <w:rFonts w:ascii="仿宋_GB2312" w:hAnsi="仿宋" w:eastAsia="仿宋_GB2312"/>
      <w:b/>
      <w:kern w:val="2"/>
      <w:sz w:val="24"/>
      <w:szCs w:val="24"/>
    </w:rPr>
  </w:style>
  <w:style w:type="character" w:customStyle="1" w:styleId="159">
    <w:name w:val="font12gray1"/>
    <w:autoRedefine/>
    <w:qFormat/>
    <w:uiPriority w:val="0"/>
    <w:rPr>
      <w:rFonts w:ascii="仿宋_GB2312" w:eastAsia="微软雅黑"/>
      <w:b/>
      <w:spacing w:val="300"/>
      <w:kern w:val="2"/>
      <w:sz w:val="18"/>
      <w:szCs w:val="18"/>
      <w:lang w:val="en-US" w:eastAsia="zh-CN" w:bidi="ar-SA"/>
    </w:rPr>
  </w:style>
  <w:style w:type="character" w:customStyle="1" w:styleId="160">
    <w:name w:val="Char Char7"/>
    <w:autoRedefine/>
    <w:qFormat/>
    <w:uiPriority w:val="0"/>
    <w:rPr>
      <w:rFonts w:eastAsia="宋体"/>
      <w:kern w:val="2"/>
      <w:sz w:val="21"/>
      <w:szCs w:val="24"/>
      <w:lang w:val="en-US" w:eastAsia="zh-CN" w:bidi="ar-SA"/>
    </w:rPr>
  </w:style>
  <w:style w:type="character" w:customStyle="1" w:styleId="161">
    <w:name w:val="表名 Char"/>
    <w:autoRedefine/>
    <w:qFormat/>
    <w:uiPriority w:val="0"/>
    <w:rPr>
      <w:rFonts w:eastAsia="宋体"/>
      <w:b/>
      <w:bCs/>
      <w:kern w:val="2"/>
      <w:sz w:val="24"/>
      <w:szCs w:val="24"/>
      <w:lang w:val="en-US" w:eastAsia="zh-CN" w:bidi="ar-SA"/>
    </w:rPr>
  </w:style>
  <w:style w:type="character" w:customStyle="1" w:styleId="162">
    <w:name w:val="Document Map Char"/>
    <w:autoRedefine/>
    <w:qFormat/>
    <w:locked/>
    <w:uiPriority w:val="0"/>
    <w:rPr>
      <w:rFonts w:eastAsia="宋体"/>
      <w:kern w:val="2"/>
      <w:sz w:val="21"/>
      <w:szCs w:val="24"/>
      <w:lang w:val="en-US" w:eastAsia="zh-CN" w:bidi="ar-SA"/>
    </w:rPr>
  </w:style>
  <w:style w:type="character" w:customStyle="1" w:styleId="163">
    <w:name w:val="font41"/>
    <w:autoRedefine/>
    <w:qFormat/>
    <w:uiPriority w:val="0"/>
    <w:rPr>
      <w:rFonts w:hint="eastAsia" w:ascii="仿宋_GB2312" w:eastAsia="仿宋_GB2312" w:cs="仿宋_GB2312"/>
      <w:color w:val="000000"/>
      <w:sz w:val="22"/>
      <w:szCs w:val="22"/>
      <w:u w:val="none"/>
    </w:rPr>
  </w:style>
  <w:style w:type="character" w:customStyle="1" w:styleId="164">
    <w:name w:val="标题 6 Char"/>
    <w:link w:val="9"/>
    <w:autoRedefine/>
    <w:qFormat/>
    <w:uiPriority w:val="0"/>
    <w:rPr>
      <w:rFonts w:ascii="Arial" w:hAnsi="Arial" w:eastAsia="黑体"/>
      <w:b/>
      <w:bCs/>
      <w:kern w:val="2"/>
      <w:sz w:val="24"/>
      <w:szCs w:val="24"/>
    </w:rPr>
  </w:style>
  <w:style w:type="character" w:customStyle="1" w:styleId="165">
    <w:name w:val="纯文本 Char_0"/>
    <w:link w:val="166"/>
    <w:autoRedefine/>
    <w:qFormat/>
    <w:uiPriority w:val="0"/>
    <w:rPr>
      <w:rFonts w:ascii="宋体" w:hAnsi="Courier New"/>
      <w:kern w:val="2"/>
      <w:sz w:val="21"/>
      <w:szCs w:val="21"/>
      <w:lang w:val="en-US" w:eastAsia="zh-CN"/>
    </w:rPr>
  </w:style>
  <w:style w:type="paragraph" w:customStyle="1" w:styleId="166">
    <w:name w:val="纯文本_0_0"/>
    <w:basedOn w:val="167"/>
    <w:link w:val="165"/>
    <w:autoRedefine/>
    <w:qFormat/>
    <w:uiPriority w:val="0"/>
    <w:rPr>
      <w:rFonts w:ascii="宋体" w:hAnsi="Courier New"/>
      <w:szCs w:val="21"/>
    </w:rPr>
  </w:style>
  <w:style w:type="paragraph" w:customStyle="1" w:styleId="167">
    <w:name w:val="正文_1_0"/>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68">
    <w:name w:val="Balloon Text Char"/>
    <w:autoRedefine/>
    <w:qFormat/>
    <w:locked/>
    <w:uiPriority w:val="0"/>
    <w:rPr>
      <w:rFonts w:eastAsia="宋体"/>
      <w:kern w:val="2"/>
      <w:sz w:val="18"/>
      <w:szCs w:val="18"/>
      <w:lang w:val="en-US" w:eastAsia="zh-CN" w:bidi="ar-SA"/>
    </w:rPr>
  </w:style>
  <w:style w:type="character" w:customStyle="1" w:styleId="169">
    <w:name w:val="正文 项目2 Char"/>
    <w:basedOn w:val="170"/>
    <w:autoRedefine/>
    <w:qFormat/>
    <w:uiPriority w:val="0"/>
    <w:rPr>
      <w:rFonts w:ascii="仿宋_GB2312" w:hAnsi="仿宋_GB2312" w:eastAsia="仿宋_GB2312"/>
      <w:kern w:val="2"/>
      <w:sz w:val="24"/>
      <w:lang w:bidi="ar-SA"/>
    </w:rPr>
  </w:style>
  <w:style w:type="character" w:customStyle="1" w:styleId="170">
    <w:name w:val="正文 项目 Char"/>
    <w:autoRedefine/>
    <w:qFormat/>
    <w:uiPriority w:val="0"/>
    <w:rPr>
      <w:rFonts w:ascii="仿宋_GB2312" w:hAnsi="仿宋_GB2312" w:eastAsia="仿宋_GB2312"/>
      <w:kern w:val="2"/>
      <w:sz w:val="24"/>
      <w:lang w:bidi="ar-SA"/>
    </w:rPr>
  </w:style>
  <w:style w:type="character" w:customStyle="1" w:styleId="171">
    <w:name w:val="h Char Char1"/>
    <w:autoRedefine/>
    <w:qFormat/>
    <w:uiPriority w:val="0"/>
    <w:rPr>
      <w:rFonts w:eastAsia="宋体"/>
      <w:kern w:val="2"/>
      <w:sz w:val="18"/>
      <w:szCs w:val="18"/>
      <w:lang w:val="en-US" w:eastAsia="zh-CN" w:bidi="ar-SA"/>
    </w:rPr>
  </w:style>
  <w:style w:type="character" w:customStyle="1" w:styleId="172">
    <w:name w:val="Char Char27"/>
    <w:autoRedefine/>
    <w:qFormat/>
    <w:uiPriority w:val="6"/>
    <w:rPr>
      <w:rFonts w:ascii="宋体" w:hAnsi="宋体" w:eastAsia="宋体"/>
      <w:color w:val="000000"/>
      <w:kern w:val="1"/>
      <w:sz w:val="28"/>
      <w:lang w:val="en-US" w:eastAsia="zh-CN" w:bidi="ar-SA"/>
    </w:rPr>
  </w:style>
  <w:style w:type="character" w:customStyle="1" w:styleId="173">
    <w:name w:val="px14"/>
    <w:autoRedefine/>
    <w:qFormat/>
    <w:uiPriority w:val="0"/>
    <w:rPr>
      <w:rFonts w:ascii="仿宋_GB2312" w:eastAsia="微软雅黑" w:cs="Times New Roman"/>
      <w:b/>
      <w:kern w:val="2"/>
      <w:sz w:val="32"/>
      <w:szCs w:val="32"/>
      <w:lang w:val="en-US" w:eastAsia="zh-CN" w:bidi="ar-SA"/>
    </w:rPr>
  </w:style>
  <w:style w:type="character" w:customStyle="1" w:styleId="174">
    <w:name w:val="HTML 预设格式 Char1"/>
    <w:autoRedefine/>
    <w:qFormat/>
    <w:uiPriority w:val="0"/>
    <w:rPr>
      <w:rFonts w:ascii="Courier New" w:hAnsi="Courier New" w:eastAsia="宋体" w:cs="Courier New"/>
      <w:sz w:val="20"/>
      <w:szCs w:val="20"/>
    </w:rPr>
  </w:style>
  <w:style w:type="character" w:customStyle="1" w:styleId="175">
    <w:name w:val="普通文字 Char1"/>
    <w:autoRedefine/>
    <w:qFormat/>
    <w:uiPriority w:val="0"/>
    <w:rPr>
      <w:rFonts w:ascii="宋体" w:hAnsi="Courier New" w:eastAsia="宋体"/>
      <w:kern w:val="2"/>
      <w:sz w:val="21"/>
      <w:lang w:val="en-US" w:eastAsia="zh-CN"/>
    </w:rPr>
  </w:style>
  <w:style w:type="character" w:customStyle="1" w:styleId="176">
    <w:name w:val="hei16b1"/>
    <w:autoRedefine/>
    <w:qFormat/>
    <w:uiPriority w:val="0"/>
    <w:rPr>
      <w:rFonts w:hint="default" w:ascii="Arial" w:hAnsi="Arial" w:cs="Arial"/>
      <w:b/>
      <w:bCs/>
      <w:color w:val="000000"/>
      <w:sz w:val="24"/>
      <w:szCs w:val="24"/>
    </w:rPr>
  </w:style>
  <w:style w:type="character" w:customStyle="1" w:styleId="177">
    <w:name w:val="正文（绿盟科技） Char"/>
    <w:link w:val="178"/>
    <w:autoRedefine/>
    <w:qFormat/>
    <w:uiPriority w:val="0"/>
    <w:rPr>
      <w:rFonts w:ascii="Arial" w:hAnsi="Arial"/>
      <w:sz w:val="21"/>
      <w:szCs w:val="21"/>
    </w:rPr>
  </w:style>
  <w:style w:type="paragraph" w:customStyle="1" w:styleId="178">
    <w:name w:val="正文（绿盟科技）"/>
    <w:link w:val="177"/>
    <w:autoRedefine/>
    <w:qFormat/>
    <w:uiPriority w:val="0"/>
    <w:pPr>
      <w:spacing w:line="300" w:lineRule="auto"/>
    </w:pPr>
    <w:rPr>
      <w:rFonts w:ascii="Arial" w:hAnsi="Arial" w:eastAsia="宋体" w:cs="Times New Roman"/>
      <w:sz w:val="21"/>
      <w:szCs w:val="21"/>
      <w:lang w:val="en-US" w:eastAsia="zh-CN" w:bidi="ar-SA"/>
    </w:rPr>
  </w:style>
  <w:style w:type="character" w:customStyle="1" w:styleId="179">
    <w:name w:val="Char Char19"/>
    <w:autoRedefine/>
    <w:qFormat/>
    <w:uiPriority w:val="0"/>
    <w:rPr>
      <w:rFonts w:ascii="宋体" w:hAnsi="宋体"/>
      <w:i/>
      <w:sz w:val="24"/>
      <w:szCs w:val="24"/>
    </w:rPr>
  </w:style>
  <w:style w:type="character" w:customStyle="1" w:styleId="180">
    <w:name w:val="页脚 Char"/>
    <w:autoRedefine/>
    <w:qFormat/>
    <w:uiPriority w:val="99"/>
    <w:rPr>
      <w:rFonts w:eastAsia="仿宋_GB2312"/>
      <w:kern w:val="2"/>
      <w:sz w:val="18"/>
      <w:lang w:val="en-US" w:eastAsia="zh-CN"/>
    </w:rPr>
  </w:style>
  <w:style w:type="character" w:customStyle="1" w:styleId="181">
    <w:name w:val="批注主题 Char"/>
    <w:autoRedefine/>
    <w:qFormat/>
    <w:uiPriority w:val="0"/>
    <w:rPr>
      <w:rFonts w:eastAsia="宋体"/>
      <w:b/>
      <w:bCs/>
      <w:kern w:val="2"/>
      <w:sz w:val="21"/>
      <w:szCs w:val="24"/>
      <w:lang w:val="en-US" w:eastAsia="zh-CN" w:bidi="ar-SA"/>
    </w:rPr>
  </w:style>
  <w:style w:type="character" w:customStyle="1" w:styleId="182">
    <w:name w:val="Comment Text Char"/>
    <w:autoRedefine/>
    <w:qFormat/>
    <w:locked/>
    <w:uiPriority w:val="0"/>
    <w:rPr>
      <w:rFonts w:ascii="宋体" w:hAnsi="宋体" w:eastAsia="宋体"/>
      <w:kern w:val="2"/>
      <w:sz w:val="24"/>
      <w:lang w:val="en-US" w:eastAsia="zh-CN" w:bidi="ar-SA"/>
    </w:rPr>
  </w:style>
  <w:style w:type="character" w:customStyle="1" w:styleId="183">
    <w:name w:val="标题 2 字符"/>
    <w:autoRedefine/>
    <w:qFormat/>
    <w:uiPriority w:val="9"/>
    <w:rPr>
      <w:rFonts w:ascii="仿宋_GB2312" w:hAnsi="Times New Roman" w:eastAsia="仿宋_GB2312" w:cs="Times New Roman"/>
      <w:b/>
      <w:kern w:val="2"/>
      <w:sz w:val="24"/>
      <w:lang w:val="zh-CN"/>
    </w:rPr>
  </w:style>
  <w:style w:type="character" w:customStyle="1" w:styleId="184">
    <w:name w:val="Char Char72"/>
    <w:autoRedefine/>
    <w:qFormat/>
    <w:uiPriority w:val="0"/>
    <w:rPr>
      <w:rFonts w:eastAsia="宋体"/>
      <w:kern w:val="2"/>
      <w:sz w:val="21"/>
      <w:szCs w:val="24"/>
      <w:lang w:val="en-US" w:eastAsia="zh-CN" w:bidi="ar-SA"/>
    </w:rPr>
  </w:style>
  <w:style w:type="character" w:customStyle="1" w:styleId="185">
    <w:name w:val="正文文本缩进 Char2"/>
    <w:autoRedefine/>
    <w:qFormat/>
    <w:uiPriority w:val="0"/>
    <w:rPr>
      <w:rFonts w:ascii="Times New Roman" w:hAnsi="Times New Roman" w:eastAsia="宋体" w:cs="Times New Roman"/>
      <w:snapToGrid w:val="0"/>
      <w:kern w:val="0"/>
      <w:szCs w:val="24"/>
    </w:rPr>
  </w:style>
  <w:style w:type="character" w:customStyle="1" w:styleId="186">
    <w:name w:val="样式2 Char"/>
    <w:autoRedefine/>
    <w:qFormat/>
    <w:uiPriority w:val="0"/>
    <w:rPr>
      <w:rFonts w:ascii="仿宋_GB2312" w:hAnsi="仿宋" w:eastAsia="仿宋_GB2312" w:cs="仿宋_GB2312"/>
      <w:b/>
      <w:bCs/>
      <w:sz w:val="32"/>
      <w:szCs w:val="30"/>
      <w:lang w:val="zh-CN"/>
    </w:rPr>
  </w:style>
  <w:style w:type="character" w:customStyle="1" w:styleId="187">
    <w:name w:val="表格名称[858D7CFB-ED40-4347-BF05-701D383B685F]"/>
    <w:link w:val="188"/>
    <w:autoRedefine/>
    <w:qFormat/>
    <w:uiPriority w:val="0"/>
    <w:rPr>
      <w:sz w:val="32"/>
    </w:rPr>
  </w:style>
  <w:style w:type="paragraph" w:customStyle="1" w:styleId="188">
    <w:name w:val="表格名称"/>
    <w:basedOn w:val="4"/>
    <w:link w:val="187"/>
    <w:autoRedefine/>
    <w:qFormat/>
    <w:uiPriority w:val="0"/>
    <w:pPr>
      <w:snapToGrid w:val="0"/>
      <w:spacing w:before="240" w:after="240" w:line="240" w:lineRule="auto"/>
      <w:ind w:left="0" w:firstLine="0"/>
      <w:jc w:val="center"/>
    </w:pPr>
    <w:rPr>
      <w:rFonts w:ascii="Calibri" w:hAnsi="Calibri" w:eastAsia="宋体"/>
      <w:b w:val="0"/>
      <w:bCs w:val="0"/>
      <w:kern w:val="0"/>
      <w:szCs w:val="20"/>
    </w:rPr>
  </w:style>
  <w:style w:type="character" w:customStyle="1" w:styleId="189">
    <w:name w:val="Char Char4"/>
    <w:autoRedefine/>
    <w:qFormat/>
    <w:uiPriority w:val="0"/>
    <w:rPr>
      <w:rFonts w:eastAsia="宋体"/>
      <w:b/>
      <w:sz w:val="24"/>
      <w:lang w:val="en-GB" w:eastAsia="zh-CN" w:bidi="ar-SA"/>
    </w:rPr>
  </w:style>
  <w:style w:type="character" w:customStyle="1" w:styleId="190">
    <w:name w:val="c7 style3"/>
    <w:autoRedefine/>
    <w:qFormat/>
    <w:uiPriority w:val="0"/>
  </w:style>
  <w:style w:type="character" w:customStyle="1" w:styleId="191">
    <w:name w:val="正文文本 3 Char1"/>
    <w:autoRedefine/>
    <w:semiHidden/>
    <w:qFormat/>
    <w:uiPriority w:val="99"/>
    <w:rPr>
      <w:rFonts w:ascii="Times New Roman" w:hAnsi="Times New Roman" w:eastAsia="宋体" w:cs="Times New Roman"/>
      <w:sz w:val="16"/>
      <w:szCs w:val="16"/>
    </w:rPr>
  </w:style>
  <w:style w:type="character" w:customStyle="1" w:styleId="192">
    <w:name w:val="tw4winInternal"/>
    <w:autoRedefine/>
    <w:qFormat/>
    <w:uiPriority w:val="0"/>
    <w:rPr>
      <w:rFonts w:ascii="Courier New" w:hAnsi="Courier New" w:cs="Courier New"/>
      <w:color w:val="FF0000"/>
      <w:lang w:val="en-US" w:eastAsia="zh-CN"/>
    </w:rPr>
  </w:style>
  <w:style w:type="character" w:customStyle="1" w:styleId="193">
    <w:name w:val="Char Char10"/>
    <w:autoRedefine/>
    <w:semiHidden/>
    <w:qFormat/>
    <w:uiPriority w:val="0"/>
    <w:rPr>
      <w:rFonts w:ascii="宋体" w:hAnsi="宋体"/>
      <w:kern w:val="2"/>
      <w:sz w:val="21"/>
      <w:szCs w:val="24"/>
      <w:lang w:val="en-US" w:eastAsia="zh-CN"/>
    </w:rPr>
  </w:style>
  <w:style w:type="character" w:customStyle="1" w:styleId="194">
    <w:name w:val="shadow11"/>
    <w:autoRedefine/>
    <w:qFormat/>
    <w:uiPriority w:val="0"/>
    <w:rPr>
      <w:color w:val="000000"/>
      <w:sz w:val="21"/>
    </w:rPr>
  </w:style>
  <w:style w:type="character" w:customStyle="1" w:styleId="195">
    <w:name w:val="正文非缩进 Char3"/>
    <w:autoRedefine/>
    <w:qFormat/>
    <w:uiPriority w:val="0"/>
    <w:rPr>
      <w:rFonts w:ascii="宋体" w:eastAsia="宋体"/>
      <w:snapToGrid w:val="0"/>
      <w:color w:val="000000"/>
      <w:kern w:val="28"/>
      <w:sz w:val="28"/>
      <w:lang w:val="en-US" w:eastAsia="zh-CN" w:bidi="ar-SA"/>
    </w:rPr>
  </w:style>
  <w:style w:type="character" w:customStyle="1" w:styleId="196">
    <w:name w:val="Char Char"/>
    <w:autoRedefine/>
    <w:qFormat/>
    <w:uiPriority w:val="0"/>
    <w:rPr>
      <w:rFonts w:ascii="宋体" w:hAnsi="Courier New" w:eastAsia="宋体"/>
      <w:kern w:val="2"/>
      <w:sz w:val="21"/>
      <w:lang w:val="en-US" w:eastAsia="zh-CN" w:bidi="ar-SA"/>
    </w:rPr>
  </w:style>
  <w:style w:type="character" w:customStyle="1" w:styleId="197">
    <w:name w:val="签名 Char1"/>
    <w:autoRedefine/>
    <w:qFormat/>
    <w:uiPriority w:val="0"/>
    <w:rPr>
      <w:rFonts w:ascii="Times New Roman" w:hAnsi="Times New Roman" w:eastAsia="宋体" w:cs="Times New Roman"/>
      <w:szCs w:val="24"/>
    </w:rPr>
  </w:style>
  <w:style w:type="character" w:customStyle="1" w:styleId="198">
    <w:name w:val="日期 Char"/>
    <w:link w:val="46"/>
    <w:autoRedefine/>
    <w:qFormat/>
    <w:uiPriority w:val="0"/>
    <w:rPr>
      <w:rFonts w:ascii="宋体"/>
      <w:kern w:val="2"/>
      <w:sz w:val="24"/>
      <w:szCs w:val="21"/>
      <w:lang w:val="zh-CN"/>
    </w:rPr>
  </w:style>
  <w:style w:type="character" w:customStyle="1" w:styleId="199">
    <w:name w:val="标题 9 Char"/>
    <w:link w:val="12"/>
    <w:autoRedefine/>
    <w:qFormat/>
    <w:uiPriority w:val="0"/>
    <w:rPr>
      <w:rFonts w:ascii="Arial" w:hAnsi="Arial" w:eastAsia="黑体"/>
      <w:kern w:val="2"/>
      <w:sz w:val="21"/>
      <w:szCs w:val="21"/>
    </w:rPr>
  </w:style>
  <w:style w:type="character" w:customStyle="1" w:styleId="200">
    <w:name w:val="Char Char18"/>
    <w:autoRedefine/>
    <w:qFormat/>
    <w:uiPriority w:val="6"/>
    <w:rPr>
      <w:rFonts w:ascii="宋体" w:hAnsi="宋体"/>
      <w:sz w:val="28"/>
    </w:rPr>
  </w:style>
  <w:style w:type="character" w:customStyle="1" w:styleId="201">
    <w:name w:val="批注文字 Char"/>
    <w:autoRedefine/>
    <w:qFormat/>
    <w:uiPriority w:val="99"/>
    <w:rPr>
      <w:kern w:val="2"/>
      <w:sz w:val="21"/>
      <w:szCs w:val="24"/>
    </w:rPr>
  </w:style>
  <w:style w:type="character" w:customStyle="1" w:styleId="202">
    <w:name w:val="Char Char22"/>
    <w:autoRedefine/>
    <w:qFormat/>
    <w:uiPriority w:val="6"/>
    <w:rPr>
      <w:rFonts w:ascii="宋体" w:hAnsi="宋体"/>
      <w:kern w:val="1"/>
      <w:sz w:val="24"/>
      <w:szCs w:val="24"/>
    </w:rPr>
  </w:style>
  <w:style w:type="character" w:customStyle="1" w:styleId="203">
    <w:name w:val="pt141"/>
    <w:autoRedefine/>
    <w:qFormat/>
    <w:uiPriority w:val="0"/>
    <w:rPr>
      <w:color w:val="330066"/>
      <w:sz w:val="22"/>
      <w:szCs w:val="22"/>
    </w:rPr>
  </w:style>
  <w:style w:type="character" w:customStyle="1" w:styleId="204">
    <w:name w:val="正文文本缩进 2 Char1"/>
    <w:autoRedefine/>
    <w:semiHidden/>
    <w:qFormat/>
    <w:uiPriority w:val="99"/>
    <w:rPr>
      <w:rFonts w:ascii="Times New Roman" w:hAnsi="Times New Roman" w:eastAsia="宋体" w:cs="Times New Roman"/>
      <w:szCs w:val="24"/>
    </w:rPr>
  </w:style>
  <w:style w:type="character" w:customStyle="1" w:styleId="205">
    <w:name w:val="批注框文本 Char"/>
    <w:link w:val="50"/>
    <w:autoRedefine/>
    <w:qFormat/>
    <w:uiPriority w:val="99"/>
    <w:rPr>
      <w:kern w:val="2"/>
      <w:sz w:val="18"/>
      <w:szCs w:val="18"/>
    </w:rPr>
  </w:style>
  <w:style w:type="character" w:customStyle="1" w:styleId="206">
    <w:name w:val="Char Char611"/>
    <w:autoRedefine/>
    <w:qFormat/>
    <w:uiPriority w:val="0"/>
    <w:rPr>
      <w:rFonts w:eastAsia="宋体"/>
      <w:kern w:val="2"/>
      <w:sz w:val="21"/>
      <w:szCs w:val="24"/>
      <w:lang w:val="en-US" w:eastAsia="zh-CN" w:bidi="ar-SA"/>
    </w:rPr>
  </w:style>
  <w:style w:type="character" w:customStyle="1" w:styleId="207">
    <w:name w:val="highlight1"/>
    <w:autoRedefine/>
    <w:qFormat/>
    <w:uiPriority w:val="0"/>
    <w:rPr>
      <w:rFonts w:ascii="仿宋_GB2312" w:eastAsia="微软雅黑"/>
      <w:b/>
      <w:kern w:val="2"/>
      <w:sz w:val="23"/>
      <w:szCs w:val="23"/>
      <w:lang w:val="en-US" w:eastAsia="zh-CN" w:bidi="ar-SA"/>
    </w:rPr>
  </w:style>
  <w:style w:type="character" w:customStyle="1" w:styleId="208">
    <w:name w:val="my正文 Char"/>
    <w:link w:val="209"/>
    <w:autoRedefine/>
    <w:qFormat/>
    <w:locked/>
    <w:uiPriority w:val="0"/>
    <w:rPr>
      <w:rFonts w:ascii="Tahoma" w:hAnsi="Tahoma"/>
      <w:sz w:val="24"/>
      <w:szCs w:val="24"/>
    </w:rPr>
  </w:style>
  <w:style w:type="paragraph" w:customStyle="1" w:styleId="209">
    <w:name w:val="my正文"/>
    <w:basedOn w:val="1"/>
    <w:link w:val="208"/>
    <w:autoRedefine/>
    <w:qFormat/>
    <w:uiPriority w:val="0"/>
    <w:pPr>
      <w:adjustRightInd/>
      <w:spacing w:line="360" w:lineRule="auto"/>
      <w:ind w:firstLine="480" w:firstLineChars="200"/>
    </w:pPr>
    <w:rPr>
      <w:rFonts w:ascii="Tahoma" w:hAnsi="Tahoma"/>
      <w:kern w:val="0"/>
      <w:sz w:val="24"/>
    </w:rPr>
  </w:style>
  <w:style w:type="character" w:customStyle="1" w:styleId="210">
    <w:name w:val="正文缩进 Char2"/>
    <w:link w:val="6"/>
    <w:autoRedefine/>
    <w:qFormat/>
    <w:uiPriority w:val="0"/>
    <w:rPr>
      <w:rFonts w:ascii="宋体" w:eastAsia="宋体"/>
      <w:snapToGrid w:val="0"/>
      <w:color w:val="000000"/>
      <w:kern w:val="28"/>
      <w:sz w:val="28"/>
      <w:lang w:val="en-US" w:eastAsia="zh-CN" w:bidi="ar-SA"/>
    </w:rPr>
  </w:style>
  <w:style w:type="character" w:customStyle="1" w:styleId="211">
    <w:name w:val="Used by Word for text of Help footnotes Char Char1"/>
    <w:autoRedefine/>
    <w:qFormat/>
    <w:uiPriority w:val="0"/>
    <w:rPr>
      <w:color w:val="0000FF"/>
      <w:sz w:val="21"/>
    </w:rPr>
  </w:style>
  <w:style w:type="character" w:customStyle="1" w:styleId="212">
    <w:name w:val="页眉 Char"/>
    <w:autoRedefine/>
    <w:qFormat/>
    <w:uiPriority w:val="99"/>
    <w:rPr>
      <w:rFonts w:eastAsia="仿宋_GB2312"/>
      <w:kern w:val="2"/>
      <w:sz w:val="18"/>
      <w:lang w:val="en-US" w:eastAsia="zh-CN"/>
    </w:rPr>
  </w:style>
  <w:style w:type="character" w:customStyle="1" w:styleId="213">
    <w:name w:val="FA正文 Char Char"/>
    <w:autoRedefine/>
    <w:qFormat/>
    <w:uiPriority w:val="0"/>
    <w:rPr>
      <w:rFonts w:hAnsi="宋体"/>
      <w:kern w:val="2"/>
      <w:sz w:val="24"/>
      <w:lang w:bidi="ar-SA"/>
    </w:rPr>
  </w:style>
  <w:style w:type="character" w:customStyle="1" w:styleId="214">
    <w:name w:val="纯文本 字符"/>
    <w:autoRedefine/>
    <w:qFormat/>
    <w:uiPriority w:val="0"/>
    <w:rPr>
      <w:rFonts w:ascii="宋体" w:hAnsi="Courier New" w:eastAsia="宋体" w:cs="Arial"/>
      <w:snapToGrid w:val="0"/>
      <w:kern w:val="2"/>
      <w:sz w:val="21"/>
      <w:szCs w:val="21"/>
      <w:lang w:val="en-US" w:eastAsia="zh-CN" w:bidi="ar-SA"/>
    </w:rPr>
  </w:style>
  <w:style w:type="character" w:customStyle="1" w:styleId="215">
    <w:name w:val="3级 Char"/>
    <w:link w:val="216"/>
    <w:autoRedefine/>
    <w:qFormat/>
    <w:uiPriority w:val="0"/>
    <w:rPr>
      <w:rFonts w:ascii="宋体" w:hAnsi="宋体"/>
      <w:b/>
      <w:bCs/>
      <w:snapToGrid/>
      <w:sz w:val="28"/>
    </w:rPr>
  </w:style>
  <w:style w:type="paragraph" w:customStyle="1" w:styleId="216">
    <w:name w:val="3级"/>
    <w:basedOn w:val="217"/>
    <w:link w:val="215"/>
    <w:autoRedefine/>
    <w:qFormat/>
    <w:uiPriority w:val="0"/>
    <w:pPr>
      <w:ind w:left="0" w:right="466" w:firstLine="288"/>
    </w:pPr>
    <w:rPr>
      <w:rFonts w:hAnsi="宋体"/>
      <w:snapToGrid/>
    </w:rPr>
  </w:style>
  <w:style w:type="paragraph" w:customStyle="1" w:styleId="217">
    <w:name w:val="样式 标题 3h33rd level3BOD 0H3l3CTHeading 3 - oldLevel 3 He..."/>
    <w:basedOn w:val="5"/>
    <w:autoRedefine/>
    <w:qFormat/>
    <w:uiPriority w:val="99"/>
    <w:pPr>
      <w:keepLines w:val="0"/>
      <w:widowControl/>
      <w:tabs>
        <w:tab w:val="clear" w:pos="900"/>
      </w:tabs>
      <w:adjustRightInd/>
      <w:spacing w:before="240" w:after="240" w:line="360" w:lineRule="auto"/>
      <w:ind w:left="851" w:right="407" w:rightChars="194" w:hanging="851"/>
      <w:jc w:val="left"/>
    </w:pPr>
    <w:rPr>
      <w:rFonts w:ascii="宋体" w:hAnsi="Arial"/>
      <w:snapToGrid w:val="0"/>
      <w:kern w:val="0"/>
      <w:sz w:val="28"/>
      <w:szCs w:val="20"/>
    </w:rPr>
  </w:style>
  <w:style w:type="character" w:customStyle="1" w:styleId="218">
    <w:name w:val="myp11"/>
    <w:autoRedefine/>
    <w:qFormat/>
    <w:uiPriority w:val="0"/>
    <w:rPr>
      <w:rFonts w:ascii="仿宋_GB2312" w:eastAsia="微软雅黑"/>
      <w:b/>
      <w:kern w:val="2"/>
      <w:sz w:val="32"/>
      <w:szCs w:val="32"/>
      <w:lang w:val="en-US" w:eastAsia="zh-CN" w:bidi="ar-SA"/>
    </w:rPr>
  </w:style>
  <w:style w:type="character" w:customStyle="1" w:styleId="219">
    <w:name w:val="文档结构图 Char1"/>
    <w:link w:val="23"/>
    <w:autoRedefine/>
    <w:qFormat/>
    <w:uiPriority w:val="0"/>
    <w:rPr>
      <w:kern w:val="2"/>
      <w:sz w:val="21"/>
      <w:szCs w:val="24"/>
      <w:shd w:val="clear" w:color="auto" w:fill="000080"/>
    </w:rPr>
  </w:style>
  <w:style w:type="character" w:customStyle="1" w:styleId="220">
    <w:name w:val="H6 Char"/>
    <w:autoRedefine/>
    <w:qFormat/>
    <w:uiPriority w:val="0"/>
    <w:rPr>
      <w:rFonts w:ascii="Arial" w:hAnsi="Arial" w:eastAsia="黑体"/>
      <w:b/>
      <w:bCs/>
      <w:kern w:val="2"/>
      <w:sz w:val="24"/>
      <w:szCs w:val="24"/>
    </w:rPr>
  </w:style>
  <w:style w:type="character" w:customStyle="1" w:styleId="221">
    <w:name w:val="Char Char91"/>
    <w:autoRedefine/>
    <w:qFormat/>
    <w:uiPriority w:val="0"/>
    <w:rPr>
      <w:rFonts w:eastAsia="宋体"/>
      <w:kern w:val="2"/>
      <w:sz w:val="18"/>
      <w:szCs w:val="18"/>
      <w:lang w:val="en-US" w:eastAsia="zh-CN" w:bidi="ar-SA"/>
    </w:rPr>
  </w:style>
  <w:style w:type="character" w:customStyle="1" w:styleId="222">
    <w:name w:val="副标题 Char1"/>
    <w:autoRedefine/>
    <w:qFormat/>
    <w:uiPriority w:val="0"/>
    <w:rPr>
      <w:rFonts w:ascii="Cambria" w:hAnsi="Cambria" w:eastAsia="宋体" w:cs="Times New Roman"/>
      <w:b/>
      <w:bCs/>
      <w:snapToGrid w:val="0"/>
      <w:kern w:val="28"/>
      <w:sz w:val="32"/>
      <w:szCs w:val="32"/>
    </w:rPr>
  </w:style>
  <w:style w:type="character" w:customStyle="1" w:styleId="223">
    <w:name w:val="font61"/>
    <w:autoRedefine/>
    <w:qFormat/>
    <w:uiPriority w:val="0"/>
    <w:rPr>
      <w:rFonts w:hint="eastAsia" w:ascii="仿宋" w:hAnsi="仿宋" w:eastAsia="仿宋" w:cs="仿宋"/>
      <w:color w:val="000000"/>
      <w:sz w:val="20"/>
      <w:szCs w:val="20"/>
      <w:u w:val="none"/>
    </w:rPr>
  </w:style>
  <w:style w:type="character" w:customStyle="1" w:styleId="224">
    <w:name w:val="bod1"/>
    <w:autoRedefine/>
    <w:qFormat/>
    <w:uiPriority w:val="0"/>
    <w:rPr>
      <w:rFonts w:ascii="MS Sans Serif" w:hAnsi="MS Sans Serif" w:eastAsia="微软雅黑" w:cs="Times New Roman"/>
      <w:b/>
      <w:color w:val="000000"/>
      <w:kern w:val="2"/>
      <w:sz w:val="20"/>
      <w:szCs w:val="20"/>
      <w:lang w:val="en-US" w:eastAsia="zh-CN" w:bidi="ar-SA"/>
    </w:rPr>
  </w:style>
  <w:style w:type="character" w:customStyle="1" w:styleId="225">
    <w:name w:val="Char Char211"/>
    <w:autoRedefine/>
    <w:qFormat/>
    <w:uiPriority w:val="0"/>
    <w:rPr>
      <w:rFonts w:eastAsia="宋体"/>
      <w:b/>
      <w:bCs/>
      <w:kern w:val="2"/>
      <w:sz w:val="21"/>
      <w:szCs w:val="24"/>
      <w:lang w:val="en-US" w:eastAsia="zh-CN" w:bidi="ar-SA"/>
    </w:rPr>
  </w:style>
  <w:style w:type="character" w:customStyle="1" w:styleId="226">
    <w:name w:val="标题 2 Char"/>
    <w:autoRedefine/>
    <w:qFormat/>
    <w:uiPriority w:val="0"/>
    <w:rPr>
      <w:rFonts w:ascii="Arial" w:hAnsi="Arial" w:eastAsia="黑体"/>
      <w:b/>
      <w:kern w:val="2"/>
      <w:sz w:val="32"/>
      <w:lang w:val="en-US" w:eastAsia="zh-CN"/>
    </w:rPr>
  </w:style>
  <w:style w:type="character" w:customStyle="1" w:styleId="227">
    <w:name w:val="maywed421"/>
    <w:autoRedefine/>
    <w:qFormat/>
    <w:uiPriority w:val="0"/>
    <w:rPr>
      <w:color w:val="366FB6"/>
      <w:u w:val="none"/>
    </w:rPr>
  </w:style>
  <w:style w:type="character" w:customStyle="1" w:styleId="228">
    <w:name w:val="正文文本缩进 Char"/>
    <w:autoRedefine/>
    <w:qFormat/>
    <w:uiPriority w:val="0"/>
    <w:rPr>
      <w:rFonts w:ascii="宋体" w:hAnsi="宋体"/>
      <w:kern w:val="2"/>
      <w:sz w:val="24"/>
      <w:szCs w:val="24"/>
    </w:rPr>
  </w:style>
  <w:style w:type="character" w:customStyle="1" w:styleId="229">
    <w:name w:val="Char Char102"/>
    <w:autoRedefine/>
    <w:semiHidden/>
    <w:qFormat/>
    <w:uiPriority w:val="0"/>
    <w:rPr>
      <w:rFonts w:ascii="宋体" w:hAnsi="宋体"/>
      <w:kern w:val="2"/>
      <w:sz w:val="21"/>
      <w:szCs w:val="24"/>
      <w:lang w:val="en-US" w:eastAsia="zh-CN"/>
    </w:rPr>
  </w:style>
  <w:style w:type="character" w:customStyle="1" w:styleId="230">
    <w:name w:val="页眉 Char1"/>
    <w:autoRedefine/>
    <w:qFormat/>
    <w:uiPriority w:val="0"/>
    <w:rPr>
      <w:rFonts w:eastAsia="宋体"/>
      <w:kern w:val="2"/>
      <w:sz w:val="18"/>
      <w:szCs w:val="18"/>
      <w:lang w:val="en-US" w:eastAsia="zh-CN" w:bidi="ar-SA"/>
    </w:rPr>
  </w:style>
  <w:style w:type="character" w:customStyle="1" w:styleId="231">
    <w:name w:val="md"/>
    <w:basedOn w:val="87"/>
    <w:autoRedefine/>
    <w:qFormat/>
    <w:uiPriority w:val="0"/>
    <w:rPr>
      <w:rFonts w:ascii="Arial" w:hAnsi="Arial" w:eastAsia="黑体" w:cs="Arial"/>
      <w:snapToGrid w:val="0"/>
      <w:kern w:val="0"/>
      <w:szCs w:val="21"/>
    </w:rPr>
  </w:style>
  <w:style w:type="character" w:customStyle="1" w:styleId="232">
    <w:name w:val="big1"/>
    <w:autoRedefine/>
    <w:qFormat/>
    <w:uiPriority w:val="0"/>
    <w:rPr>
      <w:rFonts w:hint="eastAsia" w:ascii="宋体" w:hAnsi="宋体" w:eastAsia="宋体"/>
      <w:color w:val="333333"/>
      <w:sz w:val="22"/>
      <w:szCs w:val="22"/>
    </w:rPr>
  </w:style>
  <w:style w:type="character" w:customStyle="1" w:styleId="233">
    <w:name w:val="Char Char311"/>
    <w:autoRedefine/>
    <w:qFormat/>
    <w:uiPriority w:val="0"/>
    <w:rPr>
      <w:rFonts w:eastAsia="宋体"/>
      <w:kern w:val="2"/>
      <w:sz w:val="21"/>
      <w:szCs w:val="24"/>
      <w:lang w:val="en-US" w:eastAsia="zh-CN" w:bidi="ar-SA"/>
    </w:rPr>
  </w:style>
  <w:style w:type="character" w:customStyle="1" w:styleId="234">
    <w:name w:val="Char Char81"/>
    <w:autoRedefine/>
    <w:qFormat/>
    <w:uiPriority w:val="6"/>
    <w:rPr>
      <w:rFonts w:eastAsia="宋体"/>
      <w:b/>
      <w:sz w:val="24"/>
      <w:lang w:val="en-GB" w:eastAsia="zh-CN"/>
    </w:rPr>
  </w:style>
  <w:style w:type="character" w:customStyle="1" w:styleId="235">
    <w:name w:val="样式3 Char"/>
    <w:basedOn w:val="186"/>
    <w:autoRedefine/>
    <w:qFormat/>
    <w:uiPriority w:val="0"/>
    <w:rPr>
      <w:rFonts w:ascii="仿宋_GB2312" w:hAnsi="仿宋" w:eastAsia="仿宋_GB2312" w:cs="仿宋_GB2312"/>
      <w:sz w:val="32"/>
      <w:szCs w:val="30"/>
      <w:lang w:val="zh-CN"/>
    </w:rPr>
  </w:style>
  <w:style w:type="character" w:customStyle="1" w:styleId="236">
    <w:name w:val="HTML 地址 Char"/>
    <w:link w:val="37"/>
    <w:autoRedefine/>
    <w:qFormat/>
    <w:uiPriority w:val="0"/>
    <w:rPr>
      <w:rFonts w:ascii="宋体" w:hAnsi="宋体"/>
      <w:i/>
      <w:iCs/>
      <w:sz w:val="24"/>
      <w:szCs w:val="24"/>
    </w:rPr>
  </w:style>
  <w:style w:type="character" w:customStyle="1" w:styleId="237">
    <w:name w:val="正文首行缩进 2 Char1"/>
    <w:autoRedefine/>
    <w:qFormat/>
    <w:uiPriority w:val="0"/>
    <w:rPr>
      <w:rFonts w:ascii="Times New Roman" w:hAnsi="Times New Roman" w:eastAsia="宋体" w:cs="Times New Roman"/>
      <w:kern w:val="2"/>
      <w:sz w:val="24"/>
      <w:szCs w:val="24"/>
    </w:rPr>
  </w:style>
  <w:style w:type="character" w:customStyle="1" w:styleId="238">
    <w:name w:val="副标题 Char2"/>
    <w:autoRedefine/>
    <w:qFormat/>
    <w:uiPriority w:val="0"/>
    <w:rPr>
      <w:rFonts w:ascii="Cambria" w:hAnsi="Cambria" w:eastAsia="宋体" w:cs="Times New Roman"/>
      <w:b/>
      <w:bCs/>
      <w:snapToGrid w:val="0"/>
      <w:kern w:val="28"/>
      <w:sz w:val="32"/>
      <w:szCs w:val="32"/>
    </w:rPr>
  </w:style>
  <w:style w:type="character" w:customStyle="1" w:styleId="239">
    <w:name w:val="标题4-dyf Char"/>
    <w:link w:val="240"/>
    <w:autoRedefine/>
    <w:qFormat/>
    <w:uiPriority w:val="0"/>
    <w:rPr>
      <w:rFonts w:ascii="Cambria" w:hAnsi="Cambria"/>
      <w:b/>
      <w:bCs/>
      <w:color w:val="000000"/>
      <w:kern w:val="2"/>
      <w:sz w:val="21"/>
      <w:szCs w:val="21"/>
    </w:rPr>
  </w:style>
  <w:style w:type="paragraph" w:customStyle="1" w:styleId="240">
    <w:name w:val="标题4-dyf"/>
    <w:basedOn w:val="7"/>
    <w:link w:val="239"/>
    <w:autoRedefine/>
    <w:qFormat/>
    <w:uiPriority w:val="0"/>
    <w:pPr>
      <w:tabs>
        <w:tab w:val="left" w:pos="851"/>
        <w:tab w:val="clear" w:pos="864"/>
      </w:tabs>
      <w:adjustRightInd/>
      <w:spacing w:line="376" w:lineRule="atLeast"/>
      <w:ind w:left="851" w:hanging="851"/>
    </w:pPr>
    <w:rPr>
      <w:rFonts w:ascii="Cambria" w:hAnsi="Cambria" w:eastAsia="宋体"/>
      <w:color w:val="000000"/>
      <w:sz w:val="21"/>
      <w:szCs w:val="21"/>
    </w:rPr>
  </w:style>
  <w:style w:type="character" w:customStyle="1" w:styleId="241">
    <w:name w:val="dectext1"/>
    <w:autoRedefine/>
    <w:qFormat/>
    <w:uiPriority w:val="0"/>
    <w:rPr>
      <w:rFonts w:ascii="宋体" w:hAnsi="宋体" w:eastAsia="宋体"/>
      <w:color w:val="333333"/>
      <w:sz w:val="21"/>
      <w:szCs w:val="21"/>
      <w:u w:val="none"/>
    </w:rPr>
  </w:style>
  <w:style w:type="character" w:customStyle="1" w:styleId="242">
    <w:name w:val="冯 Char"/>
    <w:link w:val="243"/>
    <w:autoRedefine/>
    <w:qFormat/>
    <w:uiPriority w:val="0"/>
    <w:rPr>
      <w:rFonts w:ascii="宋体" w:hAnsi="宋体"/>
      <w:color w:val="000000"/>
      <w:sz w:val="24"/>
      <w:szCs w:val="24"/>
    </w:rPr>
  </w:style>
  <w:style w:type="paragraph" w:customStyle="1" w:styleId="243">
    <w:name w:val="冯"/>
    <w:basedOn w:val="1"/>
    <w:link w:val="242"/>
    <w:autoRedefine/>
    <w:qFormat/>
    <w:uiPriority w:val="0"/>
    <w:pPr>
      <w:widowControl/>
      <w:adjustRightInd/>
      <w:spacing w:line="360" w:lineRule="auto"/>
      <w:ind w:firstLine="480" w:firstLineChars="200"/>
    </w:pPr>
    <w:rPr>
      <w:rFonts w:ascii="宋体" w:hAnsi="宋体"/>
      <w:color w:val="000000"/>
      <w:kern w:val="0"/>
      <w:sz w:val="24"/>
    </w:rPr>
  </w:style>
  <w:style w:type="character" w:customStyle="1" w:styleId="244">
    <w:name w:val="Header Char"/>
    <w:autoRedefine/>
    <w:qFormat/>
    <w:locked/>
    <w:uiPriority w:val="0"/>
    <w:rPr>
      <w:rFonts w:eastAsia="宋体"/>
      <w:kern w:val="2"/>
      <w:sz w:val="18"/>
      <w:szCs w:val="18"/>
      <w:lang w:val="en-US" w:eastAsia="zh-CN" w:bidi="ar-SA"/>
    </w:rPr>
  </w:style>
  <w:style w:type="character" w:customStyle="1" w:styleId="245">
    <w:name w:val="Char Char12"/>
    <w:autoRedefine/>
    <w:qFormat/>
    <w:uiPriority w:val="0"/>
    <w:rPr>
      <w:rFonts w:ascii="仿宋_GB2312" w:eastAsia="仿宋_GB2312"/>
      <w:b/>
      <w:bCs/>
      <w:kern w:val="2"/>
      <w:sz w:val="24"/>
      <w:szCs w:val="24"/>
      <w:lang w:val="zh-CN" w:eastAsia="zh-CN" w:bidi="ar-SA"/>
    </w:rPr>
  </w:style>
  <w:style w:type="character" w:customStyle="1" w:styleId="246">
    <w:name w:val="题注 Char"/>
    <w:link w:val="20"/>
    <w:autoRedefine/>
    <w:qFormat/>
    <w:uiPriority w:val="0"/>
    <w:rPr>
      <w:b/>
      <w:kern w:val="2"/>
      <w:sz w:val="28"/>
    </w:rPr>
  </w:style>
  <w:style w:type="character" w:customStyle="1" w:styleId="247">
    <w:name w:val="普通文字 Char3"/>
    <w:autoRedefine/>
    <w:qFormat/>
    <w:uiPriority w:val="0"/>
    <w:rPr>
      <w:rFonts w:ascii="宋体" w:hAnsi="Courier New" w:eastAsia="宋体"/>
      <w:kern w:val="2"/>
      <w:sz w:val="21"/>
      <w:lang w:val="en-US" w:eastAsia="zh-CN" w:bidi="ar-SA"/>
    </w:rPr>
  </w:style>
  <w:style w:type="character" w:customStyle="1" w:styleId="248">
    <w:name w:val="公文正文 Char"/>
    <w:autoRedefine/>
    <w:qFormat/>
    <w:uiPriority w:val="0"/>
    <w:rPr>
      <w:rFonts w:ascii="仿宋_GB2312" w:eastAsia="仿宋_GB2312"/>
      <w:kern w:val="2"/>
      <w:sz w:val="24"/>
      <w:szCs w:val="24"/>
      <w:lang w:val="en-US" w:eastAsia="zh-CN" w:bidi="ar-SA"/>
    </w:rPr>
  </w:style>
  <w:style w:type="character" w:customStyle="1" w:styleId="249">
    <w:name w:val="正文首行缩进 Char Char Char Char Char"/>
    <w:autoRedefine/>
    <w:qFormat/>
    <w:uiPriority w:val="0"/>
    <w:rPr>
      <w:rFonts w:ascii="宋体"/>
      <w:kern w:val="2"/>
      <w:sz w:val="24"/>
      <w:lang w:val="zh-CN"/>
    </w:rPr>
  </w:style>
  <w:style w:type="character" w:customStyle="1" w:styleId="250">
    <w:name w:val="PI Char"/>
    <w:autoRedefine/>
    <w:qFormat/>
    <w:uiPriority w:val="0"/>
    <w:rPr>
      <w:rFonts w:ascii="宋体" w:hAnsi="宋体" w:eastAsia="宋体"/>
      <w:kern w:val="2"/>
      <w:sz w:val="24"/>
      <w:szCs w:val="24"/>
      <w:lang w:val="en-US" w:eastAsia="zh-CN" w:bidi="ar-SA"/>
    </w:rPr>
  </w:style>
  <w:style w:type="character" w:customStyle="1" w:styleId="251">
    <w:name w:val="Default Char"/>
    <w:link w:val="252"/>
    <w:autoRedefine/>
    <w:qFormat/>
    <w:uiPriority w:val="0"/>
    <w:rPr>
      <w:rFonts w:ascii="仿宋_GB2312" w:eastAsia="仿宋_GB2312" w:cs="仿宋_GB2312"/>
      <w:color w:val="000000"/>
      <w:sz w:val="24"/>
      <w:szCs w:val="24"/>
      <w:lang w:val="en-US" w:eastAsia="zh-CN" w:bidi="ar-SA"/>
    </w:rPr>
  </w:style>
  <w:style w:type="paragraph" w:customStyle="1" w:styleId="252">
    <w:name w:val="Default"/>
    <w:link w:val="251"/>
    <w:autoRedefine/>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character" w:customStyle="1" w:styleId="253">
    <w:name w:val="style91"/>
    <w:autoRedefine/>
    <w:qFormat/>
    <w:uiPriority w:val="0"/>
    <w:rPr>
      <w:color w:val="333333"/>
    </w:rPr>
  </w:style>
  <w:style w:type="character" w:customStyle="1" w:styleId="254">
    <w:name w:val="列出段落 Char2"/>
    <w:autoRedefine/>
    <w:qFormat/>
    <w:uiPriority w:val="34"/>
    <w:rPr>
      <w:rFonts w:ascii="Calibri" w:hAnsi="Calibri"/>
      <w:kern w:val="2"/>
      <w:sz w:val="28"/>
    </w:rPr>
  </w:style>
  <w:style w:type="character" w:customStyle="1" w:styleId="255">
    <w:name w:val="mdeck"/>
    <w:autoRedefine/>
    <w:qFormat/>
    <w:uiPriority w:val="0"/>
    <w:rPr>
      <w:rFonts w:ascii="仿宋_GB2312" w:eastAsia="微软雅黑"/>
      <w:b/>
      <w:kern w:val="2"/>
      <w:sz w:val="32"/>
      <w:szCs w:val="32"/>
      <w:lang w:val="en-US" w:eastAsia="zh-CN" w:bidi="ar-SA"/>
    </w:rPr>
  </w:style>
  <w:style w:type="character" w:customStyle="1" w:styleId="256">
    <w:name w:val="unnamed11"/>
    <w:autoRedefine/>
    <w:qFormat/>
    <w:uiPriority w:val="0"/>
    <w:rPr>
      <w:sz w:val="20"/>
      <w:szCs w:val="20"/>
    </w:rPr>
  </w:style>
  <w:style w:type="character" w:customStyle="1" w:styleId="257">
    <w:name w:val="正文文本 Char2"/>
    <w:autoRedefine/>
    <w:semiHidden/>
    <w:qFormat/>
    <w:uiPriority w:val="99"/>
    <w:rPr>
      <w:rFonts w:ascii="Times New Roman" w:hAnsi="Times New Roman" w:eastAsia="宋体" w:cs="Times New Roman"/>
      <w:snapToGrid w:val="0"/>
      <w:kern w:val="0"/>
      <w:szCs w:val="24"/>
    </w:rPr>
  </w:style>
  <w:style w:type="character" w:customStyle="1" w:styleId="258">
    <w:name w:val="标书正文格式 Char"/>
    <w:autoRedefine/>
    <w:qFormat/>
    <w:uiPriority w:val="0"/>
    <w:rPr>
      <w:rFonts w:eastAsia="楷体_GB2312"/>
      <w:kern w:val="2"/>
      <w:sz w:val="24"/>
      <w:szCs w:val="24"/>
      <w:lang w:bidi="ar-SA"/>
    </w:rPr>
  </w:style>
  <w:style w:type="character" w:customStyle="1" w:styleId="259">
    <w:name w:val="Char Char11"/>
    <w:autoRedefine/>
    <w:qFormat/>
    <w:locked/>
    <w:uiPriority w:val="0"/>
    <w:rPr>
      <w:rFonts w:ascii="宋体" w:hAnsi="宋体" w:eastAsia="宋体"/>
      <w:b/>
      <w:kern w:val="2"/>
      <w:sz w:val="24"/>
      <w:szCs w:val="24"/>
      <w:lang w:val="en-US" w:eastAsia="zh-CN" w:bidi="ar-SA"/>
    </w:rPr>
  </w:style>
  <w:style w:type="character" w:customStyle="1" w:styleId="260">
    <w:name w:val="ca-131"/>
    <w:autoRedefine/>
    <w:qFormat/>
    <w:uiPriority w:val="0"/>
    <w:rPr>
      <w:rFonts w:hint="eastAsia" w:ascii="仿宋_GB2312" w:eastAsia="仿宋_GB2312"/>
      <w:b/>
      <w:bCs/>
      <w:color w:val="000000"/>
      <w:spacing w:val="-20"/>
      <w:sz w:val="24"/>
      <w:szCs w:val="24"/>
    </w:rPr>
  </w:style>
  <w:style w:type="character" w:customStyle="1" w:styleId="261">
    <w:name w:val="tw4winMark"/>
    <w:autoRedefine/>
    <w:qFormat/>
    <w:uiPriority w:val="0"/>
    <w:rPr>
      <w:rFonts w:ascii="Courier New" w:hAnsi="Courier New" w:cs="Courier New"/>
      <w:vanish/>
      <w:color w:val="800080"/>
      <w:sz w:val="24"/>
      <w:szCs w:val="24"/>
      <w:vertAlign w:val="subscript"/>
    </w:rPr>
  </w:style>
  <w:style w:type="character" w:customStyle="1" w:styleId="262">
    <w:name w:val="正文样式 Char"/>
    <w:link w:val="263"/>
    <w:autoRedefine/>
    <w:qFormat/>
    <w:uiPriority w:val="0"/>
    <w:rPr>
      <w:rFonts w:ascii="Calibri" w:hAnsi="Calibri"/>
      <w:sz w:val="24"/>
      <w:szCs w:val="24"/>
    </w:rPr>
  </w:style>
  <w:style w:type="paragraph" w:customStyle="1" w:styleId="263">
    <w:name w:val="正文样式"/>
    <w:basedOn w:val="1"/>
    <w:link w:val="262"/>
    <w:autoRedefine/>
    <w:qFormat/>
    <w:uiPriority w:val="0"/>
    <w:pPr>
      <w:adjustRightInd/>
      <w:spacing w:line="360" w:lineRule="auto"/>
      <w:ind w:firstLine="480" w:firstLineChars="200"/>
    </w:pPr>
    <w:rPr>
      <w:kern w:val="0"/>
      <w:sz w:val="24"/>
    </w:rPr>
  </w:style>
  <w:style w:type="character" w:customStyle="1" w:styleId="264">
    <w:name w:val="表正文 Char3"/>
    <w:autoRedefine/>
    <w:qFormat/>
    <w:uiPriority w:val="0"/>
    <w:rPr>
      <w:rFonts w:eastAsia="宋体"/>
    </w:rPr>
  </w:style>
  <w:style w:type="character" w:customStyle="1" w:styleId="265">
    <w:name w:val="H5 Char"/>
    <w:autoRedefine/>
    <w:qFormat/>
    <w:uiPriority w:val="0"/>
    <w:rPr>
      <w:b/>
      <w:bCs/>
      <w:kern w:val="2"/>
      <w:sz w:val="28"/>
      <w:szCs w:val="28"/>
    </w:rPr>
  </w:style>
  <w:style w:type="character" w:customStyle="1" w:styleId="266">
    <w:name w:val="Char Char3"/>
    <w:autoRedefine/>
    <w:qFormat/>
    <w:uiPriority w:val="0"/>
    <w:rPr>
      <w:rFonts w:eastAsia="宋体"/>
      <w:kern w:val="2"/>
      <w:sz w:val="21"/>
      <w:szCs w:val="24"/>
      <w:lang w:val="en-US" w:eastAsia="zh-CN" w:bidi="ar-SA"/>
    </w:rPr>
  </w:style>
  <w:style w:type="character" w:customStyle="1" w:styleId="267">
    <w:name w:val="正文 编号 Char"/>
    <w:autoRedefine/>
    <w:qFormat/>
    <w:uiPriority w:val="0"/>
    <w:rPr>
      <w:rFonts w:ascii="仿宋_GB2312" w:hAnsi="仿宋_GB2312" w:eastAsia="仿宋_GB2312"/>
      <w:kern w:val="2"/>
      <w:sz w:val="24"/>
      <w:lang w:bidi="ar-SA"/>
    </w:rPr>
  </w:style>
  <w:style w:type="character" w:customStyle="1" w:styleId="268">
    <w:name w:val="question-title2"/>
    <w:autoRedefine/>
    <w:qFormat/>
    <w:uiPriority w:val="6"/>
    <w:rPr>
      <w:rFonts w:ascii="Arial" w:hAnsi="Arial" w:eastAsia="黑体" w:cs="Arial"/>
      <w:snapToGrid w:val="0"/>
      <w:kern w:val="0"/>
      <w:szCs w:val="21"/>
    </w:rPr>
  </w:style>
  <w:style w:type="character" w:customStyle="1" w:styleId="269">
    <w:name w:val="gf正文1 Char Char"/>
    <w:link w:val="270"/>
    <w:autoRedefine/>
    <w:qFormat/>
    <w:uiPriority w:val="0"/>
    <w:rPr>
      <w:rFonts w:ascii="宋体" w:hAnsi="宋体" w:cs="宋体"/>
      <w:kern w:val="2"/>
      <w:sz w:val="24"/>
      <w:szCs w:val="24"/>
    </w:rPr>
  </w:style>
  <w:style w:type="paragraph" w:customStyle="1" w:styleId="270">
    <w:name w:val="gf正文1"/>
    <w:basedOn w:val="1"/>
    <w:link w:val="269"/>
    <w:autoRedefine/>
    <w:qFormat/>
    <w:uiPriority w:val="0"/>
    <w:pPr>
      <w:tabs>
        <w:tab w:val="left" w:pos="3240"/>
        <w:tab w:val="left" w:pos="3960"/>
      </w:tabs>
      <w:snapToGrid w:val="0"/>
      <w:spacing w:line="360" w:lineRule="auto"/>
      <w:ind w:firstLine="480" w:firstLineChars="200"/>
    </w:pPr>
    <w:rPr>
      <w:rFonts w:ascii="宋体" w:hAnsi="宋体"/>
      <w:sz w:val="24"/>
    </w:rPr>
  </w:style>
  <w:style w:type="character" w:customStyle="1" w:styleId="271">
    <w:name w:val="Char Char15"/>
    <w:autoRedefine/>
    <w:qFormat/>
    <w:uiPriority w:val="0"/>
    <w:rPr>
      <w:rFonts w:ascii="宋体" w:hAnsi="宋体"/>
      <w:kern w:val="1"/>
      <w:sz w:val="21"/>
    </w:rPr>
  </w:style>
  <w:style w:type="character" w:customStyle="1" w:styleId="272">
    <w:name w:val="正文缩进 Char3"/>
    <w:autoRedefine/>
    <w:qFormat/>
    <w:uiPriority w:val="0"/>
    <w:rPr>
      <w:rFonts w:ascii="宋体" w:eastAsia="宋体"/>
      <w:snapToGrid w:val="0"/>
      <w:color w:val="000000"/>
      <w:kern w:val="28"/>
      <w:sz w:val="28"/>
      <w:lang w:val="en-US" w:eastAsia="zh-CN" w:bidi="ar-SA"/>
    </w:rPr>
  </w:style>
  <w:style w:type="character" w:customStyle="1" w:styleId="273">
    <w:name w:val="列出段落 Char1"/>
    <w:link w:val="274"/>
    <w:autoRedefine/>
    <w:qFormat/>
    <w:uiPriority w:val="0"/>
    <w:rPr>
      <w:rFonts w:ascii="Calibri" w:hAnsi="Calibri"/>
      <w:sz w:val="24"/>
      <w:lang w:eastAsia="en-US"/>
    </w:rPr>
  </w:style>
  <w:style w:type="paragraph" w:customStyle="1" w:styleId="274">
    <w:name w:val="列表1"/>
    <w:basedOn w:val="1"/>
    <w:next w:val="275"/>
    <w:link w:val="273"/>
    <w:autoRedefine/>
    <w:qFormat/>
    <w:uiPriority w:val="0"/>
    <w:pPr>
      <w:widowControl/>
      <w:adjustRightInd/>
      <w:spacing w:after="200" w:line="360" w:lineRule="auto"/>
      <w:ind w:left="720" w:firstLine="200" w:firstLineChars="200"/>
      <w:jc w:val="left"/>
    </w:pPr>
    <w:rPr>
      <w:kern w:val="0"/>
      <w:sz w:val="24"/>
      <w:szCs w:val="20"/>
      <w:lang w:eastAsia="en-US"/>
    </w:rPr>
  </w:style>
  <w:style w:type="paragraph" w:styleId="275">
    <w:name w:val="List Paragraph"/>
    <w:basedOn w:val="1"/>
    <w:autoRedefine/>
    <w:qFormat/>
    <w:uiPriority w:val="99"/>
    <w:pPr>
      <w:spacing w:line="360" w:lineRule="auto"/>
      <w:ind w:firstLine="200" w:firstLineChars="200"/>
    </w:pPr>
    <w:rPr>
      <w:rFonts w:eastAsia="楷体_GB2312" w:cs="Lucida Sans"/>
      <w:sz w:val="24"/>
    </w:rPr>
  </w:style>
  <w:style w:type="character" w:customStyle="1" w:styleId="276">
    <w:name w:val="Char Char8"/>
    <w:autoRedefine/>
    <w:qFormat/>
    <w:uiPriority w:val="0"/>
    <w:rPr>
      <w:rFonts w:eastAsia="宋体"/>
      <w:b/>
      <w:sz w:val="24"/>
      <w:lang w:val="en-GB" w:eastAsia="zh-CN"/>
    </w:rPr>
  </w:style>
  <w:style w:type="character" w:customStyle="1" w:styleId="277">
    <w:name w:val="Normal Indent Char Char"/>
    <w:autoRedefine/>
    <w:qFormat/>
    <w:uiPriority w:val="0"/>
    <w:rPr>
      <w:rFonts w:eastAsia="宋体"/>
      <w:kern w:val="2"/>
      <w:sz w:val="21"/>
      <w:lang w:val="en-US" w:eastAsia="zh-CN" w:bidi="ar-SA"/>
    </w:rPr>
  </w:style>
  <w:style w:type="character" w:customStyle="1" w:styleId="278">
    <w:name w:val="列表段落 字符"/>
    <w:autoRedefine/>
    <w:qFormat/>
    <w:uiPriority w:val="99"/>
  </w:style>
  <w:style w:type="character" w:customStyle="1" w:styleId="279">
    <w:name w:val="Ò³Ã¼ Char Char1"/>
    <w:autoRedefine/>
    <w:qFormat/>
    <w:uiPriority w:val="0"/>
    <w:rPr>
      <w:rFonts w:eastAsia="宋体"/>
      <w:kern w:val="2"/>
      <w:sz w:val="18"/>
      <w:szCs w:val="18"/>
      <w:lang w:val="en-US" w:eastAsia="zh-CN" w:bidi="ar-SA"/>
    </w:rPr>
  </w:style>
  <w:style w:type="character" w:customStyle="1" w:styleId="280">
    <w:name w:val="方案正文 Char"/>
    <w:autoRedefine/>
    <w:qFormat/>
    <w:uiPriority w:val="0"/>
    <w:rPr>
      <w:rFonts w:ascii="仿宋_GB2312" w:eastAsia="仿宋_GB2312"/>
      <w:b/>
      <w:color w:val="000000"/>
      <w:kern w:val="2"/>
      <w:sz w:val="24"/>
      <w:lang w:val="en-US" w:eastAsia="zh-CN" w:bidi="ar-SA"/>
    </w:rPr>
  </w:style>
  <w:style w:type="character" w:customStyle="1" w:styleId="281">
    <w:name w:val="Char Char30"/>
    <w:autoRedefine/>
    <w:qFormat/>
    <w:uiPriority w:val="6"/>
    <w:rPr>
      <w:rFonts w:ascii="Arial" w:hAnsi="Arial" w:eastAsia="黑体"/>
      <w:kern w:val="1"/>
      <w:sz w:val="21"/>
      <w:szCs w:val="21"/>
    </w:rPr>
  </w:style>
  <w:style w:type="character" w:customStyle="1" w:styleId="282">
    <w:name w:val="正文文本缩进 Char3"/>
    <w:link w:val="31"/>
    <w:autoRedefine/>
    <w:qFormat/>
    <w:uiPriority w:val="0"/>
    <w:rPr>
      <w:rFonts w:ascii="宋体" w:hAnsi="宋体"/>
      <w:kern w:val="2"/>
      <w:sz w:val="24"/>
      <w:szCs w:val="24"/>
    </w:rPr>
  </w:style>
  <w:style w:type="character" w:customStyle="1" w:styleId="283">
    <w:name w:val="font01"/>
    <w:autoRedefine/>
    <w:qFormat/>
    <w:uiPriority w:val="0"/>
    <w:rPr>
      <w:rFonts w:hint="eastAsia" w:ascii="微软雅黑" w:hAnsi="微软雅黑" w:eastAsia="微软雅黑" w:cs="微软雅黑"/>
      <w:color w:val="000000"/>
      <w:sz w:val="20"/>
      <w:szCs w:val="20"/>
      <w:u w:val="none"/>
    </w:rPr>
  </w:style>
  <w:style w:type="character" w:customStyle="1" w:styleId="284">
    <w:name w:val="Char Char20"/>
    <w:autoRedefine/>
    <w:qFormat/>
    <w:uiPriority w:val="6"/>
    <w:rPr>
      <w:kern w:val="1"/>
      <w:sz w:val="24"/>
    </w:rPr>
  </w:style>
  <w:style w:type="character" w:customStyle="1" w:styleId="285">
    <w:name w:val="tw4winExternal"/>
    <w:autoRedefine/>
    <w:qFormat/>
    <w:uiPriority w:val="0"/>
    <w:rPr>
      <w:rFonts w:ascii="Courier New" w:hAnsi="Courier New" w:cs="Courier New"/>
      <w:color w:val="808080"/>
      <w:lang w:val="en-US" w:eastAsia="zh-CN"/>
    </w:rPr>
  </w:style>
  <w:style w:type="character" w:customStyle="1" w:styleId="286">
    <w:name w:val="标题 4 Char1"/>
    <w:autoRedefine/>
    <w:qFormat/>
    <w:uiPriority w:val="9"/>
    <w:rPr>
      <w:rFonts w:ascii="Cambria" w:hAnsi="Cambria" w:eastAsia="宋体" w:cs="Times New Roman"/>
      <w:b/>
      <w:bCs/>
      <w:kern w:val="2"/>
      <w:sz w:val="28"/>
      <w:szCs w:val="28"/>
    </w:rPr>
  </w:style>
  <w:style w:type="character" w:customStyle="1" w:styleId="287">
    <w:name w:val="批注文字 Char2"/>
    <w:autoRedefine/>
    <w:qFormat/>
    <w:uiPriority w:val="99"/>
    <w:rPr>
      <w:rFonts w:ascii="Times New Roman" w:hAnsi="Times New Roman" w:eastAsia="宋体" w:cs="Times New Roman"/>
      <w:snapToGrid w:val="0"/>
      <w:kern w:val="0"/>
      <w:szCs w:val="24"/>
    </w:rPr>
  </w:style>
  <w:style w:type="character" w:customStyle="1" w:styleId="288">
    <w:name w:val="正文文本 2 Char"/>
    <w:autoRedefine/>
    <w:qFormat/>
    <w:uiPriority w:val="0"/>
    <w:rPr>
      <w:rFonts w:eastAsia="宋体"/>
      <w:kern w:val="2"/>
      <w:sz w:val="21"/>
      <w:szCs w:val="24"/>
      <w:lang w:val="en-US" w:eastAsia="zh-CN" w:bidi="ar-SA"/>
    </w:rPr>
  </w:style>
  <w:style w:type="character" w:customStyle="1" w:styleId="289">
    <w:name w:val="Ò³Ã¼ Char Char"/>
    <w:autoRedefine/>
    <w:qFormat/>
    <w:uiPriority w:val="0"/>
    <w:rPr>
      <w:rFonts w:eastAsia="宋体"/>
      <w:kern w:val="2"/>
      <w:sz w:val="18"/>
      <w:lang w:val="en-US" w:eastAsia="zh-CN" w:bidi="ar-SA"/>
    </w:rPr>
  </w:style>
  <w:style w:type="character" w:customStyle="1" w:styleId="290">
    <w:name w:val="message1"/>
    <w:autoRedefine/>
    <w:qFormat/>
    <w:uiPriority w:val="0"/>
    <w:rPr>
      <w:rFonts w:hint="default" w:ascii="Tahoma" w:hAnsi="Tahoma" w:cs="Tahoma"/>
      <w:sz w:val="18"/>
      <w:szCs w:val="18"/>
    </w:rPr>
  </w:style>
  <w:style w:type="character" w:customStyle="1" w:styleId="291">
    <w:name w:val="Char Char23"/>
    <w:autoRedefine/>
    <w:qFormat/>
    <w:uiPriority w:val="6"/>
    <w:rPr>
      <w:color w:val="0000FF"/>
      <w:sz w:val="21"/>
    </w:rPr>
  </w:style>
  <w:style w:type="character" w:customStyle="1" w:styleId="292">
    <w:name w:val="批注框文本 字符"/>
    <w:autoRedefine/>
    <w:qFormat/>
    <w:uiPriority w:val="0"/>
    <w:rPr>
      <w:rFonts w:ascii="Arial" w:hAnsi="Arial" w:eastAsia="黑体" w:cs="Arial"/>
      <w:snapToGrid w:val="0"/>
      <w:kern w:val="0"/>
      <w:sz w:val="18"/>
      <w:szCs w:val="18"/>
    </w:rPr>
  </w:style>
  <w:style w:type="character" w:customStyle="1" w:styleId="293">
    <w:name w:val="纯文本 Char2"/>
    <w:autoRedefine/>
    <w:qFormat/>
    <w:uiPriority w:val="0"/>
    <w:rPr>
      <w:rFonts w:ascii="宋体" w:hAnsi="Courier New" w:eastAsia="宋体" w:cs="Courier New"/>
    </w:rPr>
  </w:style>
  <w:style w:type="character" w:customStyle="1" w:styleId="294">
    <w:name w:val="Char Char25"/>
    <w:autoRedefine/>
    <w:qFormat/>
    <w:uiPriority w:val="6"/>
    <w:rPr>
      <w:rFonts w:ascii="宋体" w:hAnsi="宋体"/>
      <w:kern w:val="1"/>
      <w:sz w:val="24"/>
      <w:lang w:val="zh-CN"/>
    </w:rPr>
  </w:style>
  <w:style w:type="character" w:customStyle="1" w:styleId="295">
    <w:name w:val="Char Char411"/>
    <w:autoRedefine/>
    <w:qFormat/>
    <w:uiPriority w:val="0"/>
    <w:rPr>
      <w:rFonts w:eastAsia="宋体"/>
      <w:b/>
      <w:sz w:val="24"/>
      <w:lang w:val="en-GB" w:eastAsia="zh-CN" w:bidi="ar-SA"/>
    </w:rPr>
  </w:style>
  <w:style w:type="character" w:customStyle="1" w:styleId="296">
    <w:name w:val="Heading 7 Char"/>
    <w:autoRedefine/>
    <w:qFormat/>
    <w:locked/>
    <w:uiPriority w:val="0"/>
    <w:rPr>
      <w:rFonts w:ascii="宋体" w:hAnsi="宋体" w:eastAsia="宋体"/>
      <w:b/>
      <w:bCs/>
      <w:kern w:val="2"/>
      <w:sz w:val="24"/>
      <w:szCs w:val="24"/>
      <w:lang w:val="en-US" w:eastAsia="zh-CN" w:bidi="ar-SA"/>
    </w:rPr>
  </w:style>
  <w:style w:type="character" w:customStyle="1" w:styleId="297">
    <w:name w:val="此正文 Char"/>
    <w:link w:val="298"/>
    <w:autoRedefine/>
    <w:qFormat/>
    <w:uiPriority w:val="0"/>
    <w:rPr>
      <w:kern w:val="2"/>
      <w:sz w:val="24"/>
      <w:szCs w:val="24"/>
    </w:rPr>
  </w:style>
  <w:style w:type="paragraph" w:customStyle="1" w:styleId="298">
    <w:name w:val="此正文"/>
    <w:basedOn w:val="1"/>
    <w:link w:val="297"/>
    <w:autoRedefine/>
    <w:qFormat/>
    <w:uiPriority w:val="0"/>
    <w:pPr>
      <w:adjustRightInd/>
      <w:spacing w:line="360" w:lineRule="auto"/>
      <w:ind w:firstLine="200" w:firstLineChars="200"/>
    </w:pPr>
    <w:rPr>
      <w:sz w:val="24"/>
    </w:rPr>
  </w:style>
  <w:style w:type="character" w:customStyle="1" w:styleId="299">
    <w:name w:val="Char Char2"/>
    <w:autoRedefine/>
    <w:qFormat/>
    <w:uiPriority w:val="0"/>
    <w:rPr>
      <w:rFonts w:eastAsia="宋体"/>
      <w:b/>
      <w:bCs/>
      <w:kern w:val="2"/>
      <w:sz w:val="21"/>
      <w:szCs w:val="24"/>
      <w:lang w:val="en-US" w:eastAsia="zh-CN" w:bidi="ar-SA"/>
    </w:rPr>
  </w:style>
  <w:style w:type="character" w:customStyle="1" w:styleId="300">
    <w:name w:val="标题 1 Char"/>
    <w:link w:val="3"/>
    <w:autoRedefine/>
    <w:qFormat/>
    <w:uiPriority w:val="0"/>
    <w:rPr>
      <w:b/>
      <w:bCs/>
      <w:kern w:val="44"/>
      <w:sz w:val="44"/>
      <w:szCs w:val="44"/>
    </w:rPr>
  </w:style>
  <w:style w:type="character" w:customStyle="1" w:styleId="301">
    <w:name w:val="Footer-Even Char1"/>
    <w:autoRedefine/>
    <w:qFormat/>
    <w:uiPriority w:val="0"/>
    <w:rPr>
      <w:rFonts w:eastAsia="宋体"/>
      <w:kern w:val="2"/>
      <w:sz w:val="18"/>
      <w:szCs w:val="18"/>
      <w:lang w:val="en-US" w:eastAsia="zh-CN" w:bidi="ar-SA"/>
    </w:rPr>
  </w:style>
  <w:style w:type="character" w:customStyle="1" w:styleId="302">
    <w:name w:val="Char Char29"/>
    <w:autoRedefine/>
    <w:qFormat/>
    <w:uiPriority w:val="6"/>
    <w:rPr>
      <w:rFonts w:ascii="Arial" w:hAnsi="Arial" w:eastAsia="微软雅黑"/>
      <w:b/>
      <w:kern w:val="1"/>
      <w:sz w:val="44"/>
      <w:szCs w:val="32"/>
      <w:lang w:val="en-US" w:eastAsia="zh-CN" w:bidi="ar-SA"/>
    </w:rPr>
  </w:style>
  <w:style w:type="character" w:customStyle="1" w:styleId="303">
    <w:name w:val="标题 Char2"/>
    <w:link w:val="76"/>
    <w:autoRedefine/>
    <w:qFormat/>
    <w:uiPriority w:val="10"/>
    <w:rPr>
      <w:b/>
      <w:sz w:val="24"/>
      <w:lang w:val="en-GB"/>
    </w:rPr>
  </w:style>
  <w:style w:type="character" w:customStyle="1" w:styleId="304">
    <w:name w:val="font81"/>
    <w:autoRedefine/>
    <w:qFormat/>
    <w:uiPriority w:val="0"/>
    <w:rPr>
      <w:rFonts w:ascii="微软雅黑" w:hAnsi="微软雅黑" w:eastAsia="微软雅黑" w:cs="微软雅黑"/>
      <w:color w:val="000000"/>
      <w:sz w:val="20"/>
      <w:szCs w:val="20"/>
      <w:u w:val="none"/>
    </w:rPr>
  </w:style>
  <w:style w:type="character" w:customStyle="1" w:styleId="305">
    <w:name w:val="Char Char312"/>
    <w:autoRedefine/>
    <w:qFormat/>
    <w:uiPriority w:val="0"/>
    <w:rPr>
      <w:rFonts w:ascii="Times New Roman" w:hAnsi="Times New Roman" w:eastAsia="宋体" w:cs="Times New Roman"/>
      <w:b/>
      <w:kern w:val="2"/>
      <w:sz w:val="32"/>
      <w:szCs w:val="24"/>
      <w:lang w:val="en-US" w:eastAsia="zh-CN" w:bidi="ar-SA"/>
    </w:rPr>
  </w:style>
  <w:style w:type="character" w:customStyle="1" w:styleId="306">
    <w:name w:val="t21"/>
    <w:autoRedefine/>
    <w:qFormat/>
    <w:uiPriority w:val="0"/>
    <w:rPr>
      <w:rFonts w:ascii="仿宋_GB2312" w:eastAsia="微软雅黑"/>
      <w:b/>
      <w:kern w:val="2"/>
      <w:sz w:val="23"/>
      <w:szCs w:val="23"/>
      <w:lang w:val="en-US" w:eastAsia="zh-CN" w:bidi="ar-SA"/>
    </w:rPr>
  </w:style>
  <w:style w:type="character" w:customStyle="1" w:styleId="307">
    <w:name w:val="样式8 Char"/>
    <w:autoRedefine/>
    <w:qFormat/>
    <w:uiPriority w:val="0"/>
    <w:rPr>
      <w:rFonts w:ascii="仿宋_GB2312" w:hAnsi="宋体" w:eastAsia="仿宋_GB2312"/>
      <w:b/>
      <w:bCs/>
      <w:kern w:val="2"/>
      <w:sz w:val="24"/>
      <w:szCs w:val="24"/>
    </w:rPr>
  </w:style>
  <w:style w:type="character" w:customStyle="1" w:styleId="308">
    <w:name w:val="表格 Char Char"/>
    <w:autoRedefine/>
    <w:qFormat/>
    <w:uiPriority w:val="0"/>
    <w:rPr>
      <w:rFonts w:ascii="宋体" w:hAnsi="宋体" w:eastAsia="宋体"/>
      <w:lang w:bidi="ar-SA"/>
    </w:rPr>
  </w:style>
  <w:style w:type="character" w:customStyle="1" w:styleId="309">
    <w:name w:val="正文文本 字符1"/>
    <w:autoRedefine/>
    <w:qFormat/>
    <w:uiPriority w:val="0"/>
    <w:rPr>
      <w:rFonts w:ascii="Calibri" w:hAnsi="Calibri" w:eastAsia="黑体" w:cs="Arial"/>
      <w:snapToGrid w:val="0"/>
      <w:kern w:val="2"/>
      <w:sz w:val="28"/>
      <w:szCs w:val="21"/>
    </w:rPr>
  </w:style>
  <w:style w:type="character" w:customStyle="1" w:styleId="310">
    <w:name w:val="标题 5 Char"/>
    <w:link w:val="8"/>
    <w:autoRedefine/>
    <w:qFormat/>
    <w:uiPriority w:val="9"/>
    <w:rPr>
      <w:b/>
      <w:bCs/>
      <w:kern w:val="2"/>
      <w:sz w:val="28"/>
      <w:szCs w:val="28"/>
    </w:rPr>
  </w:style>
  <w:style w:type="character" w:customStyle="1" w:styleId="311">
    <w:name w:val="标题 6 Char1"/>
    <w:autoRedefine/>
    <w:qFormat/>
    <w:uiPriority w:val="0"/>
    <w:rPr>
      <w:rFonts w:ascii="Arial" w:hAnsi="Arial" w:eastAsia="黑体" w:cs="Times New Roman"/>
      <w:b/>
      <w:sz w:val="24"/>
      <w:szCs w:val="20"/>
      <w:lang w:bidi="ar-SA"/>
    </w:rPr>
  </w:style>
  <w:style w:type="character" w:customStyle="1" w:styleId="312">
    <w:name w:val="带编号样式 Char"/>
    <w:autoRedefine/>
    <w:qFormat/>
    <w:uiPriority w:val="0"/>
    <w:rPr>
      <w:rFonts w:ascii="仿宋_GB2312" w:eastAsia="仿宋_GB2312"/>
      <w:color w:val="000000"/>
      <w:sz w:val="24"/>
      <w:lang w:bidi="ar-SA"/>
    </w:rPr>
  </w:style>
  <w:style w:type="character" w:customStyle="1" w:styleId="313">
    <w:name w:val="unnamed31"/>
    <w:autoRedefine/>
    <w:qFormat/>
    <w:uiPriority w:val="0"/>
    <w:rPr>
      <w:rFonts w:ascii="Tahoma" w:hAnsi="Tahoma" w:eastAsia="宋体"/>
      <w:b/>
      <w:kern w:val="2"/>
      <w:sz w:val="24"/>
      <w:szCs w:val="32"/>
      <w:u w:val="none"/>
      <w:lang w:val="en-US" w:eastAsia="zh-CN" w:bidi="ar-SA"/>
    </w:rPr>
  </w:style>
  <w:style w:type="character" w:customStyle="1" w:styleId="314">
    <w:name w:val="正文首行缩进 Char Char Char Char Char Char1"/>
    <w:autoRedefine/>
    <w:qFormat/>
    <w:uiPriority w:val="0"/>
    <w:rPr>
      <w:rFonts w:ascii="宋体" w:eastAsia="宋体"/>
      <w:kern w:val="2"/>
      <w:sz w:val="24"/>
      <w:szCs w:val="24"/>
      <w:lang w:val="zh-CN" w:bidi="ar-SA"/>
    </w:rPr>
  </w:style>
  <w:style w:type="character" w:customStyle="1" w:styleId="315">
    <w:name w:val="称呼 Char"/>
    <w:link w:val="27"/>
    <w:autoRedefine/>
    <w:qFormat/>
    <w:uiPriority w:val="0"/>
    <w:rPr>
      <w:rFonts w:ascii="仿宋_GB2312" w:eastAsia="仿宋_GB2312"/>
      <w:kern w:val="2"/>
      <w:sz w:val="28"/>
    </w:rPr>
  </w:style>
  <w:style w:type="character" w:customStyle="1" w:styleId="316">
    <w:name w:val="文本正文 Char Char"/>
    <w:autoRedefine/>
    <w:qFormat/>
    <w:locked/>
    <w:uiPriority w:val="0"/>
    <w:rPr>
      <w:sz w:val="24"/>
      <w:lang w:bidi="ar-SA"/>
    </w:rPr>
  </w:style>
  <w:style w:type="character" w:customStyle="1" w:styleId="317">
    <w:name w:val="正文缩进 字符"/>
    <w:autoRedefine/>
    <w:qFormat/>
    <w:uiPriority w:val="0"/>
    <w:rPr>
      <w:rFonts w:ascii="宋体" w:eastAsia="宋体"/>
      <w:snapToGrid w:val="0"/>
      <w:color w:val="000000"/>
      <w:kern w:val="28"/>
      <w:sz w:val="28"/>
      <w:lang w:val="en-US" w:eastAsia="zh-CN" w:bidi="ar-SA"/>
    </w:rPr>
  </w:style>
  <w:style w:type="character" w:customStyle="1" w:styleId="318">
    <w:name w:val="HTML 预设格式 Char"/>
    <w:link w:val="73"/>
    <w:autoRedefine/>
    <w:qFormat/>
    <w:uiPriority w:val="0"/>
    <w:rPr>
      <w:rFonts w:ascii="黑体" w:hAnsi="Courier New" w:eastAsia="黑体"/>
    </w:rPr>
  </w:style>
  <w:style w:type="character" w:customStyle="1" w:styleId="319">
    <w:name w:val="正文文本 2 Char1"/>
    <w:link w:val="71"/>
    <w:autoRedefine/>
    <w:qFormat/>
    <w:uiPriority w:val="0"/>
    <w:rPr>
      <w:kern w:val="2"/>
      <w:sz w:val="21"/>
      <w:szCs w:val="24"/>
    </w:rPr>
  </w:style>
  <w:style w:type="character" w:customStyle="1" w:styleId="320">
    <w:name w:val="样式 样式 标题 4h4H4Fab-4T5Ref Heading 1rh1Heading sqlsect 1.2.3.... +... Char"/>
    <w:link w:val="321"/>
    <w:autoRedefine/>
    <w:qFormat/>
    <w:uiPriority w:val="0"/>
    <w:rPr>
      <w:rFonts w:ascii="微软雅黑" w:hAnsi="微软雅黑" w:eastAsia="微软雅黑"/>
      <w:b/>
      <w:bCs/>
      <w:kern w:val="2"/>
      <w:sz w:val="24"/>
      <w:szCs w:val="28"/>
    </w:rPr>
  </w:style>
  <w:style w:type="paragraph" w:customStyle="1" w:styleId="321">
    <w:name w:val="样式 样式 标题 4h4H4Fab-4T5Ref Heading 1rh1Heading sqlsect 1.2.3.... +..."/>
    <w:basedOn w:val="322"/>
    <w:link w:val="320"/>
    <w:autoRedefine/>
    <w:qFormat/>
    <w:uiPriority w:val="0"/>
    <w:pPr>
      <w:tabs>
        <w:tab w:val="left" w:pos="2356"/>
      </w:tabs>
    </w:pPr>
  </w:style>
  <w:style w:type="paragraph" w:customStyle="1" w:styleId="322">
    <w:name w:val="样式 标题 4h4H4Fab-4T5Ref Heading 1rh1Heading sqlsect 1.2.3...."/>
    <w:basedOn w:val="7"/>
    <w:link w:val="430"/>
    <w:autoRedefine/>
    <w:qFormat/>
    <w:uiPriority w:val="0"/>
    <w:pPr>
      <w:tabs>
        <w:tab w:val="left" w:pos="2356"/>
        <w:tab w:val="clear" w:pos="864"/>
      </w:tabs>
      <w:adjustRightInd/>
      <w:spacing w:line="360" w:lineRule="auto"/>
      <w:ind w:left="1984" w:leftChars="75" w:hanging="708" w:firstLineChars="200"/>
    </w:pPr>
    <w:rPr>
      <w:rFonts w:ascii="微软雅黑" w:hAnsi="微软雅黑" w:eastAsia="微软雅黑"/>
      <w:sz w:val="24"/>
    </w:rPr>
  </w:style>
  <w:style w:type="character" w:customStyle="1" w:styleId="323">
    <w:name w:val="正文非缩进 Char"/>
    <w:autoRedefine/>
    <w:qFormat/>
    <w:uiPriority w:val="0"/>
    <w:rPr>
      <w:rFonts w:ascii="宋体" w:eastAsia="宋体"/>
      <w:snapToGrid w:val="0"/>
      <w:color w:val="000000"/>
      <w:kern w:val="28"/>
      <w:sz w:val="28"/>
      <w:lang w:val="en-US" w:eastAsia="zh-CN" w:bidi="ar-SA"/>
    </w:rPr>
  </w:style>
  <w:style w:type="character" w:customStyle="1" w:styleId="324">
    <w:name w:val="标题 7 Char"/>
    <w:link w:val="10"/>
    <w:autoRedefine/>
    <w:qFormat/>
    <w:uiPriority w:val="0"/>
    <w:rPr>
      <w:b/>
      <w:bCs/>
      <w:kern w:val="2"/>
      <w:sz w:val="24"/>
      <w:szCs w:val="24"/>
    </w:rPr>
  </w:style>
  <w:style w:type="character" w:customStyle="1" w:styleId="325">
    <w:name w:val="正文文本缩进 2 Char"/>
    <w:link w:val="47"/>
    <w:autoRedefine/>
    <w:qFormat/>
    <w:uiPriority w:val="0"/>
    <w:rPr>
      <w:rFonts w:ascii="宋体"/>
      <w:sz w:val="28"/>
    </w:rPr>
  </w:style>
  <w:style w:type="character" w:customStyle="1" w:styleId="326">
    <w:name w:val="Char Char5"/>
    <w:autoRedefine/>
    <w:qFormat/>
    <w:uiPriority w:val="0"/>
    <w:rPr>
      <w:rFonts w:ascii="宋体" w:hAnsi="Courier New" w:eastAsia="宋体"/>
      <w:kern w:val="2"/>
      <w:sz w:val="21"/>
      <w:lang w:val="en-US" w:eastAsia="zh-CN"/>
    </w:rPr>
  </w:style>
  <w:style w:type="character" w:customStyle="1" w:styleId="327">
    <w:name w:val="脚注文本 Char"/>
    <w:link w:val="62"/>
    <w:autoRedefine/>
    <w:qFormat/>
    <w:uiPriority w:val="0"/>
    <w:rPr>
      <w:color w:val="0000FF"/>
      <w:sz w:val="21"/>
    </w:rPr>
  </w:style>
  <w:style w:type="character" w:customStyle="1" w:styleId="328">
    <w:name w:val="称呼 Char1"/>
    <w:autoRedefine/>
    <w:qFormat/>
    <w:uiPriority w:val="0"/>
    <w:rPr>
      <w:rFonts w:ascii="Times New Roman" w:hAnsi="Times New Roman" w:eastAsia="宋体" w:cs="Times New Roman"/>
      <w:szCs w:val="24"/>
    </w:rPr>
  </w:style>
  <w:style w:type="character" w:customStyle="1" w:styleId="329">
    <w:name w:val="正文1 Char"/>
    <w:autoRedefine/>
    <w:qFormat/>
    <w:uiPriority w:val="0"/>
    <w:rPr>
      <w:rFonts w:ascii="宋体" w:eastAsia="宋体"/>
      <w:snapToGrid w:val="0"/>
      <w:color w:val="000000"/>
      <w:kern w:val="28"/>
      <w:sz w:val="28"/>
      <w:lang w:val="en-US" w:eastAsia="zh-CN" w:bidi="ar-SA"/>
    </w:rPr>
  </w:style>
  <w:style w:type="character" w:customStyle="1" w:styleId="330">
    <w:name w:val="正文缩进 Char1"/>
    <w:autoRedefine/>
    <w:qFormat/>
    <w:uiPriority w:val="0"/>
    <w:rPr>
      <w:rFonts w:ascii="宋体" w:eastAsia="宋体"/>
      <w:snapToGrid w:val="0"/>
      <w:color w:val="000000"/>
      <w:kern w:val="28"/>
      <w:sz w:val="28"/>
      <w:lang w:val="en-US" w:eastAsia="zh-CN" w:bidi="ar-SA"/>
    </w:rPr>
  </w:style>
  <w:style w:type="character" w:customStyle="1" w:styleId="331">
    <w:name w:val="font21"/>
    <w:autoRedefine/>
    <w:qFormat/>
    <w:uiPriority w:val="0"/>
    <w:rPr>
      <w:rFonts w:hint="eastAsia" w:ascii="宋体" w:hAnsi="宋体" w:eastAsia="宋体"/>
      <w:kern w:val="2"/>
      <w:sz w:val="28"/>
      <w:szCs w:val="28"/>
      <w:lang w:val="en-US" w:eastAsia="zh-CN" w:bidi="ar-SA"/>
    </w:rPr>
  </w:style>
  <w:style w:type="character" w:customStyle="1" w:styleId="332">
    <w:name w:val="Char Char26"/>
    <w:autoRedefine/>
    <w:qFormat/>
    <w:uiPriority w:val="6"/>
    <w:rPr>
      <w:kern w:val="1"/>
      <w:sz w:val="21"/>
      <w:szCs w:val="24"/>
    </w:rPr>
  </w:style>
  <w:style w:type="character" w:customStyle="1" w:styleId="333">
    <w:name w:val="Item List Char"/>
    <w:link w:val="334"/>
    <w:autoRedefine/>
    <w:qFormat/>
    <w:uiPriority w:val="0"/>
    <w:rPr>
      <w:rFonts w:ascii="Arial"/>
      <w:bCs/>
      <w:sz w:val="21"/>
      <w:szCs w:val="21"/>
      <w:lang w:val="en-US" w:eastAsia="zh-CN" w:bidi="ar-SA"/>
    </w:rPr>
  </w:style>
  <w:style w:type="paragraph" w:customStyle="1" w:styleId="334">
    <w:name w:val="Item List"/>
    <w:link w:val="333"/>
    <w:autoRedefine/>
    <w:qFormat/>
    <w:uiPriority w:val="0"/>
    <w:pPr>
      <w:spacing w:after="156" w:line="360" w:lineRule="auto"/>
      <w:ind w:firstLine="424" w:firstLineChars="202"/>
      <w:jc w:val="both"/>
    </w:pPr>
    <w:rPr>
      <w:rFonts w:ascii="Arial" w:hAnsi="Times New Roman" w:eastAsia="宋体" w:cs="Times New Roman"/>
      <w:bCs/>
      <w:sz w:val="21"/>
      <w:szCs w:val="21"/>
      <w:lang w:val="en-US" w:eastAsia="zh-CN" w:bidi="ar-SA"/>
    </w:rPr>
  </w:style>
  <w:style w:type="character" w:customStyle="1" w:styleId="335">
    <w:name w:val="批注框文本 Char1"/>
    <w:autoRedefine/>
    <w:qFormat/>
    <w:uiPriority w:val="0"/>
    <w:rPr>
      <w:rFonts w:ascii="Times New Roman" w:hAnsi="Times New Roman" w:eastAsia="宋体" w:cs="Times New Roman"/>
      <w:sz w:val="18"/>
      <w:szCs w:val="18"/>
    </w:rPr>
  </w:style>
  <w:style w:type="character" w:customStyle="1" w:styleId="336">
    <w:name w:val="纯文本 Char1"/>
    <w:link w:val="337"/>
    <w:autoRedefine/>
    <w:qFormat/>
    <w:uiPriority w:val="0"/>
    <w:rPr>
      <w:rFonts w:ascii="宋体" w:hAnsi="Courier New"/>
    </w:rPr>
  </w:style>
  <w:style w:type="paragraph" w:customStyle="1" w:styleId="337">
    <w:name w:val="纯文本1"/>
    <w:basedOn w:val="1"/>
    <w:link w:val="336"/>
    <w:autoRedefine/>
    <w:qFormat/>
    <w:uiPriority w:val="0"/>
    <w:pPr>
      <w:adjustRightInd/>
    </w:pPr>
    <w:rPr>
      <w:rFonts w:ascii="宋体" w:hAnsi="Courier New"/>
      <w:kern w:val="0"/>
      <w:sz w:val="20"/>
      <w:szCs w:val="20"/>
    </w:rPr>
  </w:style>
  <w:style w:type="character" w:customStyle="1" w:styleId="338">
    <w:name w:val="正文首行缩进 Char"/>
    <w:link w:val="78"/>
    <w:autoRedefine/>
    <w:qFormat/>
    <w:uiPriority w:val="0"/>
    <w:rPr>
      <w:rFonts w:ascii="宋体"/>
      <w:kern w:val="2"/>
      <w:sz w:val="24"/>
      <w:lang w:val="zh-CN"/>
    </w:rPr>
  </w:style>
  <w:style w:type="character" w:customStyle="1" w:styleId="339">
    <w:name w:val="h3 Char"/>
    <w:autoRedefine/>
    <w:qFormat/>
    <w:uiPriority w:val="0"/>
    <w:rPr>
      <w:rFonts w:eastAsia="宋体"/>
      <w:b/>
      <w:kern w:val="2"/>
      <w:sz w:val="32"/>
      <w:lang w:val="en-US" w:eastAsia="zh-CN" w:bidi="ar-SA"/>
    </w:rPr>
  </w:style>
  <w:style w:type="character" w:customStyle="1" w:styleId="340">
    <w:name w:val="dandyren_title1"/>
    <w:autoRedefine/>
    <w:qFormat/>
    <w:uiPriority w:val="0"/>
    <w:rPr>
      <w:b/>
      <w:bCs/>
      <w:color w:val="FF6633"/>
      <w:sz w:val="18"/>
      <w:szCs w:val="18"/>
    </w:rPr>
  </w:style>
  <w:style w:type="character" w:customStyle="1" w:styleId="341">
    <w:name w:val="Char Char31"/>
    <w:autoRedefine/>
    <w:qFormat/>
    <w:uiPriority w:val="6"/>
    <w:rPr>
      <w:rFonts w:ascii="Arial" w:hAnsi="Arial" w:eastAsia="黑体"/>
      <w:kern w:val="1"/>
      <w:sz w:val="24"/>
      <w:szCs w:val="24"/>
    </w:rPr>
  </w:style>
  <w:style w:type="character" w:customStyle="1" w:styleId="342">
    <w:name w:val="h Char1"/>
    <w:autoRedefine/>
    <w:qFormat/>
    <w:uiPriority w:val="0"/>
    <w:rPr>
      <w:sz w:val="18"/>
      <w:szCs w:val="18"/>
    </w:rPr>
  </w:style>
  <w:style w:type="character" w:customStyle="1" w:styleId="343">
    <w:name w:val="solutionfonts"/>
    <w:autoRedefine/>
    <w:qFormat/>
    <w:uiPriority w:val="0"/>
  </w:style>
  <w:style w:type="character" w:customStyle="1" w:styleId="344">
    <w:name w:val="标题 4 Char2"/>
    <w:link w:val="7"/>
    <w:autoRedefine/>
    <w:qFormat/>
    <w:uiPriority w:val="9"/>
    <w:rPr>
      <w:rFonts w:ascii="Arial" w:hAnsi="Arial" w:eastAsia="黑体"/>
      <w:b/>
      <w:bCs/>
      <w:kern w:val="2"/>
      <w:sz w:val="28"/>
      <w:szCs w:val="28"/>
      <w:lang w:val="zh-CN"/>
    </w:rPr>
  </w:style>
  <w:style w:type="character" w:customStyle="1" w:styleId="345">
    <w:name w:val="首行缩进 Char"/>
    <w:autoRedefine/>
    <w:qFormat/>
    <w:uiPriority w:val="0"/>
    <w:rPr>
      <w:rFonts w:ascii="宋体" w:eastAsia="宋体"/>
      <w:kern w:val="2"/>
      <w:sz w:val="24"/>
      <w:lang w:val="en-US" w:eastAsia="zh-CN" w:bidi="ar-SA"/>
    </w:rPr>
  </w:style>
  <w:style w:type="character" w:customStyle="1" w:styleId="346">
    <w:name w:val="Char Char52"/>
    <w:autoRedefine/>
    <w:qFormat/>
    <w:uiPriority w:val="0"/>
    <w:rPr>
      <w:rFonts w:ascii="宋体" w:hAnsi="Courier New" w:eastAsia="宋体"/>
      <w:kern w:val="2"/>
      <w:sz w:val="21"/>
      <w:lang w:val="en-US" w:eastAsia="zh-CN"/>
    </w:rPr>
  </w:style>
  <w:style w:type="character" w:customStyle="1" w:styleId="347">
    <w:name w:val="正文文本 3 Char"/>
    <w:link w:val="28"/>
    <w:autoRedefine/>
    <w:qFormat/>
    <w:uiPriority w:val="0"/>
    <w:rPr>
      <w:kern w:val="2"/>
      <w:sz w:val="21"/>
    </w:rPr>
  </w:style>
  <w:style w:type="character" w:customStyle="1" w:styleId="348">
    <w:name w:val="font31"/>
    <w:autoRedefine/>
    <w:qFormat/>
    <w:uiPriority w:val="0"/>
    <w:rPr>
      <w:rFonts w:hint="eastAsia" w:ascii="仿宋" w:hAnsi="仿宋" w:eastAsia="仿宋" w:cs="仿宋"/>
      <w:color w:val="000000"/>
      <w:sz w:val="20"/>
      <w:szCs w:val="20"/>
      <w:u w:val="none"/>
    </w:rPr>
  </w:style>
  <w:style w:type="character" w:customStyle="1" w:styleId="349">
    <w:name w:val="正文说明 Char"/>
    <w:link w:val="350"/>
    <w:autoRedefine/>
    <w:qFormat/>
    <w:uiPriority w:val="0"/>
    <w:rPr>
      <w:sz w:val="24"/>
      <w:szCs w:val="24"/>
    </w:rPr>
  </w:style>
  <w:style w:type="paragraph" w:customStyle="1" w:styleId="350">
    <w:name w:val="正文说明"/>
    <w:basedOn w:val="1"/>
    <w:link w:val="349"/>
    <w:autoRedefine/>
    <w:qFormat/>
    <w:uiPriority w:val="0"/>
    <w:pPr>
      <w:adjustRightInd/>
      <w:spacing w:line="360" w:lineRule="auto"/>
    </w:pPr>
    <w:rPr>
      <w:kern w:val="0"/>
      <w:sz w:val="24"/>
    </w:rPr>
  </w:style>
  <w:style w:type="character" w:customStyle="1" w:styleId="351">
    <w:name w:val="脚注文本 Char1"/>
    <w:autoRedefine/>
    <w:qFormat/>
    <w:uiPriority w:val="0"/>
    <w:rPr>
      <w:rFonts w:ascii="Times New Roman" w:hAnsi="Times New Roman" w:eastAsia="宋体" w:cs="Times New Roman"/>
      <w:sz w:val="18"/>
      <w:szCs w:val="18"/>
    </w:rPr>
  </w:style>
  <w:style w:type="character" w:customStyle="1" w:styleId="352">
    <w:name w:val="Char Char1211"/>
    <w:autoRedefine/>
    <w:qFormat/>
    <w:uiPriority w:val="0"/>
    <w:rPr>
      <w:rFonts w:ascii="仿宋_GB2312" w:eastAsia="仿宋_GB2312"/>
      <w:b/>
      <w:bCs/>
      <w:kern w:val="2"/>
      <w:sz w:val="24"/>
      <w:szCs w:val="24"/>
      <w:lang w:val="zh-CN" w:eastAsia="zh-CN" w:bidi="ar-SA"/>
    </w:rPr>
  </w:style>
  <w:style w:type="character" w:customStyle="1" w:styleId="353">
    <w:name w:val="标题 Char"/>
    <w:autoRedefine/>
    <w:qFormat/>
    <w:uiPriority w:val="0"/>
    <w:rPr>
      <w:rFonts w:eastAsia="宋体"/>
      <w:b/>
      <w:sz w:val="24"/>
      <w:lang w:val="en-GB" w:eastAsia="zh-CN" w:bidi="ar-SA"/>
    </w:rPr>
  </w:style>
  <w:style w:type="character" w:customStyle="1" w:styleId="354">
    <w:name w:val="Char Char35"/>
    <w:autoRedefine/>
    <w:qFormat/>
    <w:uiPriority w:val="6"/>
    <w:rPr>
      <w:rFonts w:ascii="Arial" w:hAnsi="Arial" w:eastAsia="黑体"/>
      <w:b/>
      <w:kern w:val="1"/>
      <w:sz w:val="28"/>
      <w:szCs w:val="28"/>
      <w:lang w:val="zh-CN"/>
    </w:rPr>
  </w:style>
  <w:style w:type="character" w:customStyle="1" w:styleId="355">
    <w:name w:val="纯文本 Char Char Char"/>
    <w:autoRedefine/>
    <w:qFormat/>
    <w:uiPriority w:val="0"/>
    <w:rPr>
      <w:rFonts w:ascii="宋体" w:hAnsi="Courier New" w:eastAsia="宋体"/>
      <w:kern w:val="2"/>
      <w:sz w:val="21"/>
      <w:lang w:val="en-US" w:eastAsia="zh-CN" w:bidi="ar-SA"/>
    </w:rPr>
  </w:style>
  <w:style w:type="character" w:customStyle="1" w:styleId="356">
    <w:name w:val="Table Text Char"/>
    <w:link w:val="357"/>
    <w:autoRedefine/>
    <w:qFormat/>
    <w:uiPriority w:val="0"/>
    <w:rPr>
      <w:sz w:val="24"/>
      <w:szCs w:val="24"/>
    </w:rPr>
  </w:style>
  <w:style w:type="paragraph" w:customStyle="1" w:styleId="357">
    <w:name w:val="Table Text"/>
    <w:basedOn w:val="1"/>
    <w:link w:val="356"/>
    <w:autoRedefine/>
    <w:qFormat/>
    <w:uiPriority w:val="0"/>
    <w:pPr>
      <w:widowControl/>
      <w:spacing w:before="60" w:after="60"/>
      <w:jc w:val="left"/>
    </w:pPr>
    <w:rPr>
      <w:kern w:val="0"/>
      <w:sz w:val="24"/>
    </w:rPr>
  </w:style>
  <w:style w:type="character" w:customStyle="1" w:styleId="358">
    <w:name w:val="正文1 Char1"/>
    <w:autoRedefine/>
    <w:qFormat/>
    <w:uiPriority w:val="0"/>
    <w:rPr>
      <w:rFonts w:ascii="仿宋_GB2312" w:hAnsi="Courier New" w:eastAsia="仿宋_GB2312"/>
      <w:kern w:val="28"/>
      <w:sz w:val="24"/>
      <w:szCs w:val="24"/>
      <w:lang w:val="en-US" w:eastAsia="zh-CN"/>
    </w:rPr>
  </w:style>
  <w:style w:type="character" w:customStyle="1" w:styleId="359">
    <w:name w:val="页脚 Char1"/>
    <w:autoRedefine/>
    <w:qFormat/>
    <w:uiPriority w:val="99"/>
    <w:rPr>
      <w:rFonts w:eastAsia="宋体"/>
      <w:kern w:val="2"/>
      <w:sz w:val="18"/>
      <w:szCs w:val="18"/>
      <w:lang w:val="en-US" w:eastAsia="zh-CN" w:bidi="ar-SA"/>
    </w:rPr>
  </w:style>
  <w:style w:type="character" w:customStyle="1" w:styleId="360">
    <w:name w:val="Bold"/>
    <w:autoRedefine/>
    <w:qFormat/>
    <w:uiPriority w:val="0"/>
    <w:rPr>
      <w:rFonts w:ascii="Arial" w:hAnsi="Arial" w:eastAsia="黑体" w:cs="Times New Roman"/>
      <w:b/>
      <w:kern w:val="2"/>
      <w:sz w:val="32"/>
      <w:szCs w:val="32"/>
      <w:lang w:val="en-US" w:eastAsia="zh-CN" w:bidi="ar-SA"/>
    </w:rPr>
  </w:style>
  <w:style w:type="character" w:customStyle="1" w:styleId="361">
    <w:name w:val="批注文字 Char1"/>
    <w:link w:val="25"/>
    <w:autoRedefine/>
    <w:qFormat/>
    <w:uiPriority w:val="99"/>
    <w:rPr>
      <w:kern w:val="2"/>
      <w:sz w:val="21"/>
      <w:szCs w:val="24"/>
    </w:rPr>
  </w:style>
  <w:style w:type="character" w:customStyle="1" w:styleId="362">
    <w:name w:val="签名 Char"/>
    <w:link w:val="53"/>
    <w:autoRedefine/>
    <w:qFormat/>
    <w:uiPriority w:val="0"/>
    <w:rPr>
      <w:rFonts w:eastAsia="仿宋_GB2312"/>
      <w:sz w:val="24"/>
    </w:rPr>
  </w:style>
  <w:style w:type="character" w:customStyle="1" w:styleId="363">
    <w:name w:val="hui3"/>
    <w:autoRedefine/>
    <w:qFormat/>
    <w:uiPriority w:val="0"/>
    <w:rPr>
      <w:color w:val="333333"/>
    </w:rPr>
  </w:style>
  <w:style w:type="character" w:customStyle="1" w:styleId="364">
    <w:name w:val="Char Char17"/>
    <w:autoRedefine/>
    <w:qFormat/>
    <w:uiPriority w:val="6"/>
    <w:rPr>
      <w:rFonts w:eastAsia="仿宋_GB2312"/>
      <w:sz w:val="24"/>
    </w:rPr>
  </w:style>
  <w:style w:type="character" w:customStyle="1" w:styleId="365">
    <w:name w:val="标题 4 字符"/>
    <w:autoRedefine/>
    <w:qFormat/>
    <w:uiPriority w:val="9"/>
    <w:rPr>
      <w:rFonts w:ascii="等线 Light" w:hAnsi="等线 Light" w:eastAsia="等线 Light" w:cs="Times New Roman"/>
      <w:b/>
      <w:bCs/>
      <w:snapToGrid w:val="0"/>
      <w:kern w:val="0"/>
      <w:sz w:val="28"/>
      <w:szCs w:val="28"/>
    </w:rPr>
  </w:style>
  <w:style w:type="character" w:customStyle="1" w:styleId="366">
    <w:name w:val="Char Char37"/>
    <w:autoRedefine/>
    <w:qFormat/>
    <w:uiPriority w:val="6"/>
    <w:rPr>
      <w:b/>
      <w:kern w:val="1"/>
      <w:sz w:val="44"/>
      <w:szCs w:val="44"/>
    </w:rPr>
  </w:style>
  <w:style w:type="character" w:customStyle="1" w:styleId="367">
    <w:name w:val="列出段落 Char"/>
    <w:autoRedefine/>
    <w:qFormat/>
    <w:uiPriority w:val="0"/>
    <w:rPr>
      <w:rFonts w:eastAsia="楷体_GB2312" w:cs="Lucida Sans"/>
      <w:kern w:val="2"/>
      <w:sz w:val="24"/>
      <w:szCs w:val="24"/>
      <w:lang w:val="en-US" w:eastAsia="zh-CN" w:bidi="ar-SA"/>
    </w:rPr>
  </w:style>
  <w:style w:type="character" w:customStyle="1" w:styleId="368">
    <w:name w:val="正文文本缩进 3 Char1"/>
    <w:autoRedefine/>
    <w:semiHidden/>
    <w:qFormat/>
    <w:uiPriority w:val="99"/>
    <w:rPr>
      <w:rFonts w:ascii="Times New Roman" w:hAnsi="Times New Roman" w:eastAsia="宋体" w:cs="Times New Roman"/>
      <w:sz w:val="16"/>
      <w:szCs w:val="16"/>
    </w:rPr>
  </w:style>
  <w:style w:type="character" w:customStyle="1" w:styleId="369">
    <w:name w:val="公文正文 Char Char"/>
    <w:link w:val="370"/>
    <w:autoRedefine/>
    <w:qFormat/>
    <w:uiPriority w:val="0"/>
    <w:rPr>
      <w:rFonts w:ascii="仿宋_GB2312" w:eastAsia="仿宋_GB2312"/>
      <w:kern w:val="2"/>
      <w:sz w:val="24"/>
      <w:szCs w:val="24"/>
    </w:rPr>
  </w:style>
  <w:style w:type="paragraph" w:customStyle="1" w:styleId="370">
    <w:name w:val="公文正文"/>
    <w:basedOn w:val="1"/>
    <w:link w:val="369"/>
    <w:autoRedefine/>
    <w:qFormat/>
    <w:uiPriority w:val="0"/>
    <w:pPr>
      <w:adjustRightInd/>
      <w:spacing w:before="156" w:line="360" w:lineRule="auto"/>
      <w:ind w:firstLine="360" w:firstLineChars="200"/>
    </w:pPr>
    <w:rPr>
      <w:rFonts w:ascii="仿宋_GB2312" w:eastAsia="仿宋_GB2312"/>
      <w:sz w:val="24"/>
    </w:rPr>
  </w:style>
  <w:style w:type="character" w:customStyle="1" w:styleId="371">
    <w:name w:val="Table Text Char1"/>
    <w:autoRedefine/>
    <w:qFormat/>
    <w:uiPriority w:val="0"/>
    <w:rPr>
      <w:rFonts w:eastAsia="宋体"/>
      <w:sz w:val="24"/>
      <w:szCs w:val="24"/>
      <w:lang w:val="en-US" w:eastAsia="zh-CN" w:bidi="ar-SA"/>
    </w:rPr>
  </w:style>
  <w:style w:type="character" w:customStyle="1" w:styleId="372">
    <w:name w:val="标题 1 Char Char"/>
    <w:autoRedefine/>
    <w:qFormat/>
    <w:uiPriority w:val="0"/>
    <w:rPr>
      <w:rFonts w:hint="eastAsia" w:ascii="宋体" w:hAnsi="宋体" w:eastAsia="宋体"/>
      <w:b/>
      <w:spacing w:val="-2"/>
      <w:sz w:val="24"/>
      <w:lang w:val="en-US" w:eastAsia="zh-CN" w:bidi="ar-SA"/>
    </w:rPr>
  </w:style>
  <w:style w:type="character" w:customStyle="1" w:styleId="373">
    <w:name w:val="正文（缩进2汉字） Char"/>
    <w:link w:val="374"/>
    <w:autoRedefine/>
    <w:qFormat/>
    <w:uiPriority w:val="0"/>
    <w:rPr>
      <w:rFonts w:ascii="宋体"/>
    </w:rPr>
  </w:style>
  <w:style w:type="paragraph" w:customStyle="1" w:styleId="374">
    <w:name w:val="正文（缩进2汉字）"/>
    <w:basedOn w:val="1"/>
    <w:link w:val="373"/>
    <w:autoRedefine/>
    <w:qFormat/>
    <w:uiPriority w:val="0"/>
    <w:pPr>
      <w:tabs>
        <w:tab w:val="left" w:pos="525"/>
      </w:tabs>
      <w:adjustRightInd/>
      <w:spacing w:before="100" w:beforeAutospacing="1" w:after="100" w:afterAutospacing="1"/>
      <w:ind w:left="120" w:leftChars="50" w:firstLine="494" w:firstLineChars="206"/>
    </w:pPr>
    <w:rPr>
      <w:rFonts w:ascii="宋体"/>
      <w:kern w:val="0"/>
      <w:sz w:val="20"/>
      <w:szCs w:val="20"/>
    </w:rPr>
  </w:style>
  <w:style w:type="character" w:customStyle="1" w:styleId="375">
    <w:name w:val="标题 8 Char"/>
    <w:link w:val="11"/>
    <w:autoRedefine/>
    <w:qFormat/>
    <w:uiPriority w:val="9"/>
    <w:rPr>
      <w:rFonts w:ascii="Arial" w:hAnsi="Arial" w:eastAsia="黑体"/>
      <w:kern w:val="2"/>
      <w:sz w:val="24"/>
      <w:szCs w:val="24"/>
    </w:rPr>
  </w:style>
  <w:style w:type="character" w:customStyle="1" w:styleId="376">
    <w:name w:val="标书表格字体格式 Char"/>
    <w:autoRedefine/>
    <w:qFormat/>
    <w:uiPriority w:val="0"/>
    <w:rPr>
      <w:kern w:val="2"/>
      <w:sz w:val="21"/>
      <w:szCs w:val="24"/>
      <w:lang w:bidi="ar-SA"/>
    </w:rPr>
  </w:style>
  <w:style w:type="character" w:customStyle="1" w:styleId="377">
    <w:name w:val="tw4winError"/>
    <w:autoRedefine/>
    <w:qFormat/>
    <w:uiPriority w:val="0"/>
    <w:rPr>
      <w:rFonts w:ascii="Courier New" w:hAnsi="Courier New" w:cs="Courier New"/>
      <w:color w:val="00FF00"/>
      <w:sz w:val="40"/>
      <w:szCs w:val="40"/>
    </w:rPr>
  </w:style>
  <w:style w:type="character" w:customStyle="1" w:styleId="378">
    <w:name w:val="Body Text(ch) Char Char"/>
    <w:autoRedefine/>
    <w:qFormat/>
    <w:uiPriority w:val="0"/>
    <w:rPr>
      <w:rFonts w:ascii="宋体"/>
      <w:kern w:val="2"/>
      <w:sz w:val="24"/>
      <w:szCs w:val="21"/>
      <w:lang w:val="zh-CN"/>
    </w:rPr>
  </w:style>
  <w:style w:type="character" w:customStyle="1" w:styleId="379">
    <w:name w:val="正文首行缩进两字 Char"/>
    <w:autoRedefine/>
    <w:qFormat/>
    <w:uiPriority w:val="0"/>
    <w:rPr>
      <w:sz w:val="24"/>
      <w:szCs w:val="24"/>
      <w:lang w:val="en-US" w:eastAsia="zh-CN" w:bidi="ar-SA"/>
    </w:rPr>
  </w:style>
  <w:style w:type="character" w:customStyle="1" w:styleId="380">
    <w:name w:val="正文文本 Char"/>
    <w:autoRedefine/>
    <w:qFormat/>
    <w:uiPriority w:val="99"/>
    <w:rPr>
      <w:rFonts w:eastAsia="宋体"/>
      <w:kern w:val="2"/>
      <w:sz w:val="24"/>
      <w:szCs w:val="24"/>
      <w:lang w:val="en-US" w:eastAsia="zh-CN" w:bidi="ar-SA"/>
    </w:rPr>
  </w:style>
  <w:style w:type="character" w:customStyle="1" w:styleId="381">
    <w:name w:val="文档结构图 字符1"/>
    <w:autoRedefine/>
    <w:qFormat/>
    <w:uiPriority w:val="0"/>
    <w:rPr>
      <w:rFonts w:ascii="宋体" w:hAnsi="Calibri" w:eastAsia="黑体" w:cs="Arial"/>
      <w:snapToGrid w:val="0"/>
      <w:kern w:val="2"/>
      <w:sz w:val="18"/>
      <w:szCs w:val="18"/>
    </w:rPr>
  </w:style>
  <w:style w:type="character" w:customStyle="1" w:styleId="382">
    <w:name w:val="content"/>
    <w:autoRedefine/>
    <w:qFormat/>
    <w:uiPriority w:val="0"/>
  </w:style>
  <w:style w:type="character" w:customStyle="1" w:styleId="383">
    <w:name w:val="tw4winPopup"/>
    <w:autoRedefine/>
    <w:qFormat/>
    <w:uiPriority w:val="0"/>
    <w:rPr>
      <w:rFonts w:ascii="Courier New" w:hAnsi="Courier New" w:cs="Courier New"/>
      <w:color w:val="008000"/>
      <w:lang w:val="en-US" w:eastAsia="zh-CN"/>
    </w:rPr>
  </w:style>
  <w:style w:type="character" w:customStyle="1" w:styleId="384">
    <w:name w:val="param-name"/>
    <w:autoRedefine/>
    <w:qFormat/>
    <w:uiPriority w:val="99"/>
    <w:rPr>
      <w:rFonts w:ascii="Arial" w:hAnsi="Arial" w:eastAsia="黑体" w:cs="Arial"/>
      <w:snapToGrid w:val="0"/>
      <w:kern w:val="0"/>
      <w:szCs w:val="21"/>
    </w:rPr>
  </w:style>
  <w:style w:type="character" w:customStyle="1" w:styleId="385">
    <w:name w:val="标准正文格式 Char"/>
    <w:autoRedefine/>
    <w:qFormat/>
    <w:uiPriority w:val="0"/>
    <w:rPr>
      <w:rFonts w:ascii="宋体" w:eastAsia="仿宋_GB2312" w:cs="宋体"/>
      <w:color w:val="000000"/>
      <w:sz w:val="24"/>
      <w:lang w:val="en-US" w:eastAsia="zh-CN" w:bidi="ar-SA"/>
    </w:rPr>
  </w:style>
  <w:style w:type="character" w:customStyle="1" w:styleId="386">
    <w:name w:val="Char Char212"/>
    <w:autoRedefine/>
    <w:qFormat/>
    <w:uiPriority w:val="0"/>
    <w:rPr>
      <w:rFonts w:eastAsia="宋体"/>
      <w:b/>
      <w:bCs/>
      <w:kern w:val="2"/>
      <w:sz w:val="21"/>
      <w:szCs w:val="24"/>
      <w:lang w:val="en-US" w:eastAsia="zh-CN" w:bidi="ar-SA"/>
    </w:rPr>
  </w:style>
  <w:style w:type="character" w:customStyle="1" w:styleId="387">
    <w:name w:val="文档结构图 Char"/>
    <w:autoRedefine/>
    <w:qFormat/>
    <w:uiPriority w:val="0"/>
    <w:rPr>
      <w:rFonts w:eastAsia="宋体"/>
      <w:kern w:val="2"/>
      <w:sz w:val="21"/>
      <w:szCs w:val="24"/>
      <w:lang w:val="en-US" w:eastAsia="zh-CN" w:bidi="ar-SA"/>
    </w:rPr>
  </w:style>
  <w:style w:type="character" w:customStyle="1" w:styleId="388">
    <w:name w:val="zbggmain style9"/>
    <w:autoRedefine/>
    <w:qFormat/>
    <w:uiPriority w:val="0"/>
  </w:style>
  <w:style w:type="character" w:customStyle="1" w:styleId="389">
    <w:name w:val="Char Char16"/>
    <w:autoRedefine/>
    <w:qFormat/>
    <w:uiPriority w:val="0"/>
    <w:rPr>
      <w:kern w:val="1"/>
      <w:sz w:val="18"/>
      <w:szCs w:val="18"/>
    </w:rPr>
  </w:style>
  <w:style w:type="character" w:customStyle="1" w:styleId="390">
    <w:name w:val="font51"/>
    <w:autoRedefine/>
    <w:qFormat/>
    <w:uiPriority w:val="0"/>
    <w:rPr>
      <w:rFonts w:hint="eastAsia" w:ascii="仿宋" w:hAnsi="仿宋" w:eastAsia="仿宋" w:cs="仿宋"/>
      <w:color w:val="000000"/>
      <w:sz w:val="20"/>
      <w:szCs w:val="20"/>
      <w:u w:val="none"/>
    </w:rPr>
  </w:style>
  <w:style w:type="character" w:customStyle="1" w:styleId="391">
    <w:name w:val="Char Char82"/>
    <w:autoRedefine/>
    <w:qFormat/>
    <w:uiPriority w:val="0"/>
    <w:rPr>
      <w:rFonts w:eastAsia="宋体"/>
      <w:b/>
      <w:sz w:val="24"/>
      <w:lang w:val="en-GB" w:eastAsia="zh-CN"/>
    </w:rPr>
  </w:style>
  <w:style w:type="character" w:customStyle="1" w:styleId="392">
    <w:name w:val="正文文本缩进 3 Char"/>
    <w:link w:val="65"/>
    <w:autoRedefine/>
    <w:qFormat/>
    <w:uiPriority w:val="0"/>
    <w:rPr>
      <w:kern w:val="2"/>
      <w:sz w:val="24"/>
    </w:rPr>
  </w:style>
  <w:style w:type="character" w:customStyle="1" w:styleId="393">
    <w:name w:val="日期 Char1"/>
    <w:autoRedefine/>
    <w:semiHidden/>
    <w:qFormat/>
    <w:uiPriority w:val="99"/>
    <w:rPr>
      <w:rFonts w:ascii="Times New Roman" w:hAnsi="Times New Roman" w:eastAsia="宋体" w:cs="Times New Roman"/>
      <w:szCs w:val="24"/>
    </w:rPr>
  </w:style>
  <w:style w:type="character" w:customStyle="1" w:styleId="394">
    <w:name w:val="页眉 字符"/>
    <w:autoRedefine/>
    <w:qFormat/>
    <w:uiPriority w:val="99"/>
    <w:rPr>
      <w:kern w:val="2"/>
      <w:sz w:val="18"/>
      <w:szCs w:val="18"/>
    </w:rPr>
  </w:style>
  <w:style w:type="character" w:customStyle="1" w:styleId="395">
    <w:name w:val="Char Char33"/>
    <w:autoRedefine/>
    <w:qFormat/>
    <w:uiPriority w:val="6"/>
    <w:rPr>
      <w:rFonts w:ascii="Arial" w:hAnsi="Arial" w:eastAsia="黑体"/>
      <w:b/>
      <w:kern w:val="1"/>
      <w:sz w:val="24"/>
      <w:szCs w:val="24"/>
    </w:rPr>
  </w:style>
  <w:style w:type="character" w:customStyle="1" w:styleId="396">
    <w:name w:val="b11_01b Char"/>
    <w:link w:val="397"/>
    <w:autoRedefine/>
    <w:qFormat/>
    <w:uiPriority w:val="0"/>
    <w:rPr>
      <w:rFonts w:ascii="Verdana" w:hAnsi="Verdana"/>
      <w:b/>
      <w:bCs/>
      <w:color w:val="4A82CA"/>
      <w:sz w:val="17"/>
      <w:szCs w:val="17"/>
    </w:rPr>
  </w:style>
  <w:style w:type="paragraph" w:customStyle="1" w:styleId="397">
    <w:name w:val="b11_01b"/>
    <w:basedOn w:val="1"/>
    <w:next w:val="1"/>
    <w:link w:val="396"/>
    <w:autoRedefine/>
    <w:qFormat/>
    <w:uiPriority w:val="0"/>
    <w:pPr>
      <w:widowControl/>
      <w:adjustRightInd/>
      <w:spacing w:before="100" w:beforeAutospacing="1" w:after="100" w:afterAutospacing="1" w:line="384" w:lineRule="auto"/>
      <w:jc w:val="left"/>
    </w:pPr>
    <w:rPr>
      <w:rFonts w:ascii="Verdana" w:hAnsi="Verdana"/>
      <w:b/>
      <w:bCs/>
      <w:color w:val="4A82CA"/>
      <w:kern w:val="0"/>
      <w:sz w:val="17"/>
      <w:szCs w:val="17"/>
    </w:rPr>
  </w:style>
  <w:style w:type="character" w:customStyle="1" w:styleId="398">
    <w:name w:val="Char Char121"/>
    <w:autoRedefine/>
    <w:qFormat/>
    <w:uiPriority w:val="6"/>
    <w:rPr>
      <w:rFonts w:ascii="仿宋_GB2312" w:eastAsia="仿宋_GB2312"/>
      <w:b/>
      <w:bCs/>
      <w:kern w:val="2"/>
      <w:sz w:val="24"/>
      <w:szCs w:val="24"/>
      <w:lang w:val="zh-CN" w:eastAsia="zh-CN" w:bidi="ar-SA"/>
    </w:rPr>
  </w:style>
  <w:style w:type="character" w:customStyle="1" w:styleId="399">
    <w:name w:val="Footer-Even Char"/>
    <w:autoRedefine/>
    <w:qFormat/>
    <w:uiPriority w:val="0"/>
    <w:rPr>
      <w:rFonts w:eastAsia="宋体"/>
      <w:kern w:val="2"/>
      <w:sz w:val="18"/>
      <w:lang w:val="en-US" w:eastAsia="zh-CN" w:bidi="ar-SA"/>
    </w:rPr>
  </w:style>
  <w:style w:type="character" w:customStyle="1" w:styleId="400">
    <w:name w:val="页脚 Char2"/>
    <w:link w:val="51"/>
    <w:autoRedefine/>
    <w:qFormat/>
    <w:locked/>
    <w:uiPriority w:val="99"/>
    <w:rPr>
      <w:kern w:val="2"/>
      <w:sz w:val="18"/>
      <w:szCs w:val="18"/>
    </w:rPr>
  </w:style>
  <w:style w:type="character" w:customStyle="1" w:styleId="401">
    <w:name w:val="Char Char36"/>
    <w:autoRedefine/>
    <w:qFormat/>
    <w:uiPriority w:val="6"/>
    <w:rPr>
      <w:rFonts w:ascii="仿宋_GB2312" w:hAnsi="仿宋_GB2312" w:eastAsia="仿宋_GB2312" w:cs="Arial"/>
      <w:b/>
      <w:kern w:val="1"/>
      <w:sz w:val="32"/>
      <w:szCs w:val="32"/>
      <w:lang w:val="zh-CN" w:eastAsia="zh-CN" w:bidi="ar-SA"/>
    </w:rPr>
  </w:style>
  <w:style w:type="character" w:customStyle="1" w:styleId="402">
    <w:name w:val="Char Char61"/>
    <w:autoRedefine/>
    <w:qFormat/>
    <w:uiPriority w:val="6"/>
    <w:rPr>
      <w:rFonts w:eastAsia="宋体"/>
      <w:kern w:val="2"/>
      <w:sz w:val="21"/>
      <w:szCs w:val="24"/>
      <w:lang w:val="en-US" w:eastAsia="zh-CN" w:bidi="ar-SA"/>
    </w:rPr>
  </w:style>
  <w:style w:type="character" w:customStyle="1" w:styleId="403">
    <w:name w:val="正文文字缩进 2 Char Char"/>
    <w:autoRedefine/>
    <w:qFormat/>
    <w:uiPriority w:val="0"/>
    <w:rPr>
      <w:rFonts w:ascii="宋体"/>
      <w:sz w:val="28"/>
    </w:rPr>
  </w:style>
  <w:style w:type="character" w:customStyle="1" w:styleId="404">
    <w:name w:val="f141"/>
    <w:autoRedefine/>
    <w:qFormat/>
    <w:uiPriority w:val="0"/>
    <w:rPr>
      <w:rFonts w:ascii="Tahoma" w:hAnsi="Tahoma" w:eastAsia="宋体"/>
      <w:b/>
      <w:kern w:val="2"/>
      <w:sz w:val="21"/>
      <w:szCs w:val="21"/>
      <w:lang w:val="en-US" w:eastAsia="zh-CN" w:bidi="ar-SA"/>
    </w:rPr>
  </w:style>
  <w:style w:type="character" w:customStyle="1" w:styleId="405">
    <w:name w:val="段落 Char Char"/>
    <w:link w:val="406"/>
    <w:autoRedefine/>
    <w:qFormat/>
    <w:uiPriority w:val="0"/>
    <w:rPr>
      <w:rFonts w:ascii="宋体" w:hAnsi="宋体"/>
      <w:sz w:val="24"/>
    </w:rPr>
  </w:style>
  <w:style w:type="paragraph" w:customStyle="1" w:styleId="406">
    <w:name w:val="段落"/>
    <w:basedOn w:val="1"/>
    <w:link w:val="405"/>
    <w:autoRedefine/>
    <w:qFormat/>
    <w:uiPriority w:val="0"/>
    <w:pPr>
      <w:adjustRightInd/>
      <w:spacing w:line="360" w:lineRule="auto"/>
      <w:ind w:firstLine="480" w:firstLineChars="200"/>
    </w:pPr>
    <w:rPr>
      <w:rFonts w:ascii="宋体" w:hAnsi="宋体"/>
      <w:kern w:val="0"/>
      <w:sz w:val="24"/>
      <w:szCs w:val="20"/>
    </w:rPr>
  </w:style>
  <w:style w:type="character" w:customStyle="1" w:styleId="407">
    <w:name w:val="标题 3 Char2"/>
    <w:autoRedefine/>
    <w:qFormat/>
    <w:uiPriority w:val="0"/>
    <w:rPr>
      <w:rFonts w:eastAsia="宋体"/>
      <w:b/>
      <w:bCs/>
      <w:kern w:val="2"/>
      <w:sz w:val="32"/>
      <w:szCs w:val="32"/>
      <w:lang w:val="en-US" w:eastAsia="zh-CN" w:bidi="ar-SA"/>
    </w:rPr>
  </w:style>
  <w:style w:type="character" w:customStyle="1" w:styleId="408">
    <w:name w:val="apple-converted-space"/>
    <w:autoRedefine/>
    <w:qFormat/>
    <w:uiPriority w:val="0"/>
  </w:style>
  <w:style w:type="character" w:customStyle="1" w:styleId="409">
    <w:name w:val="页眉 Char2"/>
    <w:link w:val="52"/>
    <w:autoRedefine/>
    <w:qFormat/>
    <w:uiPriority w:val="99"/>
    <w:rPr>
      <w:kern w:val="2"/>
      <w:sz w:val="18"/>
      <w:szCs w:val="18"/>
    </w:rPr>
  </w:style>
  <w:style w:type="character" w:customStyle="1" w:styleId="410">
    <w:name w:val="Char Char9"/>
    <w:autoRedefine/>
    <w:qFormat/>
    <w:uiPriority w:val="0"/>
    <w:rPr>
      <w:rFonts w:eastAsia="宋体"/>
      <w:kern w:val="2"/>
      <w:sz w:val="18"/>
      <w:szCs w:val="18"/>
      <w:lang w:val="en-US" w:eastAsia="zh-CN" w:bidi="ar-SA"/>
    </w:rPr>
  </w:style>
  <w:style w:type="character" w:customStyle="1" w:styleId="411">
    <w:name w:val="Char Char41"/>
    <w:autoRedefine/>
    <w:qFormat/>
    <w:uiPriority w:val="0"/>
    <w:rPr>
      <w:rFonts w:eastAsia="宋体"/>
      <w:b/>
      <w:sz w:val="24"/>
      <w:lang w:val="en-GB" w:eastAsia="zh-CN" w:bidi="ar-SA"/>
    </w:rPr>
  </w:style>
  <w:style w:type="character" w:customStyle="1" w:styleId="412">
    <w:name w:val="large1"/>
    <w:autoRedefine/>
    <w:qFormat/>
    <w:uiPriority w:val="0"/>
    <w:rPr>
      <w:rFonts w:hint="eastAsia" w:ascii="宋体" w:hAnsi="宋体" w:eastAsia="宋体"/>
      <w:sz w:val="21"/>
      <w:szCs w:val="21"/>
    </w:rPr>
  </w:style>
  <w:style w:type="character" w:customStyle="1" w:styleId="413">
    <w:name w:val="正文段 Char"/>
    <w:link w:val="414"/>
    <w:autoRedefine/>
    <w:qFormat/>
    <w:uiPriority w:val="0"/>
    <w:rPr>
      <w:sz w:val="24"/>
    </w:rPr>
  </w:style>
  <w:style w:type="paragraph" w:customStyle="1" w:styleId="414">
    <w:name w:val="正文段"/>
    <w:basedOn w:val="1"/>
    <w:link w:val="413"/>
    <w:autoRedefine/>
    <w:qFormat/>
    <w:uiPriority w:val="0"/>
    <w:pPr>
      <w:widowControl/>
      <w:snapToGrid w:val="0"/>
      <w:spacing w:afterLines="50"/>
      <w:ind w:firstLine="200" w:firstLineChars="200"/>
    </w:pPr>
    <w:rPr>
      <w:kern w:val="0"/>
      <w:sz w:val="24"/>
      <w:szCs w:val="20"/>
    </w:rPr>
  </w:style>
  <w:style w:type="character" w:customStyle="1" w:styleId="415">
    <w:name w:val="Char Char13"/>
    <w:autoRedefine/>
    <w:qFormat/>
    <w:uiPriority w:val="6"/>
    <w:rPr>
      <w:rFonts w:ascii="宋体" w:hAnsi="宋体"/>
      <w:kern w:val="1"/>
      <w:sz w:val="21"/>
      <w:szCs w:val="24"/>
    </w:rPr>
  </w:style>
  <w:style w:type="character" w:customStyle="1" w:styleId="416">
    <w:name w:val="Char Char92"/>
    <w:autoRedefine/>
    <w:qFormat/>
    <w:uiPriority w:val="0"/>
    <w:rPr>
      <w:rFonts w:ascii="Times New Roman" w:hAnsi="Times New Roman" w:eastAsia="宋体" w:cs="Times New Roman"/>
      <w:b/>
      <w:bCs/>
      <w:kern w:val="2"/>
      <w:sz w:val="32"/>
      <w:szCs w:val="32"/>
      <w:lang w:val="en-US" w:eastAsia="zh-CN" w:bidi="ar-SA"/>
    </w:rPr>
  </w:style>
  <w:style w:type="character" w:customStyle="1" w:styleId="417">
    <w:name w:val="冯广丽 Char"/>
    <w:link w:val="418"/>
    <w:autoRedefine/>
    <w:qFormat/>
    <w:uiPriority w:val="0"/>
    <w:rPr>
      <w:rFonts w:ascii="宋体" w:hAnsi="宋体"/>
      <w:kern w:val="2"/>
      <w:sz w:val="24"/>
      <w:szCs w:val="22"/>
    </w:rPr>
  </w:style>
  <w:style w:type="paragraph" w:customStyle="1" w:styleId="418">
    <w:name w:val="冯广丽"/>
    <w:basedOn w:val="1"/>
    <w:link w:val="417"/>
    <w:autoRedefine/>
    <w:qFormat/>
    <w:uiPriority w:val="0"/>
    <w:pPr>
      <w:adjustRightInd/>
      <w:spacing w:line="360" w:lineRule="auto"/>
      <w:ind w:firstLine="480" w:firstLineChars="200"/>
    </w:pPr>
    <w:rPr>
      <w:rFonts w:ascii="宋体" w:hAnsi="宋体"/>
      <w:sz w:val="24"/>
      <w:szCs w:val="22"/>
    </w:rPr>
  </w:style>
  <w:style w:type="character" w:customStyle="1" w:styleId="419">
    <w:name w:val="批注文字 字符"/>
    <w:autoRedefine/>
    <w:qFormat/>
    <w:uiPriority w:val="0"/>
    <w:rPr>
      <w:rFonts w:ascii="Arial" w:hAnsi="Arial" w:eastAsia="黑体" w:cs="Arial"/>
      <w:snapToGrid w:val="0"/>
      <w:kern w:val="0"/>
      <w:szCs w:val="21"/>
    </w:rPr>
  </w:style>
  <w:style w:type="character" w:customStyle="1" w:styleId="420">
    <w:name w:val="Char Char161"/>
    <w:autoRedefine/>
    <w:qFormat/>
    <w:uiPriority w:val="0"/>
    <w:rPr>
      <w:rFonts w:eastAsia="宋体"/>
      <w:b/>
      <w:kern w:val="2"/>
      <w:sz w:val="32"/>
      <w:lang w:val="en-US" w:eastAsia="zh-CN"/>
    </w:rPr>
  </w:style>
  <w:style w:type="character" w:customStyle="1" w:styleId="421">
    <w:name w:val="javascript"/>
    <w:autoRedefine/>
    <w:qFormat/>
    <w:uiPriority w:val="0"/>
  </w:style>
  <w:style w:type="character" w:customStyle="1" w:styleId="422">
    <w:name w:val="图名 Char"/>
    <w:autoRedefine/>
    <w:qFormat/>
    <w:uiPriority w:val="0"/>
    <w:rPr>
      <w:rFonts w:ascii="Arial" w:hAnsi="Arial" w:eastAsia="黑体"/>
      <w:kern w:val="2"/>
      <w:sz w:val="24"/>
      <w:szCs w:val="24"/>
      <w:lang w:val="en-US" w:eastAsia="zh-CN" w:bidi="ar-SA"/>
    </w:rPr>
  </w:style>
  <w:style w:type="character" w:customStyle="1" w:styleId="423">
    <w:name w:val="Used by Word for text of Help footnotes Char Char"/>
    <w:autoRedefine/>
    <w:qFormat/>
    <w:uiPriority w:val="0"/>
    <w:rPr>
      <w:rFonts w:ascii="Times New Roman" w:hAnsi="Times New Roman" w:eastAsia="宋体" w:cs="Times New Roman"/>
      <w:sz w:val="20"/>
      <w:szCs w:val="20"/>
    </w:rPr>
  </w:style>
  <w:style w:type="character" w:customStyle="1" w:styleId="424">
    <w:name w:val="编号，小四 Char"/>
    <w:link w:val="425"/>
    <w:autoRedefine/>
    <w:qFormat/>
    <w:uiPriority w:val="0"/>
    <w:rPr>
      <w:rFonts w:ascii="Arial" w:hAnsi="Arial"/>
      <w:sz w:val="24"/>
    </w:rPr>
  </w:style>
  <w:style w:type="paragraph" w:customStyle="1" w:styleId="425">
    <w:name w:val="编号，小四"/>
    <w:basedOn w:val="1"/>
    <w:link w:val="424"/>
    <w:autoRedefine/>
    <w:qFormat/>
    <w:uiPriority w:val="0"/>
    <w:pPr>
      <w:tabs>
        <w:tab w:val="left" w:pos="432"/>
      </w:tabs>
      <w:adjustRightInd/>
      <w:spacing w:line="360" w:lineRule="auto"/>
      <w:ind w:left="432" w:hanging="432"/>
    </w:pPr>
    <w:rPr>
      <w:rFonts w:ascii="Arial" w:hAnsi="Arial"/>
      <w:kern w:val="0"/>
      <w:sz w:val="24"/>
      <w:szCs w:val="20"/>
    </w:rPr>
  </w:style>
  <w:style w:type="character" w:customStyle="1" w:styleId="426">
    <w:name w:val="Font Style82"/>
    <w:autoRedefine/>
    <w:qFormat/>
    <w:uiPriority w:val="99"/>
    <w:rPr>
      <w:rFonts w:ascii="宋体" w:eastAsia="宋体" w:cs="宋体"/>
      <w:color w:val="000000"/>
      <w:sz w:val="14"/>
      <w:szCs w:val="14"/>
    </w:rPr>
  </w:style>
  <w:style w:type="character" w:customStyle="1" w:styleId="427">
    <w:name w:val="标题 2 Char Char"/>
    <w:autoRedefine/>
    <w:qFormat/>
    <w:uiPriority w:val="0"/>
    <w:rPr>
      <w:rFonts w:ascii="楷体_GB2312" w:hAnsi="Arial" w:eastAsia="楷体_GB2312"/>
      <w:b/>
      <w:bCs/>
      <w:kern w:val="2"/>
      <w:sz w:val="24"/>
      <w:szCs w:val="32"/>
      <w:lang w:val="en-US" w:eastAsia="zh-CN" w:bidi="ar-SA"/>
    </w:rPr>
  </w:style>
  <w:style w:type="character" w:customStyle="1" w:styleId="428">
    <w:name w:val="未用 Char"/>
    <w:autoRedefine/>
    <w:qFormat/>
    <w:uiPriority w:val="0"/>
    <w:rPr>
      <w:rFonts w:ascii="Arial" w:hAnsi="Arial" w:eastAsia="黑体"/>
      <w:kern w:val="2"/>
      <w:sz w:val="21"/>
      <w:szCs w:val="21"/>
      <w:lang w:val="en-US" w:eastAsia="zh-CN" w:bidi="ar-SA"/>
    </w:rPr>
  </w:style>
  <w:style w:type="character" w:customStyle="1" w:styleId="429">
    <w:name w:val="myp1111"/>
    <w:autoRedefine/>
    <w:qFormat/>
    <w:uiPriority w:val="0"/>
    <w:rPr>
      <w:rFonts w:hint="default" w:ascii="ˎ̥" w:hAnsi="ˎ̥"/>
      <w:color w:val="000000"/>
      <w:sz w:val="20"/>
      <w:szCs w:val="20"/>
      <w:u w:val="none"/>
    </w:rPr>
  </w:style>
  <w:style w:type="character" w:customStyle="1" w:styleId="430">
    <w:name w:val="样式 标题 4h4H4Fab-4T5Ref Heading 1rh1Heading sqlsect 1.2.3.... Char"/>
    <w:link w:val="322"/>
    <w:autoRedefine/>
    <w:qFormat/>
    <w:uiPriority w:val="0"/>
    <w:rPr>
      <w:rFonts w:ascii="微软雅黑" w:hAnsi="微软雅黑" w:eastAsia="微软雅黑"/>
      <w:b/>
      <w:bCs/>
      <w:kern w:val="2"/>
      <w:sz w:val="24"/>
      <w:szCs w:val="28"/>
    </w:rPr>
  </w:style>
  <w:style w:type="character" w:customStyle="1" w:styleId="431">
    <w:name w:val="h Char Char"/>
    <w:autoRedefine/>
    <w:qFormat/>
    <w:uiPriority w:val="0"/>
    <w:rPr>
      <w:rFonts w:eastAsia="宋体"/>
      <w:kern w:val="2"/>
      <w:sz w:val="18"/>
      <w:lang w:val="en-US" w:eastAsia="zh-CN" w:bidi="ar-SA"/>
    </w:rPr>
  </w:style>
  <w:style w:type="character" w:customStyle="1" w:styleId="432">
    <w:name w:val="仿宋正文 Char"/>
    <w:link w:val="433"/>
    <w:autoRedefine/>
    <w:qFormat/>
    <w:uiPriority w:val="0"/>
    <w:rPr>
      <w:rFonts w:ascii="仿宋_GB2312" w:eastAsia="仿宋_GB2312"/>
      <w:kern w:val="2"/>
      <w:sz w:val="24"/>
      <w:lang w:val="en-US" w:eastAsia="zh-CN" w:bidi="ar-SA"/>
    </w:rPr>
  </w:style>
  <w:style w:type="paragraph" w:customStyle="1" w:styleId="433">
    <w:name w:val="仿宋正文"/>
    <w:basedOn w:val="1"/>
    <w:link w:val="432"/>
    <w:autoRedefine/>
    <w:qFormat/>
    <w:uiPriority w:val="0"/>
    <w:pPr>
      <w:adjustRightInd/>
      <w:spacing w:line="360" w:lineRule="auto"/>
      <w:ind w:firstLine="480" w:firstLineChars="200"/>
    </w:pPr>
    <w:rPr>
      <w:rFonts w:ascii="仿宋_GB2312" w:eastAsia="仿宋_GB2312"/>
      <w:sz w:val="24"/>
      <w:szCs w:val="20"/>
    </w:rPr>
  </w:style>
  <w:style w:type="character" w:customStyle="1" w:styleId="434">
    <w:name w:val="正文首行缩进 Char Char Char Char Char Char"/>
    <w:autoRedefine/>
    <w:qFormat/>
    <w:uiPriority w:val="0"/>
    <w:rPr>
      <w:rFonts w:ascii="宋体" w:eastAsia="宋体"/>
      <w:kern w:val="2"/>
      <w:sz w:val="24"/>
      <w:lang w:val="zh-CN" w:bidi="ar-SA"/>
    </w:rPr>
  </w:style>
  <w:style w:type="character" w:customStyle="1" w:styleId="435">
    <w:name w:val="样式 宋体"/>
    <w:autoRedefine/>
    <w:qFormat/>
    <w:uiPriority w:val="0"/>
    <w:rPr>
      <w:rFonts w:ascii="宋体" w:hAnsi="宋体"/>
      <w:sz w:val="24"/>
    </w:rPr>
  </w:style>
  <w:style w:type="character" w:customStyle="1" w:styleId="436">
    <w:name w:val="tw4winJump"/>
    <w:autoRedefine/>
    <w:qFormat/>
    <w:uiPriority w:val="0"/>
    <w:rPr>
      <w:rFonts w:ascii="Courier New" w:hAnsi="Courier New" w:cs="Courier New"/>
      <w:color w:val="008080"/>
      <w:lang w:val="en-US" w:eastAsia="zh-CN"/>
    </w:rPr>
  </w:style>
  <w:style w:type="character" w:customStyle="1" w:styleId="437">
    <w:name w:val="标题 1 字符"/>
    <w:autoRedefine/>
    <w:qFormat/>
    <w:uiPriority w:val="9"/>
    <w:rPr>
      <w:rFonts w:ascii="Arial" w:hAnsi="Arial" w:eastAsia="黑体" w:cs="Arial"/>
      <w:b/>
      <w:bCs/>
      <w:snapToGrid w:val="0"/>
      <w:kern w:val="44"/>
      <w:sz w:val="44"/>
      <w:szCs w:val="44"/>
    </w:rPr>
  </w:style>
  <w:style w:type="character" w:customStyle="1" w:styleId="438">
    <w:name w:val="style36"/>
    <w:basedOn w:val="87"/>
    <w:autoRedefine/>
    <w:qFormat/>
    <w:uiPriority w:val="0"/>
    <w:rPr>
      <w:rFonts w:ascii="Arial" w:hAnsi="Arial" w:eastAsia="黑体" w:cs="Arial"/>
      <w:snapToGrid w:val="0"/>
      <w:kern w:val="0"/>
      <w:szCs w:val="21"/>
    </w:rPr>
  </w:style>
  <w:style w:type="character" w:customStyle="1" w:styleId="439">
    <w:name w:val="pt9"/>
    <w:autoRedefine/>
    <w:qFormat/>
    <w:uiPriority w:val="0"/>
    <w:rPr>
      <w:rFonts w:ascii="仿宋_GB2312" w:eastAsia="微软雅黑"/>
      <w:b/>
      <w:kern w:val="2"/>
      <w:sz w:val="32"/>
      <w:szCs w:val="32"/>
      <w:lang w:val="en-US" w:eastAsia="zh-CN" w:bidi="ar-SA"/>
    </w:rPr>
  </w:style>
  <w:style w:type="character" w:customStyle="1" w:styleId="440">
    <w:name w:val="DO_NOT_TRANSLATE"/>
    <w:autoRedefine/>
    <w:qFormat/>
    <w:uiPriority w:val="0"/>
    <w:rPr>
      <w:rFonts w:ascii="Courier New" w:hAnsi="Courier New" w:cs="Courier New"/>
      <w:color w:val="800000"/>
      <w:lang w:val="en-US" w:eastAsia="zh-CN"/>
    </w:rPr>
  </w:style>
  <w:style w:type="character" w:customStyle="1" w:styleId="441">
    <w:name w:val="标书1 Char1"/>
    <w:autoRedefine/>
    <w:qFormat/>
    <w:uiPriority w:val="0"/>
    <w:rPr>
      <w:rFonts w:eastAsia="宋体"/>
      <w:b/>
      <w:bCs/>
      <w:kern w:val="44"/>
      <w:sz w:val="44"/>
      <w:szCs w:val="44"/>
      <w:lang w:val="en-US" w:eastAsia="zh-CN" w:bidi="ar-SA"/>
    </w:rPr>
  </w:style>
  <w:style w:type="character" w:customStyle="1" w:styleId="442">
    <w:name w:val="页脚 字符"/>
    <w:autoRedefine/>
    <w:qFormat/>
    <w:uiPriority w:val="99"/>
    <w:rPr>
      <w:kern w:val="2"/>
      <w:sz w:val="18"/>
      <w:szCs w:val="18"/>
    </w:rPr>
  </w:style>
  <w:style w:type="character" w:customStyle="1" w:styleId="443">
    <w:name w:val="正文2 Char"/>
    <w:autoRedefine/>
    <w:qFormat/>
    <w:uiPriority w:val="0"/>
    <w:rPr>
      <w:rFonts w:eastAsia="宋体"/>
      <w:kern w:val="2"/>
      <w:sz w:val="24"/>
      <w:lang w:val="en-US" w:eastAsia="zh-CN" w:bidi="ar-SA"/>
    </w:rPr>
  </w:style>
  <w:style w:type="character" w:customStyle="1" w:styleId="444">
    <w:name w:val="Char Char21"/>
    <w:autoRedefine/>
    <w:qFormat/>
    <w:uiPriority w:val="6"/>
    <w:rPr>
      <w:rFonts w:ascii="宋体" w:hAnsi="宋体"/>
      <w:kern w:val="1"/>
      <w:sz w:val="24"/>
      <w:szCs w:val="21"/>
      <w:lang w:val="zh-CN"/>
    </w:rPr>
  </w:style>
  <w:style w:type="character" w:customStyle="1" w:styleId="445">
    <w:name w:val="样式 正文缩进 + 首行缩进:  2 字符 Char Char"/>
    <w:link w:val="446"/>
    <w:autoRedefine/>
    <w:qFormat/>
    <w:uiPriority w:val="0"/>
    <w:rPr>
      <w:rFonts w:cs="宋体"/>
      <w:kern w:val="2"/>
      <w:sz w:val="24"/>
    </w:rPr>
  </w:style>
  <w:style w:type="paragraph" w:customStyle="1" w:styleId="446">
    <w:name w:val="样式 正文缩进 + 首行缩进:  2 字符"/>
    <w:basedOn w:val="6"/>
    <w:link w:val="445"/>
    <w:autoRedefine/>
    <w:qFormat/>
    <w:uiPriority w:val="0"/>
    <w:pPr>
      <w:widowControl w:val="0"/>
      <w:adjustRightInd/>
      <w:snapToGrid/>
      <w:spacing w:line="360" w:lineRule="auto"/>
      <w:ind w:firstLine="200" w:firstLineChars="200"/>
    </w:pPr>
    <w:rPr>
      <w:rFonts w:ascii="Calibri"/>
      <w:snapToGrid/>
      <w:color w:val="auto"/>
      <w:kern w:val="2"/>
      <w:sz w:val="24"/>
    </w:rPr>
  </w:style>
  <w:style w:type="character" w:customStyle="1" w:styleId="447">
    <w:name w:val="正文文本 Char1"/>
    <w:link w:val="30"/>
    <w:autoRedefine/>
    <w:qFormat/>
    <w:uiPriority w:val="0"/>
    <w:rPr>
      <w:rFonts w:ascii="宋体" w:hAnsi="Arial" w:eastAsia="宋体" w:cs="Arial"/>
      <w:snapToGrid w:val="0"/>
      <w:kern w:val="2"/>
      <w:sz w:val="24"/>
      <w:szCs w:val="21"/>
      <w:lang w:val="zh-CN" w:eastAsia="zh-CN" w:bidi="ar-SA"/>
    </w:rPr>
  </w:style>
  <w:style w:type="character" w:customStyle="1" w:styleId="448">
    <w:name w:val="gray6"/>
    <w:basedOn w:val="87"/>
    <w:autoRedefine/>
    <w:qFormat/>
    <w:uiPriority w:val="0"/>
    <w:rPr>
      <w:rFonts w:ascii="Arial" w:hAnsi="Arial" w:eastAsia="黑体" w:cs="Arial"/>
      <w:snapToGrid w:val="0"/>
      <w:kern w:val="0"/>
      <w:szCs w:val="21"/>
    </w:rPr>
  </w:style>
  <w:style w:type="character" w:customStyle="1" w:styleId="449">
    <w:name w:val="hui"/>
    <w:basedOn w:val="87"/>
    <w:autoRedefine/>
    <w:qFormat/>
    <w:uiPriority w:val="0"/>
    <w:rPr>
      <w:rFonts w:ascii="Arial" w:hAnsi="Arial" w:eastAsia="黑体" w:cs="Arial"/>
      <w:snapToGrid w:val="0"/>
      <w:kern w:val="0"/>
      <w:szCs w:val="21"/>
    </w:rPr>
  </w:style>
  <w:style w:type="character" w:customStyle="1" w:styleId="450">
    <w:name w:val="哈哈正文 Char Char"/>
    <w:autoRedefine/>
    <w:qFormat/>
    <w:uiPriority w:val="0"/>
    <w:rPr>
      <w:rFonts w:ascii="宋体" w:hAnsi="宋体" w:eastAsia="宋体" w:cs="宋体"/>
      <w:kern w:val="2"/>
      <w:sz w:val="24"/>
      <w:lang w:val="en-US" w:eastAsia="zh-CN" w:bidi="ar-SA"/>
    </w:rPr>
  </w:style>
  <w:style w:type="paragraph" w:customStyle="1" w:styleId="451">
    <w:name w:val="样式 正文文本缩进 + 左侧:  2 字符 首行缩进:  2 字符"/>
    <w:basedOn w:val="31"/>
    <w:autoRedefine/>
    <w:qFormat/>
    <w:uiPriority w:val="0"/>
    <w:pPr>
      <w:tabs>
        <w:tab w:val="left" w:pos="360"/>
        <w:tab w:val="left" w:pos="540"/>
      </w:tabs>
      <w:adjustRightInd/>
      <w:spacing w:line="520" w:lineRule="exact"/>
      <w:ind w:left="200" w:firstLine="560"/>
    </w:pPr>
    <w:rPr>
      <w:rFonts w:ascii="仿宋_GB2312" w:hAnsi="Times New Roman" w:eastAsia="仿宋_GB2312"/>
      <w:sz w:val="28"/>
      <w:szCs w:val="20"/>
    </w:rPr>
  </w:style>
  <w:style w:type="paragraph" w:customStyle="1" w:styleId="452">
    <w:name w:val="封面表格文本"/>
    <w:basedOn w:val="1"/>
    <w:autoRedefine/>
    <w:qFormat/>
    <w:uiPriority w:val="0"/>
    <w:pPr>
      <w:autoSpaceDE w:val="0"/>
      <w:autoSpaceDN w:val="0"/>
      <w:ind w:firstLine="200" w:firstLineChars="200"/>
      <w:jc w:val="center"/>
    </w:pPr>
    <w:rPr>
      <w:rFonts w:ascii="Arial" w:hAnsi="Arial"/>
      <w:kern w:val="0"/>
      <w:szCs w:val="21"/>
    </w:rPr>
  </w:style>
  <w:style w:type="paragraph" w:customStyle="1" w:styleId="453">
    <w:name w:val="正文文本 221"/>
    <w:basedOn w:val="1"/>
    <w:autoRedefine/>
    <w:qFormat/>
    <w:uiPriority w:val="0"/>
    <w:pPr>
      <w:widowControl/>
      <w:overflowPunct w:val="0"/>
      <w:autoSpaceDE w:val="0"/>
      <w:autoSpaceDN w:val="0"/>
      <w:ind w:left="720" w:hanging="720"/>
      <w:textAlignment w:val="baseline"/>
    </w:pPr>
    <w:rPr>
      <w:kern w:val="0"/>
      <w:sz w:val="24"/>
      <w:szCs w:val="20"/>
      <w:lang w:val="en-GB"/>
    </w:rPr>
  </w:style>
  <w:style w:type="paragraph" w:customStyle="1" w:styleId="454">
    <w:name w:val="表格标题1"/>
    <w:basedOn w:val="1"/>
    <w:autoRedefine/>
    <w:qFormat/>
    <w:uiPriority w:val="0"/>
    <w:pPr>
      <w:adjustRightInd/>
      <w:spacing w:line="360" w:lineRule="auto"/>
      <w:jc w:val="center"/>
    </w:pPr>
    <w:rPr>
      <w:rFonts w:ascii="宋体" w:hAnsi="宋体" w:cs="宋体"/>
      <w:b/>
      <w:bCs/>
      <w:color w:val="000000"/>
      <w:sz w:val="24"/>
      <w:szCs w:val="21"/>
    </w:rPr>
  </w:style>
  <w:style w:type="paragraph" w:customStyle="1" w:styleId="455">
    <w:name w:val="目录标题"/>
    <w:basedOn w:val="1"/>
    <w:autoRedefine/>
    <w:qFormat/>
    <w:uiPriority w:val="0"/>
    <w:pPr>
      <w:autoSpaceDE w:val="0"/>
      <w:autoSpaceDN w:val="0"/>
      <w:spacing w:before="566" w:after="544" w:line="566" w:lineRule="atLeast"/>
      <w:ind w:firstLine="419" w:firstLineChars="200"/>
      <w:jc w:val="center"/>
    </w:pPr>
    <w:rPr>
      <w:rFonts w:ascii="Arial" w:hAnsi="Arial"/>
      <w:color w:val="000000"/>
      <w:spacing w:val="565"/>
      <w:kern w:val="0"/>
      <w:sz w:val="54"/>
      <w:szCs w:val="54"/>
    </w:rPr>
  </w:style>
  <w:style w:type="paragraph" w:customStyle="1" w:styleId="456">
    <w:name w:val="subhead"/>
    <w:autoRedefine/>
    <w:qFormat/>
    <w:uiPriority w:val="0"/>
    <w:pPr>
      <w:spacing w:after="120" w:line="300" w:lineRule="exact"/>
    </w:pPr>
    <w:rPr>
      <w:rFonts w:ascii="Arial" w:hAnsi="Arial" w:eastAsia="宋体" w:cs="Times New Roman"/>
      <w:b/>
      <w:sz w:val="26"/>
      <w:lang w:val="en-US" w:eastAsia="en-US" w:bidi="ar-SA"/>
    </w:rPr>
  </w:style>
  <w:style w:type="paragraph" w:customStyle="1" w:styleId="457">
    <w:name w:val="样式 宋体 三号 加粗 居中"/>
    <w:basedOn w:val="1"/>
    <w:autoRedefine/>
    <w:qFormat/>
    <w:uiPriority w:val="0"/>
    <w:pPr>
      <w:adjustRightInd/>
      <w:spacing w:line="360" w:lineRule="auto"/>
      <w:jc w:val="center"/>
    </w:pPr>
    <w:rPr>
      <w:rFonts w:ascii="宋体" w:hAnsi="宋体" w:cs="宋体"/>
      <w:b/>
      <w:bCs/>
      <w:sz w:val="24"/>
      <w:szCs w:val="20"/>
    </w:rPr>
  </w:style>
  <w:style w:type="paragraph" w:customStyle="1" w:styleId="458">
    <w:name w:val="标题4_自定义"/>
    <w:basedOn w:val="7"/>
    <w:autoRedefine/>
    <w:qFormat/>
    <w:uiPriority w:val="0"/>
    <w:pPr>
      <w:adjustRightInd/>
      <w:spacing w:before="0" w:after="0" w:line="360" w:lineRule="auto"/>
    </w:pPr>
    <w:rPr>
      <w:rFonts w:ascii="Verdana" w:eastAsia="Verdana"/>
      <w:sz w:val="21"/>
      <w:lang w:val="en-US"/>
    </w:rPr>
  </w:style>
  <w:style w:type="paragraph" w:customStyle="1" w:styleId="459">
    <w:name w:val="正文 内标 序号标"/>
    <w:basedOn w:val="460"/>
    <w:autoRedefine/>
    <w:qFormat/>
    <w:uiPriority w:val="0"/>
    <w:pPr>
      <w:tabs>
        <w:tab w:val="left" w:pos="0"/>
      </w:tabs>
      <w:adjustRightInd/>
      <w:spacing w:before="0"/>
      <w:ind w:firstLine="482"/>
    </w:pPr>
    <w:rPr>
      <w:rFonts w:ascii="微软雅黑" w:hAnsi="微软雅黑"/>
      <w:sz w:val="24"/>
      <w:szCs w:val="24"/>
    </w:rPr>
  </w:style>
  <w:style w:type="paragraph" w:customStyle="1" w:styleId="460">
    <w:name w:val="My正文"/>
    <w:basedOn w:val="1"/>
    <w:autoRedefine/>
    <w:qFormat/>
    <w:uiPriority w:val="0"/>
    <w:pPr>
      <w:spacing w:before="120" w:line="360" w:lineRule="auto"/>
      <w:ind w:firstLine="567"/>
    </w:pPr>
    <w:rPr>
      <w:rFonts w:ascii="Arial" w:hAnsi="Arial"/>
      <w:sz w:val="20"/>
      <w:szCs w:val="20"/>
    </w:rPr>
  </w:style>
  <w:style w:type="paragraph" w:customStyle="1" w:styleId="461">
    <w:name w:val="彩色底纹 - 强调文字颜色 11"/>
    <w:autoRedefine/>
    <w:qFormat/>
    <w:uiPriority w:val="0"/>
    <w:rPr>
      <w:rFonts w:ascii="Times New Roman" w:hAnsi="Times New Roman" w:eastAsia="宋体" w:cs="Times New Roman"/>
      <w:kern w:val="2"/>
      <w:sz w:val="21"/>
      <w:szCs w:val="24"/>
      <w:lang w:val="en-US" w:eastAsia="zh-CN" w:bidi="ar-SA"/>
    </w:rPr>
  </w:style>
  <w:style w:type="paragraph" w:customStyle="1" w:styleId="462">
    <w:name w:val="正文 小标"/>
    <w:basedOn w:val="1"/>
    <w:autoRedefine/>
    <w:qFormat/>
    <w:uiPriority w:val="0"/>
    <w:pPr>
      <w:tabs>
        <w:tab w:val="left" w:pos="0"/>
      </w:tabs>
      <w:adjustRightInd/>
      <w:spacing w:line="300" w:lineRule="auto"/>
      <w:ind w:left="425"/>
    </w:pPr>
    <w:rPr>
      <w:rFonts w:ascii="仿宋" w:hAnsi="Calibri" w:eastAsia="仿宋"/>
      <w:sz w:val="24"/>
      <w:szCs w:val="20"/>
    </w:rPr>
  </w:style>
  <w:style w:type="paragraph" w:customStyle="1" w:styleId="463">
    <w:name w:val="reader-word-layer"/>
    <w:basedOn w:val="1"/>
    <w:autoRedefine/>
    <w:qFormat/>
    <w:uiPriority w:val="0"/>
    <w:pPr>
      <w:widowControl/>
      <w:adjustRightInd/>
      <w:spacing w:before="100" w:beforeAutospacing="1" w:after="100" w:afterAutospacing="1"/>
      <w:jc w:val="left"/>
    </w:pPr>
    <w:rPr>
      <w:rFonts w:ascii="宋体" w:hAnsi="宋体" w:cs="宋体"/>
      <w:kern w:val="0"/>
      <w:sz w:val="24"/>
    </w:rPr>
  </w:style>
  <w:style w:type="paragraph" w:customStyle="1" w:styleId="464">
    <w:name w:val="修订2"/>
    <w:autoRedefine/>
    <w:qFormat/>
    <w:uiPriority w:val="0"/>
    <w:rPr>
      <w:rFonts w:ascii="Times New Roman" w:hAnsi="Times New Roman" w:eastAsia="宋体" w:cs="Times New Roman"/>
      <w:kern w:val="2"/>
      <w:sz w:val="21"/>
      <w:lang w:val="en-US" w:eastAsia="zh-CN" w:bidi="ar-SA"/>
    </w:rPr>
  </w:style>
  <w:style w:type="paragraph" w:customStyle="1" w:styleId="465">
    <w:name w:val="Char Char11 Char Char Char Char Char Char Char Char Char Char Char"/>
    <w:basedOn w:val="1"/>
    <w:autoRedefine/>
    <w:qFormat/>
    <w:uiPriority w:val="0"/>
    <w:pPr>
      <w:adjustRightInd/>
      <w:spacing w:line="360" w:lineRule="auto"/>
    </w:pPr>
    <w:rPr>
      <w:rFonts w:ascii="Arial" w:hAnsi="Arial" w:eastAsia="黑体" w:cs="Arial"/>
      <w:snapToGrid w:val="0"/>
      <w:kern w:val="0"/>
      <w:szCs w:val="21"/>
    </w:rPr>
  </w:style>
  <w:style w:type="paragraph" w:customStyle="1" w:styleId="466">
    <w:name w:val="xl84"/>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467">
    <w:name w:val="文章标题"/>
    <w:next w:val="468"/>
    <w:autoRedefine/>
    <w:qFormat/>
    <w:uiPriority w:val="0"/>
    <w:pPr>
      <w:spacing w:beforeLines="800" w:afterLines="100"/>
      <w:jc w:val="center"/>
    </w:pPr>
    <w:rPr>
      <w:rFonts w:ascii="Arial" w:hAnsi="Arial" w:eastAsia="黑体" w:cs="宋体"/>
      <w:bCs/>
      <w:kern w:val="2"/>
      <w:sz w:val="52"/>
      <w:lang w:val="en-US" w:eastAsia="zh-CN" w:bidi="ar-SA"/>
    </w:rPr>
  </w:style>
  <w:style w:type="paragraph" w:customStyle="1" w:styleId="468">
    <w:name w:val="封面公司名"/>
    <w:autoRedefine/>
    <w:qFormat/>
    <w:uiPriority w:val="0"/>
    <w:pPr>
      <w:jc w:val="center"/>
    </w:pPr>
    <w:rPr>
      <w:rFonts w:ascii="Arial" w:hAnsi="Arial" w:eastAsia="楷体_GB2312" w:cs="宋体"/>
      <w:bCs/>
      <w:kern w:val="2"/>
      <w:sz w:val="28"/>
      <w:lang w:val="en-US" w:eastAsia="zh-CN" w:bidi="ar-SA"/>
    </w:rPr>
  </w:style>
  <w:style w:type="paragraph" w:customStyle="1" w:styleId="469">
    <w:name w:val="Char1 Char Char Char5"/>
    <w:basedOn w:val="1"/>
    <w:autoRedefine/>
    <w:qFormat/>
    <w:uiPriority w:val="0"/>
    <w:pPr>
      <w:adjustRightInd/>
      <w:ind w:firstLine="200" w:firstLineChars="200"/>
    </w:pPr>
    <w:rPr>
      <w:rFonts w:ascii="Tahoma" w:hAnsi="Tahoma"/>
      <w:sz w:val="24"/>
      <w:szCs w:val="20"/>
    </w:rPr>
  </w:style>
  <w:style w:type="paragraph" w:customStyle="1" w:styleId="470">
    <w:name w:val="style82 f9a f9a f9a"/>
    <w:basedOn w:val="1"/>
    <w:autoRedefine/>
    <w:qFormat/>
    <w:uiPriority w:val="0"/>
    <w:pPr>
      <w:widowControl/>
      <w:spacing w:before="100" w:beforeAutospacing="1" w:after="100" w:afterAutospacing="1" w:line="276" w:lineRule="auto"/>
      <w:jc w:val="left"/>
    </w:pPr>
    <w:rPr>
      <w:rFonts w:ascii="宋体" w:hAnsi="宋体"/>
      <w:kern w:val="0"/>
      <w:sz w:val="24"/>
      <w:szCs w:val="20"/>
    </w:rPr>
  </w:style>
  <w:style w:type="paragraph" w:customStyle="1" w:styleId="471">
    <w:name w:val="正文 编号"/>
    <w:basedOn w:val="1"/>
    <w:autoRedefine/>
    <w:qFormat/>
    <w:uiPriority w:val="0"/>
    <w:pPr>
      <w:widowControl/>
      <w:tabs>
        <w:tab w:val="left" w:pos="840"/>
      </w:tabs>
      <w:spacing w:after="120" w:line="440" w:lineRule="exact"/>
      <w:ind w:left="840" w:hanging="420"/>
      <w:jc w:val="left"/>
    </w:pPr>
    <w:rPr>
      <w:rFonts w:ascii="仿宋_GB2312" w:hAnsi="仿宋_GB2312" w:eastAsia="仿宋_GB2312"/>
      <w:sz w:val="24"/>
      <w:szCs w:val="20"/>
    </w:rPr>
  </w:style>
  <w:style w:type="paragraph" w:customStyle="1" w:styleId="472">
    <w:name w:val="Char Char Char Char Char Char Char Char"/>
    <w:basedOn w:val="1"/>
    <w:autoRedefine/>
    <w:qFormat/>
    <w:uiPriority w:val="0"/>
    <w:pPr>
      <w:tabs>
        <w:tab w:val="left" w:pos="360"/>
      </w:tabs>
    </w:pPr>
    <w:rPr>
      <w:sz w:val="24"/>
      <w:szCs w:val="20"/>
    </w:rPr>
  </w:style>
  <w:style w:type="paragraph" w:customStyle="1" w:styleId="473">
    <w:name w:val="Char Char11 Char Char Char"/>
    <w:basedOn w:val="1"/>
    <w:autoRedefine/>
    <w:qFormat/>
    <w:uiPriority w:val="0"/>
    <w:pPr>
      <w:spacing w:line="360" w:lineRule="auto"/>
    </w:pPr>
    <w:rPr>
      <w:szCs w:val="20"/>
    </w:rPr>
  </w:style>
  <w:style w:type="paragraph" w:customStyle="1" w:styleId="474">
    <w:name w:val="gjt_3"/>
    <w:next w:val="1"/>
    <w:autoRedefine/>
    <w:qFormat/>
    <w:uiPriority w:val="0"/>
    <w:pPr>
      <w:keepNext/>
      <w:keepLines/>
      <w:widowControl w:val="0"/>
      <w:spacing w:before="260" w:after="260" w:line="412" w:lineRule="auto"/>
      <w:ind w:left="289" w:hanging="289"/>
      <w:jc w:val="both"/>
      <w:outlineLvl w:val="7"/>
    </w:pPr>
    <w:rPr>
      <w:rFonts w:ascii="Calibri" w:hAnsi="Calibri" w:eastAsia="黑体" w:cs="Times New Roman"/>
      <w:bCs/>
      <w:color w:val="000000"/>
      <w:kern w:val="2"/>
      <w:sz w:val="28"/>
      <w:szCs w:val="28"/>
      <w:u w:color="000000"/>
      <w:lang w:val="en-US" w:eastAsia="zh-CN" w:bidi="ar-SA"/>
    </w:rPr>
  </w:style>
  <w:style w:type="paragraph" w:customStyle="1" w:styleId="475">
    <w:name w:val="金宏发行正文"/>
    <w:basedOn w:val="1"/>
    <w:autoRedefine/>
    <w:qFormat/>
    <w:uiPriority w:val="0"/>
    <w:pPr>
      <w:adjustRightInd/>
      <w:spacing w:line="500" w:lineRule="exact"/>
      <w:ind w:firstLine="560" w:firstLineChars="200"/>
    </w:pPr>
    <w:rPr>
      <w:rFonts w:eastAsia="仿宋_GB2312"/>
      <w:sz w:val="28"/>
      <w:szCs w:val="20"/>
    </w:rPr>
  </w:style>
  <w:style w:type="paragraph" w:customStyle="1" w:styleId="476">
    <w:name w:val="样式3"/>
    <w:basedOn w:val="477"/>
    <w:autoRedefine/>
    <w:qFormat/>
    <w:uiPriority w:val="0"/>
    <w:pPr>
      <w:tabs>
        <w:tab w:val="left" w:pos="2790"/>
        <w:tab w:val="left" w:pos="4230"/>
      </w:tabs>
      <w:spacing w:beforeLines="100"/>
      <w:jc w:val="left"/>
    </w:pPr>
  </w:style>
  <w:style w:type="paragraph" w:customStyle="1" w:styleId="477">
    <w:name w:val="样式2"/>
    <w:basedOn w:val="1"/>
    <w:autoRedefine/>
    <w:qFormat/>
    <w:uiPriority w:val="0"/>
    <w:pPr>
      <w:tabs>
        <w:tab w:val="left" w:pos="2790"/>
        <w:tab w:val="left" w:pos="4230"/>
      </w:tabs>
      <w:autoSpaceDE w:val="0"/>
      <w:autoSpaceDN w:val="0"/>
      <w:snapToGrid w:val="0"/>
      <w:spacing w:line="360" w:lineRule="auto"/>
      <w:jc w:val="center"/>
      <w:outlineLvl w:val="1"/>
    </w:pPr>
    <w:rPr>
      <w:rFonts w:ascii="仿宋_GB2312" w:hAnsi="仿宋" w:eastAsia="仿宋_GB2312"/>
      <w:b/>
      <w:bCs/>
      <w:kern w:val="0"/>
      <w:sz w:val="32"/>
      <w:szCs w:val="30"/>
      <w:lang w:val="zh-CN"/>
    </w:rPr>
  </w:style>
  <w:style w:type="paragraph" w:customStyle="1" w:styleId="478">
    <w:name w:val="Char Char1 Char Char1 Char Char1"/>
    <w:basedOn w:val="1"/>
    <w:autoRedefine/>
    <w:qFormat/>
    <w:uiPriority w:val="0"/>
    <w:pPr>
      <w:tabs>
        <w:tab w:val="left" w:pos="840"/>
      </w:tabs>
      <w:ind w:left="840" w:hanging="420"/>
    </w:pPr>
    <w:rPr>
      <w:rFonts w:ascii="Tahoma" w:hAnsi="Tahoma"/>
      <w:sz w:val="24"/>
    </w:rPr>
  </w:style>
  <w:style w:type="paragraph" w:customStyle="1" w:styleId="479">
    <w:name w:val="Z5"/>
    <w:basedOn w:val="1"/>
    <w:next w:val="1"/>
    <w:autoRedefine/>
    <w:qFormat/>
    <w:uiPriority w:val="0"/>
    <w:pPr>
      <w:tabs>
        <w:tab w:val="left" w:pos="2100"/>
      </w:tabs>
      <w:adjustRightInd/>
      <w:spacing w:before="240"/>
      <w:ind w:firstLine="200" w:firstLineChars="200"/>
      <w:outlineLvl w:val="4"/>
    </w:pPr>
    <w:rPr>
      <w:rFonts w:ascii="Tahoma" w:hAnsi="Tahoma" w:eastAsia="幼圆"/>
    </w:rPr>
  </w:style>
  <w:style w:type="paragraph" w:customStyle="1" w:styleId="480">
    <w:name w:val="标书标题2"/>
    <w:basedOn w:val="4"/>
    <w:autoRedefine/>
    <w:qFormat/>
    <w:uiPriority w:val="0"/>
    <w:pPr>
      <w:keepLines w:val="0"/>
      <w:widowControl/>
      <w:tabs>
        <w:tab w:val="left" w:pos="840"/>
        <w:tab w:val="clear" w:pos="432"/>
      </w:tabs>
      <w:adjustRightInd w:val="0"/>
      <w:snapToGrid w:val="0"/>
      <w:spacing w:beforeLines="50" w:after="60" w:line="300" w:lineRule="auto"/>
      <w:ind w:left="840" w:hanging="420"/>
    </w:pPr>
    <w:rPr>
      <w:rFonts w:ascii="Arial Narrow" w:hAnsi="Arial Narrow"/>
      <w:snapToGrid w:val="0"/>
      <w:kern w:val="0"/>
      <w:szCs w:val="20"/>
      <w:lang w:val="en-US"/>
    </w:rPr>
  </w:style>
  <w:style w:type="paragraph" w:customStyle="1" w:styleId="481">
    <w:name w:val="样式 仿宋_GB2312 三号 加粗 黑色 居中 行距: 1.5 倍行距"/>
    <w:basedOn w:val="1"/>
    <w:autoRedefine/>
    <w:qFormat/>
    <w:uiPriority w:val="0"/>
    <w:pPr>
      <w:spacing w:line="360" w:lineRule="auto"/>
      <w:jc w:val="center"/>
    </w:pPr>
    <w:rPr>
      <w:rFonts w:ascii="仿宋_GB2312" w:eastAsia="仿宋_GB2312" w:cs="宋体"/>
      <w:b/>
      <w:bCs/>
      <w:color w:val="000000"/>
      <w:sz w:val="28"/>
      <w:szCs w:val="20"/>
    </w:rPr>
  </w:style>
  <w:style w:type="paragraph" w:customStyle="1" w:styleId="482">
    <w:name w:val="正文21"/>
    <w:basedOn w:val="1"/>
    <w:autoRedefine/>
    <w:qFormat/>
    <w:uiPriority w:val="0"/>
    <w:pPr>
      <w:adjustRightInd/>
      <w:spacing w:before="156" w:line="360" w:lineRule="auto"/>
      <w:ind w:firstLine="510" w:firstLineChars="200"/>
    </w:pPr>
    <w:rPr>
      <w:sz w:val="24"/>
      <w:szCs w:val="20"/>
    </w:rPr>
  </w:style>
  <w:style w:type="paragraph" w:customStyle="1" w:styleId="483">
    <w:name w:val="Test2"/>
    <w:basedOn w:val="4"/>
    <w:autoRedefine/>
    <w:qFormat/>
    <w:uiPriority w:val="0"/>
    <w:pPr>
      <w:widowControl/>
      <w:adjustRightInd w:val="0"/>
      <w:snapToGrid w:val="0"/>
      <w:spacing w:before="360" w:after="360" w:line="240" w:lineRule="atLeast"/>
    </w:pPr>
    <w:rPr>
      <w:rFonts w:ascii="宋体" w:hAnsi="Arial" w:eastAsia="宋体"/>
      <w:snapToGrid w:val="0"/>
      <w:kern w:val="0"/>
      <w:sz w:val="28"/>
      <w:lang w:val="en-US"/>
    </w:rPr>
  </w:style>
  <w:style w:type="paragraph" w:customStyle="1" w:styleId="484">
    <w:name w:val="xl34"/>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kern w:val="0"/>
      <w:sz w:val="20"/>
      <w:szCs w:val="20"/>
    </w:rPr>
  </w:style>
  <w:style w:type="paragraph" w:customStyle="1" w:styleId="485">
    <w:name w:val="Char1"/>
    <w:basedOn w:val="1"/>
    <w:autoRedefine/>
    <w:qFormat/>
    <w:uiPriority w:val="0"/>
    <w:rPr>
      <w:rFonts w:ascii="仿宋_GB2312" w:eastAsia="仿宋_GB2312"/>
      <w:b/>
      <w:sz w:val="32"/>
      <w:szCs w:val="32"/>
    </w:rPr>
  </w:style>
  <w:style w:type="paragraph" w:customStyle="1" w:styleId="486">
    <w:name w:val="xl81"/>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487">
    <w:name w:val="Char1 Char Char Char Char Char Char Char Char Char Char Char1 Char Char Char Char Char Char Char Char Char Char Char Char Char Char1 Char Char Char Char1"/>
    <w:basedOn w:val="1"/>
    <w:autoRedefine/>
    <w:qFormat/>
    <w:uiPriority w:val="0"/>
    <w:pPr>
      <w:spacing w:line="360" w:lineRule="auto"/>
    </w:pPr>
    <w:rPr>
      <w:kern w:val="0"/>
      <w:sz w:val="24"/>
      <w:szCs w:val="20"/>
    </w:rPr>
  </w:style>
  <w:style w:type="paragraph" w:customStyle="1" w:styleId="488">
    <w:name w:val="样式 宋体 行距: 1.5 倍行距 首行缩进:  2 字符"/>
    <w:basedOn w:val="1"/>
    <w:autoRedefine/>
    <w:qFormat/>
    <w:uiPriority w:val="0"/>
    <w:pPr>
      <w:adjustRightInd/>
      <w:spacing w:line="360" w:lineRule="auto"/>
      <w:ind w:firstLine="420" w:firstLineChars="200"/>
    </w:pPr>
    <w:rPr>
      <w:rFonts w:ascii="宋体" w:hAnsi="宋体"/>
      <w:sz w:val="24"/>
      <w:szCs w:val="20"/>
    </w:rPr>
  </w:style>
  <w:style w:type="paragraph" w:customStyle="1" w:styleId="489">
    <w:name w:val="xl68"/>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b/>
      <w:bCs/>
      <w:color w:val="000000"/>
      <w:kern w:val="0"/>
      <w:sz w:val="20"/>
      <w:szCs w:val="20"/>
    </w:rPr>
  </w:style>
  <w:style w:type="paragraph" w:customStyle="1" w:styleId="490">
    <w:name w:val="6级标题"/>
    <w:basedOn w:val="491"/>
    <w:autoRedefine/>
    <w:qFormat/>
    <w:uiPriority w:val="0"/>
    <w:pPr>
      <w:keepNext/>
      <w:tabs>
        <w:tab w:val="left" w:pos="360"/>
      </w:tabs>
      <w:outlineLvl w:val="5"/>
    </w:pPr>
  </w:style>
  <w:style w:type="paragraph" w:customStyle="1" w:styleId="491">
    <w:name w:val="5级标题"/>
    <w:basedOn w:val="492"/>
    <w:autoRedefine/>
    <w:qFormat/>
    <w:uiPriority w:val="0"/>
    <w:pPr>
      <w:keepLines w:val="0"/>
      <w:tabs>
        <w:tab w:val="left" w:pos="360"/>
      </w:tabs>
      <w:spacing w:beforeLines="10" w:afterLines="10"/>
      <w:outlineLvl w:val="4"/>
    </w:pPr>
    <w:rPr>
      <w:rFonts w:ascii="Times New Roman" w:hAnsi="Times New Roman" w:eastAsia="仿宋"/>
      <w:b/>
      <w:kern w:val="2"/>
      <w:szCs w:val="20"/>
      <w:lang w:eastAsia="zh-CN" w:bidi="ar-SA"/>
    </w:rPr>
  </w:style>
  <w:style w:type="paragraph" w:customStyle="1" w:styleId="492">
    <w:name w:val="4级标题"/>
    <w:basedOn w:val="275"/>
    <w:autoRedefine/>
    <w:qFormat/>
    <w:uiPriority w:val="0"/>
    <w:pPr>
      <w:keepLines/>
      <w:adjustRightInd/>
      <w:ind w:firstLine="0" w:firstLineChars="0"/>
      <w:jc w:val="left"/>
      <w:outlineLvl w:val="3"/>
    </w:pPr>
    <w:rPr>
      <w:rFonts w:ascii="黑体" w:hAnsi="黑体" w:eastAsia="黑体" w:cs="Times New Roman"/>
      <w:kern w:val="0"/>
      <w:sz w:val="28"/>
      <w:lang w:eastAsia="en-US" w:bidi="en-US"/>
    </w:rPr>
  </w:style>
  <w:style w:type="paragraph" w:customStyle="1" w:styleId="493">
    <w:name w:val="样式 正文文本缩进 + 段前: 2 字符"/>
    <w:basedOn w:val="1"/>
    <w:autoRedefine/>
    <w:qFormat/>
    <w:uiPriority w:val="0"/>
    <w:pPr>
      <w:adjustRightInd/>
      <w:ind w:left="420" w:leftChars="200"/>
      <w:jc w:val="left"/>
    </w:pPr>
    <w:rPr>
      <w:sz w:val="28"/>
      <w:szCs w:val="20"/>
      <w:lang w:eastAsia="zh-TW"/>
    </w:rPr>
  </w:style>
  <w:style w:type="paragraph" w:customStyle="1" w:styleId="494">
    <w:name w:val="Char2 Char Char"/>
    <w:basedOn w:val="1"/>
    <w:autoRedefine/>
    <w:qFormat/>
    <w:uiPriority w:val="0"/>
    <w:pPr>
      <w:adjustRightInd/>
    </w:pPr>
    <w:rPr>
      <w:rFonts w:ascii="Tahoma" w:hAnsi="Tahoma"/>
      <w:sz w:val="24"/>
      <w:szCs w:val="20"/>
    </w:rPr>
  </w:style>
  <w:style w:type="paragraph" w:customStyle="1" w:styleId="495">
    <w:name w:val="_Style 11"/>
    <w:basedOn w:val="1"/>
    <w:autoRedefine/>
    <w:qFormat/>
    <w:uiPriority w:val="0"/>
    <w:pPr>
      <w:adjustRightInd/>
      <w:ind w:firstLine="420" w:firstLineChars="200"/>
    </w:pPr>
    <w:rPr>
      <w:rFonts w:eastAsia="仿宋_GB2312"/>
      <w:sz w:val="28"/>
    </w:rPr>
  </w:style>
  <w:style w:type="paragraph" w:customStyle="1" w:styleId="496">
    <w:name w:val="xl89"/>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497">
    <w:name w:val="Char Char Char"/>
    <w:basedOn w:val="1"/>
    <w:autoRedefine/>
    <w:qFormat/>
    <w:uiPriority w:val="0"/>
    <w:rPr>
      <w:rFonts w:ascii="Tahoma" w:hAnsi="Tahoma"/>
      <w:sz w:val="24"/>
      <w:szCs w:val="20"/>
    </w:rPr>
  </w:style>
  <w:style w:type="paragraph" w:customStyle="1" w:styleId="498">
    <w:name w:val="数字标题6"/>
    <w:basedOn w:val="9"/>
    <w:next w:val="1"/>
    <w:autoRedefine/>
    <w:qFormat/>
    <w:uiPriority w:val="0"/>
    <w:pPr>
      <w:tabs>
        <w:tab w:val="left" w:pos="1080"/>
      </w:tabs>
      <w:ind w:left="1080" w:hanging="1080"/>
    </w:pPr>
    <w:rPr>
      <w:rFonts w:ascii="Times New Roman" w:hAnsi="Times New Roman" w:eastAsia="宋体"/>
      <w:i/>
    </w:rPr>
  </w:style>
  <w:style w:type="paragraph" w:customStyle="1" w:styleId="499">
    <w:name w:val="Table Cell"/>
    <w:autoRedefine/>
    <w:qFormat/>
    <w:uiPriority w:val="0"/>
    <w:pPr>
      <w:adjustRightInd w:val="0"/>
      <w:snapToGrid w:val="0"/>
      <w:spacing w:before="20" w:after="20"/>
    </w:pPr>
    <w:rPr>
      <w:rFonts w:ascii="Courier New" w:hAnsi="Courier New" w:eastAsia="宋体" w:cs="Times New Roman"/>
      <w:sz w:val="24"/>
      <w:lang w:val="en-US" w:eastAsia="zh-CN" w:bidi="ar-SA"/>
    </w:rPr>
  </w:style>
  <w:style w:type="paragraph" w:styleId="500">
    <w:name w:val="No Spacing"/>
    <w:basedOn w:val="1"/>
    <w:link w:val="949"/>
    <w:autoRedefine/>
    <w:qFormat/>
    <w:uiPriority w:val="1"/>
    <w:rPr>
      <w:szCs w:val="22"/>
    </w:rPr>
  </w:style>
  <w:style w:type="paragraph" w:customStyle="1" w:styleId="501">
    <w:name w:val="??"/>
    <w:autoRedefine/>
    <w:qFormat/>
    <w:uiPriority w:val="0"/>
    <w:pPr>
      <w:widowControl w:val="0"/>
      <w:overflowPunct w:val="0"/>
      <w:autoSpaceDE w:val="0"/>
      <w:autoSpaceDN w:val="0"/>
      <w:adjustRightInd w:val="0"/>
      <w:jc w:val="both"/>
      <w:textAlignment w:val="baseline"/>
    </w:pPr>
    <w:rPr>
      <w:rFonts w:ascii="Times New Roman" w:hAnsi="Times New Roman" w:eastAsia="宋体" w:cs="Times New Roman"/>
      <w:kern w:val="2"/>
      <w:sz w:val="21"/>
      <w:lang w:val="en-US" w:eastAsia="en-US" w:bidi="ar-SA"/>
    </w:rPr>
  </w:style>
  <w:style w:type="paragraph" w:customStyle="1" w:styleId="502">
    <w:name w:val="Char Char Char Char Char Char Char Char Char Char Char Char1 Char1"/>
    <w:basedOn w:val="1"/>
    <w:autoRedefine/>
    <w:qFormat/>
    <w:uiPriority w:val="6"/>
    <w:rPr>
      <w:rFonts w:ascii="Tahoma" w:hAnsi="Tahoma" w:cs="仿宋_GB2312"/>
      <w:sz w:val="24"/>
      <w:szCs w:val="20"/>
    </w:rPr>
  </w:style>
  <w:style w:type="paragraph" w:customStyle="1" w:styleId="503">
    <w:name w:val="xl65"/>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textAlignment w:val="center"/>
    </w:pPr>
    <w:rPr>
      <w:rFonts w:ascii="仿宋" w:hAnsi="仿宋" w:eastAsia="仿宋" w:cs="宋体"/>
      <w:color w:val="000000"/>
      <w:kern w:val="0"/>
      <w:szCs w:val="21"/>
    </w:rPr>
  </w:style>
  <w:style w:type="paragraph" w:customStyle="1" w:styleId="504">
    <w:name w:val="Char Char1 Char1"/>
    <w:basedOn w:val="1"/>
    <w:autoRedefine/>
    <w:qFormat/>
    <w:uiPriority w:val="0"/>
    <w:pPr>
      <w:widowControl/>
      <w:snapToGrid w:val="0"/>
      <w:spacing w:before="120" w:after="160" w:line="360" w:lineRule="auto"/>
      <w:ind w:right="-360"/>
      <w:jc w:val="left"/>
    </w:pPr>
    <w:rPr>
      <w:rFonts w:ascii="Arial" w:hAnsi="Arial"/>
      <w:kern w:val="0"/>
      <w:sz w:val="24"/>
      <w:lang w:eastAsia="en-US"/>
    </w:rPr>
  </w:style>
  <w:style w:type="paragraph" w:customStyle="1" w:styleId="505">
    <w:name w:val="目录1"/>
    <w:basedOn w:val="1"/>
    <w:autoRedefine/>
    <w:qFormat/>
    <w:uiPriority w:val="0"/>
    <w:pPr>
      <w:tabs>
        <w:tab w:val="left" w:leader="dot" w:pos="8503"/>
      </w:tabs>
      <w:autoSpaceDE w:val="0"/>
      <w:autoSpaceDN w:val="0"/>
      <w:spacing w:after="136" w:line="289" w:lineRule="atLeast"/>
      <w:ind w:firstLine="200" w:firstLineChars="200"/>
      <w:jc w:val="left"/>
    </w:pPr>
    <w:rPr>
      <w:rFonts w:ascii="Arial" w:hAnsi="Arial"/>
      <w:color w:val="000000"/>
      <w:kern w:val="0"/>
      <w:sz w:val="28"/>
      <w:szCs w:val="28"/>
    </w:rPr>
  </w:style>
  <w:style w:type="paragraph" w:customStyle="1" w:styleId="506">
    <w:name w:val="MM Topic 2"/>
    <w:basedOn w:val="4"/>
    <w:autoRedefine/>
    <w:qFormat/>
    <w:uiPriority w:val="0"/>
    <w:pPr>
      <w:tabs>
        <w:tab w:val="left" w:pos="1260"/>
      </w:tabs>
      <w:ind w:left="1260" w:hanging="420"/>
    </w:pPr>
    <w:rPr>
      <w:rFonts w:ascii="Arial" w:hAnsi="Arial" w:eastAsia="黑体"/>
      <w:lang w:val="en-US"/>
    </w:rPr>
  </w:style>
  <w:style w:type="paragraph" w:customStyle="1" w:styleId="507">
    <w:name w:val="五级无标题条"/>
    <w:basedOn w:val="1"/>
    <w:autoRedefine/>
    <w:qFormat/>
    <w:uiPriority w:val="0"/>
    <w:pPr>
      <w:adjustRightInd/>
    </w:pPr>
  </w:style>
  <w:style w:type="paragraph" w:customStyle="1" w:styleId="508">
    <w:name w:val="Char5"/>
    <w:basedOn w:val="1"/>
    <w:autoRedefine/>
    <w:qFormat/>
    <w:uiPriority w:val="0"/>
    <w:rPr>
      <w:rFonts w:ascii="仿宋_GB2312" w:eastAsia="仿宋_GB2312"/>
      <w:b/>
      <w:sz w:val="32"/>
      <w:szCs w:val="32"/>
    </w:rPr>
  </w:style>
  <w:style w:type="paragraph" w:customStyle="1" w:styleId="509">
    <w:name w:val="TOC 标题1"/>
    <w:basedOn w:val="3"/>
    <w:next w:val="1"/>
    <w:autoRedefine/>
    <w:qFormat/>
    <w:uiPriority w:val="0"/>
    <w:pPr>
      <w:widowControl/>
      <w:adjustRightInd/>
      <w:spacing w:before="480" w:after="0" w:line="276" w:lineRule="auto"/>
      <w:ind w:left="0" w:firstLine="0"/>
      <w:jc w:val="left"/>
      <w:outlineLvl w:val="9"/>
    </w:pPr>
    <w:rPr>
      <w:rFonts w:ascii="Cambria" w:hAnsi="Cambria"/>
      <w:color w:val="365F91"/>
      <w:kern w:val="0"/>
      <w:sz w:val="28"/>
      <w:szCs w:val="28"/>
    </w:rPr>
  </w:style>
  <w:style w:type="paragraph" w:customStyle="1" w:styleId="510">
    <w:name w:val="彩色列表 - 强调文字颜色 12"/>
    <w:basedOn w:val="1"/>
    <w:autoRedefine/>
    <w:qFormat/>
    <w:uiPriority w:val="0"/>
    <w:pPr>
      <w:adjustRightInd/>
      <w:ind w:firstLine="420" w:firstLineChars="200"/>
    </w:pPr>
    <w:rPr>
      <w:rFonts w:ascii="Calibri" w:hAnsi="Calibri"/>
      <w:szCs w:val="22"/>
    </w:rPr>
  </w:style>
  <w:style w:type="paragraph" w:customStyle="1" w:styleId="511">
    <w:name w:val="Char Char11 Char Char Char Char Char Char Char Char Char Char Char11"/>
    <w:basedOn w:val="1"/>
    <w:autoRedefine/>
    <w:qFormat/>
    <w:uiPriority w:val="0"/>
    <w:pPr>
      <w:adjustRightInd/>
      <w:spacing w:line="360" w:lineRule="auto"/>
    </w:pPr>
    <w:rPr>
      <w:rFonts w:ascii="Arial" w:hAnsi="Arial" w:eastAsia="黑体" w:cs="Arial"/>
      <w:snapToGrid w:val="0"/>
      <w:kern w:val="0"/>
      <w:szCs w:val="21"/>
    </w:rPr>
  </w:style>
  <w:style w:type="paragraph" w:customStyle="1" w:styleId="512">
    <w:name w:val="Char2"/>
    <w:basedOn w:val="1"/>
    <w:autoRedefine/>
    <w:qFormat/>
    <w:uiPriority w:val="0"/>
    <w:rPr>
      <w:rFonts w:ascii="仿宋_GB2312" w:eastAsia="仿宋_GB2312"/>
      <w:b/>
      <w:sz w:val="32"/>
      <w:szCs w:val="32"/>
    </w:rPr>
  </w:style>
  <w:style w:type="paragraph" w:customStyle="1" w:styleId="513">
    <w:name w:val="数字标题3"/>
    <w:basedOn w:val="5"/>
    <w:next w:val="1"/>
    <w:autoRedefine/>
    <w:qFormat/>
    <w:uiPriority w:val="0"/>
    <w:pPr>
      <w:spacing w:line="240" w:lineRule="auto"/>
    </w:pPr>
    <w:rPr>
      <w:sz w:val="28"/>
      <w:szCs w:val="28"/>
    </w:rPr>
  </w:style>
  <w:style w:type="paragraph" w:customStyle="1" w:styleId="514">
    <w:name w:val="FA正文"/>
    <w:basedOn w:val="1"/>
    <w:autoRedefine/>
    <w:qFormat/>
    <w:uiPriority w:val="0"/>
    <w:pPr>
      <w:spacing w:line="360" w:lineRule="auto"/>
      <w:ind w:firstLine="480" w:firstLineChars="200"/>
    </w:pPr>
    <w:rPr>
      <w:rFonts w:hAnsi="宋体"/>
      <w:sz w:val="24"/>
      <w:szCs w:val="20"/>
    </w:rPr>
  </w:style>
  <w:style w:type="paragraph" w:customStyle="1" w:styleId="515">
    <w:name w:val="MM Topic 5"/>
    <w:basedOn w:val="8"/>
    <w:autoRedefine/>
    <w:qFormat/>
    <w:uiPriority w:val="0"/>
    <w:pPr>
      <w:tabs>
        <w:tab w:val="left" w:pos="2520"/>
      </w:tabs>
      <w:adjustRightInd/>
      <w:ind w:left="2520" w:hanging="420"/>
    </w:pPr>
  </w:style>
  <w:style w:type="paragraph" w:customStyle="1" w:styleId="516">
    <w:name w:val="Char Char Char Char Char Char Char Char Char Char1"/>
    <w:basedOn w:val="1"/>
    <w:autoRedefine/>
    <w:qFormat/>
    <w:uiPriority w:val="0"/>
    <w:rPr>
      <w:rFonts w:ascii="仿宋_GB2312" w:eastAsia="仿宋_GB2312"/>
      <w:b/>
      <w:sz w:val="32"/>
      <w:szCs w:val="32"/>
    </w:rPr>
  </w:style>
  <w:style w:type="paragraph" w:customStyle="1" w:styleId="517">
    <w:name w:val="xl38"/>
    <w:basedOn w:val="1"/>
    <w:autoRedefine/>
    <w:qFormat/>
    <w:uiPriority w:val="0"/>
    <w:pPr>
      <w:widowControl/>
      <w:pBdr>
        <w:top w:val="single" w:color="auto" w:sz="4" w:space="0"/>
        <w:left w:val="single" w:color="auto" w:sz="4" w:space="0"/>
        <w:right w:val="single" w:color="auto" w:sz="4" w:space="0"/>
      </w:pBdr>
      <w:adjustRightInd/>
      <w:spacing w:before="100" w:beforeAutospacing="1" w:after="100" w:afterAutospacing="1" w:line="360" w:lineRule="auto"/>
      <w:ind w:firstLine="480" w:firstLineChars="200"/>
      <w:jc w:val="center"/>
    </w:pPr>
    <w:rPr>
      <w:rFonts w:ascii="宋体" w:hAnsi="宋体" w:eastAsia="微软雅黑"/>
      <w:kern w:val="0"/>
      <w:sz w:val="20"/>
      <w:szCs w:val="20"/>
    </w:rPr>
  </w:style>
  <w:style w:type="paragraph" w:customStyle="1" w:styleId="518">
    <w:name w:val="修订1"/>
    <w:autoRedefine/>
    <w:qFormat/>
    <w:uiPriority w:val="3"/>
    <w:rPr>
      <w:rFonts w:ascii="Times New Roman" w:hAnsi="Times New Roman" w:eastAsia="宋体" w:cs="Times New Roman"/>
      <w:color w:val="000000"/>
      <w:kern w:val="1"/>
      <w:sz w:val="21"/>
      <w:lang w:val="en-US" w:eastAsia="zh-CN" w:bidi="ar-SA"/>
    </w:rPr>
  </w:style>
  <w:style w:type="paragraph" w:customStyle="1" w:styleId="519">
    <w:name w:val="Char2 Char Char Char"/>
    <w:basedOn w:val="1"/>
    <w:autoRedefine/>
    <w:qFormat/>
    <w:uiPriority w:val="0"/>
    <w:rPr>
      <w:rFonts w:ascii="仿宋_GB2312" w:eastAsia="仿宋_GB2312"/>
      <w:b/>
      <w:sz w:val="32"/>
      <w:szCs w:val="32"/>
    </w:rPr>
  </w:style>
  <w:style w:type="paragraph" w:customStyle="1" w:styleId="520">
    <w:name w:val="Char2 Char Char Char1"/>
    <w:basedOn w:val="1"/>
    <w:autoRedefine/>
    <w:qFormat/>
    <w:uiPriority w:val="6"/>
    <w:rPr>
      <w:rFonts w:ascii="仿宋_GB2312" w:eastAsia="仿宋_GB2312"/>
      <w:b/>
      <w:sz w:val="32"/>
      <w:szCs w:val="32"/>
    </w:rPr>
  </w:style>
  <w:style w:type="paragraph" w:customStyle="1" w:styleId="521">
    <w:name w:val="默认段落样式"/>
    <w:basedOn w:val="148"/>
    <w:autoRedefine/>
    <w:qFormat/>
    <w:uiPriority w:val="0"/>
    <w:pPr>
      <w:spacing w:before="0"/>
      <w:ind w:firstLine="480"/>
      <w:outlineLvl w:val="2"/>
    </w:pPr>
    <w:rPr>
      <w:rFonts w:ascii="仿宋_GB2312" w:hAnsi="宋体" w:eastAsia="仿宋_GB2312"/>
      <w:color w:val="000000"/>
      <w:szCs w:val="24"/>
    </w:rPr>
  </w:style>
  <w:style w:type="paragraph" w:customStyle="1" w:styleId="522">
    <w:name w:val="图中文字"/>
    <w:basedOn w:val="1"/>
    <w:autoRedefine/>
    <w:qFormat/>
    <w:uiPriority w:val="0"/>
    <w:pPr>
      <w:snapToGrid w:val="0"/>
      <w:spacing w:line="0" w:lineRule="atLeast"/>
      <w:ind w:firstLine="200" w:firstLineChars="200"/>
      <w:jc w:val="center"/>
    </w:pPr>
    <w:rPr>
      <w:sz w:val="24"/>
      <w:szCs w:val="20"/>
    </w:rPr>
  </w:style>
  <w:style w:type="paragraph" w:customStyle="1" w:styleId="523">
    <w:name w:val="xl35"/>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524">
    <w:name w:val="MM Topic 3"/>
    <w:basedOn w:val="5"/>
    <w:autoRedefine/>
    <w:qFormat/>
    <w:uiPriority w:val="0"/>
    <w:pPr>
      <w:tabs>
        <w:tab w:val="left" w:pos="1680"/>
      </w:tabs>
      <w:adjustRightInd/>
      <w:ind w:left="1680" w:hanging="420"/>
    </w:pPr>
  </w:style>
  <w:style w:type="paragraph" w:customStyle="1" w:styleId="525">
    <w:name w:val="标准小四"/>
    <w:basedOn w:val="1"/>
    <w:autoRedefine/>
    <w:qFormat/>
    <w:uiPriority w:val="0"/>
    <w:pPr>
      <w:spacing w:line="360" w:lineRule="auto"/>
      <w:ind w:firstLine="480" w:firstLineChars="200"/>
    </w:pPr>
    <w:rPr>
      <w:rFonts w:ascii="Arial" w:hAnsi="Arial"/>
      <w:sz w:val="24"/>
      <w:szCs w:val="21"/>
    </w:rPr>
  </w:style>
  <w:style w:type="paragraph" w:customStyle="1" w:styleId="526">
    <w:name w:val="样式 标题 2H2h2Underrubrik1prop2l2Chapter Titlesect 1.2DO NO..."/>
    <w:basedOn w:val="4"/>
    <w:autoRedefine/>
    <w:qFormat/>
    <w:uiPriority w:val="0"/>
    <w:pPr>
      <w:spacing w:before="120" w:after="120"/>
      <w:ind w:left="425" w:hanging="425"/>
    </w:pPr>
    <w:rPr>
      <w:rFonts w:ascii="微软雅黑" w:hAnsi="微软雅黑" w:eastAsia="微软雅黑" w:cs="宋体"/>
      <w:szCs w:val="20"/>
      <w:lang w:val="en-US"/>
    </w:rPr>
  </w:style>
  <w:style w:type="paragraph" w:customStyle="1" w:styleId="527">
    <w:name w:val="表格（小）"/>
    <w:basedOn w:val="1"/>
    <w:autoRedefine/>
    <w:qFormat/>
    <w:uiPriority w:val="0"/>
    <w:pPr>
      <w:adjustRightInd/>
      <w:snapToGrid w:val="0"/>
      <w:spacing w:line="300" w:lineRule="auto"/>
    </w:pPr>
    <w:rPr>
      <w:rFonts w:eastAsia="仿宋"/>
      <w:szCs w:val="21"/>
    </w:rPr>
  </w:style>
  <w:style w:type="paragraph" w:customStyle="1" w:styleId="528">
    <w:name w:val="Char Char Char Char Char Char1 Char"/>
    <w:basedOn w:val="1"/>
    <w:autoRedefine/>
    <w:qFormat/>
    <w:uiPriority w:val="0"/>
    <w:pPr>
      <w:widowControl/>
      <w:spacing w:after="160" w:line="240" w:lineRule="exact"/>
      <w:jc w:val="left"/>
    </w:pPr>
    <w:rPr>
      <w:rFonts w:ascii="Verdana" w:hAnsi="Verdana"/>
      <w:kern w:val="0"/>
      <w:szCs w:val="20"/>
      <w:lang w:eastAsia="en-US"/>
    </w:rPr>
  </w:style>
  <w:style w:type="paragraph" w:customStyle="1" w:styleId="529">
    <w:name w:val="Char2 Char Char1"/>
    <w:basedOn w:val="1"/>
    <w:autoRedefine/>
    <w:qFormat/>
    <w:uiPriority w:val="6"/>
    <w:pPr>
      <w:adjustRightInd/>
    </w:pPr>
    <w:rPr>
      <w:rFonts w:ascii="Tahoma" w:hAnsi="Tahoma"/>
      <w:sz w:val="24"/>
      <w:szCs w:val="20"/>
    </w:rPr>
  </w:style>
  <w:style w:type="paragraph" w:customStyle="1" w:styleId="530">
    <w:name w:val="列出段落5"/>
    <w:basedOn w:val="1"/>
    <w:autoRedefine/>
    <w:qFormat/>
    <w:uiPriority w:val="0"/>
    <w:pPr>
      <w:spacing w:line="360" w:lineRule="auto"/>
      <w:ind w:firstLine="200" w:firstLineChars="200"/>
    </w:pPr>
    <w:rPr>
      <w:rFonts w:eastAsia="楷体_GB2312" w:cs="Lucida Sans"/>
      <w:sz w:val="24"/>
    </w:rPr>
  </w:style>
  <w:style w:type="paragraph" w:customStyle="1" w:styleId="531">
    <w:name w:val="font7"/>
    <w:basedOn w:val="1"/>
    <w:autoRedefine/>
    <w:qFormat/>
    <w:uiPriority w:val="0"/>
    <w:pPr>
      <w:widowControl/>
      <w:adjustRightInd/>
      <w:spacing w:before="100" w:beforeAutospacing="1" w:after="100" w:afterAutospacing="1" w:line="360" w:lineRule="auto"/>
      <w:ind w:firstLine="200" w:firstLineChars="200"/>
      <w:jc w:val="left"/>
    </w:pPr>
    <w:rPr>
      <w:kern w:val="0"/>
      <w:sz w:val="20"/>
      <w:szCs w:val="20"/>
    </w:rPr>
  </w:style>
  <w:style w:type="paragraph" w:customStyle="1" w:styleId="532">
    <w:name w:val="表格文字"/>
    <w:basedOn w:val="1"/>
    <w:next w:val="6"/>
    <w:autoRedefine/>
    <w:qFormat/>
    <w:uiPriority w:val="0"/>
    <w:pPr>
      <w:adjustRightInd/>
      <w:ind w:firstLine="200" w:firstLineChars="200"/>
    </w:pPr>
    <w:rPr>
      <w:rFonts w:ascii="Arial" w:hAnsi="Arial"/>
      <w:spacing w:val="-5"/>
      <w:kern w:val="0"/>
      <w:sz w:val="24"/>
      <w:szCs w:val="20"/>
    </w:rPr>
  </w:style>
  <w:style w:type="paragraph" w:customStyle="1" w:styleId="533">
    <w:name w:val="Item Step in Table"/>
    <w:autoRedefine/>
    <w:qFormat/>
    <w:uiPriority w:val="0"/>
    <w:pPr>
      <w:tabs>
        <w:tab w:val="left" w:pos="397"/>
        <w:tab w:val="left" w:pos="840"/>
      </w:tabs>
      <w:spacing w:before="40" w:after="40"/>
      <w:ind w:left="840" w:hanging="420"/>
      <w:jc w:val="both"/>
    </w:pPr>
    <w:rPr>
      <w:rFonts w:ascii="Arial" w:hAnsi="Arial" w:eastAsia="宋体" w:cs="Arial"/>
      <w:sz w:val="18"/>
      <w:szCs w:val="18"/>
      <w:lang w:val="en-US" w:eastAsia="zh-CN" w:bidi="ar-SA"/>
    </w:rPr>
  </w:style>
  <w:style w:type="paragraph" w:customStyle="1" w:styleId="534">
    <w:name w:val="TOC 标题111"/>
    <w:basedOn w:val="3"/>
    <w:next w:val="1"/>
    <w:autoRedefine/>
    <w:unhideWhenUsed/>
    <w:qFormat/>
    <w:uiPriority w:val="0"/>
    <w:pPr>
      <w:widowControl/>
      <w:adjustRightInd/>
      <w:spacing w:before="480" w:after="0" w:line="276" w:lineRule="auto"/>
      <w:ind w:left="0" w:firstLine="0"/>
      <w:jc w:val="left"/>
      <w:outlineLvl w:val="9"/>
    </w:pPr>
    <w:rPr>
      <w:rFonts w:ascii="Cambria" w:hAnsi="Cambria"/>
      <w:color w:val="365F91"/>
      <w:kern w:val="0"/>
      <w:sz w:val="28"/>
      <w:szCs w:val="28"/>
    </w:rPr>
  </w:style>
  <w:style w:type="paragraph" w:customStyle="1" w:styleId="535">
    <w:name w:val="xl87"/>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536">
    <w:name w:val="样式 左侧:  0.85 厘米 首行缩进:  0.85 厘米"/>
    <w:basedOn w:val="1"/>
    <w:autoRedefine/>
    <w:qFormat/>
    <w:uiPriority w:val="0"/>
    <w:pPr>
      <w:adjustRightInd/>
      <w:spacing w:line="360" w:lineRule="auto"/>
      <w:ind w:firstLine="482"/>
    </w:pPr>
    <w:rPr>
      <w:rFonts w:cs="宋体"/>
      <w:sz w:val="24"/>
      <w:szCs w:val="20"/>
    </w:rPr>
  </w:style>
  <w:style w:type="paragraph" w:customStyle="1" w:styleId="537">
    <w:name w:val="Char3 Char Char"/>
    <w:basedOn w:val="1"/>
    <w:autoRedefine/>
    <w:qFormat/>
    <w:uiPriority w:val="0"/>
    <w:pPr>
      <w:widowControl/>
      <w:adjustRightInd/>
      <w:spacing w:after="160" w:line="240" w:lineRule="exact"/>
      <w:jc w:val="left"/>
    </w:pPr>
    <w:rPr>
      <w:rFonts w:ascii="Arial" w:hAnsi="Arial" w:eastAsia="Times New Roman" w:cs="Verdana"/>
      <w:b/>
      <w:kern w:val="0"/>
      <w:sz w:val="24"/>
      <w:szCs w:val="20"/>
      <w:lang w:eastAsia="en-US"/>
    </w:rPr>
  </w:style>
  <w:style w:type="paragraph" w:customStyle="1" w:styleId="538">
    <w:name w:val="_Style 3"/>
    <w:basedOn w:val="1"/>
    <w:autoRedefine/>
    <w:qFormat/>
    <w:uiPriority w:val="0"/>
    <w:pPr>
      <w:adjustRightInd/>
      <w:ind w:firstLine="420" w:firstLineChars="200"/>
    </w:pPr>
    <w:rPr>
      <w:rFonts w:eastAsia="仿宋_GB2312"/>
      <w:sz w:val="28"/>
    </w:rPr>
  </w:style>
  <w:style w:type="paragraph" w:customStyle="1" w:styleId="539">
    <w:name w:val="xl39"/>
    <w:basedOn w:val="1"/>
    <w:autoRedefine/>
    <w:qFormat/>
    <w:uiPriority w:val="0"/>
    <w:pPr>
      <w:widowControl/>
      <w:pBdr>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540">
    <w:name w:val="Bulleting First Indent 1"/>
    <w:basedOn w:val="78"/>
    <w:autoRedefine/>
    <w:qFormat/>
    <w:uiPriority w:val="0"/>
    <w:pPr>
      <w:tabs>
        <w:tab w:val="left" w:pos="840"/>
      </w:tabs>
      <w:autoSpaceDE/>
      <w:autoSpaceDN/>
      <w:adjustRightInd/>
      <w:spacing w:before="20" w:after="20" w:line="300" w:lineRule="auto"/>
      <w:ind w:left="840" w:hanging="420"/>
    </w:pPr>
    <w:rPr>
      <w:rFonts w:ascii="Tahoma" w:hAnsi="Tahoma"/>
      <w:kern w:val="0"/>
      <w:sz w:val="21"/>
      <w:szCs w:val="21"/>
      <w:lang w:val="en-US"/>
    </w:rPr>
  </w:style>
  <w:style w:type="paragraph" w:customStyle="1" w:styleId="541">
    <w:name w:val="左对齐表格文字"/>
    <w:basedOn w:val="1"/>
    <w:autoRedefine/>
    <w:qFormat/>
    <w:uiPriority w:val="0"/>
    <w:pPr>
      <w:adjustRightInd/>
      <w:ind w:firstLine="200" w:firstLineChars="200"/>
      <w:jc w:val="right"/>
    </w:pPr>
  </w:style>
  <w:style w:type="paragraph" w:customStyle="1" w:styleId="542">
    <w:name w:val="Char Char11 Char Char Char Char Char Char Char Char Char"/>
    <w:basedOn w:val="1"/>
    <w:autoRedefine/>
    <w:qFormat/>
    <w:uiPriority w:val="0"/>
    <w:pPr>
      <w:spacing w:line="360" w:lineRule="auto"/>
    </w:pPr>
    <w:rPr>
      <w:szCs w:val="20"/>
    </w:rPr>
  </w:style>
  <w:style w:type="paragraph" w:customStyle="1" w:styleId="543">
    <w:name w:val="正文1.25"/>
    <w:basedOn w:val="1"/>
    <w:autoRedefine/>
    <w:qFormat/>
    <w:uiPriority w:val="0"/>
    <w:pPr>
      <w:adjustRightInd/>
      <w:spacing w:line="300" w:lineRule="auto"/>
      <w:ind w:firstLine="480" w:firstLineChars="200"/>
    </w:pPr>
    <w:rPr>
      <w:sz w:val="24"/>
      <w:szCs w:val="20"/>
    </w:rPr>
  </w:style>
  <w:style w:type="paragraph" w:customStyle="1" w:styleId="544">
    <w:name w:val="1正文"/>
    <w:basedOn w:val="1"/>
    <w:autoRedefine/>
    <w:qFormat/>
    <w:uiPriority w:val="0"/>
    <w:pPr>
      <w:adjustRightInd/>
      <w:spacing w:line="360" w:lineRule="auto"/>
      <w:ind w:firstLine="200" w:firstLineChars="200"/>
    </w:pPr>
    <w:rPr>
      <w:rFonts w:ascii="仿宋_GB2312" w:hAnsi="Arial" w:eastAsia="仿宋"/>
      <w:sz w:val="28"/>
      <w:szCs w:val="28"/>
    </w:rPr>
  </w:style>
  <w:style w:type="paragraph" w:customStyle="1" w:styleId="545">
    <w:name w:val="Bul Text 9/14"/>
    <w:autoRedefine/>
    <w:qFormat/>
    <w:uiPriority w:val="0"/>
    <w:pPr>
      <w:widowControl w:val="0"/>
      <w:tabs>
        <w:tab w:val="left" w:pos="840"/>
      </w:tabs>
      <w:spacing w:line="280" w:lineRule="atLeast"/>
      <w:ind w:left="160" w:hanging="160"/>
    </w:pPr>
    <w:rPr>
      <w:rFonts w:ascii="Times New Roman" w:hAnsi="Times New Roman" w:eastAsia="宋体" w:cs="Times New Roman"/>
      <w:snapToGrid w:val="0"/>
      <w:color w:val="000000"/>
      <w:sz w:val="18"/>
      <w:lang w:val="en-US" w:eastAsia="zh-CN" w:bidi="ar-SA"/>
    </w:rPr>
  </w:style>
  <w:style w:type="paragraph" w:customStyle="1" w:styleId="546">
    <w:name w:val="xl76"/>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547">
    <w:name w:val="Char Char1 Char Char Char1"/>
    <w:basedOn w:val="1"/>
    <w:autoRedefine/>
    <w:qFormat/>
    <w:uiPriority w:val="0"/>
    <w:rPr>
      <w:rFonts w:ascii="仿宋_GB2312" w:eastAsia="仿宋_GB2312"/>
      <w:b/>
      <w:sz w:val="32"/>
      <w:szCs w:val="20"/>
    </w:rPr>
  </w:style>
  <w:style w:type="paragraph" w:customStyle="1" w:styleId="548">
    <w:name w:val="列出段落2"/>
    <w:basedOn w:val="1"/>
    <w:autoRedefine/>
    <w:qFormat/>
    <w:uiPriority w:val="0"/>
    <w:pPr>
      <w:adjustRightInd/>
      <w:ind w:firstLine="420" w:firstLineChars="200"/>
    </w:pPr>
    <w:rPr>
      <w:rFonts w:ascii="宋体" w:hAnsi="宋体"/>
      <w:sz w:val="24"/>
    </w:rPr>
  </w:style>
  <w:style w:type="paragraph" w:customStyle="1" w:styleId="549">
    <w:name w:val="默认段落字体 Para Char Char Char Char Char Char Char"/>
    <w:basedOn w:val="1"/>
    <w:autoRedefine/>
    <w:qFormat/>
    <w:uiPriority w:val="0"/>
    <w:rPr>
      <w:rFonts w:eastAsia="仿宋_GB2312"/>
      <w:sz w:val="28"/>
      <w:szCs w:val="20"/>
    </w:rPr>
  </w:style>
  <w:style w:type="paragraph" w:customStyle="1" w:styleId="550">
    <w:name w:val="xl74"/>
    <w:basedOn w:val="1"/>
    <w:autoRedefine/>
    <w:qFormat/>
    <w:uiPriority w:val="0"/>
    <w:pPr>
      <w:widowControl/>
      <w:adjustRightInd/>
      <w:spacing w:before="100" w:beforeAutospacing="1" w:after="100" w:afterAutospacing="1"/>
      <w:jc w:val="center"/>
    </w:pPr>
    <w:rPr>
      <w:rFonts w:ascii="微软雅黑" w:hAnsi="微软雅黑" w:eastAsia="微软雅黑" w:cs="宋体"/>
      <w:b/>
      <w:bCs/>
      <w:kern w:val="0"/>
      <w:sz w:val="20"/>
      <w:szCs w:val="20"/>
    </w:rPr>
  </w:style>
  <w:style w:type="paragraph" w:customStyle="1" w:styleId="551">
    <w:name w:val="样式 标题 4PIM 4H4h4bulletblbbH41H42H43H44H45H46H47H48...1"/>
    <w:basedOn w:val="7"/>
    <w:autoRedefine/>
    <w:qFormat/>
    <w:uiPriority w:val="0"/>
    <w:pPr>
      <w:widowControl/>
      <w:jc w:val="left"/>
    </w:pPr>
    <w:rPr>
      <w:rFonts w:cs="宋体"/>
      <w:sz w:val="24"/>
      <w:szCs w:val="20"/>
    </w:rPr>
  </w:style>
  <w:style w:type="paragraph" w:customStyle="1" w:styleId="552">
    <w:name w:val="彩色列表 - 强调文字颜色 11"/>
    <w:basedOn w:val="1"/>
    <w:autoRedefine/>
    <w:qFormat/>
    <w:uiPriority w:val="34"/>
    <w:pPr>
      <w:adjustRightInd/>
      <w:ind w:firstLine="420" w:firstLineChars="200"/>
    </w:pPr>
    <w:rPr>
      <w:rFonts w:ascii="Calibri" w:hAnsi="Calibri"/>
      <w:szCs w:val="22"/>
    </w:rPr>
  </w:style>
  <w:style w:type="paragraph" w:customStyle="1" w:styleId="553">
    <w:name w:val="加粗正文"/>
    <w:basedOn w:val="1"/>
    <w:autoRedefine/>
    <w:qFormat/>
    <w:uiPriority w:val="0"/>
    <w:pPr>
      <w:adjustRightInd/>
      <w:spacing w:beforeLines="50" w:afterLines="50" w:line="360" w:lineRule="auto"/>
      <w:ind w:firstLine="422" w:firstLineChars="200"/>
    </w:pPr>
    <w:rPr>
      <w:b/>
      <w:bCs/>
      <w:szCs w:val="21"/>
    </w:rPr>
  </w:style>
  <w:style w:type="paragraph" w:customStyle="1" w:styleId="554">
    <w:name w:val="xl94"/>
    <w:basedOn w:val="1"/>
    <w:autoRedefine/>
    <w:qFormat/>
    <w:uiPriority w:val="0"/>
    <w:pPr>
      <w:widowControl/>
      <w:adjustRightInd/>
      <w:spacing w:before="100" w:beforeAutospacing="1" w:after="100" w:afterAutospacing="1"/>
      <w:jc w:val="center"/>
    </w:pPr>
    <w:rPr>
      <w:rFonts w:ascii="仿宋" w:hAnsi="仿宋" w:eastAsia="仿宋" w:cs="宋体"/>
      <w:kern w:val="0"/>
      <w:sz w:val="20"/>
      <w:szCs w:val="20"/>
    </w:rPr>
  </w:style>
  <w:style w:type="paragraph" w:customStyle="1" w:styleId="555">
    <w:name w:val="正文6"/>
    <w:basedOn w:val="1"/>
    <w:autoRedefine/>
    <w:qFormat/>
    <w:uiPriority w:val="0"/>
    <w:pPr>
      <w:tabs>
        <w:tab w:val="left" w:pos="0"/>
        <w:tab w:val="left" w:pos="703"/>
      </w:tabs>
      <w:adjustRightInd/>
      <w:spacing w:before="60" w:after="60" w:line="360" w:lineRule="auto"/>
      <w:ind w:left="600" w:leftChars="600"/>
    </w:pPr>
    <w:rPr>
      <w:sz w:val="28"/>
    </w:rPr>
  </w:style>
  <w:style w:type="paragraph" w:customStyle="1" w:styleId="556">
    <w:name w:val="Char Char Char1 Char1"/>
    <w:basedOn w:val="1"/>
    <w:autoRedefine/>
    <w:qFormat/>
    <w:uiPriority w:val="6"/>
    <w:rPr>
      <w:szCs w:val="20"/>
    </w:rPr>
  </w:style>
  <w:style w:type="paragraph" w:customStyle="1" w:styleId="557">
    <w:name w:val="xl27"/>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textAlignment w:val="top"/>
    </w:pPr>
    <w:rPr>
      <w:rFonts w:ascii="宋体" w:hAnsi="宋体"/>
      <w:kern w:val="0"/>
      <w:sz w:val="20"/>
      <w:szCs w:val="20"/>
    </w:rPr>
  </w:style>
  <w:style w:type="paragraph" w:customStyle="1" w:styleId="558">
    <w:name w:val="样式 标题 2 + 宋体 左侧:  1.76 厘米 首行缩进:  0 厘米"/>
    <w:basedOn w:val="4"/>
    <w:autoRedefine/>
    <w:qFormat/>
    <w:uiPriority w:val="0"/>
    <w:pPr>
      <w:tabs>
        <w:tab w:val="left" w:pos="0"/>
        <w:tab w:val="clear" w:pos="432"/>
      </w:tabs>
      <w:spacing w:before="260" w:after="260" w:line="415" w:lineRule="auto"/>
      <w:ind w:left="0" w:firstLine="200" w:firstLineChars="200"/>
      <w:jc w:val="both"/>
    </w:pPr>
    <w:rPr>
      <w:rFonts w:ascii="宋体" w:hAnsi="Cambria" w:eastAsia="宋体" w:cs="宋体"/>
      <w:szCs w:val="20"/>
      <w:lang w:val="en-US"/>
    </w:rPr>
  </w:style>
  <w:style w:type="paragraph" w:customStyle="1" w:styleId="559">
    <w:name w:val="List Paragraph*"/>
    <w:basedOn w:val="1"/>
    <w:autoRedefine/>
    <w:qFormat/>
    <w:uiPriority w:val="7"/>
    <w:pPr>
      <w:adjustRightInd/>
      <w:spacing w:line="360" w:lineRule="auto"/>
      <w:ind w:firstLine="420"/>
    </w:pPr>
    <w:rPr>
      <w:rFonts w:ascii="Calibri" w:hAnsi="Calibri" w:cs="Calibri"/>
      <w:color w:val="000000"/>
      <w:kern w:val="1"/>
      <w:sz w:val="24"/>
      <w:szCs w:val="22"/>
    </w:rPr>
  </w:style>
  <w:style w:type="paragraph" w:customStyle="1" w:styleId="560">
    <w:name w:val="Char Char11 Char Char Char Char Char Char Char Char Char Char Char Char Char11"/>
    <w:basedOn w:val="1"/>
    <w:autoRedefine/>
    <w:qFormat/>
    <w:uiPriority w:val="6"/>
    <w:pPr>
      <w:adjustRightInd/>
      <w:spacing w:line="360" w:lineRule="auto"/>
    </w:pPr>
    <w:rPr>
      <w:rFonts w:ascii="Arial" w:hAnsi="Arial" w:eastAsia="黑体" w:cs="Arial"/>
      <w:snapToGrid w:val="0"/>
      <w:kern w:val="0"/>
      <w:szCs w:val="21"/>
    </w:rPr>
  </w:style>
  <w:style w:type="paragraph" w:customStyle="1" w:styleId="561">
    <w:name w:val="xl36"/>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562">
    <w:name w:val="CM14"/>
    <w:basedOn w:val="252"/>
    <w:next w:val="252"/>
    <w:autoRedefine/>
    <w:qFormat/>
    <w:uiPriority w:val="0"/>
    <w:pPr>
      <w:spacing w:after="68"/>
    </w:pPr>
    <w:rPr>
      <w:rFonts w:ascii="FHLHE E+ Futura Bk" w:eastAsia="FHLHE E+ Futura Bk" w:cs="Times New Roman"/>
      <w:color w:val="auto"/>
    </w:rPr>
  </w:style>
  <w:style w:type="paragraph" w:customStyle="1" w:styleId="563">
    <w:name w:val="xl82"/>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仿宋" w:hAnsi="仿宋" w:eastAsia="仿宋" w:cs="宋体"/>
      <w:color w:val="000000"/>
      <w:kern w:val="0"/>
      <w:sz w:val="20"/>
      <w:szCs w:val="20"/>
    </w:rPr>
  </w:style>
  <w:style w:type="paragraph" w:customStyle="1" w:styleId="564">
    <w:name w:val="无间隔*"/>
    <w:autoRedefine/>
    <w:qFormat/>
    <w:uiPriority w:val="0"/>
    <w:pPr>
      <w:widowControl w:val="0"/>
      <w:jc w:val="both"/>
    </w:pPr>
    <w:rPr>
      <w:rFonts w:ascii="Times New Roman" w:hAnsi="Times New Roman" w:eastAsia="宋体" w:cs="Calibri"/>
      <w:color w:val="000000"/>
      <w:kern w:val="1"/>
      <w:sz w:val="21"/>
      <w:szCs w:val="22"/>
      <w:lang w:val="en-US" w:eastAsia="zh-CN" w:bidi="ar-SA"/>
    </w:rPr>
  </w:style>
  <w:style w:type="paragraph" w:customStyle="1" w:styleId="565">
    <w:name w:val="Char Char Char Char1"/>
    <w:basedOn w:val="1"/>
    <w:autoRedefine/>
    <w:qFormat/>
    <w:uiPriority w:val="0"/>
    <w:pPr>
      <w:tabs>
        <w:tab w:val="left" w:pos="0"/>
      </w:tabs>
      <w:adjustRightInd/>
      <w:ind w:firstLine="200" w:firstLineChars="200"/>
    </w:pPr>
    <w:rPr>
      <w:rFonts w:ascii="宋体" w:hAnsi="宋体" w:eastAsia="仿宋_GB2312"/>
      <w:sz w:val="28"/>
    </w:rPr>
  </w:style>
  <w:style w:type="paragraph" w:customStyle="1" w:styleId="566">
    <w:name w:val="正文文字 2"/>
    <w:basedOn w:val="252"/>
    <w:next w:val="252"/>
    <w:autoRedefine/>
    <w:qFormat/>
    <w:uiPriority w:val="0"/>
    <w:rPr>
      <w:rFonts w:ascii="宋体" w:eastAsia="宋体" w:cs="Times New Roman"/>
      <w:color w:val="auto"/>
    </w:rPr>
  </w:style>
  <w:style w:type="paragraph" w:customStyle="1" w:styleId="567">
    <w:name w:val="正文首行缩进两字"/>
    <w:autoRedefine/>
    <w:qFormat/>
    <w:uiPriority w:val="0"/>
    <w:pPr>
      <w:spacing w:afterLines="50" w:line="300" w:lineRule="auto"/>
      <w:ind w:right="210" w:rightChars="100" w:firstLine="523" w:firstLineChars="218"/>
    </w:pPr>
    <w:rPr>
      <w:rFonts w:ascii="Times New Roman" w:hAnsi="Times New Roman" w:eastAsia="宋体" w:cs="Times New Roman"/>
      <w:sz w:val="24"/>
      <w:szCs w:val="24"/>
      <w:lang w:val="en-US" w:eastAsia="zh-CN" w:bidi="ar-SA"/>
    </w:rPr>
  </w:style>
  <w:style w:type="paragraph" w:customStyle="1" w:styleId="568">
    <w:name w:val="Char Char1 Char"/>
    <w:basedOn w:val="1"/>
    <w:autoRedefine/>
    <w:qFormat/>
    <w:uiPriority w:val="0"/>
    <w:rPr>
      <w:rFonts w:ascii="仿宋_GB2312" w:eastAsia="仿宋_GB2312"/>
      <w:b/>
      <w:sz w:val="32"/>
      <w:szCs w:val="32"/>
    </w:rPr>
  </w:style>
  <w:style w:type="paragraph" w:customStyle="1" w:styleId="569">
    <w:name w:val="xl77"/>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570">
    <w:name w:val="Char Char11 Char Char Char Char Char Char Char Char Char Char Char1"/>
    <w:basedOn w:val="1"/>
    <w:autoRedefine/>
    <w:qFormat/>
    <w:uiPriority w:val="6"/>
    <w:pPr>
      <w:adjustRightInd/>
      <w:spacing w:line="360" w:lineRule="auto"/>
    </w:pPr>
    <w:rPr>
      <w:rFonts w:ascii="Arial" w:hAnsi="Arial" w:eastAsia="黑体" w:cs="Arial"/>
      <w:snapToGrid w:val="0"/>
      <w:kern w:val="0"/>
      <w:szCs w:val="21"/>
    </w:rPr>
  </w:style>
  <w:style w:type="paragraph" w:customStyle="1" w:styleId="571">
    <w:name w:val="Char Char111"/>
    <w:basedOn w:val="1"/>
    <w:autoRedefine/>
    <w:qFormat/>
    <w:uiPriority w:val="0"/>
    <w:pPr>
      <w:spacing w:line="360" w:lineRule="auto"/>
    </w:pPr>
    <w:rPr>
      <w:szCs w:val="20"/>
    </w:rPr>
  </w:style>
  <w:style w:type="paragraph" w:customStyle="1" w:styleId="572">
    <w:name w:val="Char"/>
    <w:basedOn w:val="1"/>
    <w:autoRedefine/>
    <w:qFormat/>
    <w:uiPriority w:val="0"/>
    <w:rPr>
      <w:rFonts w:ascii="仿宋_GB2312" w:eastAsia="仿宋_GB2312"/>
      <w:b/>
      <w:sz w:val="32"/>
      <w:szCs w:val="32"/>
    </w:rPr>
  </w:style>
  <w:style w:type="paragraph" w:customStyle="1" w:styleId="573">
    <w:name w:val="RFI Heading 2nd Level"/>
    <w:basedOn w:val="1"/>
    <w:autoRedefine/>
    <w:qFormat/>
    <w:uiPriority w:val="0"/>
    <w:pPr>
      <w:widowControl/>
      <w:tabs>
        <w:tab w:val="left" w:pos="1260"/>
      </w:tabs>
      <w:adjustRightInd/>
      <w:ind w:firstLine="200" w:firstLineChars="200"/>
      <w:jc w:val="left"/>
    </w:pPr>
    <w:rPr>
      <w:rFonts w:ascii="Arial (W1)" w:hAnsi="Arial (W1)"/>
      <w:b/>
      <w:bCs/>
      <w:color w:val="0000FF"/>
      <w:kern w:val="0"/>
      <w:sz w:val="28"/>
      <w:lang w:val="en-GB" w:eastAsia="en-US"/>
    </w:rPr>
  </w:style>
  <w:style w:type="paragraph" w:customStyle="1" w:styleId="574">
    <w:name w:val="af17cgridlangnp1033langf"/>
    <w:autoRedefine/>
    <w:qFormat/>
    <w:uiPriority w:val="0"/>
    <w:pPr>
      <w:widowControl w:val="0"/>
      <w:autoSpaceDE w:val="0"/>
      <w:autoSpaceDN w:val="0"/>
      <w:adjustRightInd w:val="0"/>
      <w:spacing w:before="156" w:line="360" w:lineRule="atLeast"/>
      <w:ind w:left="567" w:firstLine="510"/>
      <w:jc w:val="both"/>
    </w:pPr>
    <w:rPr>
      <w:rFonts w:ascii="Times New Roman" w:hAnsi="Times New Roman" w:eastAsia="宋体" w:cs="Times New Roman"/>
      <w:lang w:val="en-US" w:eastAsia="zh-CN" w:bidi="ar-SA"/>
    </w:rPr>
  </w:style>
  <w:style w:type="paragraph" w:customStyle="1" w:styleId="575">
    <w:name w:val="Char Char Char1 Char"/>
    <w:basedOn w:val="1"/>
    <w:autoRedefine/>
    <w:qFormat/>
    <w:uiPriority w:val="0"/>
    <w:rPr>
      <w:szCs w:val="20"/>
    </w:rPr>
  </w:style>
  <w:style w:type="paragraph" w:customStyle="1" w:styleId="576">
    <w:name w:val="正文标准"/>
    <w:basedOn w:val="1"/>
    <w:autoRedefine/>
    <w:qFormat/>
    <w:uiPriority w:val="0"/>
    <w:pPr>
      <w:adjustRightInd/>
      <w:spacing w:line="360" w:lineRule="auto"/>
      <w:ind w:firstLine="200" w:firstLineChars="200"/>
    </w:pPr>
    <w:rPr>
      <w:rFonts w:ascii="宋体" w:hAnsi="Calibri"/>
      <w:sz w:val="24"/>
    </w:rPr>
  </w:style>
  <w:style w:type="paragraph" w:customStyle="1" w:styleId="577">
    <w:name w:val="正文格式"/>
    <w:basedOn w:val="1"/>
    <w:autoRedefine/>
    <w:qFormat/>
    <w:uiPriority w:val="0"/>
    <w:pPr>
      <w:widowControl/>
      <w:autoSpaceDE w:val="0"/>
      <w:autoSpaceDN w:val="0"/>
      <w:snapToGrid w:val="0"/>
      <w:spacing w:line="360" w:lineRule="atLeast"/>
      <w:ind w:firstLine="200" w:firstLineChars="200"/>
      <w:textAlignment w:val="baseline"/>
    </w:pPr>
    <w:rPr>
      <w:kern w:val="0"/>
      <w:sz w:val="24"/>
      <w:szCs w:val="20"/>
    </w:rPr>
  </w:style>
  <w:style w:type="paragraph" w:customStyle="1" w:styleId="578">
    <w:name w:val="Char Char11 Char Char Char Char Char Char Char Char Char Char Char Char Char Char Char"/>
    <w:basedOn w:val="1"/>
    <w:autoRedefine/>
    <w:qFormat/>
    <w:uiPriority w:val="0"/>
    <w:pPr>
      <w:adjustRightInd/>
      <w:spacing w:line="360" w:lineRule="auto"/>
    </w:pPr>
    <w:rPr>
      <w:rFonts w:ascii="Arial" w:hAnsi="Arial" w:eastAsia="黑体" w:cs="Arial"/>
      <w:snapToGrid w:val="0"/>
      <w:kern w:val="0"/>
      <w:szCs w:val="21"/>
    </w:rPr>
  </w:style>
  <w:style w:type="paragraph" w:customStyle="1" w:styleId="579">
    <w:name w:val="Th"/>
    <w:autoRedefine/>
    <w:qFormat/>
    <w:uiPriority w:val="0"/>
    <w:pPr>
      <w:keepNext/>
      <w:keepLines/>
      <w:spacing w:before="20" w:after="60" w:line="220" w:lineRule="exact"/>
      <w:ind w:left="240"/>
    </w:pPr>
    <w:rPr>
      <w:rFonts w:ascii="Times New Roman" w:hAnsi="Times New Roman" w:eastAsia="宋体" w:cs="Times New Roman"/>
      <w:b/>
      <w:sz w:val="19"/>
      <w:lang w:val="en-US" w:eastAsia="en-US" w:bidi="ar-SA"/>
    </w:rPr>
  </w:style>
  <w:style w:type="paragraph" w:customStyle="1" w:styleId="580">
    <w:name w:val="规范正文"/>
    <w:basedOn w:val="1"/>
    <w:autoRedefine/>
    <w:qFormat/>
    <w:uiPriority w:val="0"/>
    <w:pPr>
      <w:tabs>
        <w:tab w:val="left" w:pos="840"/>
      </w:tabs>
      <w:spacing w:beforeLines="50" w:line="360" w:lineRule="auto"/>
      <w:ind w:left="840" w:hanging="420"/>
      <w:textAlignment w:val="baseline"/>
    </w:pPr>
    <w:rPr>
      <w:szCs w:val="20"/>
    </w:rPr>
  </w:style>
  <w:style w:type="paragraph" w:customStyle="1" w:styleId="581">
    <w:name w:val="font12"/>
    <w:basedOn w:val="1"/>
    <w:autoRedefine/>
    <w:qFormat/>
    <w:uiPriority w:val="0"/>
    <w:pPr>
      <w:widowControl/>
      <w:adjustRightInd/>
      <w:spacing w:before="100" w:beforeAutospacing="1" w:after="100" w:afterAutospacing="1"/>
      <w:jc w:val="left"/>
    </w:pPr>
    <w:rPr>
      <w:rFonts w:ascii="宋体" w:hAnsi="宋体" w:cs="宋体"/>
      <w:kern w:val="0"/>
      <w:sz w:val="18"/>
      <w:szCs w:val="18"/>
    </w:rPr>
  </w:style>
  <w:style w:type="paragraph" w:customStyle="1" w:styleId="582">
    <w:name w:val="Char Char1 Char2"/>
    <w:basedOn w:val="1"/>
    <w:autoRedefine/>
    <w:qFormat/>
    <w:uiPriority w:val="0"/>
    <w:pPr>
      <w:widowControl/>
      <w:snapToGrid w:val="0"/>
      <w:spacing w:before="120" w:after="160" w:line="360" w:lineRule="auto"/>
      <w:ind w:right="-360"/>
      <w:jc w:val="left"/>
    </w:pPr>
    <w:rPr>
      <w:rFonts w:ascii="Arial" w:hAnsi="Arial"/>
      <w:kern w:val="0"/>
      <w:sz w:val="24"/>
      <w:lang w:eastAsia="en-US"/>
    </w:rPr>
  </w:style>
  <w:style w:type="paragraph" w:customStyle="1" w:styleId="583">
    <w:name w:val="Char Char Char11"/>
    <w:basedOn w:val="1"/>
    <w:autoRedefine/>
    <w:qFormat/>
    <w:uiPriority w:val="0"/>
    <w:pPr>
      <w:widowControl/>
      <w:spacing w:after="160" w:line="240" w:lineRule="exact"/>
      <w:jc w:val="left"/>
    </w:pPr>
    <w:rPr>
      <w:rFonts w:ascii="Verdana" w:hAnsi="Verdana"/>
      <w:kern w:val="0"/>
      <w:sz w:val="20"/>
      <w:szCs w:val="20"/>
      <w:lang w:eastAsia="en-US"/>
    </w:rPr>
  </w:style>
  <w:style w:type="paragraph" w:customStyle="1" w:styleId="584">
    <w:name w:val="xl42"/>
    <w:basedOn w:val="1"/>
    <w:autoRedefine/>
    <w:qFormat/>
    <w:uiPriority w:val="0"/>
    <w:pPr>
      <w:widowControl/>
      <w:pBdr>
        <w:top w:val="single" w:color="auto" w:sz="4" w:space="0"/>
        <w:left w:val="single" w:color="auto" w:sz="4" w:space="0"/>
        <w:bottom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Cs w:val="21"/>
    </w:rPr>
  </w:style>
  <w:style w:type="paragraph" w:customStyle="1" w:styleId="585">
    <w:name w:val="目录4"/>
    <w:basedOn w:val="1"/>
    <w:autoRedefine/>
    <w:qFormat/>
    <w:uiPriority w:val="0"/>
    <w:pPr>
      <w:tabs>
        <w:tab w:val="left" w:leader="dot" w:pos="7370"/>
      </w:tabs>
      <w:autoSpaceDE w:val="0"/>
      <w:autoSpaceDN w:val="0"/>
      <w:spacing w:line="317" w:lineRule="atLeast"/>
      <w:ind w:firstLine="629" w:firstLineChars="200"/>
    </w:pPr>
    <w:rPr>
      <w:color w:val="000000"/>
      <w:kern w:val="0"/>
      <w:szCs w:val="21"/>
    </w:rPr>
  </w:style>
  <w:style w:type="paragraph" w:customStyle="1" w:styleId="586">
    <w:name w:val="xl43"/>
    <w:basedOn w:val="1"/>
    <w:autoRedefine/>
    <w:qFormat/>
    <w:uiPriority w:val="0"/>
    <w:pPr>
      <w:widowControl/>
      <w:pBdr>
        <w:top w:val="single" w:color="auto" w:sz="4" w:space="0"/>
        <w:bottom w:val="single" w:color="auto" w:sz="4" w:space="0"/>
        <w:right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Cs w:val="21"/>
    </w:rPr>
  </w:style>
  <w:style w:type="paragraph" w:customStyle="1" w:styleId="587">
    <w:name w:val="solutionfonts1"/>
    <w:basedOn w:val="1"/>
    <w:autoRedefine/>
    <w:qFormat/>
    <w:uiPriority w:val="0"/>
    <w:pPr>
      <w:widowControl/>
      <w:adjustRightInd/>
      <w:spacing w:before="100" w:beforeAutospacing="1" w:after="100" w:afterAutospacing="1"/>
      <w:ind w:firstLine="200" w:firstLineChars="200"/>
      <w:jc w:val="left"/>
    </w:pPr>
    <w:rPr>
      <w:rFonts w:ascii="宋体" w:hAnsi="宋体" w:cs="宋体"/>
      <w:kern w:val="0"/>
      <w:sz w:val="24"/>
    </w:rPr>
  </w:style>
  <w:style w:type="paragraph" w:customStyle="1" w:styleId="588">
    <w:name w:val="标准有序列表（L1）"/>
    <w:basedOn w:val="6"/>
    <w:autoRedefine/>
    <w:qFormat/>
    <w:uiPriority w:val="0"/>
    <w:pPr>
      <w:widowControl w:val="0"/>
      <w:tabs>
        <w:tab w:val="left" w:pos="0"/>
        <w:tab w:val="left" w:pos="992"/>
      </w:tabs>
      <w:adjustRightInd/>
      <w:snapToGrid/>
      <w:spacing w:line="360" w:lineRule="auto"/>
      <w:ind w:firstLine="0"/>
    </w:pPr>
    <w:rPr>
      <w:rFonts w:ascii="黑体" w:eastAsia="黑体"/>
      <w:snapToGrid/>
      <w:kern w:val="2"/>
      <w:sz w:val="24"/>
    </w:rPr>
  </w:style>
  <w:style w:type="paragraph" w:customStyle="1" w:styleId="589">
    <w:name w:val="Char Char Char Char Char Char Char Char Char Char"/>
    <w:basedOn w:val="1"/>
    <w:autoRedefine/>
    <w:qFormat/>
    <w:uiPriority w:val="0"/>
    <w:rPr>
      <w:rFonts w:ascii="仿宋_GB2312" w:eastAsia="仿宋_GB2312"/>
      <w:b/>
      <w:sz w:val="32"/>
      <w:szCs w:val="32"/>
    </w:rPr>
  </w:style>
  <w:style w:type="paragraph" w:customStyle="1" w:styleId="590">
    <w:name w:val="Char1 Char Char Char Char Char Char Char Char Char Char Char1 Char Char Char Char Char Char Char Char Char Char Char Char Char Char1 Char Char Char Char"/>
    <w:basedOn w:val="1"/>
    <w:autoRedefine/>
    <w:qFormat/>
    <w:uiPriority w:val="0"/>
    <w:pPr>
      <w:spacing w:line="360" w:lineRule="auto"/>
    </w:pPr>
    <w:rPr>
      <w:kern w:val="0"/>
      <w:sz w:val="24"/>
      <w:szCs w:val="20"/>
    </w:rPr>
  </w:style>
  <w:style w:type="paragraph" w:customStyle="1" w:styleId="591">
    <w:name w:val="_正文段落"/>
    <w:basedOn w:val="1"/>
    <w:autoRedefine/>
    <w:qFormat/>
    <w:uiPriority w:val="0"/>
    <w:pPr>
      <w:adjustRightInd/>
      <w:ind w:firstLine="560"/>
    </w:pPr>
    <w:rPr>
      <w:rFonts w:ascii="仿宋_GB2312" w:hAnsi="仿宋" w:eastAsia="仿宋_GB2312"/>
      <w:kern w:val="0"/>
      <w:sz w:val="28"/>
      <w:szCs w:val="28"/>
    </w:rPr>
  </w:style>
  <w:style w:type="paragraph" w:customStyle="1" w:styleId="592">
    <w:name w:val="列出段落4"/>
    <w:basedOn w:val="1"/>
    <w:autoRedefine/>
    <w:qFormat/>
    <w:uiPriority w:val="0"/>
    <w:pPr>
      <w:adjustRightInd/>
      <w:spacing w:line="360" w:lineRule="auto"/>
      <w:ind w:firstLine="420" w:firstLineChars="200"/>
    </w:pPr>
    <w:rPr>
      <w:rFonts w:ascii="Calibri" w:hAnsi="Calibri"/>
      <w:sz w:val="24"/>
      <w:szCs w:val="22"/>
    </w:rPr>
  </w:style>
  <w:style w:type="paragraph" w:customStyle="1" w:styleId="593">
    <w:name w:val="前言、引言标题"/>
    <w:next w:val="1"/>
    <w:autoRedefine/>
    <w:qFormat/>
    <w:uiPriority w:val="0"/>
    <w:pPr>
      <w:shd w:val="clear" w:color="FFFFFF" w:fill="FFFFFF"/>
      <w:tabs>
        <w:tab w:val="left" w:pos="840"/>
      </w:tabs>
      <w:spacing w:before="640" w:after="560"/>
      <w:ind w:left="840" w:hanging="420"/>
      <w:jc w:val="center"/>
      <w:outlineLvl w:val="0"/>
    </w:pPr>
    <w:rPr>
      <w:rFonts w:ascii="黑体" w:hAnsi="Times New Roman" w:eastAsia="黑体" w:cs="Times New Roman"/>
      <w:sz w:val="32"/>
      <w:lang w:val="en-US" w:eastAsia="zh-CN" w:bidi="ar-SA"/>
    </w:rPr>
  </w:style>
  <w:style w:type="paragraph" w:customStyle="1" w:styleId="594">
    <w:name w:val="正文（首行缩进）"/>
    <w:basedOn w:val="31"/>
    <w:autoRedefine/>
    <w:qFormat/>
    <w:uiPriority w:val="0"/>
    <w:pPr>
      <w:widowControl/>
      <w:tabs>
        <w:tab w:val="left" w:pos="840"/>
      </w:tabs>
      <w:overflowPunct w:val="0"/>
      <w:autoSpaceDE w:val="0"/>
      <w:autoSpaceDN w:val="0"/>
      <w:spacing w:beforeLines="50" w:after="120" w:line="400" w:lineRule="exact"/>
      <w:ind w:left="200" w:leftChars="200" w:firstLine="200"/>
      <w:jc w:val="left"/>
      <w:textAlignment w:val="baseline"/>
    </w:pPr>
    <w:rPr>
      <w:rFonts w:ascii="Times New Roman" w:hAnsi="Times New Roman"/>
      <w:spacing w:val="10"/>
      <w:kern w:val="0"/>
      <w:szCs w:val="20"/>
    </w:rPr>
  </w:style>
  <w:style w:type="paragraph" w:customStyle="1" w:styleId="595">
    <w:name w:val="Char3 Char Char Char Char Char Char"/>
    <w:basedOn w:val="1"/>
    <w:autoRedefine/>
    <w:qFormat/>
    <w:uiPriority w:val="0"/>
    <w:pPr>
      <w:adjustRightInd/>
      <w:spacing w:line="360" w:lineRule="auto"/>
    </w:pPr>
    <w:rPr>
      <w:rFonts w:ascii="Arial" w:hAnsi="Arial" w:eastAsia="黑体" w:cs="Arial"/>
      <w:snapToGrid w:val="0"/>
      <w:kern w:val="0"/>
      <w:szCs w:val="21"/>
    </w:rPr>
  </w:style>
  <w:style w:type="paragraph" w:customStyle="1" w:styleId="596">
    <w:name w:val="font9"/>
    <w:basedOn w:val="1"/>
    <w:autoRedefine/>
    <w:qFormat/>
    <w:uiPriority w:val="0"/>
    <w:pPr>
      <w:widowControl/>
      <w:adjustRightInd/>
      <w:spacing w:before="100" w:beforeAutospacing="1" w:after="100" w:afterAutospacing="1"/>
      <w:jc w:val="left"/>
    </w:pPr>
    <w:rPr>
      <w:rFonts w:hint="eastAsia" w:ascii="宋体" w:hAnsi="宋体"/>
      <w:kern w:val="0"/>
      <w:sz w:val="20"/>
      <w:szCs w:val="20"/>
    </w:rPr>
  </w:style>
  <w:style w:type="paragraph" w:customStyle="1" w:styleId="597">
    <w:name w:val="方案正文无缩进"/>
    <w:autoRedefine/>
    <w:qFormat/>
    <w:uiPriority w:val="0"/>
    <w:pPr>
      <w:spacing w:line="360" w:lineRule="auto"/>
    </w:pPr>
    <w:rPr>
      <w:rFonts w:ascii="Times New Roman" w:hAnsi="Times New Roman" w:eastAsia="宋体" w:cs="Times New Roman"/>
      <w:kern w:val="2"/>
      <w:sz w:val="24"/>
      <w:szCs w:val="24"/>
      <w:lang w:val="en-US" w:eastAsia="zh-CN" w:bidi="ar-SA"/>
    </w:rPr>
  </w:style>
  <w:style w:type="paragraph" w:customStyle="1" w:styleId="598">
    <w:name w:val="Char Char Char1 Char2"/>
    <w:basedOn w:val="1"/>
    <w:autoRedefine/>
    <w:qFormat/>
    <w:uiPriority w:val="0"/>
    <w:rPr>
      <w:szCs w:val="20"/>
    </w:rPr>
  </w:style>
  <w:style w:type="paragraph" w:customStyle="1" w:styleId="599">
    <w:name w:val="Char Char11 Char Char Char Char Char Char Char Char Char Char Char Char Char1"/>
    <w:basedOn w:val="1"/>
    <w:autoRedefine/>
    <w:qFormat/>
    <w:uiPriority w:val="0"/>
    <w:pPr>
      <w:adjustRightInd/>
      <w:spacing w:line="360" w:lineRule="auto"/>
    </w:pPr>
    <w:rPr>
      <w:rFonts w:ascii="Arial" w:hAnsi="Arial" w:eastAsia="黑体" w:cs="Arial"/>
      <w:snapToGrid w:val="0"/>
      <w:kern w:val="0"/>
      <w:szCs w:val="21"/>
    </w:rPr>
  </w:style>
  <w:style w:type="paragraph" w:customStyle="1" w:styleId="600">
    <w:name w:val="默认段落字体 Para Char"/>
    <w:basedOn w:val="1"/>
    <w:autoRedefine/>
    <w:qFormat/>
    <w:uiPriority w:val="0"/>
    <w:rPr>
      <w:rFonts w:ascii="Tahoma" w:hAnsi="Tahoma"/>
      <w:sz w:val="24"/>
      <w:szCs w:val="20"/>
    </w:rPr>
  </w:style>
  <w:style w:type="paragraph" w:customStyle="1" w:styleId="601">
    <w:name w:val="标题五"/>
    <w:basedOn w:val="1"/>
    <w:autoRedefine/>
    <w:qFormat/>
    <w:uiPriority w:val="0"/>
    <w:pPr>
      <w:adjustRightInd/>
      <w:spacing w:beforeLines="50" w:line="360" w:lineRule="auto"/>
    </w:pPr>
    <w:rPr>
      <w:b/>
      <w:sz w:val="24"/>
    </w:rPr>
  </w:style>
  <w:style w:type="paragraph" w:customStyle="1" w:styleId="602">
    <w:name w:val="Char Char1101"/>
    <w:basedOn w:val="1"/>
    <w:autoRedefine/>
    <w:qFormat/>
    <w:uiPriority w:val="0"/>
    <w:pPr>
      <w:spacing w:line="360" w:lineRule="auto"/>
    </w:pPr>
    <w:rPr>
      <w:rFonts w:ascii="Tahoma" w:hAnsi="Tahoma"/>
      <w:sz w:val="24"/>
      <w:szCs w:val="20"/>
    </w:rPr>
  </w:style>
  <w:style w:type="paragraph" w:customStyle="1" w:styleId="603">
    <w:name w:val="Char Char Char Char Char Char Char Char1"/>
    <w:basedOn w:val="1"/>
    <w:autoRedefine/>
    <w:qFormat/>
    <w:uiPriority w:val="0"/>
    <w:pPr>
      <w:tabs>
        <w:tab w:val="left" w:pos="360"/>
      </w:tabs>
    </w:pPr>
    <w:rPr>
      <w:sz w:val="24"/>
      <w:szCs w:val="20"/>
    </w:rPr>
  </w:style>
  <w:style w:type="paragraph" w:customStyle="1" w:styleId="604">
    <w:name w:val="Char Char Char 字元 字元"/>
    <w:basedOn w:val="1"/>
    <w:autoRedefine/>
    <w:qFormat/>
    <w:uiPriority w:val="0"/>
    <w:pPr>
      <w:adjustRightInd/>
      <w:spacing w:line="360" w:lineRule="auto"/>
      <w:ind w:firstLine="200" w:firstLineChars="200"/>
    </w:pPr>
    <w:rPr>
      <w:szCs w:val="20"/>
    </w:rPr>
  </w:style>
  <w:style w:type="paragraph" w:customStyle="1" w:styleId="605">
    <w:name w:val="xl70"/>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kern w:val="0"/>
      <w:sz w:val="20"/>
      <w:szCs w:val="20"/>
    </w:rPr>
  </w:style>
  <w:style w:type="paragraph" w:customStyle="1" w:styleId="606">
    <w:name w:val="Char Char Char Char Char Char Char"/>
    <w:basedOn w:val="1"/>
    <w:autoRedefine/>
    <w:qFormat/>
    <w:uiPriority w:val="0"/>
    <w:rPr>
      <w:rFonts w:ascii="仿宋_GB2312" w:eastAsia="仿宋_GB2312"/>
      <w:b/>
      <w:sz w:val="32"/>
      <w:szCs w:val="32"/>
    </w:rPr>
  </w:style>
  <w:style w:type="paragraph" w:customStyle="1" w:styleId="607">
    <w:name w:val="文章附标题"/>
    <w:basedOn w:val="1"/>
    <w:autoRedefine/>
    <w:qFormat/>
    <w:uiPriority w:val="0"/>
    <w:pPr>
      <w:autoSpaceDE w:val="0"/>
      <w:autoSpaceDN w:val="0"/>
      <w:spacing w:before="187" w:after="175" w:line="374" w:lineRule="atLeast"/>
      <w:ind w:firstLine="200" w:firstLineChars="200"/>
      <w:jc w:val="center"/>
    </w:pPr>
    <w:rPr>
      <w:color w:val="000000"/>
      <w:kern w:val="0"/>
      <w:sz w:val="36"/>
      <w:szCs w:val="36"/>
    </w:rPr>
  </w:style>
  <w:style w:type="paragraph" w:customStyle="1" w:styleId="608">
    <w:name w:val="a2"/>
    <w:basedOn w:val="1"/>
    <w:autoRedefine/>
    <w:qFormat/>
    <w:uiPriority w:val="0"/>
    <w:pPr>
      <w:widowControl/>
      <w:adjustRightInd/>
      <w:spacing w:before="100" w:beforeAutospacing="1" w:after="100" w:afterAutospacing="1"/>
      <w:jc w:val="left"/>
    </w:pPr>
    <w:rPr>
      <w:rFonts w:ascii="宋体" w:hAnsi="宋体" w:cs="宋体"/>
      <w:kern w:val="0"/>
      <w:sz w:val="24"/>
    </w:rPr>
  </w:style>
  <w:style w:type="paragraph" w:customStyle="1" w:styleId="609">
    <w:name w:val="样式 标题 22h2L1 Heading 2H2sect 1.2H21sect 1.21H22sect 1.2..."/>
    <w:basedOn w:val="4"/>
    <w:next w:val="1"/>
    <w:autoRedefine/>
    <w:qFormat/>
    <w:uiPriority w:val="0"/>
    <w:pPr>
      <w:tabs>
        <w:tab w:val="left" w:pos="425"/>
        <w:tab w:val="clear" w:pos="432"/>
      </w:tabs>
      <w:spacing w:before="260" w:after="260" w:line="415" w:lineRule="auto"/>
      <w:ind w:left="425" w:hanging="425"/>
    </w:pPr>
    <w:rPr>
      <w:rFonts w:ascii="微软雅黑" w:hAnsi="微软雅黑" w:eastAsia="微软雅黑"/>
      <w:lang w:val="en-US"/>
    </w:rPr>
  </w:style>
  <w:style w:type="paragraph" w:customStyle="1" w:styleId="610">
    <w:name w:val="样式6"/>
    <w:basedOn w:val="41"/>
    <w:autoRedefine/>
    <w:qFormat/>
    <w:uiPriority w:val="0"/>
    <w:pPr>
      <w:spacing w:line="460" w:lineRule="exact"/>
      <w:outlineLvl w:val="2"/>
    </w:pPr>
    <w:rPr>
      <w:rFonts w:ascii="仿宋_GB2312" w:hAnsi="宋体" w:eastAsia="仿宋_GB2312"/>
      <w:b/>
      <w:bCs/>
      <w:sz w:val="24"/>
      <w:szCs w:val="24"/>
    </w:rPr>
  </w:style>
  <w:style w:type="paragraph" w:customStyle="1" w:styleId="611">
    <w:name w:val="批注框文本 Char Char"/>
    <w:basedOn w:val="1"/>
    <w:autoRedefine/>
    <w:qFormat/>
    <w:uiPriority w:val="0"/>
    <w:pPr>
      <w:adjustRightInd/>
    </w:pPr>
    <w:rPr>
      <w:sz w:val="18"/>
      <w:szCs w:val="20"/>
    </w:rPr>
  </w:style>
  <w:style w:type="paragraph" w:customStyle="1" w:styleId="612">
    <w:name w:val="封面华为技术"/>
    <w:basedOn w:val="1"/>
    <w:autoRedefine/>
    <w:qFormat/>
    <w:uiPriority w:val="0"/>
    <w:pPr>
      <w:autoSpaceDE w:val="0"/>
      <w:autoSpaceDN w:val="0"/>
      <w:spacing w:line="360" w:lineRule="auto"/>
      <w:ind w:firstLine="200" w:firstLineChars="200"/>
      <w:jc w:val="center"/>
    </w:pPr>
    <w:rPr>
      <w:rFonts w:ascii="Arial" w:hAnsi="Arial" w:eastAsia="黑体"/>
      <w:kern w:val="0"/>
      <w:sz w:val="32"/>
      <w:szCs w:val="32"/>
    </w:rPr>
  </w:style>
  <w:style w:type="paragraph" w:customStyle="1" w:styleId="613">
    <w:name w:val="xl32"/>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614">
    <w:name w:val="Char Char11 Char Char Char Char Char Char Char Char Char Char Char Char Char"/>
    <w:basedOn w:val="1"/>
    <w:autoRedefine/>
    <w:qFormat/>
    <w:uiPriority w:val="0"/>
    <w:pPr>
      <w:adjustRightInd/>
      <w:spacing w:line="360" w:lineRule="auto"/>
    </w:pPr>
    <w:rPr>
      <w:rFonts w:ascii="Arial" w:hAnsi="Arial" w:eastAsia="黑体"/>
      <w:snapToGrid w:val="0"/>
      <w:kern w:val="0"/>
      <w:sz w:val="20"/>
      <w:szCs w:val="21"/>
    </w:rPr>
  </w:style>
  <w:style w:type="paragraph" w:customStyle="1" w:styleId="615">
    <w:name w:val="gjt_2"/>
    <w:next w:val="1"/>
    <w:autoRedefine/>
    <w:qFormat/>
    <w:uiPriority w:val="0"/>
    <w:pPr>
      <w:keepNext/>
      <w:keepLines/>
      <w:widowControl w:val="0"/>
      <w:spacing w:before="260" w:after="260"/>
      <w:jc w:val="both"/>
      <w:outlineLvl w:val="6"/>
    </w:pPr>
    <w:rPr>
      <w:rFonts w:ascii="Arial" w:hAnsi="Arial" w:eastAsia="黑体" w:cs="Arial"/>
      <w:b/>
      <w:bCs/>
      <w:color w:val="000000"/>
      <w:kern w:val="2"/>
      <w:sz w:val="32"/>
      <w:szCs w:val="32"/>
      <w:u w:color="000000"/>
      <w:lang w:val="en-US" w:eastAsia="zh-CN" w:bidi="ar-SA"/>
    </w:rPr>
  </w:style>
  <w:style w:type="paragraph" w:customStyle="1" w:styleId="616">
    <w:name w:val="索引 11"/>
    <w:basedOn w:val="1"/>
    <w:next w:val="1"/>
    <w:autoRedefine/>
    <w:qFormat/>
    <w:uiPriority w:val="99"/>
    <w:pPr>
      <w:adjustRightInd/>
      <w:spacing w:line="360" w:lineRule="auto"/>
    </w:pPr>
    <w:rPr>
      <w:rFonts w:ascii="仿宋_GB2312" w:eastAsia="仿宋_GB2312"/>
      <w:sz w:val="24"/>
      <w:szCs w:val="20"/>
    </w:rPr>
  </w:style>
  <w:style w:type="paragraph" w:customStyle="1" w:styleId="617">
    <w:name w:val="xl67"/>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kern w:val="0"/>
      <w:sz w:val="20"/>
      <w:szCs w:val="20"/>
    </w:rPr>
  </w:style>
  <w:style w:type="paragraph" w:customStyle="1" w:styleId="618">
    <w:name w:val="样式"/>
    <w:basedOn w:val="1"/>
    <w:autoRedefine/>
    <w:qFormat/>
    <w:uiPriority w:val="0"/>
    <w:pPr>
      <w:autoSpaceDE w:val="0"/>
      <w:autoSpaceDN w:val="0"/>
      <w:snapToGrid w:val="0"/>
      <w:spacing w:before="120" w:after="120" w:line="360" w:lineRule="auto"/>
    </w:pPr>
    <w:rPr>
      <w:rFonts w:ascii="宋体"/>
      <w:sz w:val="24"/>
      <w:szCs w:val="20"/>
    </w:rPr>
  </w:style>
  <w:style w:type="paragraph" w:customStyle="1" w:styleId="619">
    <w:name w:val="正文文字缩进项目"/>
    <w:basedOn w:val="31"/>
    <w:autoRedefine/>
    <w:qFormat/>
    <w:uiPriority w:val="0"/>
    <w:pPr>
      <w:tabs>
        <w:tab w:val="left" w:pos="840"/>
      </w:tabs>
      <w:adjustRightInd/>
      <w:spacing w:after="120" w:line="240" w:lineRule="auto"/>
      <w:ind w:hanging="420" w:firstLineChars="0"/>
    </w:pPr>
    <w:rPr>
      <w:rFonts w:ascii="Tahoma" w:hAnsi="Tahoma"/>
      <w:sz w:val="22"/>
      <w:szCs w:val="20"/>
    </w:rPr>
  </w:style>
  <w:style w:type="paragraph" w:customStyle="1" w:styleId="620">
    <w:name w:val="文档正文"/>
    <w:basedOn w:val="1"/>
    <w:autoRedefine/>
    <w:qFormat/>
    <w:uiPriority w:val="0"/>
    <w:pPr>
      <w:spacing w:line="480" w:lineRule="atLeast"/>
      <w:ind w:firstLine="567"/>
      <w:textAlignment w:val="baseline"/>
    </w:pPr>
    <w:rPr>
      <w:kern w:val="0"/>
      <w:sz w:val="24"/>
      <w:szCs w:val="20"/>
    </w:rPr>
  </w:style>
  <w:style w:type="paragraph" w:customStyle="1" w:styleId="621">
    <w:name w:val="正文文字表格居中"/>
    <w:basedOn w:val="1"/>
    <w:next w:val="71"/>
    <w:autoRedefine/>
    <w:qFormat/>
    <w:uiPriority w:val="0"/>
    <w:pPr>
      <w:snapToGrid w:val="0"/>
      <w:spacing w:line="360" w:lineRule="auto"/>
    </w:pPr>
    <w:rPr>
      <w:rFonts w:ascii="宋体"/>
      <w:b/>
      <w:sz w:val="24"/>
      <w:szCs w:val="20"/>
    </w:rPr>
  </w:style>
  <w:style w:type="paragraph" w:customStyle="1" w:styleId="622">
    <w:name w:val="规划正文"/>
    <w:basedOn w:val="1"/>
    <w:autoRedefine/>
    <w:qFormat/>
    <w:uiPriority w:val="0"/>
    <w:pPr>
      <w:adjustRightInd/>
      <w:spacing w:beforeLines="100" w:line="360" w:lineRule="auto"/>
      <w:jc w:val="left"/>
    </w:pPr>
    <w:rPr>
      <w:rFonts w:ascii="Arial" w:hAnsi="Arial" w:eastAsia="仿宋_GB2312"/>
      <w:bCs/>
      <w:sz w:val="28"/>
    </w:rPr>
  </w:style>
  <w:style w:type="paragraph" w:customStyle="1" w:styleId="623">
    <w:name w:val="小节"/>
    <w:basedOn w:val="5"/>
    <w:autoRedefine/>
    <w:qFormat/>
    <w:uiPriority w:val="0"/>
    <w:pPr>
      <w:adjustRightInd/>
      <w:spacing w:before="200" w:after="200" w:line="560" w:lineRule="exact"/>
      <w:jc w:val="left"/>
    </w:pPr>
    <w:rPr>
      <w:rFonts w:ascii="宋体" w:hAnsi="宋体"/>
      <w:bCs w:val="0"/>
      <w:color w:val="000000"/>
      <w:spacing w:val="10"/>
      <w:kern w:val="24"/>
      <w:sz w:val="28"/>
    </w:rPr>
  </w:style>
  <w:style w:type="paragraph" w:customStyle="1" w:styleId="624">
    <w:name w:val="Plain Text1"/>
    <w:basedOn w:val="1"/>
    <w:autoRedefine/>
    <w:qFormat/>
    <w:uiPriority w:val="7"/>
    <w:pPr>
      <w:adjustRightInd/>
    </w:pPr>
    <w:rPr>
      <w:rFonts w:ascii="宋体" w:hAnsi="Courier New"/>
    </w:rPr>
  </w:style>
  <w:style w:type="paragraph" w:customStyle="1" w:styleId="625">
    <w:name w:val="Char3"/>
    <w:basedOn w:val="1"/>
    <w:autoRedefine/>
    <w:qFormat/>
    <w:uiPriority w:val="0"/>
    <w:pPr>
      <w:adjustRightInd/>
    </w:pPr>
    <w:rPr>
      <w:rFonts w:ascii="仿宋_GB2312" w:eastAsia="仿宋_GB2312"/>
      <w:b/>
      <w:sz w:val="32"/>
      <w:szCs w:val="32"/>
    </w:rPr>
  </w:style>
  <w:style w:type="paragraph" w:customStyle="1" w:styleId="626">
    <w:name w:val="xl28"/>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kern w:val="0"/>
      <w:sz w:val="20"/>
      <w:szCs w:val="20"/>
    </w:rPr>
  </w:style>
  <w:style w:type="paragraph" w:customStyle="1" w:styleId="627">
    <w:name w:val="ÕýÎÄÊ×ÐÐËõ½ø"/>
    <w:basedOn w:val="1"/>
    <w:autoRedefine/>
    <w:qFormat/>
    <w:uiPriority w:val="0"/>
    <w:pPr>
      <w:widowControl/>
      <w:overflowPunct w:val="0"/>
      <w:autoSpaceDE w:val="0"/>
      <w:autoSpaceDN w:val="0"/>
      <w:spacing w:line="360" w:lineRule="auto"/>
      <w:ind w:left="1134"/>
      <w:textAlignment w:val="baseline"/>
    </w:pPr>
    <w:rPr>
      <w:rFonts w:eastAsia="Times New Roman"/>
      <w:kern w:val="0"/>
      <w:szCs w:val="20"/>
    </w:rPr>
  </w:style>
  <w:style w:type="paragraph" w:customStyle="1" w:styleId="628">
    <w:name w:val="标题2"/>
    <w:basedOn w:val="4"/>
    <w:next w:val="1"/>
    <w:autoRedefine/>
    <w:qFormat/>
    <w:uiPriority w:val="0"/>
    <w:pPr>
      <w:tabs>
        <w:tab w:val="left" w:pos="578"/>
        <w:tab w:val="left" w:pos="900"/>
        <w:tab w:val="left" w:pos="1440"/>
      </w:tabs>
      <w:ind w:left="1440" w:hanging="360"/>
    </w:pPr>
    <w:rPr>
      <w:rFonts w:ascii="仿宋" w:eastAsia="仿宋" w:cs="宋体"/>
      <w:bCs w:val="0"/>
      <w:szCs w:val="28"/>
    </w:rPr>
  </w:style>
  <w:style w:type="paragraph" w:customStyle="1" w:styleId="629">
    <w:name w:val="List Paragraph1"/>
    <w:basedOn w:val="1"/>
    <w:autoRedefine/>
    <w:qFormat/>
    <w:uiPriority w:val="0"/>
    <w:pPr>
      <w:spacing w:line="360" w:lineRule="auto"/>
      <w:ind w:firstLine="200" w:firstLineChars="200"/>
    </w:pPr>
    <w:rPr>
      <w:rFonts w:eastAsia="楷体_GB2312" w:cs="Lucida Sans"/>
      <w:sz w:val="24"/>
    </w:rPr>
  </w:style>
  <w:style w:type="paragraph" w:customStyle="1" w:styleId="630">
    <w:name w:val="样式 标题 3标题 3 Char第二层条h33Bold Headbh章标题1小标题level_3PIM 3..."/>
    <w:basedOn w:val="5"/>
    <w:autoRedefine/>
    <w:qFormat/>
    <w:uiPriority w:val="0"/>
    <w:pPr>
      <w:snapToGrid w:val="0"/>
      <w:spacing w:before="0" w:after="0" w:line="360" w:lineRule="auto"/>
    </w:pPr>
    <w:rPr>
      <w:rFonts w:ascii="黑体" w:hAnsi="宋体" w:eastAsia="黑体" w:cs="宋体"/>
      <w:b w:val="0"/>
      <w:bCs w:val="0"/>
      <w:color w:val="000000"/>
      <w:kern w:val="0"/>
      <w:sz w:val="28"/>
      <w:szCs w:val="20"/>
    </w:rPr>
  </w:style>
  <w:style w:type="paragraph" w:customStyle="1" w:styleId="631">
    <w:name w:val="xl29"/>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632">
    <w:name w:val="样式 小四 首行缩进:  0.74 厘米 行距: 1.5 倍行距"/>
    <w:basedOn w:val="1"/>
    <w:autoRedefine/>
    <w:qFormat/>
    <w:uiPriority w:val="0"/>
    <w:pPr>
      <w:adjustRightInd/>
      <w:spacing w:before="100" w:beforeAutospacing="1" w:after="100" w:afterAutospacing="1" w:line="300" w:lineRule="auto"/>
      <w:ind w:firstLine="480" w:firstLineChars="200"/>
    </w:pPr>
    <w:rPr>
      <w:rFonts w:ascii="宋体" w:hAnsi="宋体" w:eastAsia="微软雅黑"/>
      <w:sz w:val="24"/>
    </w:rPr>
  </w:style>
  <w:style w:type="paragraph" w:customStyle="1" w:styleId="633">
    <w:name w:val="Char3 Char Char Char"/>
    <w:basedOn w:val="1"/>
    <w:autoRedefine/>
    <w:qFormat/>
    <w:uiPriority w:val="0"/>
    <w:pPr>
      <w:widowControl/>
      <w:adjustRightInd/>
      <w:spacing w:after="160" w:line="240" w:lineRule="exact"/>
      <w:jc w:val="left"/>
    </w:pPr>
    <w:rPr>
      <w:szCs w:val="20"/>
    </w:rPr>
  </w:style>
  <w:style w:type="paragraph" w:customStyle="1" w:styleId="634">
    <w:name w:val="表格标题2"/>
    <w:basedOn w:val="635"/>
    <w:autoRedefine/>
    <w:qFormat/>
    <w:uiPriority w:val="0"/>
    <w:rPr>
      <w:b/>
    </w:rPr>
  </w:style>
  <w:style w:type="paragraph" w:customStyle="1" w:styleId="635">
    <w:name w:val="表格内文"/>
    <w:basedOn w:val="1"/>
    <w:autoRedefine/>
    <w:qFormat/>
    <w:uiPriority w:val="0"/>
    <w:pPr>
      <w:adjustRightInd/>
      <w:spacing w:line="360" w:lineRule="auto"/>
    </w:pPr>
    <w:rPr>
      <w:rFonts w:ascii="宋体" w:hAnsi="宋体" w:cs="宋体"/>
      <w:color w:val="000000"/>
      <w:szCs w:val="20"/>
    </w:rPr>
  </w:style>
  <w:style w:type="paragraph" w:customStyle="1" w:styleId="636">
    <w:name w:val="Char Char Char Char Char Char Char Char Char Char2"/>
    <w:basedOn w:val="1"/>
    <w:autoRedefine/>
    <w:qFormat/>
    <w:uiPriority w:val="0"/>
    <w:rPr>
      <w:rFonts w:ascii="仿宋_GB2312" w:eastAsia="仿宋_GB2312"/>
      <w:b/>
      <w:sz w:val="32"/>
      <w:szCs w:val="32"/>
    </w:rPr>
  </w:style>
  <w:style w:type="paragraph" w:customStyle="1" w:styleId="637">
    <w:name w:val="正文，首行缩进:  2 字符"/>
    <w:autoRedefine/>
    <w:qFormat/>
    <w:uiPriority w:val="0"/>
    <w:pPr>
      <w:spacing w:line="360" w:lineRule="auto"/>
      <w:ind w:firstLine="480" w:firstLineChars="200"/>
    </w:pPr>
    <w:rPr>
      <w:rFonts w:ascii="Arial" w:hAnsi="Arial" w:eastAsia="仿宋_GB2312" w:cs="Times New Roman"/>
      <w:kern w:val="2"/>
      <w:sz w:val="24"/>
      <w:szCs w:val="24"/>
      <w:lang w:val="en-US" w:eastAsia="zh-CN" w:bidi="ar-SA"/>
    </w:rPr>
  </w:style>
  <w:style w:type="paragraph" w:customStyle="1" w:styleId="638">
    <w:name w:val="Char3 Char Char1"/>
    <w:basedOn w:val="1"/>
    <w:autoRedefine/>
    <w:qFormat/>
    <w:uiPriority w:val="6"/>
    <w:pPr>
      <w:widowControl/>
      <w:adjustRightInd/>
      <w:spacing w:after="160" w:line="240" w:lineRule="exact"/>
      <w:jc w:val="left"/>
    </w:pPr>
    <w:rPr>
      <w:rFonts w:ascii="Arial" w:hAnsi="Arial" w:eastAsia="Times New Roman" w:cs="Verdana"/>
      <w:b/>
      <w:kern w:val="0"/>
      <w:sz w:val="24"/>
      <w:szCs w:val="20"/>
      <w:lang w:eastAsia="en-US"/>
    </w:rPr>
  </w:style>
  <w:style w:type="paragraph" w:customStyle="1" w:styleId="639">
    <w:name w:val="Char Char11 Char Char Char Char Char Char Char Char Char11"/>
    <w:basedOn w:val="1"/>
    <w:autoRedefine/>
    <w:qFormat/>
    <w:uiPriority w:val="0"/>
    <w:pPr>
      <w:spacing w:line="360" w:lineRule="auto"/>
    </w:pPr>
    <w:rPr>
      <w:szCs w:val="20"/>
    </w:rPr>
  </w:style>
  <w:style w:type="paragraph" w:customStyle="1" w:styleId="640">
    <w:name w:val="正文 大标"/>
    <w:basedOn w:val="1"/>
    <w:autoRedefine/>
    <w:qFormat/>
    <w:uiPriority w:val="0"/>
    <w:pPr>
      <w:tabs>
        <w:tab w:val="left" w:pos="0"/>
      </w:tabs>
      <w:adjustRightInd/>
      <w:spacing w:line="300" w:lineRule="auto"/>
      <w:ind w:left="1021"/>
    </w:pPr>
    <w:rPr>
      <w:rFonts w:ascii="仿宋" w:hAnsi="Calibri" w:eastAsia="仿宋"/>
      <w:sz w:val="24"/>
      <w:szCs w:val="20"/>
    </w:rPr>
  </w:style>
  <w:style w:type="paragraph" w:customStyle="1" w:styleId="641">
    <w:name w:val="样式  + 首行缩进:  2 字符"/>
    <w:basedOn w:val="1"/>
    <w:autoRedefine/>
    <w:qFormat/>
    <w:uiPriority w:val="0"/>
    <w:pPr>
      <w:adjustRightInd/>
      <w:spacing w:before="60" w:after="60" w:line="360" w:lineRule="auto"/>
      <w:ind w:firstLine="200" w:firstLineChars="200"/>
    </w:pPr>
    <w:rPr>
      <w:sz w:val="28"/>
      <w:szCs w:val="20"/>
    </w:rPr>
  </w:style>
  <w:style w:type="paragraph" w:customStyle="1" w:styleId="642">
    <w:name w:val="MM Topic 1"/>
    <w:basedOn w:val="3"/>
    <w:autoRedefine/>
    <w:qFormat/>
    <w:uiPriority w:val="0"/>
    <w:pPr>
      <w:tabs>
        <w:tab w:val="left" w:pos="840"/>
      </w:tabs>
      <w:adjustRightInd/>
      <w:ind w:left="840" w:hanging="420"/>
    </w:pPr>
  </w:style>
  <w:style w:type="paragraph" w:customStyle="1" w:styleId="643">
    <w:name w:val="样式 标题 2标题2H2Heading 2 HiddenHeading 2 CCBSheading 22nd lev..."/>
    <w:basedOn w:val="4"/>
    <w:autoRedefine/>
    <w:qFormat/>
    <w:uiPriority w:val="0"/>
    <w:pPr>
      <w:widowControl/>
      <w:spacing w:before="260" w:after="260" w:line="416" w:lineRule="auto"/>
      <w:ind w:left="0" w:firstLine="0"/>
    </w:pPr>
    <w:rPr>
      <w:rFonts w:ascii="Arial" w:hAnsi="Arial" w:eastAsia="黑体"/>
      <w:sz w:val="30"/>
      <w:szCs w:val="21"/>
    </w:rPr>
  </w:style>
  <w:style w:type="paragraph" w:customStyle="1" w:styleId="644">
    <w:name w:val="文本正文 Char"/>
    <w:basedOn w:val="1"/>
    <w:autoRedefine/>
    <w:qFormat/>
    <w:uiPriority w:val="0"/>
    <w:pPr>
      <w:spacing w:line="360" w:lineRule="auto"/>
      <w:ind w:firstLine="200" w:firstLineChars="200"/>
    </w:pPr>
    <w:rPr>
      <w:kern w:val="0"/>
      <w:sz w:val="24"/>
      <w:szCs w:val="20"/>
    </w:rPr>
  </w:style>
  <w:style w:type="paragraph" w:customStyle="1" w:styleId="645">
    <w:name w:val="表格"/>
    <w:basedOn w:val="1"/>
    <w:autoRedefine/>
    <w:qFormat/>
    <w:uiPriority w:val="0"/>
    <w:pPr>
      <w:snapToGrid w:val="0"/>
      <w:ind w:firstLine="42" w:firstLineChars="21"/>
    </w:pPr>
    <w:rPr>
      <w:rFonts w:ascii="宋体" w:hAnsi="宋体"/>
      <w:kern w:val="0"/>
      <w:sz w:val="20"/>
      <w:szCs w:val="20"/>
    </w:rPr>
  </w:style>
  <w:style w:type="paragraph" w:customStyle="1" w:styleId="646">
    <w:name w:val="标书标题4"/>
    <w:basedOn w:val="7"/>
    <w:autoRedefine/>
    <w:qFormat/>
    <w:uiPriority w:val="0"/>
    <w:pPr>
      <w:keepLines w:val="0"/>
      <w:snapToGrid w:val="0"/>
      <w:spacing w:before="0" w:after="0" w:line="300" w:lineRule="auto"/>
    </w:pPr>
    <w:rPr>
      <w:rFonts w:ascii="Arial Narrow" w:hAnsi="Arial Narrow" w:eastAsia="仿宋_GB2312"/>
      <w:bCs w:val="0"/>
      <w:color w:val="000000"/>
      <w:kern w:val="0"/>
      <w:szCs w:val="32"/>
      <w:lang w:val="en-US"/>
    </w:rPr>
  </w:style>
  <w:style w:type="paragraph" w:customStyle="1" w:styleId="647">
    <w:name w:val="插图题注"/>
    <w:next w:val="1"/>
    <w:autoRedefine/>
    <w:qFormat/>
    <w:uiPriority w:val="0"/>
    <w:pPr>
      <w:tabs>
        <w:tab w:val="left" w:pos="3780"/>
      </w:tabs>
      <w:spacing w:afterLines="100"/>
      <w:ind w:left="1089" w:hanging="369"/>
      <w:jc w:val="center"/>
    </w:pPr>
    <w:rPr>
      <w:rFonts w:ascii="Arial" w:hAnsi="Arial" w:eastAsia="宋体" w:cs="Times New Roman"/>
      <w:sz w:val="18"/>
      <w:szCs w:val="18"/>
      <w:lang w:val="en-US" w:eastAsia="zh-CN" w:bidi="ar-SA"/>
    </w:rPr>
  </w:style>
  <w:style w:type="paragraph" w:customStyle="1" w:styleId="648">
    <w:name w:val="xl91"/>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color w:val="000000"/>
      <w:kern w:val="0"/>
      <w:sz w:val="20"/>
      <w:szCs w:val="20"/>
    </w:rPr>
  </w:style>
  <w:style w:type="paragraph" w:customStyle="1" w:styleId="649">
    <w:name w:val="表格项目符号 2"/>
    <w:basedOn w:val="36"/>
    <w:autoRedefine/>
    <w:qFormat/>
    <w:uiPriority w:val="0"/>
    <w:pPr>
      <w:tabs>
        <w:tab w:val="left" w:pos="624"/>
      </w:tabs>
      <w:autoSpaceDE/>
      <w:autoSpaceDN/>
      <w:adjustRightInd/>
      <w:snapToGrid w:val="0"/>
      <w:spacing w:line="300" w:lineRule="auto"/>
      <w:ind w:left="623" w:hanging="374"/>
      <w:jc w:val="both"/>
    </w:pPr>
    <w:rPr>
      <w:rFonts w:ascii="Times New Roman" w:hAnsi="Times New Roman"/>
      <w:color w:val="auto"/>
      <w:kern w:val="2"/>
      <w:sz w:val="21"/>
      <w:szCs w:val="24"/>
    </w:rPr>
  </w:style>
  <w:style w:type="paragraph" w:customStyle="1" w:styleId="650">
    <w:name w:val="EB_表格"/>
    <w:basedOn w:val="1"/>
    <w:autoRedefine/>
    <w:qFormat/>
    <w:uiPriority w:val="0"/>
    <w:pPr>
      <w:adjustRightInd/>
      <w:spacing w:line="300" w:lineRule="auto"/>
      <w:jc w:val="center"/>
    </w:pPr>
  </w:style>
  <w:style w:type="paragraph" w:customStyle="1" w:styleId="651">
    <w:name w:val="_Style 6"/>
    <w:basedOn w:val="1"/>
    <w:autoRedefine/>
    <w:qFormat/>
    <w:uiPriority w:val="34"/>
    <w:pPr>
      <w:adjustRightInd/>
      <w:ind w:firstLine="420" w:firstLineChars="200"/>
    </w:pPr>
    <w:rPr>
      <w:rFonts w:eastAsia="仿宋_GB2312"/>
      <w:sz w:val="28"/>
    </w:rPr>
  </w:style>
  <w:style w:type="paragraph" w:customStyle="1" w:styleId="652">
    <w:name w:val="zTableCellBody"/>
    <w:basedOn w:val="1"/>
    <w:autoRedefine/>
    <w:qFormat/>
    <w:uiPriority w:val="0"/>
    <w:pPr>
      <w:keepNext/>
      <w:keepLines/>
      <w:widowControl/>
      <w:adjustRightInd/>
      <w:spacing w:line="320" w:lineRule="exact"/>
      <w:ind w:firstLine="200" w:firstLineChars="200"/>
      <w:jc w:val="left"/>
    </w:pPr>
    <w:rPr>
      <w:rFonts w:ascii="Arial" w:hAnsi="Arial"/>
      <w:kern w:val="0"/>
      <w:sz w:val="24"/>
      <w:lang w:eastAsia="en-US"/>
    </w:rPr>
  </w:style>
  <w:style w:type="paragraph" w:customStyle="1" w:styleId="653">
    <w:name w:val="button"/>
    <w:basedOn w:val="1"/>
    <w:autoRedefine/>
    <w:qFormat/>
    <w:uiPriority w:val="0"/>
    <w:pPr>
      <w:widowControl/>
      <w:spacing w:before="100" w:beforeAutospacing="1" w:after="100" w:afterAutospacing="1"/>
      <w:jc w:val="left"/>
    </w:pPr>
    <w:rPr>
      <w:rFonts w:ascii="Arial Unicode MS" w:hAnsi="Arial Unicode MS"/>
      <w:color w:val="000000"/>
      <w:kern w:val="0"/>
      <w:sz w:val="24"/>
    </w:rPr>
  </w:style>
  <w:style w:type="paragraph" w:customStyle="1" w:styleId="654">
    <w:name w:val="!大节"/>
    <w:basedOn w:val="4"/>
    <w:autoRedefine/>
    <w:qFormat/>
    <w:uiPriority w:val="0"/>
    <w:pPr>
      <w:spacing w:before="260" w:after="260" w:line="415" w:lineRule="auto"/>
      <w:ind w:left="420" w:hanging="420"/>
    </w:pPr>
    <w:rPr>
      <w:rFonts w:ascii="Arial" w:hAnsi="Arial" w:eastAsia="微软雅黑"/>
      <w:lang w:val="en-US"/>
    </w:rPr>
  </w:style>
  <w:style w:type="paragraph" w:customStyle="1" w:styleId="655">
    <w:name w:val="正文文本 22"/>
    <w:basedOn w:val="1"/>
    <w:autoRedefine/>
    <w:qFormat/>
    <w:uiPriority w:val="0"/>
    <w:pPr>
      <w:widowControl/>
      <w:overflowPunct w:val="0"/>
      <w:autoSpaceDE w:val="0"/>
      <w:autoSpaceDN w:val="0"/>
      <w:ind w:left="720" w:hanging="720"/>
      <w:textAlignment w:val="baseline"/>
    </w:pPr>
    <w:rPr>
      <w:kern w:val="0"/>
      <w:sz w:val="24"/>
      <w:szCs w:val="20"/>
      <w:lang w:val="en-GB"/>
    </w:rPr>
  </w:style>
  <w:style w:type="paragraph" w:customStyle="1" w:styleId="656">
    <w:name w:val="正文表标题"/>
    <w:next w:val="657"/>
    <w:autoRedefine/>
    <w:qFormat/>
    <w:uiPriority w:val="0"/>
    <w:pPr>
      <w:tabs>
        <w:tab w:val="left" w:pos="840"/>
      </w:tabs>
      <w:ind w:left="840" w:hanging="420"/>
      <w:jc w:val="center"/>
    </w:pPr>
    <w:rPr>
      <w:rFonts w:ascii="黑体" w:hAnsi="Times New Roman" w:eastAsia="黑体" w:cs="Times New Roman"/>
      <w:sz w:val="21"/>
      <w:lang w:val="en-US" w:eastAsia="zh-CN" w:bidi="ar-SA"/>
    </w:rPr>
  </w:style>
  <w:style w:type="paragraph" w:customStyle="1" w:styleId="657">
    <w:name w:val="段"/>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58">
    <w:name w:val="Char Char Char Char Char Char"/>
    <w:basedOn w:val="1"/>
    <w:autoRedefine/>
    <w:qFormat/>
    <w:uiPriority w:val="0"/>
    <w:pPr>
      <w:widowControl/>
      <w:spacing w:beforeLines="50" w:afterLines="50" w:line="240" w:lineRule="exact"/>
      <w:jc w:val="left"/>
    </w:pPr>
    <w:rPr>
      <w:rFonts w:ascii="Verdana" w:hAnsi="Verdana"/>
      <w:kern w:val="0"/>
      <w:sz w:val="20"/>
      <w:szCs w:val="20"/>
      <w:lang w:eastAsia="en-US"/>
    </w:rPr>
  </w:style>
  <w:style w:type="paragraph" w:customStyle="1" w:styleId="659">
    <w:name w:val="trademark"/>
    <w:autoRedefine/>
    <w:qFormat/>
    <w:uiPriority w:val="0"/>
    <w:pPr>
      <w:spacing w:after="60"/>
    </w:pPr>
    <w:rPr>
      <w:rFonts w:ascii="Futura Bk" w:hAnsi="Futura Bk" w:eastAsia="宋体" w:cs="Times New Roman"/>
      <w:sz w:val="15"/>
      <w:lang w:val="en-US" w:eastAsia="en-US" w:bidi="ar-SA"/>
    </w:rPr>
  </w:style>
  <w:style w:type="paragraph" w:customStyle="1" w:styleId="660">
    <w:name w:val="Bullet with text 4"/>
    <w:basedOn w:val="1"/>
    <w:autoRedefine/>
    <w:qFormat/>
    <w:uiPriority w:val="0"/>
    <w:pPr>
      <w:widowControl/>
      <w:tabs>
        <w:tab w:val="left" w:pos="1440"/>
      </w:tabs>
      <w:adjustRightInd/>
      <w:ind w:left="1440" w:hanging="360" w:firstLineChars="200"/>
      <w:jc w:val="left"/>
    </w:pPr>
    <w:rPr>
      <w:rFonts w:ascii="Arial" w:hAnsi="Arial"/>
      <w:kern w:val="0"/>
      <w:sz w:val="20"/>
      <w:szCs w:val="20"/>
      <w:lang w:val="en-GB" w:eastAsia="en-US"/>
    </w:rPr>
  </w:style>
  <w:style w:type="paragraph" w:customStyle="1" w:styleId="661">
    <w:name w:val="Char Char1 Char Char Char Char Char Char1"/>
    <w:basedOn w:val="1"/>
    <w:autoRedefine/>
    <w:qFormat/>
    <w:uiPriority w:val="0"/>
    <w:rPr>
      <w:rFonts w:ascii="仿宋_GB2312" w:eastAsia="仿宋_GB2312"/>
      <w:b/>
      <w:sz w:val="32"/>
      <w:szCs w:val="20"/>
    </w:rPr>
  </w:style>
  <w:style w:type="paragraph" w:customStyle="1" w:styleId="662">
    <w:name w:val="大汉方案正文"/>
    <w:basedOn w:val="1"/>
    <w:autoRedefine/>
    <w:qFormat/>
    <w:uiPriority w:val="0"/>
    <w:pPr>
      <w:adjustRightInd/>
      <w:spacing w:line="360" w:lineRule="auto"/>
      <w:ind w:firstLine="200" w:firstLineChars="200"/>
    </w:pPr>
    <w:rPr>
      <w:rFonts w:ascii="Arial" w:hAnsi="Arial"/>
      <w:sz w:val="24"/>
      <w:szCs w:val="20"/>
    </w:rPr>
  </w:style>
  <w:style w:type="paragraph" w:customStyle="1" w:styleId="663">
    <w:name w:val="Char1 Char Char Char1"/>
    <w:basedOn w:val="1"/>
    <w:autoRedefine/>
    <w:qFormat/>
    <w:uiPriority w:val="0"/>
    <w:pPr>
      <w:adjustRightInd/>
      <w:ind w:firstLine="200" w:firstLineChars="200"/>
    </w:pPr>
    <w:rPr>
      <w:rFonts w:ascii="Tahoma" w:hAnsi="Tahoma"/>
      <w:sz w:val="24"/>
      <w:szCs w:val="20"/>
    </w:rPr>
  </w:style>
  <w:style w:type="paragraph" w:customStyle="1" w:styleId="664">
    <w:name w:val="a1"/>
    <w:basedOn w:val="1"/>
    <w:autoRedefine/>
    <w:qFormat/>
    <w:uiPriority w:val="0"/>
    <w:pPr>
      <w:widowControl/>
      <w:spacing w:line="300" w:lineRule="atLeast"/>
      <w:jc w:val="left"/>
    </w:pPr>
    <w:rPr>
      <w:rFonts w:ascii="宋体" w:hAnsi="宋体"/>
      <w:kern w:val="0"/>
      <w:sz w:val="18"/>
      <w:szCs w:val="20"/>
    </w:rPr>
  </w:style>
  <w:style w:type="paragraph" w:customStyle="1" w:styleId="665">
    <w:name w:val="样式7"/>
    <w:basedOn w:val="666"/>
    <w:next w:val="1"/>
    <w:autoRedefine/>
    <w:qFormat/>
    <w:uiPriority w:val="0"/>
    <w:pPr>
      <w:spacing w:afterLines="50"/>
      <w:jc w:val="left"/>
      <w:outlineLvl w:val="3"/>
    </w:pPr>
    <w:rPr>
      <w:sz w:val="24"/>
      <w:szCs w:val="24"/>
    </w:rPr>
  </w:style>
  <w:style w:type="paragraph" w:customStyle="1" w:styleId="666">
    <w:name w:val="样式4"/>
    <w:basedOn w:val="1"/>
    <w:autoRedefine/>
    <w:qFormat/>
    <w:uiPriority w:val="0"/>
    <w:pPr>
      <w:spacing w:line="360" w:lineRule="auto"/>
      <w:ind w:firstLine="420"/>
      <w:jc w:val="center"/>
      <w:outlineLvl w:val="2"/>
    </w:pPr>
    <w:rPr>
      <w:rFonts w:ascii="仿宋_GB2312" w:hAnsi="仿宋" w:eastAsia="仿宋_GB2312"/>
      <w:b/>
      <w:sz w:val="32"/>
      <w:szCs w:val="32"/>
    </w:rPr>
  </w:style>
  <w:style w:type="paragraph" w:customStyle="1" w:styleId="667">
    <w:name w:val="Char Char11 Char Char Char Char Char Char Char Char Char Char Char Char Char Char Char Char Char"/>
    <w:basedOn w:val="1"/>
    <w:autoRedefine/>
    <w:qFormat/>
    <w:uiPriority w:val="0"/>
    <w:pPr>
      <w:adjustRightInd/>
      <w:spacing w:line="360" w:lineRule="auto"/>
    </w:pPr>
    <w:rPr>
      <w:rFonts w:ascii="Arial" w:hAnsi="Arial" w:eastAsia="黑体" w:cs="Arial"/>
      <w:snapToGrid w:val="0"/>
      <w:kern w:val="0"/>
      <w:szCs w:val="21"/>
    </w:rPr>
  </w:style>
  <w:style w:type="paragraph" w:customStyle="1" w:styleId="668">
    <w:name w:val="main"/>
    <w:basedOn w:val="1"/>
    <w:autoRedefine/>
    <w:qFormat/>
    <w:uiPriority w:val="0"/>
    <w:pPr>
      <w:widowControl/>
      <w:adjustRightInd/>
      <w:spacing w:before="100" w:beforeAutospacing="1" w:after="100" w:afterAutospacing="1" w:line="320" w:lineRule="atLeast"/>
      <w:ind w:firstLine="200" w:firstLineChars="200"/>
      <w:jc w:val="left"/>
    </w:pPr>
    <w:rPr>
      <w:rFonts w:ascii="微软雅黑" w:hAnsi="微软雅黑" w:eastAsia="Arial Unicode MS" w:cs="Arial Unicode MS"/>
      <w:kern w:val="0"/>
      <w:sz w:val="23"/>
      <w:szCs w:val="23"/>
    </w:rPr>
  </w:style>
  <w:style w:type="paragraph" w:customStyle="1" w:styleId="669">
    <w:name w:val="样式 样式2 + 左侧:  1 字符 右侧:  1 字符"/>
    <w:basedOn w:val="477"/>
    <w:autoRedefine/>
    <w:qFormat/>
    <w:uiPriority w:val="0"/>
    <w:pPr>
      <w:tabs>
        <w:tab w:val="clear" w:pos="2790"/>
        <w:tab w:val="clear" w:pos="4230"/>
      </w:tabs>
      <w:autoSpaceDE/>
      <w:autoSpaceDN/>
      <w:adjustRightInd/>
      <w:snapToGrid/>
      <w:ind w:firstLine="200" w:firstLineChars="200"/>
      <w:jc w:val="left"/>
      <w:outlineLvl w:val="9"/>
    </w:pPr>
    <w:rPr>
      <w:rFonts w:ascii="Times New Roman" w:hAnsi="Times New Roman" w:eastAsia="宋体" w:cs="宋体"/>
      <w:b w:val="0"/>
      <w:bCs w:val="0"/>
      <w:kern w:val="2"/>
      <w:sz w:val="24"/>
      <w:szCs w:val="20"/>
      <w:lang w:val="en-US"/>
    </w:rPr>
  </w:style>
  <w:style w:type="paragraph" w:customStyle="1" w:styleId="670">
    <w:name w:val="Char2 Char Char2"/>
    <w:basedOn w:val="1"/>
    <w:autoRedefine/>
    <w:qFormat/>
    <w:uiPriority w:val="0"/>
    <w:pPr>
      <w:adjustRightInd/>
    </w:pPr>
    <w:rPr>
      <w:rFonts w:ascii="Tahoma" w:hAnsi="Tahoma"/>
      <w:sz w:val="24"/>
      <w:szCs w:val="20"/>
    </w:rPr>
  </w:style>
  <w:style w:type="paragraph" w:customStyle="1" w:styleId="671">
    <w:name w:val="Char1 Char Char Char"/>
    <w:basedOn w:val="1"/>
    <w:autoRedefine/>
    <w:qFormat/>
    <w:uiPriority w:val="0"/>
    <w:pPr>
      <w:widowControl/>
      <w:snapToGrid w:val="0"/>
      <w:spacing w:before="120" w:after="160" w:line="360" w:lineRule="auto"/>
      <w:ind w:right="-360"/>
      <w:jc w:val="left"/>
    </w:pPr>
    <w:rPr>
      <w:rFonts w:ascii="Arial" w:hAnsi="Arial"/>
      <w:kern w:val="0"/>
      <w:sz w:val="24"/>
      <w:lang w:eastAsia="en-US"/>
    </w:rPr>
  </w:style>
  <w:style w:type="paragraph" w:customStyle="1" w:styleId="672">
    <w:name w:val="三级条标题"/>
    <w:basedOn w:val="673"/>
    <w:next w:val="657"/>
    <w:autoRedefine/>
    <w:qFormat/>
    <w:uiPriority w:val="0"/>
    <w:pPr>
      <w:tabs>
        <w:tab w:val="left" w:pos="1260"/>
        <w:tab w:val="left" w:pos="1680"/>
        <w:tab w:val="left" w:pos="2100"/>
        <w:tab w:val="left" w:pos="2520"/>
      </w:tabs>
      <w:ind w:left="2520"/>
      <w:outlineLvl w:val="4"/>
    </w:pPr>
  </w:style>
  <w:style w:type="paragraph" w:customStyle="1" w:styleId="673">
    <w:name w:val="二级条标题"/>
    <w:basedOn w:val="674"/>
    <w:next w:val="657"/>
    <w:autoRedefine/>
    <w:qFormat/>
    <w:uiPriority w:val="0"/>
    <w:pPr>
      <w:tabs>
        <w:tab w:val="left" w:pos="1260"/>
        <w:tab w:val="left" w:pos="1680"/>
        <w:tab w:val="left" w:pos="2100"/>
      </w:tabs>
      <w:ind w:left="0"/>
      <w:outlineLvl w:val="3"/>
    </w:pPr>
  </w:style>
  <w:style w:type="paragraph" w:customStyle="1" w:styleId="674">
    <w:name w:val="一级条标题"/>
    <w:basedOn w:val="675"/>
    <w:next w:val="657"/>
    <w:autoRedefine/>
    <w:qFormat/>
    <w:uiPriority w:val="0"/>
    <w:pPr>
      <w:tabs>
        <w:tab w:val="left" w:pos="1260"/>
        <w:tab w:val="left" w:pos="1680"/>
      </w:tabs>
      <w:spacing w:beforeLines="0" w:afterLines="0"/>
      <w:ind w:left="1680"/>
      <w:outlineLvl w:val="2"/>
    </w:pPr>
  </w:style>
  <w:style w:type="paragraph" w:customStyle="1" w:styleId="675">
    <w:name w:val="章标题"/>
    <w:next w:val="657"/>
    <w:autoRedefine/>
    <w:qFormat/>
    <w:uiPriority w:val="0"/>
    <w:pPr>
      <w:tabs>
        <w:tab w:val="left" w:pos="1260"/>
      </w:tabs>
      <w:spacing w:beforeLines="50" w:afterLines="50"/>
      <w:ind w:left="1260" w:hanging="420"/>
      <w:jc w:val="both"/>
      <w:outlineLvl w:val="1"/>
    </w:pPr>
    <w:rPr>
      <w:rFonts w:ascii="黑体" w:hAnsi="Times New Roman" w:eastAsia="黑体" w:cs="Times New Roman"/>
      <w:sz w:val="21"/>
      <w:lang w:val="en-US" w:eastAsia="zh-CN" w:bidi="ar-SA"/>
    </w:rPr>
  </w:style>
  <w:style w:type="paragraph" w:customStyle="1" w:styleId="676">
    <w:name w:val="数字标题2"/>
    <w:basedOn w:val="4"/>
    <w:next w:val="1"/>
    <w:autoRedefine/>
    <w:qFormat/>
    <w:uiPriority w:val="0"/>
    <w:pPr>
      <w:tabs>
        <w:tab w:val="left" w:pos="480"/>
      </w:tabs>
      <w:ind w:left="480" w:hanging="480"/>
    </w:pPr>
    <w:rPr>
      <w:rFonts w:ascii="Times New Roman" w:eastAsia="宋体"/>
      <w:i/>
      <w:sz w:val="36"/>
      <w:szCs w:val="36"/>
      <w:lang w:val="en-US"/>
    </w:rPr>
  </w:style>
  <w:style w:type="paragraph" w:customStyle="1" w:styleId="677">
    <w:name w:val="tabletext"/>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678">
    <w:name w:val="样式 标题 1Level 1 HeadPIM 1Section Headh1l11Heading 0Datash..."/>
    <w:basedOn w:val="3"/>
    <w:autoRedefine/>
    <w:qFormat/>
    <w:uiPriority w:val="0"/>
    <w:pPr>
      <w:keepNext w:val="0"/>
      <w:keepLines w:val="0"/>
      <w:widowControl/>
      <w:overflowPunct w:val="0"/>
      <w:autoSpaceDE w:val="0"/>
      <w:autoSpaceDN w:val="0"/>
      <w:spacing w:before="0" w:after="100" w:line="360" w:lineRule="auto"/>
      <w:ind w:left="0" w:firstLine="0"/>
      <w:jc w:val="left"/>
      <w:textAlignment w:val="baseline"/>
    </w:pPr>
    <w:rPr>
      <w:rFonts w:ascii="宋体" w:hAnsi="宋体"/>
      <w:kern w:val="2"/>
      <w:sz w:val="24"/>
      <w:szCs w:val="20"/>
    </w:rPr>
  </w:style>
  <w:style w:type="paragraph" w:customStyle="1" w:styleId="679">
    <w:name w:val="xl26"/>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680">
    <w:name w:val="样式 标题 1章节第一层h1H"/>
    <w:basedOn w:val="3"/>
    <w:autoRedefine/>
    <w:qFormat/>
    <w:uiPriority w:val="0"/>
    <w:pPr>
      <w:keepNext w:val="0"/>
      <w:keepLines w:val="0"/>
      <w:autoSpaceDE w:val="0"/>
      <w:autoSpaceDN w:val="0"/>
      <w:spacing w:before="0" w:after="0" w:line="240" w:lineRule="auto"/>
      <w:ind w:left="0" w:firstLine="0"/>
      <w:jc w:val="left"/>
      <w:outlineLvl w:val="9"/>
    </w:pPr>
    <w:rPr>
      <w:kern w:val="0"/>
      <w:sz w:val="52"/>
      <w:szCs w:val="52"/>
      <w:lang w:val="zh-CN"/>
    </w:rPr>
  </w:style>
  <w:style w:type="paragraph" w:customStyle="1" w:styleId="681">
    <w:name w:val="xl30"/>
    <w:basedOn w:val="1"/>
    <w:autoRedefine/>
    <w:qFormat/>
    <w:uiPriority w:val="0"/>
    <w:pPr>
      <w:widowControl/>
      <w:pBdr>
        <w:left w:val="single" w:color="auto" w:sz="4" w:space="0"/>
        <w:right w:val="single" w:color="auto" w:sz="4" w:space="0"/>
      </w:pBdr>
      <w:adjustRightInd/>
      <w:spacing w:before="100" w:beforeAutospacing="1" w:after="100" w:afterAutospacing="1"/>
      <w:jc w:val="center"/>
    </w:pPr>
    <w:rPr>
      <w:rFonts w:eastAsia="Arial Unicode MS"/>
      <w:kern w:val="0"/>
      <w:szCs w:val="21"/>
    </w:rPr>
  </w:style>
  <w:style w:type="paragraph" w:customStyle="1" w:styleId="682">
    <w:name w:val="正文 项目2"/>
    <w:basedOn w:val="683"/>
    <w:autoRedefine/>
    <w:qFormat/>
    <w:uiPriority w:val="0"/>
    <w:pPr>
      <w:tabs>
        <w:tab w:val="left" w:pos="840"/>
      </w:tabs>
      <w:spacing w:after="0"/>
      <w:ind w:left="900"/>
    </w:pPr>
  </w:style>
  <w:style w:type="paragraph" w:customStyle="1" w:styleId="683">
    <w:name w:val="正文 项目"/>
    <w:basedOn w:val="1"/>
    <w:autoRedefine/>
    <w:qFormat/>
    <w:uiPriority w:val="0"/>
    <w:pPr>
      <w:widowControl/>
      <w:tabs>
        <w:tab w:val="left" w:pos="840"/>
      </w:tabs>
      <w:spacing w:after="120" w:line="440" w:lineRule="exact"/>
      <w:ind w:left="840" w:hanging="420"/>
      <w:jc w:val="left"/>
    </w:pPr>
    <w:rPr>
      <w:rFonts w:ascii="仿宋_GB2312" w:hAnsi="仿宋_GB2312" w:eastAsia="仿宋_GB2312"/>
      <w:sz w:val="24"/>
      <w:szCs w:val="20"/>
    </w:rPr>
  </w:style>
  <w:style w:type="paragraph" w:customStyle="1" w:styleId="684">
    <w:name w:val="Body Text 2*"/>
    <w:basedOn w:val="1"/>
    <w:autoRedefine/>
    <w:qFormat/>
    <w:uiPriority w:val="6"/>
    <w:pPr>
      <w:widowControl/>
      <w:adjustRightInd/>
      <w:ind w:left="720" w:hanging="720"/>
    </w:pPr>
    <w:rPr>
      <w:color w:val="000000"/>
      <w:kern w:val="0"/>
      <w:sz w:val="24"/>
      <w:szCs w:val="20"/>
      <w:lang w:val="en-GB"/>
    </w:rPr>
  </w:style>
  <w:style w:type="paragraph" w:customStyle="1" w:styleId="685">
    <w:name w:val="表1"/>
    <w:basedOn w:val="1"/>
    <w:autoRedefine/>
    <w:qFormat/>
    <w:uiPriority w:val="0"/>
    <w:pPr>
      <w:tabs>
        <w:tab w:val="left" w:pos="703"/>
      </w:tabs>
      <w:adjustRightInd/>
      <w:spacing w:line="360" w:lineRule="auto"/>
      <w:ind w:left="703"/>
      <w:jc w:val="center"/>
    </w:pPr>
  </w:style>
  <w:style w:type="paragraph" w:customStyle="1" w:styleId="686">
    <w:name w:val="_Style 27"/>
    <w:autoRedefine/>
    <w:qFormat/>
    <w:uiPriority w:val="1"/>
    <w:pPr>
      <w:widowControl w:val="0"/>
      <w:tabs>
        <w:tab w:val="left" w:pos="480"/>
      </w:tabs>
      <w:autoSpaceDE w:val="0"/>
      <w:autoSpaceDN w:val="0"/>
      <w:adjustRightInd w:val="0"/>
      <w:snapToGrid w:val="0"/>
    </w:pPr>
    <w:rPr>
      <w:rFonts w:ascii="Calibri" w:hAnsi="Calibri" w:eastAsia="宋体" w:cs="Times New Roman"/>
      <w:szCs w:val="24"/>
      <w:lang w:val="en-US" w:eastAsia="zh-CN" w:bidi="ar-SA"/>
    </w:rPr>
  </w:style>
  <w:style w:type="paragraph" w:customStyle="1" w:styleId="687">
    <w:name w:val="样式 样式 标题 4 + 非加粗 + (中文) 黑体 段前: 0 磅 段后: 0 磅 行距: 固定值 22 磅"/>
    <w:basedOn w:val="1"/>
    <w:autoRedefine/>
    <w:qFormat/>
    <w:uiPriority w:val="0"/>
    <w:pPr>
      <w:keepNext/>
      <w:keepLines/>
      <w:adjustRightInd/>
      <w:spacing w:beforeLines="50" w:afterLines="50" w:line="500" w:lineRule="exact"/>
      <w:outlineLvl w:val="3"/>
    </w:pPr>
    <w:rPr>
      <w:rFonts w:ascii="Arial" w:hAnsi="Arial"/>
      <w:b/>
      <w:bCs/>
      <w:sz w:val="24"/>
    </w:rPr>
  </w:style>
  <w:style w:type="paragraph" w:customStyle="1" w:styleId="688">
    <w:name w:val="章正文"/>
    <w:basedOn w:val="1"/>
    <w:autoRedefine/>
    <w:qFormat/>
    <w:uiPriority w:val="0"/>
    <w:pPr>
      <w:adjustRightInd/>
      <w:spacing w:beforeLines="50" w:after="120" w:line="300" w:lineRule="auto"/>
      <w:ind w:firstLine="480" w:firstLineChars="200"/>
    </w:pPr>
    <w:rPr>
      <w:rFonts w:ascii="Helvetica" w:hAnsi="Helvetica"/>
      <w:kern w:val="0"/>
      <w:sz w:val="24"/>
    </w:rPr>
  </w:style>
  <w:style w:type="paragraph" w:customStyle="1" w:styleId="689">
    <w:name w:val="2级标题"/>
    <w:basedOn w:val="690"/>
    <w:autoRedefine/>
    <w:qFormat/>
    <w:uiPriority w:val="0"/>
    <w:pPr>
      <w:jc w:val="left"/>
      <w:outlineLvl w:val="1"/>
    </w:pPr>
    <w:rPr>
      <w:rFonts w:ascii="Times New Roman" w:hAnsi="Times New Roman" w:eastAsia="仿宋"/>
      <w:sz w:val="30"/>
    </w:rPr>
  </w:style>
  <w:style w:type="paragraph" w:customStyle="1" w:styleId="690">
    <w:name w:val="1级标题"/>
    <w:basedOn w:val="1"/>
    <w:autoRedefine/>
    <w:qFormat/>
    <w:uiPriority w:val="0"/>
    <w:pPr>
      <w:adjustRightInd/>
      <w:spacing w:beforeLines="10" w:afterLines="10" w:line="360" w:lineRule="auto"/>
      <w:jc w:val="center"/>
      <w:outlineLvl w:val="0"/>
    </w:pPr>
    <w:rPr>
      <w:rFonts w:ascii="Calibri" w:hAnsi="Calibri"/>
      <w:b/>
      <w:sz w:val="44"/>
      <w:szCs w:val="22"/>
    </w:rPr>
  </w:style>
  <w:style w:type="paragraph" w:customStyle="1" w:styleId="691">
    <w:name w:val="正文 New New New New"/>
    <w:autoRedefine/>
    <w:qFormat/>
    <w:uiPriority w:val="0"/>
    <w:pPr>
      <w:widowControl w:val="0"/>
      <w:jc w:val="both"/>
    </w:pPr>
    <w:rPr>
      <w:rFonts w:ascii="Times New Roman" w:hAnsi="Times New Roman" w:eastAsia="宋体" w:cs="Times New Roman"/>
      <w:color w:val="000000"/>
      <w:szCs w:val="24"/>
      <w:lang w:val="en-US" w:eastAsia="zh-CN" w:bidi="ar-SA"/>
    </w:rPr>
  </w:style>
  <w:style w:type="paragraph" w:customStyle="1" w:styleId="692">
    <w:name w:val="样式 微软雅黑 行距: 1.5 倍行距"/>
    <w:basedOn w:val="1"/>
    <w:autoRedefine/>
    <w:qFormat/>
    <w:uiPriority w:val="0"/>
    <w:pPr>
      <w:adjustRightInd/>
      <w:spacing w:line="360" w:lineRule="auto"/>
      <w:ind w:firstLine="480" w:firstLineChars="200"/>
    </w:pPr>
    <w:rPr>
      <w:rFonts w:ascii="微软雅黑" w:hAnsi="宋体" w:eastAsia="微软雅黑" w:cs="宋体"/>
      <w:sz w:val="24"/>
      <w:szCs w:val="20"/>
    </w:rPr>
  </w:style>
  <w:style w:type="paragraph" w:customStyle="1" w:styleId="693">
    <w:name w:val="xl37"/>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694">
    <w:name w:val="xl33"/>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textAlignment w:val="top"/>
    </w:pPr>
    <w:rPr>
      <w:rFonts w:ascii="宋体" w:hAnsi="宋体"/>
      <w:kern w:val="0"/>
      <w:sz w:val="20"/>
      <w:szCs w:val="20"/>
    </w:rPr>
  </w:style>
  <w:style w:type="paragraph" w:customStyle="1" w:styleId="695">
    <w:name w:val="bullet"/>
    <w:basedOn w:val="1"/>
    <w:autoRedefine/>
    <w:qFormat/>
    <w:uiPriority w:val="0"/>
    <w:pPr>
      <w:tabs>
        <w:tab w:val="left" w:pos="840"/>
      </w:tabs>
      <w:adjustRightInd/>
      <w:ind w:left="840" w:hanging="420"/>
    </w:pPr>
  </w:style>
  <w:style w:type="paragraph" w:customStyle="1" w:styleId="696">
    <w:name w:val="f9a style88 f9a"/>
    <w:basedOn w:val="1"/>
    <w:autoRedefine/>
    <w:qFormat/>
    <w:uiPriority w:val="0"/>
    <w:pPr>
      <w:widowControl/>
      <w:spacing w:before="100" w:beforeAutospacing="1" w:after="100" w:afterAutospacing="1" w:line="276" w:lineRule="auto"/>
      <w:jc w:val="left"/>
    </w:pPr>
    <w:rPr>
      <w:rFonts w:ascii="宋体" w:hAnsi="宋体"/>
      <w:kern w:val="0"/>
      <w:sz w:val="24"/>
      <w:szCs w:val="20"/>
    </w:rPr>
  </w:style>
  <w:style w:type="paragraph" w:customStyle="1" w:styleId="697">
    <w:name w:val="普通正文"/>
    <w:basedOn w:val="1"/>
    <w:autoRedefine/>
    <w:qFormat/>
    <w:uiPriority w:val="0"/>
    <w:pPr>
      <w:tabs>
        <w:tab w:val="left" w:pos="2280"/>
      </w:tabs>
      <w:spacing w:before="120" w:after="120" w:line="360" w:lineRule="auto"/>
      <w:ind w:firstLine="480" w:firstLineChars="200"/>
      <w:jc w:val="left"/>
      <w:textAlignment w:val="baseline"/>
    </w:pPr>
    <w:rPr>
      <w:rFonts w:ascii="Arial" w:hAnsi="Arial"/>
      <w:kern w:val="0"/>
      <w:sz w:val="24"/>
    </w:rPr>
  </w:style>
  <w:style w:type="paragraph" w:customStyle="1" w:styleId="698">
    <w:name w:val="说明"/>
    <w:basedOn w:val="1"/>
    <w:autoRedefine/>
    <w:qFormat/>
    <w:uiPriority w:val="0"/>
    <w:pPr>
      <w:autoSpaceDE w:val="0"/>
      <w:autoSpaceDN w:val="0"/>
      <w:spacing w:line="440" w:lineRule="exact"/>
      <w:ind w:firstLine="200" w:firstLineChars="200"/>
    </w:pPr>
    <w:rPr>
      <w:rFonts w:ascii="宋体"/>
      <w:b/>
      <w:bCs/>
      <w:i/>
      <w:iCs/>
      <w:color w:val="0000FF"/>
      <w:kern w:val="0"/>
      <w:sz w:val="24"/>
    </w:rPr>
  </w:style>
  <w:style w:type="paragraph" w:customStyle="1" w:styleId="699">
    <w:name w:val="xl55"/>
    <w:basedOn w:val="1"/>
    <w:autoRedefine/>
    <w:qFormat/>
    <w:uiPriority w:val="0"/>
    <w:pPr>
      <w:widowControl/>
      <w:adjustRightInd/>
      <w:spacing w:before="100" w:beforeAutospacing="1" w:after="100" w:afterAutospacing="1"/>
      <w:jc w:val="center"/>
      <w:textAlignment w:val="center"/>
    </w:pPr>
    <w:rPr>
      <w:rFonts w:ascii="Arial Unicode MS" w:hAnsi="Arial Unicode MS"/>
      <w:kern w:val="0"/>
      <w:sz w:val="24"/>
    </w:rPr>
  </w:style>
  <w:style w:type="paragraph" w:customStyle="1" w:styleId="700">
    <w:name w:val="Preformatted Text"/>
    <w:basedOn w:val="1"/>
    <w:autoRedefine/>
    <w:qFormat/>
    <w:uiPriority w:val="0"/>
    <w:pPr>
      <w:suppressAutoHyphens/>
      <w:adjustRightInd/>
      <w:ind w:firstLine="200" w:firstLineChars="200"/>
    </w:pPr>
    <w:rPr>
      <w:rFonts w:ascii="Cumberland" w:hAnsi="Cumberland" w:eastAsia="方正宋体"/>
      <w:kern w:val="1"/>
      <w:sz w:val="20"/>
      <w:szCs w:val="20"/>
      <w:lang w:eastAsia="ar-SA"/>
    </w:rPr>
  </w:style>
  <w:style w:type="paragraph" w:customStyle="1" w:styleId="701">
    <w:name w:val="xl25"/>
    <w:basedOn w:val="1"/>
    <w:autoRedefine/>
    <w:qFormat/>
    <w:uiPriority w:val="0"/>
    <w:pPr>
      <w:widowControl/>
      <w:spacing w:before="100" w:beforeAutospacing="1" w:after="100" w:afterAutospacing="1"/>
      <w:jc w:val="center"/>
      <w:textAlignment w:val="center"/>
    </w:pPr>
    <w:rPr>
      <w:rFonts w:hint="eastAsia" w:ascii="楷体_GB2312" w:hAnsi="宋体" w:eastAsia="楷体_GB2312"/>
      <w:kern w:val="0"/>
      <w:sz w:val="24"/>
    </w:rPr>
  </w:style>
  <w:style w:type="paragraph" w:customStyle="1" w:styleId="702">
    <w:name w:val="xl73"/>
    <w:basedOn w:val="1"/>
    <w:autoRedefine/>
    <w:qFormat/>
    <w:uiPriority w:val="0"/>
    <w:pPr>
      <w:widowControl/>
      <w:adjustRightInd/>
      <w:spacing w:before="100" w:beforeAutospacing="1" w:after="100" w:afterAutospacing="1"/>
      <w:jc w:val="left"/>
    </w:pPr>
    <w:rPr>
      <w:rFonts w:ascii="微软雅黑" w:hAnsi="微软雅黑" w:eastAsia="微软雅黑" w:cs="宋体"/>
      <w:kern w:val="0"/>
      <w:sz w:val="20"/>
      <w:szCs w:val="20"/>
    </w:rPr>
  </w:style>
  <w:style w:type="paragraph" w:customStyle="1" w:styleId="703">
    <w:name w:val="MM Topic 4"/>
    <w:basedOn w:val="7"/>
    <w:autoRedefine/>
    <w:qFormat/>
    <w:uiPriority w:val="0"/>
    <w:pPr>
      <w:tabs>
        <w:tab w:val="left" w:pos="2100"/>
      </w:tabs>
      <w:adjustRightInd/>
      <w:ind w:left="2100" w:hanging="420"/>
    </w:pPr>
    <w:rPr>
      <w:lang w:val="en-US"/>
    </w:rPr>
  </w:style>
  <w:style w:type="paragraph" w:customStyle="1" w:styleId="704">
    <w:name w:val="Char11"/>
    <w:basedOn w:val="1"/>
    <w:autoRedefine/>
    <w:qFormat/>
    <w:uiPriority w:val="0"/>
    <w:pPr>
      <w:tabs>
        <w:tab w:val="left" w:pos="432"/>
      </w:tabs>
      <w:adjustRightInd/>
      <w:spacing w:beforeLines="50" w:afterLines="50"/>
      <w:ind w:left="432" w:hanging="432" w:firstLineChars="200"/>
    </w:pPr>
    <w:rPr>
      <w:sz w:val="24"/>
    </w:rPr>
  </w:style>
  <w:style w:type="paragraph" w:customStyle="1" w:styleId="705">
    <w:name w:val="gjt_正文"/>
    <w:autoRedefine/>
    <w:qFormat/>
    <w:uiPriority w:val="0"/>
    <w:pPr>
      <w:widowControl w:val="0"/>
      <w:spacing w:line="360" w:lineRule="auto"/>
      <w:ind w:firstLine="420"/>
      <w:jc w:val="both"/>
    </w:pPr>
    <w:rPr>
      <w:rFonts w:ascii="Calibri" w:hAnsi="Calibri" w:eastAsia="仿宋_GB2312" w:cs="Times New Roman"/>
      <w:color w:val="000000"/>
      <w:kern w:val="2"/>
      <w:sz w:val="24"/>
      <w:szCs w:val="24"/>
      <w:u w:color="000000"/>
      <w:lang w:val="en-US" w:eastAsia="zh-CN" w:bidi="ar-SA"/>
    </w:rPr>
  </w:style>
  <w:style w:type="paragraph" w:customStyle="1" w:styleId="706">
    <w:name w:val="Char Char11 Char Char Char Char Char Char Char Char Char1"/>
    <w:basedOn w:val="1"/>
    <w:autoRedefine/>
    <w:qFormat/>
    <w:uiPriority w:val="6"/>
    <w:pPr>
      <w:spacing w:line="360" w:lineRule="auto"/>
    </w:pPr>
    <w:rPr>
      <w:szCs w:val="20"/>
    </w:rPr>
  </w:style>
  <w:style w:type="paragraph" w:customStyle="1" w:styleId="707">
    <w:name w:val="金宏发行正文 Char"/>
    <w:basedOn w:val="1"/>
    <w:autoRedefine/>
    <w:qFormat/>
    <w:uiPriority w:val="0"/>
    <w:pPr>
      <w:adjustRightInd/>
      <w:spacing w:line="500" w:lineRule="exact"/>
      <w:ind w:firstLine="560" w:firstLineChars="200"/>
    </w:pPr>
    <w:rPr>
      <w:rFonts w:eastAsia="仿宋_GB2312"/>
      <w:sz w:val="28"/>
      <w:szCs w:val="20"/>
    </w:rPr>
  </w:style>
  <w:style w:type="paragraph" w:customStyle="1" w:styleId="708">
    <w:name w:val="批注框文本1"/>
    <w:basedOn w:val="1"/>
    <w:autoRedefine/>
    <w:qFormat/>
    <w:uiPriority w:val="0"/>
    <w:pPr>
      <w:autoSpaceDE w:val="0"/>
      <w:autoSpaceDN w:val="0"/>
      <w:spacing w:line="351" w:lineRule="atLeast"/>
      <w:ind w:firstLine="419" w:firstLineChars="200"/>
    </w:pPr>
    <w:rPr>
      <w:color w:val="000000"/>
      <w:kern w:val="0"/>
      <w:sz w:val="18"/>
      <w:szCs w:val="18"/>
    </w:rPr>
  </w:style>
  <w:style w:type="paragraph" w:customStyle="1" w:styleId="709">
    <w:name w:val="body text bold"/>
    <w:basedOn w:val="30"/>
    <w:autoRedefine/>
    <w:qFormat/>
    <w:uiPriority w:val="0"/>
    <w:pPr>
      <w:widowControl/>
      <w:autoSpaceDE/>
      <w:autoSpaceDN/>
      <w:adjustRightInd/>
      <w:spacing w:line="240" w:lineRule="auto"/>
      <w:ind w:firstLine="200" w:firstLineChars="200"/>
      <w:jc w:val="left"/>
    </w:pPr>
    <w:rPr>
      <w:rFonts w:ascii="Futura Hv" w:hAnsi="Futura Hv"/>
      <w:kern w:val="0"/>
      <w:sz w:val="18"/>
      <w:szCs w:val="20"/>
      <w:lang w:val="en-US" w:eastAsia="en-US"/>
    </w:rPr>
  </w:style>
  <w:style w:type="paragraph" w:customStyle="1" w:styleId="710">
    <w:name w:val="部分1"/>
    <w:basedOn w:val="1"/>
    <w:autoRedefine/>
    <w:qFormat/>
    <w:uiPriority w:val="0"/>
    <w:pPr>
      <w:keepNext/>
      <w:pageBreakBefore/>
      <w:tabs>
        <w:tab w:val="left" w:pos="720"/>
      </w:tabs>
      <w:spacing w:line="360" w:lineRule="auto"/>
      <w:jc w:val="center"/>
      <w:outlineLvl w:val="0"/>
    </w:pPr>
    <w:rPr>
      <w:rFonts w:eastAsia="黑体"/>
      <w:b/>
      <w:kern w:val="44"/>
      <w:sz w:val="36"/>
      <w:szCs w:val="20"/>
    </w:rPr>
  </w:style>
  <w:style w:type="paragraph" w:customStyle="1" w:styleId="711">
    <w:name w:val="xl69"/>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kern w:val="0"/>
      <w:sz w:val="20"/>
      <w:szCs w:val="20"/>
    </w:rPr>
  </w:style>
  <w:style w:type="paragraph" w:customStyle="1" w:styleId="712">
    <w:name w:val="正文文字格式"/>
    <w:basedOn w:val="1"/>
    <w:autoRedefine/>
    <w:qFormat/>
    <w:uiPriority w:val="0"/>
    <w:pPr>
      <w:adjustRightInd/>
      <w:spacing w:line="460" w:lineRule="exact"/>
      <w:ind w:firstLine="505"/>
      <w:jc w:val="left"/>
    </w:pPr>
    <w:rPr>
      <w:rFonts w:ascii="宋体"/>
      <w:kern w:val="24"/>
      <w:sz w:val="24"/>
      <w:szCs w:val="20"/>
    </w:rPr>
  </w:style>
  <w:style w:type="paragraph" w:customStyle="1" w:styleId="713">
    <w:name w:val="xl31"/>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kern w:val="0"/>
      <w:sz w:val="20"/>
      <w:szCs w:val="20"/>
    </w:rPr>
  </w:style>
  <w:style w:type="paragraph" w:customStyle="1" w:styleId="714">
    <w:name w:val="xl40"/>
    <w:basedOn w:val="1"/>
    <w:autoRedefine/>
    <w:qFormat/>
    <w:uiPriority w:val="0"/>
    <w:pPr>
      <w:widowControl/>
      <w:pBdr>
        <w:top w:val="single" w:color="auto" w:sz="4" w:space="0"/>
        <w:bottom w:val="single" w:color="auto" w:sz="4" w:space="0"/>
        <w:right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 w:val="24"/>
    </w:rPr>
  </w:style>
  <w:style w:type="paragraph" w:customStyle="1" w:styleId="715">
    <w:name w:val="style25"/>
    <w:basedOn w:val="1"/>
    <w:autoRedefine/>
    <w:qFormat/>
    <w:uiPriority w:val="0"/>
    <w:pPr>
      <w:widowControl/>
      <w:adjustRightInd/>
      <w:spacing w:before="100" w:beforeAutospacing="1" w:after="100" w:afterAutospacing="1"/>
      <w:ind w:firstLine="200" w:firstLineChars="200"/>
      <w:jc w:val="left"/>
    </w:pPr>
    <w:rPr>
      <w:rFonts w:ascii="宋体" w:hAnsi="宋体" w:cs="宋体"/>
      <w:color w:val="557AAF"/>
      <w:kern w:val="0"/>
      <w:sz w:val="18"/>
      <w:szCs w:val="18"/>
    </w:rPr>
  </w:style>
  <w:style w:type="paragraph" w:customStyle="1" w:styleId="716">
    <w:name w:val="单元格居中"/>
    <w:basedOn w:val="1"/>
    <w:autoRedefine/>
    <w:qFormat/>
    <w:uiPriority w:val="0"/>
    <w:pPr>
      <w:adjustRightInd/>
      <w:spacing w:line="360" w:lineRule="auto"/>
      <w:jc w:val="center"/>
    </w:pPr>
    <w:rPr>
      <w:sz w:val="24"/>
    </w:rPr>
  </w:style>
  <w:style w:type="paragraph" w:customStyle="1" w:styleId="717">
    <w:name w:val="正文3"/>
    <w:basedOn w:val="1"/>
    <w:autoRedefine/>
    <w:qFormat/>
    <w:uiPriority w:val="0"/>
    <w:pPr>
      <w:adjustRightInd/>
      <w:spacing w:beforeLines="50" w:afterLines="50" w:line="360" w:lineRule="auto"/>
      <w:outlineLvl w:val="8"/>
    </w:pPr>
    <w:rPr>
      <w:rFonts w:ascii="Segoe UI" w:hAnsi="宋体" w:eastAsia="楷体_GB2312" w:cs="Latha"/>
      <w:sz w:val="24"/>
      <w:szCs w:val="21"/>
    </w:rPr>
  </w:style>
  <w:style w:type="paragraph" w:customStyle="1" w:styleId="718">
    <w:name w:val="Char Char Char Char Char Char Char1"/>
    <w:basedOn w:val="1"/>
    <w:autoRedefine/>
    <w:qFormat/>
    <w:uiPriority w:val="0"/>
    <w:rPr>
      <w:rFonts w:ascii="仿宋_GB2312" w:eastAsia="仿宋_GB2312"/>
      <w:b/>
      <w:sz w:val="32"/>
      <w:szCs w:val="32"/>
    </w:rPr>
  </w:style>
  <w:style w:type="paragraph" w:customStyle="1" w:styleId="719">
    <w:name w:val="正文缩进1"/>
    <w:basedOn w:val="1"/>
    <w:next w:val="31"/>
    <w:autoRedefine/>
    <w:qFormat/>
    <w:uiPriority w:val="0"/>
    <w:pPr>
      <w:autoSpaceDE w:val="0"/>
      <w:autoSpaceDN w:val="0"/>
      <w:snapToGrid w:val="0"/>
      <w:spacing w:after="120" w:line="360" w:lineRule="auto"/>
      <w:ind w:left="420" w:leftChars="200" w:firstLine="480" w:firstLineChars="200"/>
    </w:pPr>
    <w:rPr>
      <w:sz w:val="24"/>
      <w:szCs w:val="21"/>
    </w:rPr>
  </w:style>
  <w:style w:type="paragraph" w:customStyle="1" w:styleId="720">
    <w:name w:val="Ñù"/>
    <w:autoRedefine/>
    <w:qFormat/>
    <w:uiPriority w:val="0"/>
    <w:pPr>
      <w:overflowPunct w:val="0"/>
      <w:autoSpaceDE w:val="0"/>
      <w:autoSpaceDN w:val="0"/>
      <w:adjustRightInd w:val="0"/>
      <w:spacing w:line="400" w:lineRule="exact"/>
      <w:jc w:val="both"/>
      <w:textAlignment w:val="baseline"/>
    </w:pPr>
    <w:rPr>
      <w:rFonts w:ascii="Times New Roman" w:hAnsi="Times New Roman" w:eastAsia="宋体" w:cs="Times New Roman"/>
      <w:sz w:val="24"/>
      <w:lang w:val="en-US" w:eastAsia="zh-CN" w:bidi="ar-SA"/>
    </w:rPr>
  </w:style>
  <w:style w:type="paragraph" w:customStyle="1" w:styleId="721">
    <w:name w:val="Char3 Char Char Char11"/>
    <w:basedOn w:val="1"/>
    <w:autoRedefine/>
    <w:qFormat/>
    <w:uiPriority w:val="0"/>
    <w:pPr>
      <w:widowControl/>
      <w:adjustRightInd/>
      <w:spacing w:after="160" w:line="240" w:lineRule="exact"/>
      <w:jc w:val="left"/>
    </w:pPr>
    <w:rPr>
      <w:szCs w:val="20"/>
    </w:rPr>
  </w:style>
  <w:style w:type="paragraph" w:customStyle="1" w:styleId="722">
    <w:name w:val="Char Char1121"/>
    <w:basedOn w:val="1"/>
    <w:autoRedefine/>
    <w:qFormat/>
    <w:uiPriority w:val="0"/>
    <w:pPr>
      <w:spacing w:line="360" w:lineRule="auto"/>
    </w:pPr>
    <w:rPr>
      <w:szCs w:val="20"/>
    </w:rPr>
  </w:style>
  <w:style w:type="paragraph" w:customStyle="1" w:styleId="723">
    <w:name w:val="小项目标题"/>
    <w:basedOn w:val="1"/>
    <w:autoRedefine/>
    <w:qFormat/>
    <w:uiPriority w:val="0"/>
    <w:pPr>
      <w:adjustRightInd/>
      <w:spacing w:before="100" w:beforeAutospacing="1" w:after="100" w:afterAutospacing="1" w:line="360" w:lineRule="auto"/>
      <w:ind w:left="480" w:leftChars="200" w:firstLine="200" w:firstLineChars="200"/>
      <w:jc w:val="left"/>
    </w:pPr>
    <w:rPr>
      <w:sz w:val="24"/>
    </w:rPr>
  </w:style>
  <w:style w:type="paragraph" w:customStyle="1" w:styleId="724">
    <w:name w:val="gjt_4"/>
    <w:next w:val="1"/>
    <w:autoRedefine/>
    <w:qFormat/>
    <w:uiPriority w:val="0"/>
    <w:pPr>
      <w:keepNext/>
      <w:keepLines/>
      <w:widowControl w:val="0"/>
      <w:spacing w:before="280" w:after="290"/>
      <w:ind w:left="430" w:hanging="430"/>
      <w:jc w:val="both"/>
      <w:outlineLvl w:val="8"/>
    </w:pPr>
    <w:rPr>
      <w:rFonts w:ascii="Calibri" w:hAnsi="Calibri" w:eastAsia="黑体" w:cs="Times New Roman"/>
      <w:bCs/>
      <w:color w:val="000000"/>
      <w:kern w:val="2"/>
      <w:sz w:val="24"/>
      <w:szCs w:val="24"/>
      <w:u w:color="000000"/>
      <w:lang w:val="en-US" w:eastAsia="zh-CN" w:bidi="ar-SA"/>
    </w:rPr>
  </w:style>
  <w:style w:type="paragraph" w:customStyle="1" w:styleId="725">
    <w:name w:val="Normal0"/>
    <w:autoRedefine/>
    <w:qFormat/>
    <w:uiPriority w:val="0"/>
    <w:rPr>
      <w:rFonts w:ascii="Times New Roman" w:hAnsi="Times New Roman" w:eastAsia="宋体" w:cs="Times New Roman"/>
      <w:lang w:val="en-US" w:eastAsia="en-US" w:bidi="ar-SA"/>
    </w:rPr>
  </w:style>
  <w:style w:type="paragraph" w:customStyle="1" w:styleId="726">
    <w:name w:val="带编号样式"/>
    <w:basedOn w:val="644"/>
    <w:autoRedefine/>
    <w:qFormat/>
    <w:uiPriority w:val="0"/>
    <w:pPr>
      <w:tabs>
        <w:tab w:val="left" w:pos="840"/>
      </w:tabs>
      <w:snapToGrid w:val="0"/>
      <w:ind w:left="840" w:hanging="420" w:firstLineChars="0"/>
    </w:pPr>
    <w:rPr>
      <w:rFonts w:ascii="仿宋_GB2312" w:eastAsia="仿宋_GB2312"/>
      <w:color w:val="000000"/>
    </w:rPr>
  </w:style>
  <w:style w:type="paragraph" w:customStyle="1" w:styleId="727">
    <w:name w:val="msonormal"/>
    <w:basedOn w:val="1"/>
    <w:autoRedefine/>
    <w:qFormat/>
    <w:uiPriority w:val="0"/>
    <w:pPr>
      <w:widowControl/>
      <w:adjustRightInd/>
      <w:spacing w:before="100" w:beforeAutospacing="1" w:after="100" w:afterAutospacing="1"/>
      <w:jc w:val="left"/>
    </w:pPr>
    <w:rPr>
      <w:rFonts w:ascii="宋体" w:hAnsi="宋体" w:cs="宋体"/>
      <w:kern w:val="0"/>
      <w:sz w:val="24"/>
    </w:rPr>
  </w:style>
  <w:style w:type="paragraph" w:customStyle="1" w:styleId="728">
    <w:name w:val="方形箭头"/>
    <w:basedOn w:val="1"/>
    <w:autoRedefine/>
    <w:qFormat/>
    <w:uiPriority w:val="0"/>
    <w:pPr>
      <w:widowControl/>
      <w:tabs>
        <w:tab w:val="left" w:pos="840"/>
      </w:tabs>
      <w:adjustRightInd/>
      <w:spacing w:before="93" w:line="60" w:lineRule="atLeast"/>
      <w:ind w:left="420" w:right="200" w:hanging="420"/>
      <w:jc w:val="left"/>
    </w:pPr>
    <w:rPr>
      <w:rFonts w:ascii="Calibri" w:hAnsi="Calibri" w:cs="Calibri"/>
      <w:color w:val="000000"/>
      <w:kern w:val="0"/>
      <w:sz w:val="16"/>
      <w:szCs w:val="22"/>
    </w:rPr>
  </w:style>
  <w:style w:type="paragraph" w:customStyle="1" w:styleId="729">
    <w:name w:val="封面"/>
    <w:basedOn w:val="1"/>
    <w:autoRedefine/>
    <w:qFormat/>
    <w:uiPriority w:val="0"/>
    <w:pPr>
      <w:spacing w:line="360" w:lineRule="atLeast"/>
      <w:jc w:val="right"/>
      <w:textAlignment w:val="baseline"/>
    </w:pPr>
    <w:rPr>
      <w:rFonts w:ascii="Symbol" w:hAnsi="Symbol"/>
      <w:kern w:val="0"/>
      <w:szCs w:val="20"/>
    </w:rPr>
  </w:style>
  <w:style w:type="paragraph" w:customStyle="1" w:styleId="730">
    <w:name w:val="__正文"/>
    <w:autoRedefine/>
    <w:qFormat/>
    <w:uiPriority w:val="0"/>
    <w:pPr>
      <w:spacing w:line="360" w:lineRule="auto"/>
      <w:ind w:firstLine="200" w:firstLineChars="200"/>
    </w:pPr>
    <w:rPr>
      <w:rFonts w:ascii="Times New Roman" w:hAnsi="Times New Roman" w:eastAsia="等线" w:cs="Times New Roman"/>
      <w:kern w:val="2"/>
      <w:sz w:val="24"/>
      <w:szCs w:val="21"/>
      <w:lang w:val="en-US" w:eastAsia="zh-CN" w:bidi="ar-SA"/>
    </w:rPr>
  </w:style>
  <w:style w:type="paragraph" w:customStyle="1" w:styleId="731">
    <w:name w:val="font5"/>
    <w:basedOn w:val="1"/>
    <w:autoRedefine/>
    <w:qFormat/>
    <w:uiPriority w:val="0"/>
    <w:pPr>
      <w:widowControl/>
      <w:adjustRightInd/>
      <w:spacing w:before="100" w:beforeAutospacing="1" w:after="100" w:afterAutospacing="1" w:line="360" w:lineRule="auto"/>
      <w:ind w:firstLine="200" w:firstLineChars="200"/>
      <w:jc w:val="left"/>
    </w:pPr>
    <w:rPr>
      <w:rFonts w:hint="eastAsia" w:ascii="宋体" w:hAnsi="宋体"/>
      <w:kern w:val="0"/>
      <w:sz w:val="18"/>
      <w:szCs w:val="18"/>
    </w:rPr>
  </w:style>
  <w:style w:type="paragraph" w:customStyle="1" w:styleId="732">
    <w:name w:val="默认段落字体 Para Char Char Char1 Char"/>
    <w:basedOn w:val="1"/>
    <w:autoRedefine/>
    <w:qFormat/>
    <w:uiPriority w:val="0"/>
    <w:pPr>
      <w:spacing w:line="240" w:lineRule="atLeast"/>
      <w:ind w:left="420" w:firstLine="420"/>
    </w:pPr>
    <w:rPr>
      <w:sz w:val="24"/>
    </w:rPr>
  </w:style>
  <w:style w:type="paragraph" w:customStyle="1" w:styleId="733">
    <w:name w:val="WW-正文文字缩进 2"/>
    <w:basedOn w:val="1"/>
    <w:autoRedefine/>
    <w:qFormat/>
    <w:uiPriority w:val="0"/>
    <w:pPr>
      <w:suppressAutoHyphens/>
      <w:adjustRightInd/>
      <w:ind w:firstLine="420"/>
    </w:pPr>
    <w:rPr>
      <w:kern w:val="1"/>
      <w:szCs w:val="20"/>
    </w:rPr>
  </w:style>
  <w:style w:type="paragraph" w:customStyle="1" w:styleId="734">
    <w:name w:val="xl41"/>
    <w:basedOn w:val="1"/>
    <w:autoRedefine/>
    <w:qFormat/>
    <w:uiPriority w:val="0"/>
    <w:pPr>
      <w:widowControl/>
      <w:pBdr>
        <w:top w:val="single" w:color="auto" w:sz="4" w:space="0"/>
        <w:bottom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 w:val="24"/>
    </w:rPr>
  </w:style>
  <w:style w:type="paragraph" w:customStyle="1" w:styleId="735">
    <w:name w:val="样式 标题 2 + 四号"/>
    <w:basedOn w:val="4"/>
    <w:autoRedefine/>
    <w:qFormat/>
    <w:uiPriority w:val="0"/>
    <w:pPr>
      <w:spacing w:before="120" w:after="120"/>
      <w:ind w:left="0" w:firstLine="0"/>
      <w:jc w:val="both"/>
    </w:pPr>
    <w:rPr>
      <w:rFonts w:ascii="宋体" w:hAnsi="Arial" w:eastAsia="宋体"/>
      <w:sz w:val="28"/>
      <w:lang w:val="en-US"/>
    </w:rPr>
  </w:style>
  <w:style w:type="paragraph" w:customStyle="1" w:styleId="736">
    <w:name w:val="有符号正文"/>
    <w:basedOn w:val="1"/>
    <w:autoRedefine/>
    <w:qFormat/>
    <w:uiPriority w:val="0"/>
    <w:pPr>
      <w:adjustRightInd/>
      <w:spacing w:line="400" w:lineRule="exact"/>
      <w:ind w:firstLine="200" w:firstLineChars="200"/>
    </w:pPr>
    <w:rPr>
      <w:rFonts w:ascii="Arial" w:hAnsi="Arial"/>
    </w:rPr>
  </w:style>
  <w:style w:type="paragraph" w:customStyle="1" w:styleId="737">
    <w:name w:val="font10"/>
    <w:basedOn w:val="1"/>
    <w:autoRedefine/>
    <w:qFormat/>
    <w:uiPriority w:val="0"/>
    <w:pPr>
      <w:widowControl/>
      <w:adjustRightInd/>
      <w:spacing w:before="100" w:beforeAutospacing="1" w:after="100" w:afterAutospacing="1"/>
      <w:jc w:val="left"/>
    </w:pPr>
    <w:rPr>
      <w:rFonts w:ascii="宋体" w:hAnsi="宋体" w:cs="宋体"/>
      <w:kern w:val="0"/>
      <w:sz w:val="18"/>
      <w:szCs w:val="18"/>
    </w:rPr>
  </w:style>
  <w:style w:type="paragraph" w:customStyle="1" w:styleId="738">
    <w:name w:val="样式 样式 正文文本缩进 + 仿宋_GB2312 小四 首行缩进:  0 厘米 行距: 1.5 倍行距 + (中文) 仿宋_GB... Char Char"/>
    <w:basedOn w:val="1"/>
    <w:autoRedefine/>
    <w:qFormat/>
    <w:uiPriority w:val="0"/>
    <w:pPr>
      <w:spacing w:line="360" w:lineRule="auto"/>
      <w:ind w:firstLine="480" w:firstLineChars="200"/>
    </w:pPr>
    <w:rPr>
      <w:rFonts w:ascii="仿宋_GB2312" w:eastAsia="新宋体"/>
      <w:sz w:val="24"/>
      <w:szCs w:val="20"/>
    </w:rPr>
  </w:style>
  <w:style w:type="paragraph" w:customStyle="1" w:styleId="739">
    <w:name w:val="4"/>
    <w:basedOn w:val="1"/>
    <w:next w:val="47"/>
    <w:autoRedefine/>
    <w:qFormat/>
    <w:uiPriority w:val="0"/>
    <w:pPr>
      <w:spacing w:after="120" w:line="480" w:lineRule="auto"/>
      <w:ind w:left="420" w:leftChars="200"/>
    </w:pPr>
    <w:rPr>
      <w:sz w:val="24"/>
      <w:szCs w:val="20"/>
    </w:rPr>
  </w:style>
  <w:style w:type="paragraph" w:customStyle="1" w:styleId="740">
    <w:name w:val="tableheading"/>
    <w:basedOn w:val="1"/>
    <w:autoRedefine/>
    <w:qFormat/>
    <w:uiPriority w:val="0"/>
    <w:pPr>
      <w:widowControl/>
      <w:adjustRightInd/>
      <w:spacing w:before="100" w:beforeAutospacing="1" w:after="100" w:afterAutospacing="1"/>
      <w:jc w:val="left"/>
    </w:pPr>
    <w:rPr>
      <w:rFonts w:ascii="宋体" w:hAnsi="宋体" w:cs="宋体"/>
      <w:kern w:val="0"/>
      <w:sz w:val="24"/>
    </w:rPr>
  </w:style>
  <w:style w:type="paragraph" w:customStyle="1" w:styleId="741">
    <w:name w:val="样式1"/>
    <w:basedOn w:val="1"/>
    <w:link w:val="988"/>
    <w:autoRedefine/>
    <w:qFormat/>
    <w:uiPriority w:val="0"/>
    <w:pPr>
      <w:widowControl/>
      <w:tabs>
        <w:tab w:val="left" w:pos="1212"/>
        <w:tab w:val="left" w:pos="3888"/>
      </w:tabs>
      <w:snapToGrid w:val="0"/>
      <w:spacing w:line="336" w:lineRule="auto"/>
      <w:ind w:firstLine="432"/>
      <w:jc w:val="left"/>
    </w:pPr>
    <w:rPr>
      <w:rFonts w:ascii="宋体" w:hAnsi="宋体"/>
      <w:kern w:val="0"/>
      <w:sz w:val="24"/>
      <w:szCs w:val="20"/>
    </w:rPr>
  </w:style>
  <w:style w:type="paragraph" w:customStyle="1" w:styleId="742">
    <w:name w:val="样式 标题 3H3 + 两端对齐"/>
    <w:basedOn w:val="5"/>
    <w:autoRedefine/>
    <w:qFormat/>
    <w:uiPriority w:val="0"/>
    <w:pPr>
      <w:keepLines w:val="0"/>
      <w:spacing w:before="0" w:after="0" w:line="240" w:lineRule="auto"/>
      <w:jc w:val="left"/>
    </w:pPr>
    <w:rPr>
      <w:rFonts w:cs="宋体"/>
      <w:sz w:val="21"/>
      <w:szCs w:val="20"/>
    </w:rPr>
  </w:style>
  <w:style w:type="paragraph" w:customStyle="1" w:styleId="743">
    <w:name w:val="样式 仿宋_GB2312 小三 左侧:  1.06 厘米"/>
    <w:basedOn w:val="1"/>
    <w:autoRedefine/>
    <w:qFormat/>
    <w:uiPriority w:val="0"/>
    <w:pPr>
      <w:spacing w:line="360" w:lineRule="auto"/>
      <w:ind w:left="601"/>
    </w:pPr>
    <w:rPr>
      <w:rFonts w:ascii="仿宋_GB2312" w:eastAsia="仿宋_GB2312"/>
      <w:sz w:val="24"/>
      <w:szCs w:val="20"/>
    </w:rPr>
  </w:style>
  <w:style w:type="paragraph" w:customStyle="1" w:styleId="744">
    <w:name w:val="小标题"/>
    <w:basedOn w:val="1"/>
    <w:autoRedefine/>
    <w:qFormat/>
    <w:uiPriority w:val="0"/>
    <w:pPr>
      <w:spacing w:before="120" w:line="360" w:lineRule="atLeast"/>
      <w:ind w:left="1134"/>
      <w:jc w:val="left"/>
      <w:textAlignment w:val="baseline"/>
    </w:pPr>
    <w:rPr>
      <w:rFonts w:eastAsia="黑体"/>
      <w:kern w:val="0"/>
      <w:szCs w:val="20"/>
    </w:rPr>
  </w:style>
  <w:style w:type="paragraph" w:customStyle="1" w:styleId="745">
    <w:name w:val="节标题"/>
    <w:basedOn w:val="1"/>
    <w:autoRedefine/>
    <w:qFormat/>
    <w:uiPriority w:val="0"/>
    <w:pPr>
      <w:autoSpaceDE w:val="0"/>
      <w:autoSpaceDN w:val="0"/>
      <w:spacing w:line="289" w:lineRule="atLeast"/>
      <w:ind w:firstLine="200" w:firstLineChars="200"/>
      <w:jc w:val="center"/>
    </w:pPr>
    <w:rPr>
      <w:color w:val="000000"/>
      <w:kern w:val="0"/>
      <w:sz w:val="28"/>
      <w:szCs w:val="28"/>
    </w:rPr>
  </w:style>
  <w:style w:type="paragraph" w:customStyle="1" w:styleId="746">
    <w:name w:val="表格 表头"/>
    <w:basedOn w:val="1"/>
    <w:autoRedefine/>
    <w:qFormat/>
    <w:uiPriority w:val="0"/>
    <w:pPr>
      <w:adjustRightInd/>
      <w:spacing w:beforeLines="50" w:afterLines="50" w:line="360" w:lineRule="auto"/>
      <w:jc w:val="center"/>
    </w:pPr>
    <w:rPr>
      <w:rFonts w:ascii="微软雅黑" w:hAnsi="Calibri" w:eastAsia="微软雅黑"/>
      <w:b/>
      <w:sz w:val="28"/>
      <w:szCs w:val="20"/>
    </w:rPr>
  </w:style>
  <w:style w:type="paragraph" w:customStyle="1" w:styleId="747">
    <w:name w:val="xl75"/>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仿宋" w:hAnsi="仿宋" w:eastAsia="仿宋" w:cs="宋体"/>
      <w:kern w:val="0"/>
      <w:sz w:val="20"/>
      <w:szCs w:val="20"/>
    </w:rPr>
  </w:style>
  <w:style w:type="paragraph" w:customStyle="1" w:styleId="748">
    <w:name w:val="Char Char1 Char Char Char"/>
    <w:basedOn w:val="1"/>
    <w:autoRedefine/>
    <w:qFormat/>
    <w:uiPriority w:val="0"/>
    <w:rPr>
      <w:rFonts w:ascii="仿宋_GB2312" w:eastAsia="仿宋_GB2312"/>
      <w:b/>
      <w:sz w:val="32"/>
      <w:szCs w:val="20"/>
    </w:rPr>
  </w:style>
  <w:style w:type="paragraph" w:customStyle="1" w:styleId="749">
    <w:name w:val="表格题注"/>
    <w:next w:val="1"/>
    <w:autoRedefine/>
    <w:qFormat/>
    <w:uiPriority w:val="0"/>
    <w:pPr>
      <w:keepLines/>
      <w:tabs>
        <w:tab w:val="left" w:pos="4200"/>
      </w:tabs>
      <w:spacing w:beforeLines="100"/>
      <w:ind w:left="1089" w:hanging="369"/>
      <w:jc w:val="center"/>
    </w:pPr>
    <w:rPr>
      <w:rFonts w:ascii="Arial" w:hAnsi="Arial" w:eastAsia="宋体" w:cs="Times New Roman"/>
      <w:sz w:val="18"/>
      <w:szCs w:val="18"/>
      <w:lang w:val="en-US" w:eastAsia="zh-CN" w:bidi="ar-SA"/>
    </w:rPr>
  </w:style>
  <w:style w:type="paragraph" w:customStyle="1" w:styleId="750">
    <w:name w:val="Char Char11 Char Char Char Char Char Char Char Char Char Char Char Char Char Char Char Char Char1"/>
    <w:basedOn w:val="1"/>
    <w:autoRedefine/>
    <w:qFormat/>
    <w:uiPriority w:val="0"/>
    <w:pPr>
      <w:adjustRightInd/>
      <w:spacing w:line="360" w:lineRule="auto"/>
    </w:pPr>
    <w:rPr>
      <w:rFonts w:ascii="Arial" w:hAnsi="Arial" w:eastAsia="黑体" w:cs="Arial"/>
      <w:snapToGrid w:val="0"/>
      <w:kern w:val="0"/>
      <w:szCs w:val="21"/>
    </w:rPr>
  </w:style>
  <w:style w:type="paragraph" w:customStyle="1" w:styleId="751">
    <w:name w:val="Picture"/>
    <w:basedOn w:val="1"/>
    <w:next w:val="20"/>
    <w:autoRedefine/>
    <w:qFormat/>
    <w:uiPriority w:val="0"/>
    <w:pPr>
      <w:keepNext/>
      <w:widowControl/>
      <w:adjustRightInd/>
      <w:ind w:firstLine="200" w:firstLineChars="200"/>
    </w:pPr>
    <w:rPr>
      <w:rFonts w:ascii="楷体" w:hAnsi="Arial" w:eastAsia="楷体"/>
      <w:b/>
      <w:spacing w:val="-5"/>
      <w:w w:val="98"/>
      <w:kern w:val="0"/>
      <w:sz w:val="24"/>
      <w:szCs w:val="20"/>
    </w:rPr>
  </w:style>
  <w:style w:type="paragraph" w:customStyle="1" w:styleId="752">
    <w:name w:val="Char Char1 Char Char Char2"/>
    <w:basedOn w:val="1"/>
    <w:autoRedefine/>
    <w:qFormat/>
    <w:uiPriority w:val="0"/>
    <w:rPr>
      <w:rFonts w:ascii="仿宋_GB2312" w:eastAsia="仿宋_GB2312"/>
      <w:b/>
      <w:sz w:val="32"/>
      <w:szCs w:val="32"/>
    </w:rPr>
  </w:style>
  <w:style w:type="paragraph" w:customStyle="1" w:styleId="753">
    <w:name w:val="Char3 Char Char Char1"/>
    <w:basedOn w:val="1"/>
    <w:autoRedefine/>
    <w:qFormat/>
    <w:uiPriority w:val="6"/>
    <w:pPr>
      <w:widowControl/>
      <w:adjustRightInd/>
      <w:spacing w:after="160" w:line="240" w:lineRule="exact"/>
      <w:jc w:val="left"/>
    </w:pPr>
    <w:rPr>
      <w:szCs w:val="20"/>
    </w:rPr>
  </w:style>
  <w:style w:type="paragraph" w:customStyle="1" w:styleId="754">
    <w:name w:val="Char1 Char Char Char21"/>
    <w:basedOn w:val="1"/>
    <w:autoRedefine/>
    <w:qFormat/>
    <w:uiPriority w:val="0"/>
    <w:rPr>
      <w:rFonts w:ascii="Tahoma" w:hAnsi="Tahoma"/>
      <w:sz w:val="24"/>
      <w:szCs w:val="20"/>
    </w:rPr>
  </w:style>
  <w:style w:type="paragraph" w:customStyle="1" w:styleId="755">
    <w:name w:val="Char3 Char Char Char Char Char Char11"/>
    <w:basedOn w:val="1"/>
    <w:autoRedefine/>
    <w:qFormat/>
    <w:uiPriority w:val="0"/>
    <w:pPr>
      <w:adjustRightInd/>
      <w:spacing w:line="360" w:lineRule="auto"/>
    </w:pPr>
    <w:rPr>
      <w:rFonts w:ascii="Arial" w:hAnsi="Arial" w:eastAsia="黑体" w:cs="Arial"/>
      <w:snapToGrid w:val="0"/>
      <w:kern w:val="0"/>
      <w:szCs w:val="21"/>
    </w:rPr>
  </w:style>
  <w:style w:type="paragraph" w:customStyle="1" w:styleId="756">
    <w:name w:val="正文（标题三）"/>
    <w:basedOn w:val="1"/>
    <w:autoRedefine/>
    <w:qFormat/>
    <w:uiPriority w:val="0"/>
    <w:pPr>
      <w:spacing w:line="360" w:lineRule="auto"/>
      <w:ind w:firstLine="200" w:firstLineChars="200"/>
    </w:pPr>
    <w:rPr>
      <w:sz w:val="24"/>
    </w:rPr>
  </w:style>
  <w:style w:type="paragraph" w:customStyle="1" w:styleId="757">
    <w:name w:val="样式 正1 + 首行缩进:  2 字符"/>
    <w:basedOn w:val="1"/>
    <w:autoRedefine/>
    <w:qFormat/>
    <w:uiPriority w:val="0"/>
    <w:pPr>
      <w:adjustRightInd/>
      <w:spacing w:line="360" w:lineRule="auto"/>
      <w:ind w:firstLine="480" w:firstLineChars="200"/>
    </w:pPr>
    <w:rPr>
      <w:rFonts w:ascii="仿宋_GB2312" w:eastAsia="仿宋_GB2312"/>
      <w:sz w:val="24"/>
    </w:rPr>
  </w:style>
  <w:style w:type="paragraph" w:customStyle="1" w:styleId="758">
    <w:name w:val="xl66"/>
    <w:basedOn w:val="1"/>
    <w:autoRedefine/>
    <w:qFormat/>
    <w:uiPriority w:val="0"/>
    <w:pPr>
      <w:widowControl/>
      <w:adjustRightInd/>
      <w:spacing w:before="100" w:beforeAutospacing="1" w:after="100" w:afterAutospacing="1"/>
      <w:jc w:val="left"/>
    </w:pPr>
    <w:rPr>
      <w:rFonts w:ascii="宋体" w:hAnsi="宋体" w:cs="宋体"/>
      <w:kern w:val="0"/>
      <w:sz w:val="24"/>
    </w:rPr>
  </w:style>
  <w:style w:type="paragraph" w:customStyle="1" w:styleId="759">
    <w:name w:val="样式 样式 宋体 小四 段前: 7.8 磅 段后: 7.8 磅 行距: 1.5 倍行距 + 小二 首行缩进:  2 字符"/>
    <w:basedOn w:val="1"/>
    <w:autoRedefine/>
    <w:qFormat/>
    <w:uiPriority w:val="0"/>
    <w:pPr>
      <w:adjustRightInd/>
      <w:spacing w:line="360" w:lineRule="auto"/>
      <w:ind w:firstLine="480" w:firstLineChars="200"/>
    </w:pPr>
    <w:rPr>
      <w:rFonts w:ascii="宋体" w:hAnsi="宋体" w:cs="宋体"/>
      <w:sz w:val="24"/>
      <w:szCs w:val="20"/>
    </w:rPr>
  </w:style>
  <w:style w:type="paragraph" w:customStyle="1" w:styleId="760">
    <w:name w:val="Default Text"/>
    <w:basedOn w:val="1"/>
    <w:autoRedefine/>
    <w:qFormat/>
    <w:uiPriority w:val="0"/>
    <w:pPr>
      <w:widowControl/>
      <w:overflowPunct w:val="0"/>
      <w:autoSpaceDE w:val="0"/>
      <w:autoSpaceDN w:val="0"/>
      <w:spacing w:line="360" w:lineRule="auto"/>
      <w:ind w:firstLine="480" w:firstLineChars="200"/>
      <w:jc w:val="left"/>
      <w:textAlignment w:val="baseline"/>
    </w:pPr>
    <w:rPr>
      <w:rFonts w:ascii="宋体" w:hAnsi="宋体" w:eastAsia="微软雅黑"/>
      <w:kern w:val="0"/>
      <w:sz w:val="24"/>
      <w:szCs w:val="20"/>
    </w:rPr>
  </w:style>
  <w:style w:type="paragraph" w:customStyle="1" w:styleId="761">
    <w:name w:val="小节标题"/>
    <w:basedOn w:val="1"/>
    <w:autoRedefine/>
    <w:qFormat/>
    <w:uiPriority w:val="0"/>
    <w:pPr>
      <w:autoSpaceDE w:val="0"/>
      <w:autoSpaceDN w:val="0"/>
      <w:spacing w:before="175" w:after="102" w:line="351" w:lineRule="atLeast"/>
      <w:ind w:firstLine="200" w:firstLineChars="200"/>
    </w:pPr>
    <w:rPr>
      <w:color w:val="000000"/>
      <w:kern w:val="0"/>
      <w:szCs w:val="21"/>
    </w:rPr>
  </w:style>
  <w:style w:type="paragraph" w:customStyle="1" w:styleId="762">
    <w:name w:val="Char1 Char Char Char4"/>
    <w:basedOn w:val="1"/>
    <w:autoRedefine/>
    <w:qFormat/>
    <w:uiPriority w:val="0"/>
    <w:pPr>
      <w:adjustRightInd/>
      <w:ind w:firstLine="200" w:firstLineChars="200"/>
    </w:pPr>
    <w:rPr>
      <w:rFonts w:ascii="Tahoma" w:hAnsi="Tahoma"/>
      <w:sz w:val="24"/>
      <w:szCs w:val="20"/>
    </w:rPr>
  </w:style>
  <w:style w:type="paragraph" w:customStyle="1" w:styleId="763">
    <w:name w:val="_标题2"/>
    <w:basedOn w:val="730"/>
    <w:next w:val="730"/>
    <w:autoRedefine/>
    <w:qFormat/>
    <w:uiPriority w:val="0"/>
    <w:pPr>
      <w:widowControl w:val="0"/>
      <w:tabs>
        <w:tab w:val="left" w:pos="480"/>
      </w:tabs>
      <w:spacing w:beforeLines="50" w:afterLines="50"/>
      <w:ind w:left="50" w:leftChars="50" w:hanging="420" w:firstLineChars="0"/>
      <w:outlineLvl w:val="1"/>
    </w:pPr>
    <w:rPr>
      <w:b/>
      <w:sz w:val="36"/>
    </w:rPr>
  </w:style>
  <w:style w:type="paragraph" w:customStyle="1" w:styleId="764">
    <w:name w:val="样式1 + (中宋体"/>
    <w:basedOn w:val="741"/>
    <w:autoRedefine/>
    <w:qFormat/>
    <w:uiPriority w:val="0"/>
    <w:pPr>
      <w:widowControl w:val="0"/>
      <w:tabs>
        <w:tab w:val="left" w:pos="1200"/>
        <w:tab w:val="clear" w:pos="1212"/>
        <w:tab w:val="clear" w:pos="3888"/>
      </w:tabs>
      <w:adjustRightInd/>
      <w:snapToGrid/>
      <w:spacing w:line="360" w:lineRule="auto"/>
      <w:ind w:left="1200" w:hanging="360" w:firstLineChars="200"/>
      <w:jc w:val="both"/>
    </w:pPr>
    <w:rPr>
      <w:kern w:val="2"/>
      <w:szCs w:val="24"/>
    </w:rPr>
  </w:style>
  <w:style w:type="paragraph" w:customStyle="1" w:styleId="765">
    <w:name w:val="xl71"/>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b/>
      <w:bCs/>
      <w:color w:val="000000"/>
      <w:kern w:val="0"/>
      <w:sz w:val="20"/>
      <w:szCs w:val="20"/>
    </w:rPr>
  </w:style>
  <w:style w:type="paragraph" w:customStyle="1" w:styleId="766">
    <w:name w:val="La0b"/>
    <w:basedOn w:val="1"/>
    <w:autoRedefine/>
    <w:qFormat/>
    <w:uiPriority w:val="0"/>
    <w:pPr>
      <w:tabs>
        <w:tab w:val="left" w:pos="1500"/>
      </w:tabs>
      <w:adjustRightInd/>
      <w:spacing w:after="100" w:line="240" w:lineRule="exact"/>
      <w:ind w:left="1500" w:hanging="420" w:firstLineChars="200"/>
    </w:pPr>
    <w:rPr>
      <w:rFonts w:ascii="宋体" w:hAnsi="宋体" w:eastAsia="微软雅黑"/>
      <w:b/>
      <w:sz w:val="24"/>
      <w:szCs w:val="20"/>
    </w:rPr>
  </w:style>
  <w:style w:type="paragraph" w:customStyle="1" w:styleId="767">
    <w:name w:val="正文 主体"/>
    <w:basedOn w:val="1"/>
    <w:autoRedefine/>
    <w:qFormat/>
    <w:uiPriority w:val="0"/>
    <w:pPr>
      <w:adjustRightInd/>
      <w:spacing w:line="360" w:lineRule="auto"/>
      <w:ind w:firstLine="200" w:firstLineChars="200"/>
      <w:jc w:val="left"/>
    </w:pPr>
    <w:rPr>
      <w:rFonts w:ascii="微软雅黑" w:hAnsi="Calibri" w:eastAsia="微软雅黑"/>
      <w:kern w:val="0"/>
      <w:sz w:val="24"/>
      <w:szCs w:val="20"/>
    </w:rPr>
  </w:style>
  <w:style w:type="paragraph" w:customStyle="1" w:styleId="768">
    <w:name w:val="四号　首行缩进"/>
    <w:basedOn w:val="1"/>
    <w:autoRedefine/>
    <w:qFormat/>
    <w:uiPriority w:val="0"/>
    <w:pPr>
      <w:adjustRightInd/>
      <w:spacing w:line="360" w:lineRule="auto"/>
    </w:pPr>
    <w:rPr>
      <w:rFonts w:ascii="宋体" w:hAnsi="宋体"/>
      <w:szCs w:val="20"/>
    </w:rPr>
  </w:style>
  <w:style w:type="paragraph" w:customStyle="1" w:styleId="769">
    <w:name w:val="深色列表 - 强调文字颜色 51"/>
    <w:basedOn w:val="1"/>
    <w:autoRedefine/>
    <w:qFormat/>
    <w:uiPriority w:val="0"/>
    <w:pPr>
      <w:adjustRightInd/>
      <w:spacing w:line="360" w:lineRule="auto"/>
      <w:ind w:firstLine="200" w:firstLineChars="200"/>
    </w:pPr>
    <w:rPr>
      <w:rFonts w:eastAsia="楷体_GB2312" w:cs="Lucida Sans"/>
      <w:sz w:val="24"/>
    </w:rPr>
  </w:style>
  <w:style w:type="paragraph" w:customStyle="1" w:styleId="770">
    <w:name w:val="Char Char Char Char Char Char Char Char Char Char Char1 Char"/>
    <w:basedOn w:val="1"/>
    <w:autoRedefine/>
    <w:qFormat/>
    <w:uiPriority w:val="0"/>
    <w:pPr>
      <w:adjustRightInd/>
    </w:pPr>
    <w:rPr>
      <w:rFonts w:ascii="Tahoma" w:hAnsi="Tahoma"/>
      <w:sz w:val="24"/>
    </w:rPr>
  </w:style>
  <w:style w:type="paragraph" w:customStyle="1" w:styleId="771">
    <w:name w:val="Char Char Char Char11"/>
    <w:basedOn w:val="1"/>
    <w:autoRedefine/>
    <w:qFormat/>
    <w:uiPriority w:val="0"/>
    <w:rPr>
      <w:rFonts w:ascii="Tahoma" w:hAnsi="Tahoma"/>
      <w:sz w:val="24"/>
      <w:szCs w:val="20"/>
    </w:rPr>
  </w:style>
  <w:style w:type="paragraph" w:customStyle="1" w:styleId="772">
    <w:name w:val="封面文档标题"/>
    <w:basedOn w:val="1"/>
    <w:autoRedefine/>
    <w:qFormat/>
    <w:uiPriority w:val="0"/>
    <w:pPr>
      <w:autoSpaceDE w:val="0"/>
      <w:autoSpaceDN w:val="0"/>
      <w:spacing w:line="360" w:lineRule="auto"/>
      <w:ind w:firstLine="200" w:firstLineChars="200"/>
      <w:jc w:val="center"/>
    </w:pPr>
    <w:rPr>
      <w:rFonts w:ascii="Arial" w:hAnsi="Arial" w:eastAsia="黑体"/>
      <w:bCs/>
      <w:kern w:val="0"/>
      <w:sz w:val="44"/>
      <w:szCs w:val="44"/>
    </w:rPr>
  </w:style>
  <w:style w:type="paragraph" w:customStyle="1" w:styleId="773">
    <w:name w:val="Char Char Char Char"/>
    <w:basedOn w:val="1"/>
    <w:autoRedefine/>
    <w:qFormat/>
    <w:uiPriority w:val="0"/>
    <w:rPr>
      <w:rFonts w:ascii="Tahoma" w:hAnsi="Tahoma"/>
      <w:sz w:val="24"/>
      <w:szCs w:val="20"/>
    </w:rPr>
  </w:style>
  <w:style w:type="paragraph" w:customStyle="1" w:styleId="774">
    <w:name w:val="标1"/>
    <w:basedOn w:val="1"/>
    <w:autoRedefine/>
    <w:qFormat/>
    <w:uiPriority w:val="0"/>
    <w:pPr>
      <w:widowControl/>
      <w:tabs>
        <w:tab w:val="left" w:pos="1020"/>
      </w:tabs>
      <w:snapToGrid w:val="0"/>
      <w:spacing w:beforeLines="100" w:line="360" w:lineRule="auto"/>
      <w:ind w:left="1020" w:hanging="420" w:firstLineChars="200"/>
      <w:jc w:val="left"/>
      <w:outlineLvl w:val="0"/>
    </w:pPr>
    <w:rPr>
      <w:rFonts w:ascii="Arial Narrow" w:hAnsi="Arial Narrow" w:eastAsia="仿宋_GB2312"/>
      <w:b/>
      <w:spacing w:val="20"/>
      <w:kern w:val="0"/>
      <w:sz w:val="24"/>
    </w:rPr>
  </w:style>
  <w:style w:type="paragraph" w:customStyle="1" w:styleId="775">
    <w:name w:val="Char19"/>
    <w:basedOn w:val="1"/>
    <w:autoRedefine/>
    <w:qFormat/>
    <w:uiPriority w:val="0"/>
    <w:pPr>
      <w:adjustRightInd/>
    </w:pPr>
    <w:rPr>
      <w:szCs w:val="20"/>
    </w:rPr>
  </w:style>
  <w:style w:type="paragraph" w:customStyle="1" w:styleId="776">
    <w:name w:val="标书正文格式"/>
    <w:autoRedefine/>
    <w:qFormat/>
    <w:uiPriority w:val="0"/>
    <w:pPr>
      <w:spacing w:line="360" w:lineRule="auto"/>
      <w:ind w:firstLine="200" w:firstLineChars="200"/>
    </w:pPr>
    <w:rPr>
      <w:rFonts w:ascii="Times New Roman" w:hAnsi="Times New Roman" w:eastAsia="楷体_GB2312" w:cs="Times New Roman"/>
      <w:kern w:val="2"/>
      <w:sz w:val="24"/>
      <w:szCs w:val="24"/>
      <w:lang w:val="en-US" w:eastAsia="zh-CN" w:bidi="ar-SA"/>
    </w:rPr>
  </w:style>
  <w:style w:type="paragraph" w:customStyle="1" w:styleId="777">
    <w:name w:val="样式8"/>
    <w:basedOn w:val="1"/>
    <w:autoRedefine/>
    <w:qFormat/>
    <w:uiPriority w:val="0"/>
    <w:pPr>
      <w:spacing w:beforeLines="50" w:afterLines="50"/>
      <w:ind w:firstLine="200" w:firstLineChars="200"/>
      <w:outlineLvl w:val="4"/>
    </w:pPr>
    <w:rPr>
      <w:rFonts w:ascii="仿宋_GB2312" w:hAnsi="宋体" w:eastAsia="仿宋_GB2312"/>
      <w:b/>
      <w:bCs/>
      <w:sz w:val="24"/>
    </w:rPr>
  </w:style>
  <w:style w:type="paragraph" w:customStyle="1" w:styleId="778">
    <w:name w:val="_Style 5"/>
    <w:basedOn w:val="1"/>
    <w:autoRedefine/>
    <w:qFormat/>
    <w:uiPriority w:val="34"/>
    <w:pPr>
      <w:adjustRightInd/>
      <w:ind w:firstLine="420" w:firstLineChars="200"/>
    </w:pPr>
    <w:rPr>
      <w:rFonts w:eastAsia="仿宋_GB2312"/>
      <w:sz w:val="28"/>
    </w:rPr>
  </w:style>
  <w:style w:type="paragraph" w:customStyle="1" w:styleId="779">
    <w:name w:val="正文文字缩进"/>
    <w:basedOn w:val="1"/>
    <w:autoRedefine/>
    <w:qFormat/>
    <w:uiPriority w:val="0"/>
    <w:pPr>
      <w:widowControl/>
      <w:tabs>
        <w:tab w:val="left" w:pos="180"/>
      </w:tabs>
      <w:adjustRightInd/>
      <w:spacing w:line="240" w:lineRule="exact"/>
      <w:ind w:left="187" w:hanging="187" w:firstLineChars="200"/>
      <w:jc w:val="left"/>
    </w:pPr>
    <w:rPr>
      <w:rFonts w:ascii="Futura Bk" w:hAnsi="Futura Bk" w:cs="Futura Bk"/>
      <w:kern w:val="0"/>
      <w:sz w:val="18"/>
      <w:szCs w:val="18"/>
    </w:rPr>
  </w:style>
  <w:style w:type="paragraph" w:customStyle="1" w:styleId="780">
    <w:name w:val="列出段落*"/>
    <w:basedOn w:val="1"/>
    <w:autoRedefine/>
    <w:qFormat/>
    <w:uiPriority w:val="0"/>
    <w:pPr>
      <w:adjustRightInd/>
      <w:spacing w:line="360" w:lineRule="auto"/>
      <w:ind w:firstLine="200"/>
    </w:pPr>
    <w:rPr>
      <w:rFonts w:eastAsia="楷体_GB2312" w:cs="Lucida Sans Unicode"/>
      <w:color w:val="000000"/>
      <w:kern w:val="1"/>
      <w:sz w:val="24"/>
    </w:rPr>
  </w:style>
  <w:style w:type="paragraph" w:customStyle="1" w:styleId="781">
    <w:name w:val="文章总标题"/>
    <w:basedOn w:val="1"/>
    <w:autoRedefine/>
    <w:qFormat/>
    <w:uiPriority w:val="0"/>
    <w:pPr>
      <w:autoSpaceDE w:val="0"/>
      <w:autoSpaceDN w:val="0"/>
      <w:spacing w:before="566" w:after="544" w:line="566" w:lineRule="atLeast"/>
      <w:ind w:firstLine="200" w:firstLineChars="200"/>
      <w:jc w:val="center"/>
    </w:pPr>
    <w:rPr>
      <w:rFonts w:ascii="Arial" w:hAnsi="Arial"/>
      <w:color w:val="000000"/>
      <w:kern w:val="0"/>
      <w:sz w:val="54"/>
      <w:szCs w:val="54"/>
    </w:rPr>
  </w:style>
  <w:style w:type="paragraph" w:customStyle="1" w:styleId="782">
    <w:name w:val="标书表格字体格式"/>
    <w:next w:val="776"/>
    <w:autoRedefine/>
    <w:qFormat/>
    <w:uiPriority w:val="0"/>
    <w:rPr>
      <w:rFonts w:ascii="Times New Roman" w:hAnsi="Times New Roman" w:eastAsia="宋体" w:cs="Times New Roman"/>
      <w:kern w:val="2"/>
      <w:sz w:val="21"/>
      <w:szCs w:val="24"/>
      <w:lang w:val="en-US" w:eastAsia="zh-CN" w:bidi="ar-SA"/>
    </w:rPr>
  </w:style>
  <w:style w:type="paragraph" w:customStyle="1" w:styleId="783">
    <w:name w:val="Char22"/>
    <w:basedOn w:val="1"/>
    <w:autoRedefine/>
    <w:qFormat/>
    <w:uiPriority w:val="0"/>
    <w:pPr>
      <w:adjustRightInd/>
      <w:spacing w:line="360" w:lineRule="auto"/>
      <w:ind w:firstLine="480" w:firstLineChars="200"/>
    </w:pPr>
    <w:rPr>
      <w:rFonts w:ascii="仿宋_GB2312" w:eastAsia="仿宋_GB2312"/>
      <w:b/>
      <w:sz w:val="32"/>
      <w:szCs w:val="32"/>
    </w:rPr>
  </w:style>
  <w:style w:type="paragraph" w:customStyle="1" w:styleId="784">
    <w:name w:val="Char12"/>
    <w:basedOn w:val="1"/>
    <w:autoRedefine/>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785">
    <w:name w:val="修订3"/>
    <w:autoRedefine/>
    <w:qFormat/>
    <w:uiPriority w:val="0"/>
    <w:rPr>
      <w:rFonts w:ascii="Times New Roman" w:hAnsi="Times New Roman" w:eastAsia="宋体" w:cs="Times New Roman"/>
      <w:kern w:val="2"/>
      <w:sz w:val="21"/>
      <w:lang w:val="en-US" w:eastAsia="zh-CN" w:bidi="ar-SA"/>
    </w:rPr>
  </w:style>
  <w:style w:type="paragraph" w:customStyle="1" w:styleId="786">
    <w:name w:val="CSS1级正文 Char"/>
    <w:basedOn w:val="30"/>
    <w:autoRedefine/>
    <w:qFormat/>
    <w:uiPriority w:val="0"/>
    <w:pPr>
      <w:autoSpaceDE/>
      <w:autoSpaceDN/>
      <w:snapToGrid w:val="0"/>
      <w:ind w:firstLine="480" w:firstLineChars="200"/>
    </w:pPr>
    <w:rPr>
      <w:rFonts w:ascii="Times New Roman"/>
      <w:szCs w:val="24"/>
      <w:lang w:val="en-US"/>
    </w:rPr>
  </w:style>
  <w:style w:type="paragraph" w:customStyle="1" w:styleId="787">
    <w:name w:val="无间隔2"/>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788">
    <w:name w:val="表文字"/>
    <w:autoRedefine/>
    <w:qFormat/>
    <w:uiPriority w:val="0"/>
    <w:rPr>
      <w:rFonts w:ascii="宋体" w:hAnsi="Times New Roman" w:eastAsia="宋体" w:cs="Times New Roman"/>
      <w:kern w:val="2"/>
      <w:lang w:val="en-US" w:eastAsia="zh-CN" w:bidi="ar-SA"/>
    </w:rPr>
  </w:style>
  <w:style w:type="paragraph" w:customStyle="1" w:styleId="789">
    <w:name w:val="MM Title"/>
    <w:basedOn w:val="76"/>
    <w:autoRedefine/>
    <w:qFormat/>
    <w:uiPriority w:val="0"/>
    <w:pPr>
      <w:widowControl w:val="0"/>
      <w:overflowPunct/>
      <w:autoSpaceDE/>
      <w:autoSpaceDN/>
      <w:adjustRightInd/>
      <w:spacing w:before="240" w:after="60"/>
      <w:textAlignment w:val="auto"/>
      <w:outlineLvl w:val="0"/>
    </w:pPr>
    <w:rPr>
      <w:rFonts w:ascii="Arial" w:hAnsi="Arial" w:cs="Arial"/>
      <w:bCs/>
      <w:kern w:val="2"/>
      <w:sz w:val="32"/>
      <w:szCs w:val="32"/>
      <w:lang w:val="en-US"/>
    </w:rPr>
  </w:style>
  <w:style w:type="paragraph" w:customStyle="1" w:styleId="790">
    <w:name w:val="缺省文本"/>
    <w:basedOn w:val="1"/>
    <w:autoRedefine/>
    <w:qFormat/>
    <w:uiPriority w:val="0"/>
    <w:pPr>
      <w:widowControl/>
      <w:overflowPunct w:val="0"/>
      <w:autoSpaceDE w:val="0"/>
      <w:autoSpaceDN w:val="0"/>
      <w:spacing w:line="360" w:lineRule="auto"/>
      <w:ind w:firstLine="720" w:firstLineChars="200"/>
      <w:textAlignment w:val="baseline"/>
    </w:pPr>
    <w:rPr>
      <w:rFonts w:ascii="宋体" w:eastAsia="仿宋_GB2312"/>
      <w:kern w:val="0"/>
      <w:sz w:val="28"/>
      <w:szCs w:val="20"/>
    </w:rPr>
  </w:style>
  <w:style w:type="paragraph" w:customStyle="1" w:styleId="791">
    <w:name w:val="Char Char Char Char Char Char1 Char1"/>
    <w:basedOn w:val="1"/>
    <w:autoRedefine/>
    <w:qFormat/>
    <w:uiPriority w:val="0"/>
    <w:pPr>
      <w:widowControl/>
      <w:spacing w:after="160" w:line="240" w:lineRule="exact"/>
      <w:jc w:val="left"/>
    </w:pPr>
    <w:rPr>
      <w:rFonts w:ascii="Verdana" w:hAnsi="Verdana"/>
      <w:kern w:val="0"/>
      <w:szCs w:val="20"/>
      <w:lang w:eastAsia="en-US"/>
    </w:rPr>
  </w:style>
  <w:style w:type="paragraph" w:customStyle="1" w:styleId="792">
    <w:name w:val="Char Char Char Char Char Char Char Char2"/>
    <w:basedOn w:val="1"/>
    <w:autoRedefine/>
    <w:qFormat/>
    <w:uiPriority w:val="0"/>
    <w:pPr>
      <w:tabs>
        <w:tab w:val="left" w:pos="360"/>
      </w:tabs>
    </w:pPr>
    <w:rPr>
      <w:sz w:val="24"/>
      <w:szCs w:val="20"/>
    </w:rPr>
  </w:style>
  <w:style w:type="paragraph" w:customStyle="1" w:styleId="793">
    <w:name w:val="表内文字"/>
    <w:basedOn w:val="1"/>
    <w:autoRedefine/>
    <w:qFormat/>
    <w:uiPriority w:val="0"/>
    <w:pPr>
      <w:tabs>
        <w:tab w:val="left" w:pos="1418"/>
      </w:tabs>
      <w:adjustRightInd/>
      <w:spacing w:line="360" w:lineRule="auto"/>
      <w:ind w:firstLine="420" w:firstLineChars="200"/>
      <w:jc w:val="center"/>
    </w:pPr>
    <w:rPr>
      <w:rFonts w:ascii="仿宋_GB2312" w:eastAsia="仿宋_GB2312"/>
      <w:spacing w:val="-20"/>
      <w:kern w:val="0"/>
      <w:sz w:val="24"/>
    </w:rPr>
  </w:style>
  <w:style w:type="paragraph" w:customStyle="1" w:styleId="794">
    <w:name w:val="正文文本 21"/>
    <w:basedOn w:val="1"/>
    <w:autoRedefine/>
    <w:qFormat/>
    <w:uiPriority w:val="0"/>
    <w:pPr>
      <w:widowControl/>
      <w:overflowPunct w:val="0"/>
      <w:autoSpaceDE w:val="0"/>
      <w:autoSpaceDN w:val="0"/>
      <w:ind w:left="720" w:hanging="720"/>
      <w:textAlignment w:val="baseline"/>
    </w:pPr>
    <w:rPr>
      <w:kern w:val="0"/>
      <w:sz w:val="24"/>
      <w:szCs w:val="20"/>
      <w:lang w:val="en-GB"/>
    </w:rPr>
  </w:style>
  <w:style w:type="paragraph" w:customStyle="1" w:styleId="795">
    <w:name w:val="中文标题 3"/>
    <w:basedOn w:val="31"/>
    <w:autoRedefine/>
    <w:qFormat/>
    <w:uiPriority w:val="0"/>
    <w:pPr>
      <w:adjustRightInd/>
      <w:spacing w:before="100" w:beforeAutospacing="1" w:after="100" w:afterAutospacing="1" w:line="360" w:lineRule="auto"/>
      <w:ind w:firstLine="482" w:firstLineChars="0"/>
    </w:pPr>
    <w:rPr>
      <w:rFonts w:ascii="Times New Roman" w:hAnsi="Times New Roman" w:eastAsia="楷体_GB2312"/>
      <w:kern w:val="28"/>
    </w:rPr>
  </w:style>
  <w:style w:type="paragraph" w:customStyle="1" w:styleId="796">
    <w:name w:val="bt_content"/>
    <w:basedOn w:val="1"/>
    <w:autoRedefine/>
    <w:qFormat/>
    <w:uiPriority w:val="0"/>
    <w:pPr>
      <w:widowControl/>
      <w:adjustRightInd/>
      <w:spacing w:before="100" w:beforeAutospacing="1" w:after="100" w:afterAutospacing="1" w:line="360" w:lineRule="auto"/>
      <w:ind w:firstLine="480" w:firstLineChars="200"/>
      <w:jc w:val="left"/>
    </w:pPr>
    <w:rPr>
      <w:rFonts w:ascii="宋体" w:hAnsi="宋体" w:eastAsia="微软雅黑" w:cs="宋体"/>
      <w:kern w:val="0"/>
      <w:sz w:val="24"/>
    </w:rPr>
  </w:style>
  <w:style w:type="paragraph" w:customStyle="1" w:styleId="797">
    <w:name w:val="标准书眉_奇数页"/>
    <w:next w:val="1"/>
    <w:autoRedefine/>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798">
    <w:name w:val="正文－恩普"/>
    <w:basedOn w:val="6"/>
    <w:autoRedefine/>
    <w:qFormat/>
    <w:uiPriority w:val="0"/>
    <w:pPr>
      <w:adjustRightInd/>
      <w:snapToGrid/>
      <w:spacing w:before="100" w:beforeAutospacing="1" w:afterLines="50" w:afterAutospacing="1" w:line="360" w:lineRule="auto"/>
      <w:ind w:firstLine="480" w:firstLineChars="200"/>
      <w:jc w:val="left"/>
    </w:pPr>
    <w:rPr>
      <w:rFonts w:ascii="Times New Roman"/>
      <w:snapToGrid/>
      <w:color w:val="auto"/>
      <w:kern w:val="0"/>
      <w:sz w:val="24"/>
    </w:rPr>
  </w:style>
  <w:style w:type="paragraph" w:customStyle="1" w:styleId="799">
    <w:name w:val="Char Char11 Char Char Char Char Char Char Char Char Char Char Char Char Char12"/>
    <w:basedOn w:val="1"/>
    <w:autoRedefine/>
    <w:qFormat/>
    <w:uiPriority w:val="0"/>
    <w:pPr>
      <w:adjustRightInd/>
      <w:spacing w:line="360" w:lineRule="auto"/>
    </w:pPr>
    <w:rPr>
      <w:rFonts w:ascii="Arial" w:hAnsi="Arial" w:eastAsia="黑体" w:cs="Arial"/>
      <w:snapToGrid w:val="0"/>
      <w:kern w:val="0"/>
      <w:szCs w:val="21"/>
    </w:rPr>
  </w:style>
  <w:style w:type="paragraph" w:customStyle="1" w:styleId="800">
    <w:name w:val="Char4"/>
    <w:basedOn w:val="1"/>
    <w:autoRedefine/>
    <w:qFormat/>
    <w:uiPriority w:val="0"/>
    <w:pPr>
      <w:tabs>
        <w:tab w:val="left" w:pos="432"/>
      </w:tabs>
      <w:adjustRightInd/>
      <w:spacing w:beforeLines="50" w:afterLines="50" w:line="360" w:lineRule="auto"/>
      <w:ind w:left="432" w:hanging="432" w:firstLineChars="200"/>
    </w:pPr>
    <w:rPr>
      <w:rFonts w:ascii="宋体" w:hAnsi="宋体" w:eastAsia="微软雅黑"/>
      <w:b/>
      <w:kern w:val="44"/>
      <w:sz w:val="32"/>
      <w:szCs w:val="32"/>
    </w:rPr>
  </w:style>
  <w:style w:type="paragraph" w:customStyle="1" w:styleId="801">
    <w:name w:val="p0"/>
    <w:basedOn w:val="1"/>
    <w:autoRedefine/>
    <w:qFormat/>
    <w:uiPriority w:val="0"/>
    <w:pPr>
      <w:widowControl/>
      <w:adjustRightInd/>
    </w:pPr>
    <w:rPr>
      <w:kern w:val="0"/>
      <w:szCs w:val="21"/>
    </w:rPr>
  </w:style>
  <w:style w:type="paragraph" w:customStyle="1" w:styleId="802">
    <w:name w:val="Char6"/>
    <w:basedOn w:val="1"/>
    <w:autoRedefine/>
    <w:qFormat/>
    <w:uiPriority w:val="0"/>
    <w:rPr>
      <w:rFonts w:ascii="仿宋_GB2312" w:eastAsia="仿宋_GB2312"/>
      <w:b/>
      <w:sz w:val="32"/>
      <w:szCs w:val="32"/>
    </w:rPr>
  </w:style>
  <w:style w:type="paragraph" w:customStyle="1" w:styleId="803">
    <w:name w:val="Char111"/>
    <w:basedOn w:val="1"/>
    <w:autoRedefine/>
    <w:qFormat/>
    <w:uiPriority w:val="0"/>
    <w:rPr>
      <w:rFonts w:ascii="仿宋_GB2312" w:eastAsia="仿宋_GB2312"/>
      <w:b/>
      <w:sz w:val="32"/>
      <w:szCs w:val="32"/>
    </w:rPr>
  </w:style>
  <w:style w:type="paragraph" w:customStyle="1" w:styleId="804">
    <w:name w:val="标题3"/>
    <w:basedOn w:val="5"/>
    <w:next w:val="65"/>
    <w:autoRedefine/>
    <w:qFormat/>
    <w:uiPriority w:val="0"/>
    <w:pPr>
      <w:tabs>
        <w:tab w:val="clear" w:pos="900"/>
      </w:tabs>
      <w:spacing w:after="0" w:line="360" w:lineRule="auto"/>
    </w:pPr>
    <w:rPr>
      <w:rFonts w:ascii="仿宋" w:hAnsi="仿宋" w:eastAsia="仿宋" w:cs="仿宋"/>
    </w:rPr>
  </w:style>
  <w:style w:type="paragraph" w:customStyle="1" w:styleId="805">
    <w:name w:val="xl23"/>
    <w:basedOn w:val="1"/>
    <w:autoRedefine/>
    <w:qFormat/>
    <w:uiPriority w:val="0"/>
    <w:pPr>
      <w:widowControl/>
      <w:adjustRightInd/>
      <w:spacing w:before="100" w:beforeAutospacing="1" w:after="100" w:afterAutospacing="1" w:line="360" w:lineRule="auto"/>
      <w:ind w:firstLine="200" w:firstLineChars="200"/>
      <w:textAlignment w:val="top"/>
    </w:pPr>
    <w:rPr>
      <w:kern w:val="0"/>
      <w:sz w:val="24"/>
    </w:rPr>
  </w:style>
  <w:style w:type="paragraph" w:customStyle="1" w:styleId="806">
    <w:name w:val="Char Char Char1"/>
    <w:basedOn w:val="1"/>
    <w:autoRedefine/>
    <w:qFormat/>
    <w:uiPriority w:val="0"/>
    <w:pPr>
      <w:widowControl/>
      <w:spacing w:after="160" w:line="240" w:lineRule="exact"/>
      <w:jc w:val="left"/>
    </w:pPr>
    <w:rPr>
      <w:rFonts w:ascii="Verdana" w:hAnsi="Verdana"/>
      <w:kern w:val="0"/>
      <w:sz w:val="20"/>
      <w:szCs w:val="20"/>
      <w:lang w:eastAsia="en-US"/>
    </w:rPr>
  </w:style>
  <w:style w:type="paragraph" w:customStyle="1" w:styleId="807">
    <w:name w:val="Char1 Char Char Char2"/>
    <w:basedOn w:val="1"/>
    <w:autoRedefine/>
    <w:qFormat/>
    <w:uiPriority w:val="0"/>
    <w:pPr>
      <w:adjustRightInd/>
      <w:ind w:firstLine="200" w:firstLineChars="200"/>
    </w:pPr>
    <w:rPr>
      <w:rFonts w:ascii="Tahoma" w:hAnsi="Tahoma"/>
      <w:sz w:val="24"/>
      <w:szCs w:val="20"/>
    </w:rPr>
  </w:style>
  <w:style w:type="paragraph" w:customStyle="1" w:styleId="808">
    <w:name w:val="列出段落1"/>
    <w:basedOn w:val="1"/>
    <w:autoRedefine/>
    <w:qFormat/>
    <w:uiPriority w:val="0"/>
    <w:pPr>
      <w:adjustRightInd/>
      <w:spacing w:line="360" w:lineRule="auto"/>
      <w:ind w:firstLine="420" w:firstLineChars="200"/>
    </w:pPr>
    <w:rPr>
      <w:rFonts w:ascii="Calibri" w:hAnsi="Calibri"/>
      <w:sz w:val="24"/>
      <w:szCs w:val="22"/>
    </w:rPr>
  </w:style>
  <w:style w:type="paragraph" w:customStyle="1" w:styleId="809">
    <w:name w:val="样式 标题 1 + 黑色 段前: 0.5 行 段后: 0.5 行1"/>
    <w:basedOn w:val="3"/>
    <w:autoRedefine/>
    <w:qFormat/>
    <w:uiPriority w:val="0"/>
    <w:pPr>
      <w:keepLines w:val="0"/>
      <w:pageBreakBefore/>
      <w:pBdr>
        <w:top w:val="single" w:color="auto" w:sz="4" w:space="1"/>
        <w:left w:val="single" w:color="auto" w:sz="4" w:space="4"/>
        <w:bottom w:val="single" w:color="auto" w:sz="4" w:space="1"/>
        <w:right w:val="single" w:color="auto" w:sz="4" w:space="4"/>
      </w:pBdr>
      <w:shd w:val="clear" w:color="auto" w:fill="333399"/>
      <w:adjustRightInd/>
      <w:spacing w:before="0" w:after="0" w:line="640" w:lineRule="exact"/>
      <w:ind w:left="431" w:hanging="431"/>
      <w:jc w:val="center"/>
    </w:pPr>
    <w:rPr>
      <w:rFonts w:ascii="黑体" w:hAnsi="黑体" w:eastAsia="黑体" w:cs="Arial"/>
      <w:caps/>
      <w:color w:val="FFFFFF"/>
      <w:kern w:val="2"/>
      <w:sz w:val="30"/>
      <w:szCs w:val="20"/>
    </w:rPr>
  </w:style>
  <w:style w:type="paragraph" w:customStyle="1" w:styleId="810">
    <w:name w:val="Char Char Char Char Char Char Char2"/>
    <w:basedOn w:val="1"/>
    <w:autoRedefine/>
    <w:qFormat/>
    <w:uiPriority w:val="0"/>
    <w:rPr>
      <w:rFonts w:ascii="仿宋_GB2312" w:eastAsia="仿宋_GB2312"/>
      <w:b/>
      <w:sz w:val="32"/>
      <w:szCs w:val="32"/>
    </w:rPr>
  </w:style>
  <w:style w:type="paragraph" w:customStyle="1" w:styleId="811">
    <w:name w:val="五级条标题"/>
    <w:basedOn w:val="812"/>
    <w:next w:val="657"/>
    <w:autoRedefine/>
    <w:qFormat/>
    <w:uiPriority w:val="0"/>
    <w:pPr>
      <w:tabs>
        <w:tab w:val="left" w:pos="1260"/>
        <w:tab w:val="left" w:pos="1680"/>
        <w:tab w:val="left" w:pos="2100"/>
        <w:tab w:val="left" w:pos="2940"/>
        <w:tab w:val="left" w:pos="3360"/>
      </w:tabs>
      <w:ind w:left="3360"/>
      <w:outlineLvl w:val="6"/>
    </w:pPr>
  </w:style>
  <w:style w:type="paragraph" w:customStyle="1" w:styleId="812">
    <w:name w:val="四级条标题"/>
    <w:basedOn w:val="672"/>
    <w:next w:val="657"/>
    <w:autoRedefine/>
    <w:qFormat/>
    <w:uiPriority w:val="0"/>
    <w:pPr>
      <w:tabs>
        <w:tab w:val="left" w:pos="2940"/>
        <w:tab w:val="clear" w:pos="2520"/>
      </w:tabs>
      <w:ind w:left="2940"/>
      <w:outlineLvl w:val="5"/>
    </w:pPr>
  </w:style>
  <w:style w:type="paragraph" w:customStyle="1" w:styleId="813">
    <w:name w:val="目录3"/>
    <w:basedOn w:val="1"/>
    <w:autoRedefine/>
    <w:qFormat/>
    <w:uiPriority w:val="0"/>
    <w:pPr>
      <w:tabs>
        <w:tab w:val="left" w:leader="dot" w:pos="7370"/>
      </w:tabs>
      <w:autoSpaceDE w:val="0"/>
      <w:autoSpaceDN w:val="0"/>
      <w:spacing w:line="317" w:lineRule="atLeast"/>
      <w:ind w:firstLine="419" w:firstLineChars="200"/>
    </w:pPr>
    <w:rPr>
      <w:color w:val="000000"/>
      <w:kern w:val="0"/>
      <w:szCs w:val="21"/>
    </w:rPr>
  </w:style>
  <w:style w:type="paragraph" w:customStyle="1" w:styleId="814">
    <w:name w:val="Char23"/>
    <w:basedOn w:val="1"/>
    <w:autoRedefine/>
    <w:qFormat/>
    <w:uiPriority w:val="0"/>
    <w:rPr>
      <w:rFonts w:ascii="仿宋_GB2312" w:eastAsia="仿宋_GB2312"/>
      <w:b/>
      <w:sz w:val="32"/>
      <w:szCs w:val="32"/>
    </w:rPr>
  </w:style>
  <w:style w:type="paragraph" w:customStyle="1" w:styleId="815">
    <w:name w:val="style3"/>
    <w:basedOn w:val="1"/>
    <w:autoRedefine/>
    <w:qFormat/>
    <w:uiPriority w:val="0"/>
    <w:pPr>
      <w:widowControl/>
      <w:adjustRightInd/>
      <w:spacing w:before="100" w:beforeAutospacing="1" w:after="100" w:afterAutospacing="1" w:line="360" w:lineRule="auto"/>
      <w:ind w:firstLine="480" w:firstLineChars="200"/>
      <w:jc w:val="left"/>
    </w:pPr>
    <w:rPr>
      <w:rFonts w:ascii="宋体" w:hAnsi="宋体" w:eastAsia="微软雅黑"/>
      <w:color w:val="666666"/>
      <w:kern w:val="0"/>
      <w:sz w:val="24"/>
    </w:rPr>
  </w:style>
  <w:style w:type="paragraph" w:customStyle="1" w:styleId="816">
    <w:name w:val="列出段落3"/>
    <w:basedOn w:val="1"/>
    <w:autoRedefine/>
    <w:qFormat/>
    <w:uiPriority w:val="99"/>
    <w:pPr>
      <w:adjustRightInd/>
      <w:spacing w:line="360" w:lineRule="auto"/>
      <w:ind w:firstLine="420" w:firstLineChars="200"/>
    </w:pPr>
    <w:rPr>
      <w:rFonts w:ascii="Calibri" w:hAnsi="Calibri"/>
      <w:sz w:val="24"/>
      <w:szCs w:val="22"/>
    </w:rPr>
  </w:style>
  <w:style w:type="paragraph" w:customStyle="1" w:styleId="817">
    <w:name w:val="首行缩进"/>
    <w:basedOn w:val="1"/>
    <w:autoRedefine/>
    <w:qFormat/>
    <w:uiPriority w:val="0"/>
    <w:pPr>
      <w:spacing w:line="360" w:lineRule="auto"/>
      <w:ind w:firstLine="480" w:firstLineChars="200"/>
    </w:pPr>
    <w:rPr>
      <w:rFonts w:ascii="宋体"/>
      <w:sz w:val="24"/>
      <w:szCs w:val="20"/>
    </w:rPr>
  </w:style>
  <w:style w:type="paragraph" w:customStyle="1" w:styleId="818">
    <w:name w:val="默认段落字体 Para Char Char Char Char Char Char Char Char Char Char Char Char Char Char Char Char Char Char Char"/>
    <w:basedOn w:val="1"/>
    <w:autoRedefine/>
    <w:qFormat/>
    <w:uiPriority w:val="0"/>
    <w:rPr>
      <w:rFonts w:ascii="Tahoma" w:hAnsi="Tahoma"/>
      <w:sz w:val="24"/>
      <w:szCs w:val="20"/>
    </w:rPr>
  </w:style>
  <w:style w:type="paragraph" w:customStyle="1" w:styleId="819">
    <w:name w:val="单元格左对齐"/>
    <w:basedOn w:val="1"/>
    <w:autoRedefine/>
    <w:qFormat/>
    <w:uiPriority w:val="0"/>
    <w:pPr>
      <w:adjustRightInd/>
      <w:spacing w:line="360" w:lineRule="auto"/>
    </w:pPr>
    <w:rPr>
      <w:sz w:val="24"/>
    </w:rPr>
  </w:style>
  <w:style w:type="paragraph" w:customStyle="1" w:styleId="820">
    <w:name w:val="正文主体"/>
    <w:basedOn w:val="641"/>
    <w:autoRedefine/>
    <w:qFormat/>
    <w:uiPriority w:val="0"/>
  </w:style>
  <w:style w:type="paragraph" w:customStyle="1" w:styleId="821">
    <w:name w:val="font6"/>
    <w:basedOn w:val="1"/>
    <w:autoRedefine/>
    <w:qFormat/>
    <w:uiPriority w:val="0"/>
    <w:pPr>
      <w:widowControl/>
      <w:adjustRightInd/>
      <w:spacing w:before="100" w:beforeAutospacing="1" w:after="100" w:afterAutospacing="1" w:line="360" w:lineRule="auto"/>
      <w:ind w:firstLine="200" w:firstLineChars="200"/>
      <w:jc w:val="left"/>
    </w:pPr>
    <w:rPr>
      <w:rFonts w:hint="eastAsia" w:ascii="宋体" w:hAnsi="宋体"/>
      <w:kern w:val="0"/>
      <w:sz w:val="20"/>
      <w:szCs w:val="20"/>
    </w:rPr>
  </w:style>
  <w:style w:type="paragraph" w:customStyle="1" w:styleId="822">
    <w:name w:val="Char3 Char Char Char Char Char Char1"/>
    <w:basedOn w:val="1"/>
    <w:autoRedefine/>
    <w:qFormat/>
    <w:uiPriority w:val="6"/>
    <w:pPr>
      <w:adjustRightInd/>
      <w:spacing w:line="360" w:lineRule="auto"/>
    </w:pPr>
    <w:rPr>
      <w:rFonts w:ascii="Arial" w:hAnsi="Arial" w:eastAsia="黑体" w:cs="Arial"/>
      <w:snapToGrid w:val="0"/>
      <w:kern w:val="0"/>
      <w:szCs w:val="21"/>
    </w:rPr>
  </w:style>
  <w:style w:type="paragraph" w:customStyle="1" w:styleId="823">
    <w:name w:val="样式 首行缩进:  2 字符"/>
    <w:basedOn w:val="1"/>
    <w:autoRedefine/>
    <w:qFormat/>
    <w:uiPriority w:val="0"/>
    <w:pPr>
      <w:snapToGrid w:val="0"/>
      <w:spacing w:line="360" w:lineRule="auto"/>
    </w:pPr>
    <w:rPr>
      <w:rFonts w:ascii="仿宋_GB2312" w:hAnsi="宋体" w:eastAsia="仿宋_GB2312" w:cs="宋体"/>
      <w:color w:val="000000"/>
      <w:kern w:val="0"/>
      <w:sz w:val="28"/>
      <w:szCs w:val="21"/>
    </w:rPr>
  </w:style>
  <w:style w:type="paragraph" w:customStyle="1" w:styleId="824">
    <w:name w:val="正文（首行缩进2字符）"/>
    <w:basedOn w:val="1"/>
    <w:autoRedefine/>
    <w:qFormat/>
    <w:uiPriority w:val="0"/>
    <w:pPr>
      <w:adjustRightInd/>
      <w:spacing w:line="360" w:lineRule="auto"/>
      <w:ind w:firstLine="480" w:firstLineChars="200"/>
    </w:pPr>
    <w:rPr>
      <w:sz w:val="24"/>
      <w:szCs w:val="20"/>
    </w:rPr>
  </w:style>
  <w:style w:type="paragraph" w:customStyle="1" w:styleId="825">
    <w:name w:val="P1"/>
    <w:basedOn w:val="1"/>
    <w:autoRedefine/>
    <w:qFormat/>
    <w:uiPriority w:val="0"/>
    <w:pPr>
      <w:adjustRightInd/>
      <w:spacing w:line="288" w:lineRule="auto"/>
      <w:ind w:firstLine="425" w:firstLineChars="200"/>
    </w:pPr>
  </w:style>
  <w:style w:type="paragraph" w:customStyle="1" w:styleId="826">
    <w:name w:val="列表内容"/>
    <w:basedOn w:val="1"/>
    <w:next w:val="1"/>
    <w:autoRedefine/>
    <w:qFormat/>
    <w:uiPriority w:val="0"/>
    <w:pPr>
      <w:widowControl/>
      <w:tabs>
        <w:tab w:val="left" w:pos="840"/>
      </w:tabs>
      <w:ind w:left="840" w:hanging="420"/>
      <w:jc w:val="left"/>
    </w:pPr>
    <w:rPr>
      <w:kern w:val="0"/>
      <w:sz w:val="18"/>
    </w:rPr>
  </w:style>
  <w:style w:type="paragraph" w:customStyle="1" w:styleId="827">
    <w:name w:val="Char Char11 Char Char Char1"/>
    <w:basedOn w:val="1"/>
    <w:autoRedefine/>
    <w:qFormat/>
    <w:uiPriority w:val="6"/>
    <w:pPr>
      <w:spacing w:line="360" w:lineRule="auto"/>
    </w:pPr>
    <w:rPr>
      <w:szCs w:val="20"/>
    </w:rPr>
  </w:style>
  <w:style w:type="paragraph" w:customStyle="1" w:styleId="828">
    <w:name w:val="默认段落字体 Para Char Char Char Char Char Char Char Char Char1 Char Char Char Char"/>
    <w:basedOn w:val="1"/>
    <w:autoRedefine/>
    <w:qFormat/>
    <w:uiPriority w:val="0"/>
    <w:pPr>
      <w:adjustRightInd/>
    </w:pPr>
    <w:rPr>
      <w:rFonts w:ascii="Tahoma" w:hAnsi="Tahoma"/>
      <w:sz w:val="24"/>
      <w:szCs w:val="20"/>
    </w:rPr>
  </w:style>
  <w:style w:type="paragraph" w:customStyle="1" w:styleId="829">
    <w:name w:val="Char Char Char Char Char Char11"/>
    <w:basedOn w:val="1"/>
    <w:autoRedefine/>
    <w:qFormat/>
    <w:uiPriority w:val="0"/>
    <w:pPr>
      <w:widowControl/>
      <w:spacing w:beforeLines="50" w:afterLines="50" w:line="240" w:lineRule="exact"/>
      <w:jc w:val="left"/>
    </w:pPr>
    <w:rPr>
      <w:rFonts w:ascii="Verdana" w:hAnsi="Verdana"/>
      <w:kern w:val="0"/>
      <w:sz w:val="20"/>
      <w:szCs w:val="20"/>
      <w:lang w:eastAsia="en-US"/>
    </w:rPr>
  </w:style>
  <w:style w:type="paragraph" w:customStyle="1" w:styleId="830">
    <w:name w:val="标题 41"/>
    <w:basedOn w:val="1"/>
    <w:next w:val="1"/>
    <w:autoRedefine/>
    <w:unhideWhenUsed/>
    <w:qFormat/>
    <w:uiPriority w:val="9"/>
    <w:pPr>
      <w:keepNext/>
      <w:keepLines/>
      <w:adjustRightInd/>
      <w:spacing w:before="280" w:after="290" w:line="376" w:lineRule="auto"/>
      <w:outlineLvl w:val="3"/>
    </w:pPr>
    <w:rPr>
      <w:rFonts w:ascii="Cambria" w:hAnsi="Cambria"/>
      <w:b/>
      <w:bCs/>
      <w:sz w:val="28"/>
      <w:szCs w:val="28"/>
    </w:rPr>
  </w:style>
  <w:style w:type="paragraph" w:customStyle="1" w:styleId="831">
    <w:name w:val="Table Contents"/>
    <w:basedOn w:val="1"/>
    <w:autoRedefine/>
    <w:qFormat/>
    <w:uiPriority w:val="0"/>
    <w:pPr>
      <w:suppressAutoHyphens/>
      <w:autoSpaceDE w:val="0"/>
      <w:spacing w:after="120"/>
      <w:jc w:val="left"/>
    </w:pPr>
    <w:rPr>
      <w:rFonts w:ascii="Helvetica" w:hAnsi="Helvetica"/>
      <w:kern w:val="1"/>
      <w:sz w:val="20"/>
      <w:szCs w:val="20"/>
    </w:rPr>
  </w:style>
  <w:style w:type="paragraph" w:customStyle="1" w:styleId="832">
    <w:name w:val="正文文字缩进2字"/>
    <w:basedOn w:val="30"/>
    <w:autoRedefine/>
    <w:qFormat/>
    <w:uiPriority w:val="0"/>
    <w:pPr>
      <w:autoSpaceDE/>
      <w:autoSpaceDN/>
      <w:adjustRightInd/>
      <w:spacing w:before="60" w:after="60"/>
      <w:ind w:firstLine="200" w:firstLineChars="200"/>
    </w:pPr>
    <w:rPr>
      <w:rFonts w:ascii="Times New Roman"/>
      <w:szCs w:val="20"/>
      <w:lang w:val="en-US"/>
    </w:rPr>
  </w:style>
  <w:style w:type="paragraph" w:customStyle="1" w:styleId="833">
    <w:name w:val="默认段落字体 Para Char Char Char Char"/>
    <w:basedOn w:val="1"/>
    <w:autoRedefine/>
    <w:qFormat/>
    <w:uiPriority w:val="0"/>
    <w:pPr>
      <w:spacing w:line="360" w:lineRule="auto"/>
    </w:pPr>
    <w:rPr>
      <w:szCs w:val="20"/>
    </w:rPr>
  </w:style>
  <w:style w:type="paragraph" w:customStyle="1" w:styleId="834">
    <w:name w:val="正文4"/>
    <w:basedOn w:val="1"/>
    <w:link w:val="1005"/>
    <w:autoRedefine/>
    <w:qFormat/>
    <w:uiPriority w:val="0"/>
    <w:pPr>
      <w:tabs>
        <w:tab w:val="left" w:pos="720"/>
      </w:tabs>
      <w:adjustRightInd/>
      <w:spacing w:before="60" w:after="60" w:line="360" w:lineRule="auto"/>
      <w:ind w:left="575" w:leftChars="400" w:hanging="175" w:hangingChars="175"/>
    </w:pPr>
    <w:rPr>
      <w:sz w:val="24"/>
    </w:rPr>
  </w:style>
  <w:style w:type="paragraph" w:customStyle="1" w:styleId="835">
    <w:name w:val="xl83"/>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center"/>
    </w:pPr>
    <w:rPr>
      <w:rFonts w:ascii="仿宋" w:hAnsi="仿宋" w:eastAsia="仿宋" w:cs="宋体"/>
      <w:kern w:val="0"/>
      <w:sz w:val="20"/>
      <w:szCs w:val="20"/>
    </w:rPr>
  </w:style>
  <w:style w:type="paragraph" w:customStyle="1" w:styleId="836">
    <w:name w:val="Char2 Char Char Char2"/>
    <w:basedOn w:val="1"/>
    <w:autoRedefine/>
    <w:qFormat/>
    <w:uiPriority w:val="0"/>
    <w:rPr>
      <w:rFonts w:ascii="仿宋_GB2312" w:eastAsia="仿宋_GB2312"/>
      <w:b/>
      <w:sz w:val="32"/>
      <w:szCs w:val="32"/>
    </w:rPr>
  </w:style>
  <w:style w:type="paragraph" w:customStyle="1" w:styleId="837">
    <w:name w:val="Char1 Char Char Char Char Char Char Char Char Char"/>
    <w:basedOn w:val="1"/>
    <w:autoRedefine/>
    <w:qFormat/>
    <w:uiPriority w:val="0"/>
    <w:pPr>
      <w:adjustRightInd/>
      <w:spacing w:before="240" w:after="120" w:line="288" w:lineRule="auto"/>
      <w:ind w:firstLine="200" w:firstLineChars="200"/>
      <w:jc w:val="left"/>
    </w:pPr>
    <w:rPr>
      <w:rFonts w:ascii="Tahoma" w:hAnsi="Tahoma"/>
      <w:sz w:val="24"/>
    </w:rPr>
  </w:style>
  <w:style w:type="paragraph" w:customStyle="1" w:styleId="838">
    <w:name w:val="Char Char Char Char2"/>
    <w:basedOn w:val="1"/>
    <w:autoRedefine/>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839">
    <w:name w:val="正文 首行缩进:  2 字符 Char"/>
    <w:basedOn w:val="1"/>
    <w:autoRedefine/>
    <w:qFormat/>
    <w:uiPriority w:val="0"/>
    <w:pPr>
      <w:adjustRightInd/>
      <w:spacing w:line="360" w:lineRule="auto"/>
      <w:ind w:firstLine="480"/>
    </w:pPr>
    <w:rPr>
      <w:rFonts w:cs="宋体"/>
      <w:sz w:val="24"/>
      <w:szCs w:val="20"/>
    </w:rPr>
  </w:style>
  <w:style w:type="paragraph" w:customStyle="1" w:styleId="840">
    <w:name w:val="Char Char4 Char Char"/>
    <w:basedOn w:val="1"/>
    <w:autoRedefine/>
    <w:qFormat/>
    <w:uiPriority w:val="0"/>
    <w:pPr>
      <w:widowControl/>
      <w:adjustRightInd/>
      <w:spacing w:after="160" w:line="240" w:lineRule="exact"/>
      <w:jc w:val="left"/>
    </w:pPr>
  </w:style>
  <w:style w:type="paragraph" w:customStyle="1" w:styleId="841">
    <w:name w:val="目录2"/>
    <w:basedOn w:val="1"/>
    <w:autoRedefine/>
    <w:qFormat/>
    <w:uiPriority w:val="0"/>
    <w:pPr>
      <w:tabs>
        <w:tab w:val="left" w:leader="dot" w:pos="7370"/>
      </w:tabs>
      <w:autoSpaceDE w:val="0"/>
      <w:autoSpaceDN w:val="0"/>
      <w:spacing w:line="317" w:lineRule="atLeast"/>
      <w:ind w:firstLine="209" w:firstLineChars="200"/>
    </w:pPr>
    <w:rPr>
      <w:color w:val="000000"/>
      <w:kern w:val="0"/>
      <w:szCs w:val="21"/>
    </w:rPr>
  </w:style>
  <w:style w:type="paragraph" w:customStyle="1" w:styleId="842">
    <w:name w:val="Char Char11 Char Char Char2"/>
    <w:basedOn w:val="1"/>
    <w:autoRedefine/>
    <w:qFormat/>
    <w:uiPriority w:val="0"/>
    <w:pPr>
      <w:spacing w:line="360" w:lineRule="auto"/>
    </w:pPr>
    <w:rPr>
      <w:szCs w:val="20"/>
    </w:rPr>
  </w:style>
  <w:style w:type="paragraph" w:customStyle="1" w:styleId="843">
    <w:name w:val="9"/>
    <w:autoRedefine/>
    <w:qFormat/>
    <w:uiPriority w:val="0"/>
    <w:pPr>
      <w:widowControl w:val="0"/>
      <w:autoSpaceDE w:val="0"/>
      <w:autoSpaceDN w:val="0"/>
      <w:adjustRightInd w:val="0"/>
      <w:jc w:val="both"/>
    </w:pPr>
    <w:rPr>
      <w:rFonts w:ascii="宋体" w:hAnsi="Times New Roman" w:eastAsia="宋体" w:cs="Times New Roman"/>
      <w:b/>
      <w:bCs/>
      <w:color w:val="000000"/>
      <w:spacing w:val="15"/>
      <w:sz w:val="18"/>
      <w:szCs w:val="18"/>
      <w:lang w:val="en-US" w:eastAsia="zh-CN" w:bidi="ar-SA"/>
    </w:rPr>
  </w:style>
  <w:style w:type="paragraph" w:customStyle="1" w:styleId="844">
    <w:name w:val="Char3 Char Char2"/>
    <w:basedOn w:val="1"/>
    <w:autoRedefine/>
    <w:qFormat/>
    <w:uiPriority w:val="0"/>
    <w:pPr>
      <w:widowControl/>
      <w:adjustRightInd/>
      <w:spacing w:after="160" w:line="240" w:lineRule="exact"/>
      <w:jc w:val="left"/>
    </w:pPr>
    <w:rPr>
      <w:rFonts w:ascii="Arial" w:hAnsi="Arial" w:eastAsia="Times New Roman" w:cs="Verdana"/>
      <w:b/>
      <w:kern w:val="0"/>
      <w:sz w:val="24"/>
      <w:szCs w:val="20"/>
      <w:lang w:eastAsia="en-US"/>
    </w:rPr>
  </w:style>
  <w:style w:type="paragraph" w:customStyle="1" w:styleId="845">
    <w:name w:val="数字标题4"/>
    <w:basedOn w:val="7"/>
    <w:autoRedefine/>
    <w:qFormat/>
    <w:uiPriority w:val="0"/>
    <w:pPr>
      <w:tabs>
        <w:tab w:val="left" w:pos="0"/>
        <w:tab w:val="clear" w:pos="864"/>
      </w:tabs>
      <w:spacing w:before="0" w:after="0" w:line="360" w:lineRule="auto"/>
      <w:ind w:left="1"/>
    </w:pPr>
    <w:rPr>
      <w:rFonts w:eastAsia="仿宋_GB2312" w:cs="Arial"/>
      <w:b w:val="0"/>
      <w:bCs w:val="0"/>
      <w:color w:val="000000"/>
      <w:kern w:val="0"/>
      <w:sz w:val="24"/>
      <w:szCs w:val="24"/>
      <w:lang w:val="en-US"/>
    </w:rPr>
  </w:style>
  <w:style w:type="paragraph" w:customStyle="1" w:styleId="846">
    <w:name w:val="表格文字（大）"/>
    <w:basedOn w:val="1"/>
    <w:autoRedefine/>
    <w:qFormat/>
    <w:uiPriority w:val="0"/>
    <w:pPr>
      <w:adjustRightInd/>
      <w:spacing w:before="20" w:after="20"/>
      <w:ind w:firstLine="200" w:firstLineChars="200"/>
    </w:pPr>
    <w:rPr>
      <w:rFonts w:ascii="Century Gothic" w:hAnsi="Century Gothic"/>
      <w:sz w:val="24"/>
      <w:szCs w:val="20"/>
    </w:rPr>
  </w:style>
  <w:style w:type="paragraph" w:customStyle="1" w:styleId="847">
    <w:name w:val="插图说明"/>
    <w:basedOn w:val="1"/>
    <w:autoRedefine/>
    <w:qFormat/>
    <w:uiPriority w:val="0"/>
    <w:pPr>
      <w:spacing w:after="240"/>
      <w:ind w:firstLine="200" w:firstLineChars="200"/>
      <w:jc w:val="center"/>
      <w:textAlignment w:val="baseline"/>
    </w:pPr>
    <w:rPr>
      <w:rFonts w:eastAsia="黑体"/>
      <w:sz w:val="24"/>
      <w:szCs w:val="20"/>
    </w:rPr>
  </w:style>
  <w:style w:type="paragraph" w:customStyle="1" w:styleId="848">
    <w:name w:val="chart text"/>
    <w:basedOn w:val="1"/>
    <w:autoRedefine/>
    <w:qFormat/>
    <w:uiPriority w:val="0"/>
    <w:pPr>
      <w:widowControl/>
      <w:adjustRightInd/>
      <w:spacing w:line="180" w:lineRule="exact"/>
      <w:ind w:firstLine="200" w:firstLineChars="200"/>
      <w:jc w:val="left"/>
    </w:pPr>
    <w:rPr>
      <w:rFonts w:ascii="Futura Bk" w:hAnsi="Futura Bk" w:cs="Futura Bk"/>
      <w:kern w:val="0"/>
      <w:sz w:val="14"/>
      <w:szCs w:val="14"/>
    </w:rPr>
  </w:style>
  <w:style w:type="paragraph" w:customStyle="1" w:styleId="849">
    <w:name w:val="Char311"/>
    <w:basedOn w:val="1"/>
    <w:autoRedefine/>
    <w:qFormat/>
    <w:uiPriority w:val="0"/>
    <w:pPr>
      <w:adjustRightInd/>
      <w:ind w:firstLine="200" w:firstLineChars="200"/>
    </w:pPr>
    <w:rPr>
      <w:rFonts w:ascii="Tahoma" w:hAnsi="Tahoma"/>
      <w:sz w:val="24"/>
      <w:szCs w:val="20"/>
    </w:rPr>
  </w:style>
  <w:style w:type="paragraph" w:customStyle="1" w:styleId="850">
    <w:name w:val="正文文本 23"/>
    <w:basedOn w:val="1"/>
    <w:autoRedefine/>
    <w:qFormat/>
    <w:uiPriority w:val="0"/>
    <w:pPr>
      <w:widowControl/>
      <w:overflowPunct w:val="0"/>
      <w:autoSpaceDE w:val="0"/>
      <w:autoSpaceDN w:val="0"/>
      <w:ind w:left="720" w:hanging="720"/>
      <w:textAlignment w:val="baseline"/>
    </w:pPr>
    <w:rPr>
      <w:kern w:val="0"/>
      <w:sz w:val="24"/>
      <w:szCs w:val="20"/>
      <w:lang w:val="en-GB"/>
    </w:rPr>
  </w:style>
  <w:style w:type="paragraph" w:customStyle="1" w:styleId="851">
    <w:name w:val="dash bullet"/>
    <w:autoRedefine/>
    <w:qFormat/>
    <w:uiPriority w:val="0"/>
    <w:pPr>
      <w:tabs>
        <w:tab w:val="left" w:pos="187"/>
        <w:tab w:val="left" w:pos="360"/>
      </w:tabs>
      <w:spacing w:after="20"/>
      <w:ind w:left="374" w:hanging="187"/>
    </w:pPr>
    <w:rPr>
      <w:rFonts w:ascii="Futura Bk" w:hAnsi="Futura Bk" w:eastAsia="宋体" w:cs="Times New Roman"/>
      <w:sz w:val="18"/>
      <w:lang w:val="en-US" w:eastAsia="en-US" w:bidi="ar-SA"/>
    </w:rPr>
  </w:style>
  <w:style w:type="paragraph" w:customStyle="1" w:styleId="852">
    <w:name w:val="正文 内标"/>
    <w:basedOn w:val="767"/>
    <w:autoRedefine/>
    <w:qFormat/>
    <w:uiPriority w:val="0"/>
    <w:pPr>
      <w:tabs>
        <w:tab w:val="left" w:pos="0"/>
      </w:tabs>
      <w:ind w:left="900" w:firstLine="0" w:firstLineChars="0"/>
    </w:pPr>
  </w:style>
  <w:style w:type="paragraph" w:customStyle="1" w:styleId="853">
    <w:name w:val="Bulleted List"/>
    <w:basedOn w:val="1"/>
    <w:autoRedefine/>
    <w:qFormat/>
    <w:uiPriority w:val="0"/>
    <w:pPr>
      <w:tabs>
        <w:tab w:val="left" w:pos="1260"/>
      </w:tabs>
      <w:adjustRightInd/>
      <w:ind w:left="1260" w:hanging="420"/>
    </w:pPr>
  </w:style>
  <w:style w:type="paragraph" w:customStyle="1" w:styleId="854">
    <w:name w:val="样式 正文文本缩进 2 + 仿宋_GB2312 黑色 行距: 1.5 倍行距"/>
    <w:basedOn w:val="47"/>
    <w:autoRedefine/>
    <w:qFormat/>
    <w:uiPriority w:val="0"/>
    <w:pPr>
      <w:adjustRightInd/>
      <w:ind w:firstLine="560" w:firstLineChars="200"/>
      <w:textAlignment w:val="auto"/>
    </w:pPr>
    <w:rPr>
      <w:rFonts w:hAnsi="宋体" w:cs="宋体"/>
      <w:color w:val="000000"/>
      <w:kern w:val="2"/>
      <w:sz w:val="24"/>
    </w:rPr>
  </w:style>
  <w:style w:type="paragraph" w:customStyle="1" w:styleId="855">
    <w:name w:val="样式 左侧:  0.85 厘米"/>
    <w:basedOn w:val="1"/>
    <w:autoRedefine/>
    <w:qFormat/>
    <w:uiPriority w:val="2"/>
    <w:pPr>
      <w:adjustRightInd/>
      <w:spacing w:line="360" w:lineRule="auto"/>
    </w:pPr>
    <w:rPr>
      <w:rFonts w:cs="宋体"/>
      <w:sz w:val="24"/>
      <w:szCs w:val="20"/>
    </w:rPr>
  </w:style>
  <w:style w:type="paragraph" w:customStyle="1" w:styleId="856">
    <w:name w:val="Char Char Char Char Char Char Char Char Char Char Char Char1 Char"/>
    <w:basedOn w:val="1"/>
    <w:autoRedefine/>
    <w:qFormat/>
    <w:uiPriority w:val="0"/>
    <w:rPr>
      <w:rFonts w:ascii="Tahoma" w:hAnsi="Tahoma" w:cs="仿宋_GB2312"/>
      <w:sz w:val="24"/>
      <w:szCs w:val="20"/>
    </w:rPr>
  </w:style>
  <w:style w:type="paragraph" w:customStyle="1" w:styleId="857">
    <w:name w:val="Char Char11 Char Char Char Char Char Char Char Char Char Char Char Char Char2"/>
    <w:basedOn w:val="1"/>
    <w:autoRedefine/>
    <w:qFormat/>
    <w:uiPriority w:val="0"/>
    <w:pPr>
      <w:adjustRightInd/>
      <w:spacing w:line="360" w:lineRule="auto"/>
    </w:pPr>
    <w:rPr>
      <w:rFonts w:ascii="Arial" w:hAnsi="Arial" w:eastAsia="黑体"/>
      <w:snapToGrid w:val="0"/>
      <w:kern w:val="0"/>
      <w:sz w:val="20"/>
      <w:szCs w:val="21"/>
    </w:rPr>
  </w:style>
  <w:style w:type="paragraph" w:customStyle="1" w:styleId="858">
    <w:name w:val="xl88"/>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859">
    <w:name w:val="模板普通正文"/>
    <w:basedOn w:val="31"/>
    <w:autoRedefine/>
    <w:qFormat/>
    <w:uiPriority w:val="0"/>
    <w:pPr>
      <w:adjustRightInd/>
      <w:spacing w:beforeLines="50" w:after="10" w:line="360" w:lineRule="auto"/>
      <w:ind w:firstLine="175" w:firstLineChars="175"/>
      <w:jc w:val="left"/>
    </w:pPr>
    <w:rPr>
      <w:rFonts w:ascii="Times New Roman" w:hAnsi="Times New Roman"/>
    </w:rPr>
  </w:style>
  <w:style w:type="paragraph" w:customStyle="1" w:styleId="860">
    <w:name w:val="Char Char1 Char Char Char Char Char Char"/>
    <w:basedOn w:val="1"/>
    <w:autoRedefine/>
    <w:qFormat/>
    <w:uiPriority w:val="0"/>
    <w:rPr>
      <w:rFonts w:ascii="仿宋_GB2312" w:eastAsia="仿宋_GB2312"/>
      <w:b/>
      <w:sz w:val="32"/>
      <w:szCs w:val="20"/>
    </w:rPr>
  </w:style>
  <w:style w:type="paragraph" w:customStyle="1" w:styleId="861">
    <w:name w:val="font8"/>
    <w:basedOn w:val="1"/>
    <w:autoRedefine/>
    <w:qFormat/>
    <w:uiPriority w:val="0"/>
    <w:pPr>
      <w:widowControl/>
      <w:adjustRightInd/>
      <w:spacing w:before="100" w:beforeAutospacing="1" w:after="100" w:afterAutospacing="1"/>
      <w:jc w:val="left"/>
    </w:pPr>
    <w:rPr>
      <w:color w:val="000000"/>
      <w:kern w:val="0"/>
      <w:sz w:val="20"/>
      <w:szCs w:val="20"/>
    </w:rPr>
  </w:style>
  <w:style w:type="paragraph" w:customStyle="1" w:styleId="862">
    <w:name w:val="Char Char1 Char Char Char Char Char Char2"/>
    <w:basedOn w:val="1"/>
    <w:autoRedefine/>
    <w:qFormat/>
    <w:uiPriority w:val="0"/>
    <w:rPr>
      <w:rFonts w:ascii="仿宋_GB2312" w:eastAsia="仿宋_GB2312"/>
      <w:b/>
      <w:sz w:val="32"/>
      <w:szCs w:val="20"/>
    </w:rPr>
  </w:style>
  <w:style w:type="paragraph" w:customStyle="1" w:styleId="863">
    <w:name w:val="font13"/>
    <w:basedOn w:val="1"/>
    <w:autoRedefine/>
    <w:qFormat/>
    <w:uiPriority w:val="0"/>
    <w:pPr>
      <w:widowControl/>
      <w:adjustRightInd/>
      <w:spacing w:before="100" w:beforeAutospacing="1" w:after="100" w:afterAutospacing="1"/>
      <w:jc w:val="left"/>
    </w:pPr>
    <w:rPr>
      <w:rFonts w:ascii="宋体" w:hAnsi="宋体" w:cs="宋体"/>
      <w:kern w:val="0"/>
      <w:sz w:val="22"/>
      <w:szCs w:val="22"/>
    </w:rPr>
  </w:style>
  <w:style w:type="paragraph" w:customStyle="1" w:styleId="864">
    <w:name w:val="默认段落字体 Para Char Char Char Char Char Char Char Char Char Char"/>
    <w:basedOn w:val="1"/>
    <w:autoRedefine/>
    <w:qFormat/>
    <w:uiPriority w:val="0"/>
    <w:pPr>
      <w:adjustRightInd/>
    </w:pPr>
    <w:rPr>
      <w:rFonts w:ascii="Tahoma" w:hAnsi="Tahoma"/>
      <w:color w:val="000000"/>
      <w:sz w:val="24"/>
      <w:szCs w:val="20"/>
    </w:rPr>
  </w:style>
  <w:style w:type="paragraph" w:customStyle="1" w:styleId="865">
    <w:name w:val="legal"/>
    <w:basedOn w:val="1"/>
    <w:autoRedefine/>
    <w:qFormat/>
    <w:uiPriority w:val="0"/>
    <w:pPr>
      <w:widowControl/>
      <w:adjustRightInd/>
      <w:spacing w:line="180" w:lineRule="exact"/>
      <w:ind w:firstLine="200" w:firstLineChars="200"/>
      <w:jc w:val="left"/>
    </w:pPr>
    <w:rPr>
      <w:rFonts w:ascii="Futura Bk" w:hAnsi="Futura Bk" w:cs="Futura Bk"/>
      <w:kern w:val="0"/>
      <w:sz w:val="13"/>
      <w:szCs w:val="13"/>
    </w:rPr>
  </w:style>
  <w:style w:type="paragraph" w:customStyle="1" w:styleId="866">
    <w:name w:val="xl85"/>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867">
    <w:name w:val="Char Char Char Char Char Char1 Char2"/>
    <w:basedOn w:val="1"/>
    <w:autoRedefine/>
    <w:qFormat/>
    <w:uiPriority w:val="0"/>
    <w:pPr>
      <w:widowControl/>
      <w:spacing w:after="160" w:line="240" w:lineRule="exact"/>
      <w:jc w:val="left"/>
    </w:pPr>
    <w:rPr>
      <w:rFonts w:ascii="Verdana" w:hAnsi="Verdana"/>
      <w:kern w:val="0"/>
      <w:szCs w:val="20"/>
      <w:lang w:eastAsia="en-US"/>
    </w:rPr>
  </w:style>
  <w:style w:type="paragraph" w:customStyle="1" w:styleId="868">
    <w:name w:val="样式 首行缩进:  2 字符4"/>
    <w:basedOn w:val="1"/>
    <w:autoRedefine/>
    <w:qFormat/>
    <w:uiPriority w:val="0"/>
    <w:pPr>
      <w:adjustRightInd/>
      <w:spacing w:before="120" w:line="360" w:lineRule="auto"/>
      <w:ind w:firstLine="480" w:firstLineChars="200"/>
    </w:pPr>
    <w:rPr>
      <w:rFonts w:eastAsia="仿宋_GB2312" w:cs="宋体"/>
      <w:sz w:val="28"/>
      <w:szCs w:val="20"/>
    </w:rPr>
  </w:style>
  <w:style w:type="paragraph" w:customStyle="1" w:styleId="869">
    <w:name w:val="中等深浅网格 1 - 强调文字颜色 21"/>
    <w:basedOn w:val="1"/>
    <w:autoRedefine/>
    <w:qFormat/>
    <w:uiPriority w:val="0"/>
    <w:pPr>
      <w:spacing w:line="360" w:lineRule="auto"/>
      <w:ind w:firstLine="200" w:firstLineChars="200"/>
    </w:pPr>
    <w:rPr>
      <w:rFonts w:eastAsia="楷体_GB2312" w:cs="Lucida Sans"/>
      <w:sz w:val="24"/>
    </w:rPr>
  </w:style>
  <w:style w:type="paragraph" w:customStyle="1" w:styleId="870">
    <w:name w:val="xl86"/>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871">
    <w:name w:val="Body Copy"/>
    <w:basedOn w:val="1"/>
    <w:autoRedefine/>
    <w:qFormat/>
    <w:uiPriority w:val="0"/>
    <w:pPr>
      <w:widowControl/>
      <w:tabs>
        <w:tab w:val="left" w:pos="1584"/>
        <w:tab w:val="left" w:pos="1613"/>
        <w:tab w:val="left" w:pos="1728"/>
        <w:tab w:val="left" w:pos="1872"/>
        <w:tab w:val="left" w:pos="2016"/>
      </w:tabs>
      <w:adjustRightInd/>
      <w:spacing w:after="180" w:line="240" w:lineRule="exact"/>
      <w:ind w:left="1440" w:right="115" w:firstLine="200" w:firstLineChars="200"/>
      <w:jc w:val="left"/>
    </w:pPr>
    <w:rPr>
      <w:rFonts w:ascii="Aldine401 BT" w:hAnsi="Aldine401 BT"/>
      <w:kern w:val="0"/>
      <w:sz w:val="20"/>
      <w:szCs w:val="20"/>
    </w:rPr>
  </w:style>
  <w:style w:type="paragraph" w:customStyle="1" w:styleId="872">
    <w:name w:val="Char31"/>
    <w:basedOn w:val="1"/>
    <w:autoRedefine/>
    <w:qFormat/>
    <w:uiPriority w:val="0"/>
    <w:pPr>
      <w:adjustRightInd/>
    </w:pPr>
    <w:rPr>
      <w:rFonts w:ascii="仿宋_GB2312" w:eastAsia="仿宋_GB2312"/>
      <w:b/>
      <w:sz w:val="32"/>
      <w:szCs w:val="32"/>
    </w:rPr>
  </w:style>
  <w:style w:type="paragraph" w:customStyle="1" w:styleId="873">
    <w:name w:val="样式 标题 3h33rd level3Heading 3 - oldH3l3CTheading 3Headin..."/>
    <w:basedOn w:val="5"/>
    <w:autoRedefine/>
    <w:qFormat/>
    <w:uiPriority w:val="0"/>
    <w:pPr>
      <w:snapToGrid w:val="0"/>
      <w:ind w:left="0" w:firstLine="0"/>
      <w:jc w:val="left"/>
    </w:pPr>
    <w:rPr>
      <w:rFonts w:eastAsia="黑体" w:cs="宋体"/>
      <w:sz w:val="28"/>
      <w:szCs w:val="20"/>
    </w:rPr>
  </w:style>
  <w:style w:type="paragraph" w:customStyle="1" w:styleId="874">
    <w:name w:val="Char Char Char Char Char Char1"/>
    <w:basedOn w:val="1"/>
    <w:autoRedefine/>
    <w:qFormat/>
    <w:uiPriority w:val="6"/>
    <w:pPr>
      <w:widowControl/>
      <w:spacing w:beforeLines="50" w:afterLines="50" w:line="240" w:lineRule="exact"/>
      <w:jc w:val="left"/>
    </w:pPr>
    <w:rPr>
      <w:rFonts w:ascii="Verdana" w:hAnsi="Verdana"/>
      <w:kern w:val="0"/>
      <w:sz w:val="20"/>
      <w:szCs w:val="20"/>
      <w:lang w:eastAsia="en-US"/>
    </w:rPr>
  </w:style>
  <w:style w:type="paragraph" w:customStyle="1" w:styleId="875">
    <w:name w:val="xl90"/>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center"/>
    </w:pPr>
    <w:rPr>
      <w:rFonts w:ascii="仿宋" w:hAnsi="仿宋" w:eastAsia="仿宋" w:cs="宋体"/>
      <w:kern w:val="0"/>
      <w:sz w:val="20"/>
      <w:szCs w:val="20"/>
    </w:rPr>
  </w:style>
  <w:style w:type="paragraph" w:customStyle="1" w:styleId="876">
    <w:name w:val="Char Char1"/>
    <w:basedOn w:val="1"/>
    <w:autoRedefine/>
    <w:qFormat/>
    <w:uiPriority w:val="0"/>
    <w:pPr>
      <w:widowControl/>
      <w:spacing w:after="160" w:line="240" w:lineRule="exact"/>
      <w:jc w:val="left"/>
    </w:pPr>
    <w:rPr>
      <w:rFonts w:eastAsia="仿宋_GB2312"/>
      <w:sz w:val="28"/>
    </w:rPr>
  </w:style>
  <w:style w:type="paragraph" w:customStyle="1" w:styleId="877">
    <w:name w:val="Char21"/>
    <w:basedOn w:val="1"/>
    <w:autoRedefine/>
    <w:qFormat/>
    <w:uiPriority w:val="0"/>
    <w:pPr>
      <w:adjustRightInd/>
      <w:ind w:firstLine="200" w:firstLineChars="200"/>
    </w:pPr>
    <w:rPr>
      <w:rFonts w:ascii="仿宋_GB2312" w:eastAsia="仿宋_GB2312"/>
      <w:b/>
      <w:sz w:val="32"/>
      <w:szCs w:val="32"/>
    </w:rPr>
  </w:style>
  <w:style w:type="paragraph" w:customStyle="1" w:styleId="878">
    <w:name w:val="列表段落1"/>
    <w:basedOn w:val="1"/>
    <w:autoRedefine/>
    <w:qFormat/>
    <w:uiPriority w:val="0"/>
    <w:pPr>
      <w:adjustRightInd/>
      <w:ind w:right="238" w:firstLine="420"/>
    </w:pPr>
    <w:rPr>
      <w:rFonts w:ascii="Calibri" w:hAnsi="Calibri"/>
      <w:sz w:val="24"/>
    </w:rPr>
  </w:style>
  <w:style w:type="paragraph" w:customStyle="1" w:styleId="879">
    <w:name w:val="Char Char110"/>
    <w:basedOn w:val="1"/>
    <w:autoRedefine/>
    <w:qFormat/>
    <w:uiPriority w:val="6"/>
    <w:pPr>
      <w:spacing w:line="360" w:lineRule="auto"/>
    </w:pPr>
    <w:rPr>
      <w:rFonts w:ascii="Tahoma" w:hAnsi="Tahoma"/>
      <w:sz w:val="24"/>
      <w:szCs w:val="20"/>
    </w:rPr>
  </w:style>
  <w:style w:type="paragraph" w:customStyle="1" w:styleId="880">
    <w:name w:val="xl80"/>
    <w:basedOn w:val="1"/>
    <w:autoRedefine/>
    <w:qFormat/>
    <w:uiPriority w:val="0"/>
    <w:pPr>
      <w:widowControl/>
      <w:adjustRightInd/>
      <w:spacing w:before="100" w:beforeAutospacing="1" w:after="100" w:afterAutospacing="1"/>
      <w:jc w:val="left"/>
    </w:pPr>
    <w:rPr>
      <w:rFonts w:ascii="仿宋" w:hAnsi="仿宋" w:eastAsia="仿宋" w:cs="宋体"/>
      <w:kern w:val="0"/>
      <w:sz w:val="20"/>
      <w:szCs w:val="20"/>
    </w:rPr>
  </w:style>
  <w:style w:type="paragraph" w:customStyle="1" w:styleId="881">
    <w:name w:val="Char Char11 Char Char Char Char Char Char Char Char Char Char Char Char Char Char Char1"/>
    <w:basedOn w:val="1"/>
    <w:autoRedefine/>
    <w:qFormat/>
    <w:uiPriority w:val="0"/>
    <w:pPr>
      <w:adjustRightInd/>
      <w:spacing w:line="360" w:lineRule="auto"/>
    </w:pPr>
    <w:rPr>
      <w:rFonts w:ascii="Arial" w:hAnsi="Arial" w:eastAsia="黑体" w:cs="Arial"/>
      <w:snapToGrid w:val="0"/>
      <w:kern w:val="0"/>
      <w:szCs w:val="21"/>
    </w:rPr>
  </w:style>
  <w:style w:type="paragraph" w:customStyle="1" w:styleId="882">
    <w:name w:val="表正文"/>
    <w:autoRedefine/>
    <w:qFormat/>
    <w:uiPriority w:val="0"/>
    <w:pPr>
      <w:snapToGrid w:val="0"/>
      <w:spacing w:line="600" w:lineRule="atLeast"/>
      <w:ind w:firstLine="641"/>
      <w:jc w:val="both"/>
    </w:pPr>
    <w:rPr>
      <w:rFonts w:ascii="Times New Roman" w:hAnsi="Times New Roman" w:eastAsia="仿宋_GB2312" w:cs="Times New Roman"/>
      <w:sz w:val="32"/>
      <w:lang w:val="en-US" w:eastAsia="zh-CN" w:bidi="ar-SA"/>
    </w:rPr>
  </w:style>
  <w:style w:type="paragraph" w:customStyle="1" w:styleId="883">
    <w:name w:val="浅色底纹 - 强调文字颜色 51"/>
    <w:autoRedefine/>
    <w:qFormat/>
    <w:uiPriority w:val="0"/>
    <w:rPr>
      <w:rFonts w:ascii="Times New Roman" w:hAnsi="Times New Roman" w:eastAsia="宋体" w:cs="Times New Roman"/>
      <w:kern w:val="2"/>
      <w:sz w:val="21"/>
      <w:szCs w:val="24"/>
      <w:lang w:val="en-US" w:eastAsia="zh-CN" w:bidi="ar-SA"/>
    </w:rPr>
  </w:style>
  <w:style w:type="paragraph" w:customStyle="1" w:styleId="884">
    <w:name w:val="Char Char Char Char Char Char Char Char Char Char Char Char1 Char2"/>
    <w:basedOn w:val="1"/>
    <w:autoRedefine/>
    <w:qFormat/>
    <w:uiPriority w:val="0"/>
    <w:rPr>
      <w:rFonts w:ascii="Tahoma" w:hAnsi="Tahoma" w:cs="仿宋_GB2312"/>
      <w:sz w:val="24"/>
      <w:szCs w:val="20"/>
    </w:rPr>
  </w:style>
  <w:style w:type="paragraph" w:customStyle="1" w:styleId="885">
    <w:name w:val="样式9"/>
    <w:basedOn w:val="1"/>
    <w:autoRedefine/>
    <w:qFormat/>
    <w:uiPriority w:val="0"/>
    <w:pPr>
      <w:adjustRightInd/>
      <w:spacing w:before="240" w:after="60" w:line="319" w:lineRule="auto"/>
      <w:ind w:firstLine="200" w:firstLineChars="200"/>
      <w:jc w:val="left"/>
      <w:outlineLvl w:val="0"/>
    </w:pPr>
    <w:rPr>
      <w:rFonts w:ascii="仿宋_GB2312" w:hAnsi="Arial" w:eastAsia="仿宋_GB2312" w:cs="Arial"/>
      <w:b/>
      <w:bCs/>
      <w:sz w:val="24"/>
      <w:szCs w:val="32"/>
    </w:rPr>
  </w:style>
  <w:style w:type="paragraph" w:customStyle="1" w:styleId="886">
    <w:name w:val="Char Char281"/>
    <w:basedOn w:val="1"/>
    <w:autoRedefine/>
    <w:qFormat/>
    <w:uiPriority w:val="0"/>
    <w:pPr>
      <w:adjustRightInd/>
      <w:snapToGrid w:val="0"/>
      <w:spacing w:line="360" w:lineRule="auto"/>
    </w:pPr>
    <w:rPr>
      <w:rFonts w:ascii="Arial" w:hAnsi="Arial" w:eastAsia="黑体"/>
      <w:snapToGrid w:val="0"/>
      <w:kern w:val="0"/>
      <w:sz w:val="20"/>
      <w:szCs w:val="21"/>
    </w:rPr>
  </w:style>
  <w:style w:type="paragraph" w:customStyle="1" w:styleId="887">
    <w:name w:val="样式 列表编号 + 段后: 0.5 行"/>
    <w:basedOn w:val="19"/>
    <w:autoRedefine/>
    <w:qFormat/>
    <w:uiPriority w:val="2"/>
    <w:pPr>
      <w:tabs>
        <w:tab w:val="clear" w:pos="390"/>
        <w:tab w:val="clear" w:pos="454"/>
      </w:tabs>
      <w:ind w:left="840" w:hanging="420"/>
      <w:contextualSpacing/>
    </w:pPr>
    <w:rPr>
      <w:rFonts w:cs="宋体"/>
    </w:rPr>
  </w:style>
  <w:style w:type="paragraph" w:customStyle="1" w:styleId="888">
    <w:name w:val="Char Char Char Char Char Char Char Char Char"/>
    <w:basedOn w:val="1"/>
    <w:autoRedefine/>
    <w:qFormat/>
    <w:uiPriority w:val="0"/>
    <w:pPr>
      <w:adjustRightInd/>
      <w:ind w:firstLine="200" w:firstLineChars="200"/>
    </w:pPr>
    <w:rPr>
      <w:rFonts w:ascii="Tahoma" w:hAnsi="Tahoma"/>
      <w:sz w:val="24"/>
      <w:szCs w:val="20"/>
    </w:rPr>
  </w:style>
  <w:style w:type="paragraph" w:customStyle="1" w:styleId="889">
    <w:name w:val="_Style 12"/>
    <w:basedOn w:val="23"/>
    <w:autoRedefine/>
    <w:qFormat/>
    <w:uiPriority w:val="0"/>
    <w:pPr>
      <w:snapToGrid w:val="0"/>
      <w:spacing w:line="360" w:lineRule="auto"/>
    </w:pPr>
  </w:style>
  <w:style w:type="paragraph" w:customStyle="1" w:styleId="890">
    <w:name w:val="样式 首行缩进:  0 字符"/>
    <w:basedOn w:val="1"/>
    <w:autoRedefine/>
    <w:qFormat/>
    <w:uiPriority w:val="0"/>
    <w:pPr>
      <w:adjustRightInd/>
      <w:spacing w:line="360" w:lineRule="auto"/>
      <w:ind w:firstLine="200" w:firstLineChars="200"/>
    </w:pPr>
    <w:rPr>
      <w:rFonts w:ascii="Arial" w:hAnsi="Arial" w:cs="宋体"/>
      <w:sz w:val="24"/>
      <w:szCs w:val="20"/>
    </w:rPr>
  </w:style>
  <w:style w:type="paragraph" w:customStyle="1" w:styleId="891">
    <w:name w:val="Char1 Char Char Char6"/>
    <w:basedOn w:val="1"/>
    <w:autoRedefine/>
    <w:qFormat/>
    <w:uiPriority w:val="6"/>
    <w:pPr>
      <w:widowControl/>
      <w:snapToGrid w:val="0"/>
      <w:spacing w:before="120" w:after="160" w:line="360" w:lineRule="auto"/>
      <w:ind w:right="-360"/>
      <w:jc w:val="left"/>
    </w:pPr>
    <w:rPr>
      <w:rFonts w:ascii="Arial" w:hAnsi="Arial"/>
      <w:kern w:val="0"/>
      <w:sz w:val="24"/>
      <w:lang w:eastAsia="en-US"/>
    </w:rPr>
  </w:style>
  <w:style w:type="paragraph" w:customStyle="1" w:styleId="892">
    <w:name w:val="_Style 94"/>
    <w:basedOn w:val="1"/>
    <w:next w:val="275"/>
    <w:autoRedefine/>
    <w:qFormat/>
    <w:uiPriority w:val="34"/>
    <w:pPr>
      <w:adjustRightInd/>
      <w:spacing w:line="360" w:lineRule="auto"/>
      <w:ind w:firstLine="200" w:firstLineChars="200"/>
    </w:pPr>
    <w:rPr>
      <w:rFonts w:ascii="Calibri" w:hAnsi="Calibri"/>
      <w:sz w:val="28"/>
      <w:szCs w:val="20"/>
    </w:rPr>
  </w:style>
  <w:style w:type="paragraph" w:customStyle="1" w:styleId="893">
    <w:name w:val="方案正文"/>
    <w:basedOn w:val="1"/>
    <w:autoRedefine/>
    <w:qFormat/>
    <w:uiPriority w:val="0"/>
    <w:pPr>
      <w:snapToGrid w:val="0"/>
      <w:spacing w:line="324" w:lineRule="auto"/>
      <w:ind w:firstLine="482" w:firstLineChars="200"/>
    </w:pPr>
    <w:rPr>
      <w:rFonts w:ascii="仿宋_GB2312" w:eastAsia="仿宋_GB2312"/>
      <w:b/>
      <w:color w:val="000000"/>
      <w:sz w:val="24"/>
      <w:szCs w:val="20"/>
    </w:rPr>
  </w:style>
  <w:style w:type="paragraph" w:customStyle="1" w:styleId="894">
    <w:name w:val="正文 A"/>
    <w:autoRedefine/>
    <w:qFormat/>
    <w:uiPriority w:val="99"/>
    <w:pPr>
      <w:widowControl w:val="0"/>
      <w:jc w:val="both"/>
    </w:pPr>
    <w:rPr>
      <w:rFonts w:ascii="Times New Roman" w:hAnsi="Times New Roman" w:eastAsia="Arial Unicode MS" w:cs="Arial Unicode MS"/>
      <w:color w:val="000000"/>
      <w:kern w:val="2"/>
      <w:sz w:val="21"/>
      <w:szCs w:val="21"/>
      <w:u w:color="000000"/>
      <w:lang w:val="en-US" w:eastAsia="zh-CN" w:bidi="ar-SA"/>
    </w:rPr>
  </w:style>
  <w:style w:type="paragraph" w:customStyle="1" w:styleId="895">
    <w:name w:val="正文 A 主体"/>
    <w:basedOn w:val="1"/>
    <w:autoRedefine/>
    <w:qFormat/>
    <w:uiPriority w:val="0"/>
    <w:pPr>
      <w:widowControl/>
      <w:adjustRightInd/>
      <w:spacing w:line="360" w:lineRule="auto"/>
      <w:ind w:firstLine="200" w:firstLineChars="200"/>
      <w:jc w:val="left"/>
    </w:pPr>
    <w:rPr>
      <w:rFonts w:ascii="仿宋" w:hAnsi="Calibri" w:eastAsia="仿宋"/>
      <w:kern w:val="0"/>
      <w:sz w:val="24"/>
    </w:rPr>
  </w:style>
  <w:style w:type="paragraph" w:customStyle="1" w:styleId="896">
    <w:name w:val="3级标题"/>
    <w:basedOn w:val="689"/>
    <w:autoRedefine/>
    <w:qFormat/>
    <w:uiPriority w:val="0"/>
    <w:pPr>
      <w:outlineLvl w:val="2"/>
    </w:pPr>
  </w:style>
  <w:style w:type="paragraph" w:customStyle="1" w:styleId="897">
    <w:name w:val="xl78"/>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color w:val="000000"/>
      <w:kern w:val="0"/>
      <w:sz w:val="20"/>
      <w:szCs w:val="20"/>
    </w:rPr>
  </w:style>
  <w:style w:type="paragraph" w:customStyle="1" w:styleId="898">
    <w:name w:val="Char1 Char Char Char3"/>
    <w:basedOn w:val="1"/>
    <w:autoRedefine/>
    <w:qFormat/>
    <w:uiPriority w:val="0"/>
    <w:pPr>
      <w:adjustRightInd/>
      <w:ind w:firstLine="200" w:firstLineChars="200"/>
    </w:pPr>
    <w:rPr>
      <w:rFonts w:ascii="Tahoma" w:hAnsi="Tahoma"/>
      <w:sz w:val="24"/>
      <w:szCs w:val="20"/>
    </w:rPr>
  </w:style>
  <w:style w:type="paragraph" w:customStyle="1" w:styleId="899">
    <w:name w:val="GP正文(首行缩进)"/>
    <w:basedOn w:val="1"/>
    <w:autoRedefine/>
    <w:qFormat/>
    <w:uiPriority w:val="0"/>
    <w:pPr>
      <w:adjustRightInd/>
      <w:spacing w:line="360" w:lineRule="auto"/>
      <w:ind w:firstLine="200" w:firstLineChars="200"/>
    </w:pPr>
    <w:rPr>
      <w:rFonts w:eastAsia="仿宋_GB2312"/>
      <w:sz w:val="28"/>
      <w:szCs w:val="21"/>
    </w:rPr>
  </w:style>
  <w:style w:type="paragraph" w:customStyle="1" w:styleId="900">
    <w:name w:val="MM Empty"/>
    <w:basedOn w:val="1"/>
    <w:autoRedefine/>
    <w:qFormat/>
    <w:uiPriority w:val="0"/>
    <w:pPr>
      <w:adjustRightInd/>
    </w:pPr>
  </w:style>
  <w:style w:type="paragraph" w:customStyle="1" w:styleId="901">
    <w:name w:val="Char24"/>
    <w:basedOn w:val="1"/>
    <w:autoRedefine/>
    <w:qFormat/>
    <w:uiPriority w:val="0"/>
    <w:rPr>
      <w:rFonts w:ascii="仿宋_GB2312" w:eastAsia="仿宋_GB2312"/>
      <w:b/>
      <w:sz w:val="32"/>
      <w:szCs w:val="32"/>
    </w:rPr>
  </w:style>
  <w:style w:type="paragraph" w:customStyle="1" w:styleId="902">
    <w:name w:val="正文箭头"/>
    <w:basedOn w:val="555"/>
    <w:autoRedefine/>
    <w:qFormat/>
    <w:uiPriority w:val="0"/>
  </w:style>
  <w:style w:type="paragraph" w:customStyle="1" w:styleId="903">
    <w:name w:val="U_编号2"/>
    <w:basedOn w:val="1"/>
    <w:autoRedefine/>
    <w:qFormat/>
    <w:uiPriority w:val="0"/>
    <w:pPr>
      <w:tabs>
        <w:tab w:val="left" w:pos="785"/>
      </w:tabs>
      <w:adjustRightInd/>
      <w:spacing w:beforeLines="10" w:afterLines="10" w:line="300" w:lineRule="auto"/>
    </w:pPr>
    <w:rPr>
      <w:sz w:val="24"/>
    </w:rPr>
  </w:style>
  <w:style w:type="paragraph" w:customStyle="1" w:styleId="904">
    <w:name w:val="xl72"/>
    <w:basedOn w:val="1"/>
    <w:autoRedefine/>
    <w:qFormat/>
    <w:uiPriority w:val="0"/>
    <w:pPr>
      <w:widowControl/>
      <w:adjustRightInd/>
      <w:spacing w:before="100" w:beforeAutospacing="1" w:after="100" w:afterAutospacing="1"/>
      <w:jc w:val="center"/>
    </w:pPr>
    <w:rPr>
      <w:rFonts w:ascii="微软雅黑" w:hAnsi="微软雅黑" w:eastAsia="微软雅黑" w:cs="宋体"/>
      <w:kern w:val="0"/>
      <w:sz w:val="20"/>
      <w:szCs w:val="20"/>
    </w:rPr>
  </w:style>
  <w:style w:type="paragraph" w:customStyle="1" w:styleId="905">
    <w:name w:val="trs_editor"/>
    <w:basedOn w:val="1"/>
    <w:autoRedefine/>
    <w:qFormat/>
    <w:uiPriority w:val="0"/>
    <w:pPr>
      <w:widowControl/>
      <w:adjustRightInd/>
      <w:spacing w:before="100" w:beforeAutospacing="1" w:after="100" w:afterAutospacing="1"/>
      <w:jc w:val="left"/>
    </w:pPr>
    <w:rPr>
      <w:rFonts w:ascii="宋体" w:hAnsi="宋体" w:cs="宋体"/>
      <w:kern w:val="0"/>
      <w:sz w:val="24"/>
    </w:rPr>
  </w:style>
  <w:style w:type="paragraph" w:customStyle="1" w:styleId="906">
    <w:name w:val="标书标题3"/>
    <w:basedOn w:val="5"/>
    <w:autoRedefine/>
    <w:qFormat/>
    <w:uiPriority w:val="0"/>
    <w:pPr>
      <w:keepLines w:val="0"/>
      <w:widowControl/>
      <w:snapToGrid w:val="0"/>
      <w:spacing w:before="120" w:after="60" w:line="300" w:lineRule="auto"/>
      <w:jc w:val="left"/>
    </w:pPr>
    <w:rPr>
      <w:rFonts w:ascii="Arial Narrow" w:hAnsi="Arial Narrow" w:eastAsia="仿宋_GB2312"/>
      <w:b w:val="0"/>
      <w:bCs w:val="0"/>
      <w:color w:val="000000"/>
      <w:kern w:val="0"/>
      <w:sz w:val="28"/>
    </w:rPr>
  </w:style>
  <w:style w:type="paragraph" w:customStyle="1" w:styleId="907">
    <w:name w:val="TOC 标题11"/>
    <w:basedOn w:val="3"/>
    <w:next w:val="1"/>
    <w:autoRedefine/>
    <w:unhideWhenUsed/>
    <w:qFormat/>
    <w:uiPriority w:val="4"/>
    <w:pPr>
      <w:widowControl/>
      <w:adjustRightInd/>
      <w:spacing w:before="480" w:after="0" w:line="276" w:lineRule="auto"/>
      <w:ind w:left="0" w:firstLine="0"/>
      <w:jc w:val="left"/>
      <w:outlineLvl w:val="9"/>
    </w:pPr>
    <w:rPr>
      <w:rFonts w:ascii="Cambria" w:hAnsi="Cambria"/>
      <w:color w:val="365F91"/>
      <w:kern w:val="0"/>
      <w:sz w:val="28"/>
      <w:szCs w:val="28"/>
    </w:rPr>
  </w:style>
  <w:style w:type="paragraph" w:customStyle="1" w:styleId="908">
    <w:name w:val="_Style 1"/>
    <w:basedOn w:val="1"/>
    <w:autoRedefine/>
    <w:qFormat/>
    <w:uiPriority w:val="34"/>
    <w:pPr>
      <w:adjustRightInd/>
      <w:ind w:firstLine="420" w:firstLineChars="200"/>
    </w:pPr>
    <w:rPr>
      <w:rFonts w:eastAsia="仿宋_GB2312"/>
      <w:sz w:val="28"/>
    </w:rPr>
  </w:style>
  <w:style w:type="paragraph" w:customStyle="1" w:styleId="909">
    <w:name w:val="表格 内容"/>
    <w:basedOn w:val="746"/>
    <w:autoRedefine/>
    <w:qFormat/>
    <w:uiPriority w:val="0"/>
    <w:rPr>
      <w:b w:val="0"/>
      <w:sz w:val="20"/>
    </w:rPr>
  </w:style>
  <w:style w:type="paragraph" w:customStyle="1" w:styleId="910">
    <w:name w:val="正文首行缩进1"/>
    <w:basedOn w:val="30"/>
    <w:autoRedefine/>
    <w:qFormat/>
    <w:uiPriority w:val="0"/>
    <w:pPr>
      <w:suppressAutoHyphens/>
      <w:autoSpaceDE/>
      <w:autoSpaceDN/>
      <w:adjustRightInd/>
      <w:spacing w:after="120" w:line="240" w:lineRule="auto"/>
      <w:ind w:firstLine="420"/>
      <w:jc w:val="left"/>
    </w:pPr>
    <w:rPr>
      <w:rFonts w:ascii="Times New Roman"/>
      <w:kern w:val="1"/>
      <w:sz w:val="28"/>
      <w:szCs w:val="24"/>
      <w:lang w:val="en-US" w:eastAsia="ar-SA"/>
    </w:rPr>
  </w:style>
  <w:style w:type="paragraph" w:customStyle="1" w:styleId="911">
    <w:name w:val="标准正文"/>
    <w:basedOn w:val="1"/>
    <w:link w:val="995"/>
    <w:autoRedefine/>
    <w:qFormat/>
    <w:uiPriority w:val="0"/>
    <w:pPr>
      <w:tabs>
        <w:tab w:val="left" w:pos="780"/>
      </w:tabs>
      <w:adjustRightInd/>
      <w:spacing w:line="360" w:lineRule="auto"/>
      <w:ind w:left="200" w:leftChars="200" w:firstLine="200" w:firstLineChars="200"/>
    </w:pPr>
    <w:rPr>
      <w:sz w:val="24"/>
    </w:rPr>
  </w:style>
  <w:style w:type="paragraph" w:customStyle="1" w:styleId="912">
    <w:name w:val="数字标题5"/>
    <w:basedOn w:val="8"/>
    <w:next w:val="1"/>
    <w:autoRedefine/>
    <w:qFormat/>
    <w:uiPriority w:val="0"/>
    <w:pPr>
      <w:tabs>
        <w:tab w:val="left" w:pos="1080"/>
      </w:tabs>
      <w:ind w:left="1080" w:hanging="1080"/>
    </w:pPr>
  </w:style>
  <w:style w:type="paragraph" w:customStyle="1" w:styleId="913">
    <w:name w:val="数字标题1"/>
    <w:basedOn w:val="3"/>
    <w:next w:val="1"/>
    <w:autoRedefine/>
    <w:qFormat/>
    <w:uiPriority w:val="0"/>
    <w:pPr>
      <w:tabs>
        <w:tab w:val="left" w:pos="480"/>
      </w:tabs>
      <w:ind w:left="480" w:hanging="480"/>
    </w:pPr>
  </w:style>
  <w:style w:type="paragraph" w:customStyle="1" w:styleId="914">
    <w:name w:val="Char1 Char Char Char Char Char Char Char Char Char Char Char1 Char Char Char Char Char Char Char Char Char Char Char Char Char Char1 Char Char Char Char2"/>
    <w:basedOn w:val="1"/>
    <w:autoRedefine/>
    <w:qFormat/>
    <w:uiPriority w:val="0"/>
    <w:pPr>
      <w:spacing w:line="360" w:lineRule="auto"/>
    </w:pPr>
    <w:rPr>
      <w:kern w:val="0"/>
      <w:sz w:val="24"/>
      <w:szCs w:val="20"/>
    </w:rPr>
  </w:style>
  <w:style w:type="paragraph" w:customStyle="1" w:styleId="915">
    <w:name w:val="aspnumfaautoadjustrightr"/>
    <w:autoRedefine/>
    <w:qFormat/>
    <w:uiPriority w:val="0"/>
    <w:pPr>
      <w:widowControl w:val="0"/>
      <w:autoSpaceDE w:val="0"/>
      <w:autoSpaceDN w:val="0"/>
      <w:adjustRightInd w:val="0"/>
      <w:ind w:firstLine="720"/>
      <w:jc w:val="both"/>
    </w:pPr>
    <w:rPr>
      <w:rFonts w:ascii="Times New Roman" w:hAnsi="Times New Roman" w:eastAsia="宋体" w:cs="Times New Roman"/>
      <w:lang w:val="en-US" w:eastAsia="zh-CN" w:bidi="ar-SA"/>
    </w:rPr>
  </w:style>
  <w:style w:type="paragraph" w:customStyle="1" w:styleId="916">
    <w:name w:val="Body"/>
    <w:basedOn w:val="1"/>
    <w:autoRedefine/>
    <w:qFormat/>
    <w:uiPriority w:val="0"/>
    <w:pPr>
      <w:widowControl/>
      <w:adjustRightInd/>
      <w:spacing w:before="120" w:after="120" w:line="240" w:lineRule="exact"/>
      <w:ind w:firstLine="200" w:firstLineChars="200"/>
      <w:jc w:val="left"/>
    </w:pPr>
    <w:rPr>
      <w:rFonts w:ascii="Arial" w:hAnsi="Arial"/>
      <w:kern w:val="0"/>
      <w:sz w:val="20"/>
      <w:szCs w:val="20"/>
      <w:lang w:eastAsia="en-US"/>
    </w:rPr>
  </w:style>
  <w:style w:type="paragraph" w:customStyle="1" w:styleId="917">
    <w:name w:val="RFI Heading 3rd Level"/>
    <w:basedOn w:val="1"/>
    <w:autoRedefine/>
    <w:qFormat/>
    <w:uiPriority w:val="0"/>
    <w:pPr>
      <w:widowControl/>
      <w:tabs>
        <w:tab w:val="left" w:pos="840"/>
      </w:tabs>
      <w:adjustRightInd/>
      <w:ind w:firstLine="200" w:firstLineChars="200"/>
      <w:jc w:val="left"/>
    </w:pPr>
    <w:rPr>
      <w:rFonts w:ascii="Arial (W1)" w:hAnsi="Arial (W1)"/>
      <w:color w:val="000000"/>
      <w:kern w:val="0"/>
      <w:sz w:val="24"/>
      <w:lang w:val="en-GB" w:eastAsia="en-US"/>
    </w:rPr>
  </w:style>
  <w:style w:type="paragraph" w:customStyle="1" w:styleId="918">
    <w:name w:val="标准正文格式"/>
    <w:basedOn w:val="1"/>
    <w:autoRedefine/>
    <w:qFormat/>
    <w:uiPriority w:val="0"/>
    <w:pPr>
      <w:widowControl/>
      <w:spacing w:before="60" w:after="120" w:line="360" w:lineRule="auto"/>
      <w:ind w:firstLine="200" w:firstLineChars="200"/>
      <w:textAlignment w:val="baseline"/>
    </w:pPr>
    <w:rPr>
      <w:rFonts w:ascii="宋体" w:eastAsia="仿宋_GB2312" w:cs="宋体"/>
      <w:color w:val="000000"/>
      <w:kern w:val="0"/>
      <w:sz w:val="24"/>
      <w:szCs w:val="20"/>
    </w:rPr>
  </w:style>
  <w:style w:type="paragraph" w:customStyle="1" w:styleId="919">
    <w:name w:val="Bullet"/>
    <w:basedOn w:val="1"/>
    <w:autoRedefine/>
    <w:qFormat/>
    <w:uiPriority w:val="0"/>
    <w:pPr>
      <w:widowControl/>
      <w:tabs>
        <w:tab w:val="left" w:pos="288"/>
      </w:tabs>
      <w:adjustRightInd/>
      <w:ind w:left="288" w:hanging="360" w:firstLineChars="200"/>
      <w:jc w:val="left"/>
    </w:pPr>
    <w:rPr>
      <w:rFonts w:ascii="Arial" w:hAnsi="Arial"/>
      <w:kern w:val="0"/>
      <w:sz w:val="20"/>
      <w:szCs w:val="20"/>
    </w:rPr>
  </w:style>
  <w:style w:type="paragraph" w:customStyle="1" w:styleId="920">
    <w:name w:val="0"/>
    <w:basedOn w:val="1"/>
    <w:autoRedefine/>
    <w:qFormat/>
    <w:uiPriority w:val="0"/>
    <w:pPr>
      <w:widowControl/>
    </w:pPr>
    <w:rPr>
      <w:kern w:val="0"/>
      <w:sz w:val="24"/>
      <w:szCs w:val="20"/>
    </w:rPr>
  </w:style>
  <w:style w:type="paragraph" w:customStyle="1" w:styleId="921">
    <w:name w:val="Char Char113"/>
    <w:basedOn w:val="1"/>
    <w:autoRedefine/>
    <w:qFormat/>
    <w:uiPriority w:val="0"/>
    <w:pPr>
      <w:widowControl/>
      <w:spacing w:after="160" w:line="240" w:lineRule="exact"/>
      <w:jc w:val="left"/>
    </w:pPr>
    <w:rPr>
      <w:rFonts w:eastAsia="仿宋_GB2312"/>
      <w:sz w:val="28"/>
    </w:rPr>
  </w:style>
  <w:style w:type="paragraph" w:customStyle="1" w:styleId="922">
    <w:name w:val="样式5"/>
    <w:basedOn w:val="1"/>
    <w:autoRedefine/>
    <w:qFormat/>
    <w:uiPriority w:val="0"/>
    <w:pPr>
      <w:spacing w:line="440" w:lineRule="exact"/>
      <w:ind w:left="2" w:firstLine="480" w:firstLineChars="200"/>
    </w:pPr>
    <w:rPr>
      <w:rFonts w:ascii="仿宋_GB2312" w:hAnsi="仿宋" w:eastAsia="仿宋_GB2312"/>
      <w:sz w:val="24"/>
    </w:rPr>
  </w:style>
  <w:style w:type="paragraph" w:customStyle="1" w:styleId="923">
    <w:name w:val="_Style 8"/>
    <w:basedOn w:val="1"/>
    <w:autoRedefine/>
    <w:qFormat/>
    <w:uiPriority w:val="34"/>
    <w:pPr>
      <w:adjustRightInd/>
      <w:ind w:firstLine="420" w:firstLineChars="200"/>
    </w:pPr>
    <w:rPr>
      <w:rFonts w:eastAsia="仿宋_GB2312"/>
      <w:sz w:val="28"/>
    </w:rPr>
  </w:style>
  <w:style w:type="paragraph" w:customStyle="1" w:styleId="924">
    <w:name w:val="xl93"/>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925">
    <w:name w:val="正文样式 首行缩进:  0.74 厘米"/>
    <w:basedOn w:val="1"/>
    <w:autoRedefine/>
    <w:qFormat/>
    <w:uiPriority w:val="0"/>
    <w:pPr>
      <w:adjustRightInd/>
      <w:spacing w:beforeLines="50" w:line="360" w:lineRule="auto"/>
      <w:ind w:firstLine="420"/>
    </w:pPr>
    <w:rPr>
      <w:rFonts w:cs="宋体"/>
      <w:sz w:val="24"/>
      <w:szCs w:val="20"/>
    </w:rPr>
  </w:style>
  <w:style w:type="paragraph" w:customStyle="1" w:styleId="926">
    <w:name w:val="xl24"/>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927">
    <w:name w:val="列出段落31"/>
    <w:basedOn w:val="1"/>
    <w:autoRedefine/>
    <w:qFormat/>
    <w:uiPriority w:val="0"/>
    <w:pPr>
      <w:adjustRightInd/>
      <w:spacing w:line="360" w:lineRule="auto"/>
      <w:ind w:firstLine="420" w:firstLineChars="200"/>
    </w:pPr>
    <w:rPr>
      <w:rFonts w:ascii="Calibri" w:hAnsi="Calibri"/>
      <w:sz w:val="24"/>
      <w:szCs w:val="22"/>
    </w:rPr>
  </w:style>
  <w:style w:type="paragraph" w:customStyle="1" w:styleId="928">
    <w:name w:val="Char Char1 Char Char Char Char Char Char Char Char Char Char Char Char Char Char Char"/>
    <w:basedOn w:val="1"/>
    <w:autoRedefine/>
    <w:qFormat/>
    <w:uiPriority w:val="0"/>
    <w:pPr>
      <w:widowControl/>
      <w:adjustRightInd/>
      <w:spacing w:after="160" w:line="240" w:lineRule="exact"/>
      <w:ind w:firstLine="200" w:firstLineChars="200"/>
      <w:jc w:val="left"/>
    </w:pPr>
    <w:rPr>
      <w:rFonts w:ascii="Verdana" w:hAnsi="Verdana"/>
      <w:kern w:val="0"/>
      <w:sz w:val="20"/>
      <w:szCs w:val="20"/>
      <w:lang w:eastAsia="en-US"/>
    </w:rPr>
  </w:style>
  <w:style w:type="paragraph" w:customStyle="1" w:styleId="929">
    <w:name w:val="Char Char112"/>
    <w:basedOn w:val="1"/>
    <w:autoRedefine/>
    <w:qFormat/>
    <w:uiPriority w:val="6"/>
    <w:pPr>
      <w:widowControl/>
      <w:spacing w:after="160" w:line="240" w:lineRule="exact"/>
      <w:jc w:val="left"/>
    </w:pPr>
    <w:rPr>
      <w:rFonts w:eastAsia="仿宋_GB2312"/>
      <w:sz w:val="28"/>
    </w:rPr>
  </w:style>
  <w:style w:type="paragraph" w:customStyle="1" w:styleId="930">
    <w:name w:val="正文 图"/>
    <w:basedOn w:val="460"/>
    <w:autoRedefine/>
    <w:qFormat/>
    <w:uiPriority w:val="0"/>
    <w:pPr>
      <w:adjustRightInd/>
      <w:spacing w:before="0"/>
      <w:ind w:firstLine="0"/>
      <w:jc w:val="center"/>
    </w:pPr>
    <w:rPr>
      <w:rFonts w:ascii="微软雅黑" w:hAnsi="微软雅黑"/>
    </w:rPr>
  </w:style>
  <w:style w:type="paragraph" w:customStyle="1" w:styleId="931">
    <w:name w:val="xl92"/>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color w:val="000000"/>
      <w:kern w:val="0"/>
      <w:sz w:val="20"/>
      <w:szCs w:val="20"/>
    </w:rPr>
  </w:style>
  <w:style w:type="paragraph" w:customStyle="1" w:styleId="932">
    <w:name w:val="±íÑùÊ½"/>
    <w:basedOn w:val="1"/>
    <w:autoRedefine/>
    <w:qFormat/>
    <w:uiPriority w:val="0"/>
    <w:pPr>
      <w:widowControl/>
      <w:tabs>
        <w:tab w:val="left" w:pos="840"/>
      </w:tabs>
      <w:overflowPunct w:val="0"/>
      <w:autoSpaceDE w:val="0"/>
      <w:autoSpaceDN w:val="0"/>
      <w:jc w:val="left"/>
      <w:textAlignment w:val="baseline"/>
    </w:pPr>
    <w:rPr>
      <w:rFonts w:ascii="Arial Narrow" w:hAnsi="Arial Narrow"/>
      <w:kern w:val="0"/>
      <w:sz w:val="18"/>
      <w:szCs w:val="20"/>
    </w:rPr>
  </w:style>
  <w:style w:type="paragraph" w:customStyle="1" w:styleId="933">
    <w:name w:val="Thf"/>
    <w:basedOn w:val="579"/>
    <w:autoRedefine/>
    <w:qFormat/>
    <w:uiPriority w:val="0"/>
    <w:pPr>
      <w:ind w:left="0"/>
    </w:pPr>
  </w:style>
  <w:style w:type="paragraph" w:customStyle="1" w:styleId="934">
    <w:name w:val="xl79"/>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仿宋" w:hAnsi="仿宋" w:eastAsia="仿宋" w:cs="宋体"/>
      <w:kern w:val="0"/>
      <w:sz w:val="20"/>
      <w:szCs w:val="20"/>
    </w:rPr>
  </w:style>
  <w:style w:type="paragraph" w:customStyle="1" w:styleId="935">
    <w:name w:val="subhead 2"/>
    <w:autoRedefine/>
    <w:qFormat/>
    <w:uiPriority w:val="0"/>
    <w:pPr>
      <w:spacing w:after="60" w:line="240" w:lineRule="exact"/>
    </w:pPr>
    <w:rPr>
      <w:rFonts w:ascii="Arial" w:hAnsi="Arial" w:eastAsia="宋体" w:cs="Times New Roman"/>
      <w:b/>
      <w:sz w:val="22"/>
      <w:lang w:val="en-US" w:eastAsia="en-US" w:bidi="ar-SA"/>
    </w:rPr>
  </w:style>
  <w:style w:type="paragraph" w:customStyle="1" w:styleId="936">
    <w:name w:val="注释"/>
    <w:basedOn w:val="1"/>
    <w:autoRedefine/>
    <w:qFormat/>
    <w:uiPriority w:val="0"/>
    <w:pPr>
      <w:adjustRightInd/>
      <w:spacing w:line="360" w:lineRule="auto"/>
      <w:ind w:firstLine="480"/>
    </w:pPr>
    <w:rPr>
      <w:sz w:val="24"/>
    </w:rPr>
  </w:style>
  <w:style w:type="table" w:customStyle="1" w:styleId="937">
    <w:name w:val="网格型2"/>
    <w:basedOn w:val="80"/>
    <w:autoRedefine/>
    <w:qFormat/>
    <w:uiPriority w:val="5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38">
    <w:name w:val="网格型1"/>
    <w:basedOn w:val="80"/>
    <w:autoRedefine/>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39">
    <w:name w:val="网格型6"/>
    <w:basedOn w:val="80"/>
    <w:autoRedefine/>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40">
    <w:name w:val="网格型3"/>
    <w:basedOn w:val="80"/>
    <w:autoRedefine/>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41">
    <w:name w:val="网格型4"/>
    <w:basedOn w:val="80"/>
    <w:autoRedefine/>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42">
    <w:name w:val="网格型5"/>
    <w:basedOn w:val="80"/>
    <w:autoRedefine/>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943">
    <w:name w:val="列出段落111"/>
    <w:basedOn w:val="1"/>
    <w:autoRedefine/>
    <w:qFormat/>
    <w:uiPriority w:val="34"/>
    <w:pPr>
      <w:ind w:firstLine="420" w:firstLineChars="200"/>
    </w:pPr>
  </w:style>
  <w:style w:type="character" w:customStyle="1" w:styleId="944">
    <w:name w:val="交叉引用"/>
    <w:autoRedefine/>
    <w:qFormat/>
    <w:uiPriority w:val="1"/>
    <w:rPr>
      <w:rFonts w:ascii="Arial" w:hAnsi="Arial" w:eastAsia="黑体"/>
      <w:snapToGrid w:val="0"/>
      <w:color w:val="0000FF"/>
      <w:kern w:val="0"/>
      <w:sz w:val="20"/>
      <w:szCs w:val="21"/>
      <w:u w:val="single"/>
      <w:lang w:val="en-US" w:eastAsia="zh-CN"/>
    </w:rPr>
  </w:style>
  <w:style w:type="character" w:customStyle="1" w:styleId="945">
    <w:name w:val="正文缩进 字符1"/>
    <w:autoRedefine/>
    <w:qFormat/>
    <w:uiPriority w:val="0"/>
    <w:rPr>
      <w:rFonts w:ascii="宋体" w:eastAsia="宋体"/>
      <w:snapToGrid w:val="0"/>
      <w:color w:val="000000"/>
      <w:kern w:val="28"/>
      <w:sz w:val="28"/>
      <w:lang w:val="en-US" w:eastAsia="zh-CN" w:bidi="ar-SA"/>
    </w:rPr>
  </w:style>
  <w:style w:type="character" w:customStyle="1" w:styleId="946">
    <w:name w:val="页脚 字符1"/>
    <w:autoRedefine/>
    <w:qFormat/>
    <w:locked/>
    <w:uiPriority w:val="99"/>
    <w:rPr>
      <w:kern w:val="2"/>
      <w:sz w:val="18"/>
      <w:szCs w:val="18"/>
    </w:rPr>
  </w:style>
  <w:style w:type="character" w:customStyle="1" w:styleId="947">
    <w:name w:val="页眉 字符1"/>
    <w:autoRedefine/>
    <w:qFormat/>
    <w:uiPriority w:val="99"/>
    <w:rPr>
      <w:kern w:val="2"/>
      <w:sz w:val="18"/>
      <w:szCs w:val="18"/>
    </w:rPr>
  </w:style>
  <w:style w:type="character" w:customStyle="1" w:styleId="948">
    <w:name w:val="尾注文本 Char"/>
    <w:link w:val="48"/>
    <w:autoRedefine/>
    <w:qFormat/>
    <w:uiPriority w:val="0"/>
    <w:rPr>
      <w:kern w:val="2"/>
      <w:sz w:val="21"/>
      <w:szCs w:val="24"/>
      <w:lang w:val="zh-CN"/>
    </w:rPr>
  </w:style>
  <w:style w:type="character" w:customStyle="1" w:styleId="949">
    <w:name w:val="无间隔 Char"/>
    <w:link w:val="500"/>
    <w:autoRedefine/>
    <w:qFormat/>
    <w:uiPriority w:val="1"/>
    <w:rPr>
      <w:kern w:val="2"/>
      <w:sz w:val="21"/>
      <w:szCs w:val="22"/>
    </w:rPr>
  </w:style>
  <w:style w:type="character" w:customStyle="1" w:styleId="950">
    <w:name w:val="标准文本 Char Char"/>
    <w:link w:val="951"/>
    <w:autoRedefine/>
    <w:qFormat/>
    <w:uiPriority w:val="0"/>
    <w:rPr>
      <w:rFonts w:cs="宋体"/>
      <w:kern w:val="2"/>
      <w:sz w:val="24"/>
    </w:rPr>
  </w:style>
  <w:style w:type="paragraph" w:customStyle="1" w:styleId="951">
    <w:name w:val="标准文本"/>
    <w:basedOn w:val="1"/>
    <w:link w:val="950"/>
    <w:autoRedefine/>
    <w:qFormat/>
    <w:uiPriority w:val="0"/>
    <w:pPr>
      <w:adjustRightInd/>
      <w:spacing w:line="360" w:lineRule="auto"/>
      <w:ind w:firstLine="480" w:firstLineChars="200"/>
    </w:pPr>
    <w:rPr>
      <w:rFonts w:cs="宋体"/>
      <w:sz w:val="24"/>
      <w:szCs w:val="20"/>
    </w:rPr>
  </w:style>
  <w:style w:type="character" w:customStyle="1" w:styleId="952">
    <w:name w:val="Char Char213"/>
    <w:autoRedefine/>
    <w:qFormat/>
    <w:uiPriority w:val="0"/>
    <w:rPr>
      <w:rFonts w:eastAsia="Century Gothic"/>
      <w:b/>
      <w:bCs/>
      <w:kern w:val="44"/>
      <w:sz w:val="32"/>
      <w:szCs w:val="44"/>
      <w:lang w:val="en-US" w:eastAsia="zh-CN" w:bidi="ar-SA"/>
    </w:rPr>
  </w:style>
  <w:style w:type="character" w:customStyle="1" w:styleId="953">
    <w:name w:val="apple-style-span"/>
    <w:autoRedefine/>
    <w:qFormat/>
    <w:uiPriority w:val="0"/>
    <w:rPr>
      <w:rFonts w:ascii="Arial" w:hAnsi="Arial" w:eastAsia="黑体" w:cs="Arial"/>
      <w:snapToGrid w:val="0"/>
      <w:kern w:val="0"/>
      <w:szCs w:val="21"/>
    </w:rPr>
  </w:style>
  <w:style w:type="character" w:customStyle="1" w:styleId="954">
    <w:name w:val="15"/>
    <w:autoRedefine/>
    <w:qFormat/>
    <w:uiPriority w:val="0"/>
    <w:rPr>
      <w:rFonts w:hint="default" w:ascii="Calibri" w:hAnsi="Calibri"/>
      <w:color w:val="0000FF"/>
      <w:u w:val="single"/>
    </w:rPr>
  </w:style>
  <w:style w:type="character" w:customStyle="1" w:styleId="955">
    <w:name w:val="16"/>
    <w:autoRedefine/>
    <w:qFormat/>
    <w:uiPriority w:val="0"/>
    <w:rPr>
      <w:rFonts w:hint="eastAsia" w:ascii="宋体" w:hAnsi="宋体" w:eastAsia="宋体"/>
      <w:color w:val="000000"/>
      <w:sz w:val="20"/>
      <w:szCs w:val="20"/>
    </w:rPr>
  </w:style>
  <w:style w:type="character" w:customStyle="1" w:styleId="956">
    <w:name w:val="edui-unclickable"/>
    <w:autoRedefine/>
    <w:qFormat/>
    <w:uiPriority w:val="0"/>
    <w:rPr>
      <w:color w:val="808080"/>
    </w:rPr>
  </w:style>
  <w:style w:type="character" w:customStyle="1" w:styleId="957">
    <w:name w:val="tpc_content1"/>
    <w:autoRedefine/>
    <w:qFormat/>
    <w:uiPriority w:val="0"/>
    <w:rPr>
      <w:sz w:val="20"/>
      <w:szCs w:val="20"/>
    </w:rPr>
  </w:style>
  <w:style w:type="character" w:customStyle="1" w:styleId="958">
    <w:name w:val="正文文本缩进 字符"/>
    <w:autoRedefine/>
    <w:qFormat/>
    <w:uiPriority w:val="0"/>
    <w:rPr>
      <w:rFonts w:ascii="Century Gothic" w:hAnsi="Century Gothic" w:eastAsia="Century Gothic"/>
      <w:kern w:val="2"/>
      <w:sz w:val="24"/>
      <w:lang w:val="en-US" w:eastAsia="zh-CN" w:bidi="ar-SA"/>
    </w:rPr>
  </w:style>
  <w:style w:type="character" w:customStyle="1" w:styleId="959">
    <w:name w:val="正文文本 2 字符"/>
    <w:autoRedefine/>
    <w:qFormat/>
    <w:uiPriority w:val="0"/>
    <w:rPr>
      <w:rFonts w:ascii="Arial" w:hAnsi="Arial" w:eastAsia="宋体"/>
      <w:kern w:val="2"/>
      <w:sz w:val="24"/>
      <w:szCs w:val="24"/>
      <w:lang w:val="en-US" w:eastAsia="zh-CN" w:bidi="ar-SA"/>
    </w:rPr>
  </w:style>
  <w:style w:type="character" w:customStyle="1" w:styleId="960">
    <w:name w:val="edui-clickable2"/>
    <w:autoRedefine/>
    <w:qFormat/>
    <w:uiPriority w:val="0"/>
    <w:rPr>
      <w:color w:val="0000FF"/>
      <w:u w:val="single"/>
    </w:rPr>
  </w:style>
  <w:style w:type="character" w:customStyle="1" w:styleId="961">
    <w:name w:val="style1"/>
    <w:autoRedefine/>
    <w:qFormat/>
    <w:uiPriority w:val="0"/>
    <w:rPr>
      <w:rFonts w:ascii="Arial" w:hAnsi="Arial" w:eastAsia="黑体" w:cs="Arial"/>
      <w:snapToGrid w:val="0"/>
      <w:kern w:val="0"/>
      <w:szCs w:val="21"/>
    </w:rPr>
  </w:style>
  <w:style w:type="character" w:customStyle="1" w:styleId="962">
    <w:name w:val="zbggtop11 style5"/>
    <w:autoRedefine/>
    <w:qFormat/>
    <w:uiPriority w:val="0"/>
    <w:rPr>
      <w:rFonts w:ascii="Arial" w:hAnsi="Arial" w:eastAsia="黑体" w:cs="Arial"/>
      <w:snapToGrid w:val="0"/>
      <w:kern w:val="0"/>
      <w:szCs w:val="21"/>
    </w:rPr>
  </w:style>
  <w:style w:type="character" w:customStyle="1" w:styleId="963">
    <w:name w:val="纯文本 Char Char Char Char Char Char Char Char Char Char Char Char Char Char Char"/>
    <w:autoRedefine/>
    <w:qFormat/>
    <w:uiPriority w:val="0"/>
    <w:rPr>
      <w:rFonts w:ascii="宋体" w:hAnsi="Courier New" w:eastAsia="宋体" w:cs="Courier New"/>
      <w:snapToGrid w:val="0"/>
      <w:sz w:val="18"/>
      <w:szCs w:val="21"/>
      <w:lang w:val="en-US" w:eastAsia="zh-CN" w:bidi="ar-SA"/>
    </w:rPr>
  </w:style>
  <w:style w:type="character" w:customStyle="1" w:styleId="964">
    <w:name w:val="bulletintext1"/>
    <w:autoRedefine/>
    <w:qFormat/>
    <w:uiPriority w:val="0"/>
    <w:rPr>
      <w:color w:val="000000"/>
      <w:sz w:val="18"/>
    </w:rPr>
  </w:style>
  <w:style w:type="paragraph" w:customStyle="1" w:styleId="965">
    <w:name w:val="_Style 947"/>
    <w:basedOn w:val="1"/>
    <w:next w:val="275"/>
    <w:autoRedefine/>
    <w:qFormat/>
    <w:uiPriority w:val="34"/>
    <w:pPr>
      <w:adjustRightInd/>
      <w:ind w:firstLine="420" w:firstLineChars="200"/>
    </w:pPr>
  </w:style>
  <w:style w:type="paragraph" w:customStyle="1" w:styleId="966">
    <w:name w:val="正文5"/>
    <w:autoRedefine/>
    <w:qFormat/>
    <w:uiPriority w:val="0"/>
    <w:pPr>
      <w:jc w:val="both"/>
    </w:pPr>
    <w:rPr>
      <w:rFonts w:ascii="Times New Roman" w:hAnsi="Times New Roman" w:eastAsia="宋体" w:cs="宋体"/>
      <w:kern w:val="2"/>
      <w:sz w:val="21"/>
      <w:szCs w:val="21"/>
      <w:lang w:val="en-US" w:eastAsia="zh-CN" w:bidi="ar-SA"/>
    </w:rPr>
  </w:style>
  <w:style w:type="paragraph" w:customStyle="1" w:styleId="967">
    <w:name w:val="纯文本2"/>
    <w:basedOn w:val="1"/>
    <w:autoRedefine/>
    <w:qFormat/>
    <w:uiPriority w:val="0"/>
    <w:pPr>
      <w:adjustRightInd/>
      <w:snapToGrid w:val="0"/>
      <w:jc w:val="left"/>
    </w:pPr>
    <w:rPr>
      <w:rFonts w:ascii="Century Gothic" w:hAnsi="楷体_GB2312" w:eastAsia="Century Gothic"/>
      <w:szCs w:val="20"/>
    </w:rPr>
  </w:style>
  <w:style w:type="paragraph" w:customStyle="1" w:styleId="968">
    <w:name w:val="*Body 1"/>
    <w:autoRedefine/>
    <w:qFormat/>
    <w:uiPriority w:val="0"/>
    <w:pPr>
      <w:spacing w:after="240" w:line="360" w:lineRule="auto"/>
      <w:ind w:left="-1276" w:firstLine="454"/>
    </w:pPr>
    <w:rPr>
      <w:rFonts w:ascii="Times New Roman" w:hAnsi="Times New Roman" w:eastAsia="宋体" w:cs="Times New Roman"/>
      <w:sz w:val="22"/>
      <w:lang w:val="en-US" w:eastAsia="en-US" w:bidi="ar-SA"/>
    </w:rPr>
  </w:style>
  <w:style w:type="paragraph" w:customStyle="1" w:styleId="969">
    <w:name w:val="font1"/>
    <w:basedOn w:val="1"/>
    <w:autoRedefine/>
    <w:qFormat/>
    <w:uiPriority w:val="0"/>
    <w:pPr>
      <w:widowControl/>
      <w:adjustRightInd/>
      <w:spacing w:before="100" w:beforeAutospacing="1" w:after="100" w:afterAutospacing="1"/>
      <w:jc w:val="left"/>
    </w:pPr>
    <w:rPr>
      <w:rFonts w:ascii="Century Gothic" w:hAnsi="Century Gothic"/>
      <w:kern w:val="0"/>
      <w:sz w:val="24"/>
      <w:szCs w:val="20"/>
    </w:rPr>
  </w:style>
  <w:style w:type="paragraph" w:customStyle="1" w:styleId="970">
    <w:name w:val="节"/>
    <w:basedOn w:val="4"/>
    <w:autoRedefine/>
    <w:qFormat/>
    <w:uiPriority w:val="0"/>
    <w:pPr>
      <w:tabs>
        <w:tab w:val="clear" w:pos="432"/>
      </w:tabs>
      <w:spacing w:before="160" w:after="160" w:line="720" w:lineRule="exact"/>
      <w:ind w:left="0" w:firstLine="0"/>
      <w:jc w:val="center"/>
    </w:pPr>
    <w:rPr>
      <w:rFonts w:ascii="Arial" w:hAnsi="Arial" w:eastAsia="楷体"/>
      <w:b w:val="0"/>
      <w:color w:val="000000"/>
      <w:spacing w:val="14"/>
      <w:kern w:val="24"/>
      <w:sz w:val="28"/>
      <w:szCs w:val="20"/>
      <w:lang w:val="en-US"/>
    </w:rPr>
  </w:style>
  <w:style w:type="paragraph" w:customStyle="1" w:styleId="971">
    <w:name w:val="Blockquote"/>
    <w:basedOn w:val="1"/>
    <w:autoRedefine/>
    <w:qFormat/>
    <w:uiPriority w:val="0"/>
    <w:pPr>
      <w:autoSpaceDE w:val="0"/>
      <w:autoSpaceDN w:val="0"/>
      <w:spacing w:before="100" w:after="100"/>
      <w:ind w:left="360" w:right="360"/>
      <w:jc w:val="left"/>
    </w:pPr>
    <w:rPr>
      <w:kern w:val="0"/>
      <w:sz w:val="24"/>
      <w:szCs w:val="20"/>
    </w:rPr>
  </w:style>
  <w:style w:type="paragraph" w:customStyle="1" w:styleId="972">
    <w:name w:val="p1"/>
    <w:basedOn w:val="1"/>
    <w:autoRedefine/>
    <w:qFormat/>
    <w:uiPriority w:val="0"/>
    <w:pPr>
      <w:widowControl/>
      <w:adjustRightInd/>
      <w:jc w:val="left"/>
    </w:pPr>
    <w:rPr>
      <w:rFonts w:ascii=".PingFang SC" w:eastAsia=".PingFang SC"/>
      <w:color w:val="454545"/>
      <w:kern w:val="0"/>
      <w:sz w:val="18"/>
      <w:szCs w:val="18"/>
    </w:rPr>
  </w:style>
  <w:style w:type="paragraph" w:customStyle="1" w:styleId="973">
    <w:name w:val="Table Paragraph"/>
    <w:basedOn w:val="1"/>
    <w:autoRedefine/>
    <w:qFormat/>
    <w:uiPriority w:val="0"/>
    <w:pPr>
      <w:adjustRightInd/>
      <w:jc w:val="left"/>
    </w:pPr>
    <w:rPr>
      <w:rFonts w:ascii="Calibri" w:hAnsi="Calibri"/>
      <w:kern w:val="0"/>
      <w:sz w:val="22"/>
      <w:szCs w:val="22"/>
      <w:lang w:eastAsia="en-US"/>
    </w:rPr>
  </w:style>
  <w:style w:type="paragraph" w:customStyle="1" w:styleId="974">
    <w:name w:val="Preformatted"/>
    <w:basedOn w:val="1"/>
    <w:autoRedefine/>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jc w:val="left"/>
    </w:pPr>
    <w:rPr>
      <w:rFonts w:ascii="楷体_GB2312" w:hAnsi="楷体_GB2312"/>
      <w:kern w:val="0"/>
      <w:sz w:val="20"/>
      <w:szCs w:val="20"/>
    </w:rPr>
  </w:style>
  <w:style w:type="paragraph" w:customStyle="1" w:styleId="975">
    <w:name w:val="xl22"/>
    <w:basedOn w:val="1"/>
    <w:autoRedefine/>
    <w:qFormat/>
    <w:uiPriority w:val="0"/>
    <w:pPr>
      <w:widowControl/>
      <w:pBdr>
        <w:left w:val="single" w:color="auto" w:sz="4" w:space="0"/>
        <w:bottom w:val="single" w:color="auto" w:sz="4" w:space="0"/>
        <w:right w:val="single" w:color="auto" w:sz="4" w:space="0"/>
      </w:pBdr>
      <w:adjustRightInd/>
      <w:spacing w:before="100" w:beforeAutospacing="1" w:after="100" w:afterAutospacing="1"/>
      <w:jc w:val="center"/>
    </w:pPr>
    <w:rPr>
      <w:rFonts w:hint="eastAsia" w:ascii="Arial Unicode MS" w:hAnsi="Arial Unicode MS" w:eastAsia="Arial Unicode MS"/>
      <w:kern w:val="0"/>
      <w:sz w:val="24"/>
      <w:szCs w:val="20"/>
    </w:rPr>
  </w:style>
  <w:style w:type="paragraph" w:customStyle="1" w:styleId="976">
    <w:name w:val="text-tag"/>
    <w:basedOn w:val="1"/>
    <w:autoRedefine/>
    <w:semiHidden/>
    <w:qFormat/>
    <w:uiPriority w:val="99"/>
    <w:pPr>
      <w:widowControl/>
      <w:adjustRightInd/>
      <w:spacing w:before="100" w:beforeAutospacing="1" w:after="100" w:afterAutospacing="1"/>
      <w:jc w:val="left"/>
    </w:pPr>
    <w:rPr>
      <w:rFonts w:ascii="宋体" w:hAnsi="宋体" w:cs="宋体"/>
      <w:kern w:val="0"/>
      <w:sz w:val="24"/>
    </w:rPr>
  </w:style>
  <w:style w:type="character" w:customStyle="1" w:styleId="977">
    <w:name w:val="ksfind_class_select1"/>
    <w:basedOn w:val="87"/>
    <w:autoRedefine/>
    <w:qFormat/>
    <w:uiPriority w:val="0"/>
    <w:rPr>
      <w:color w:val="000000"/>
      <w:shd w:val="clear" w:color="auto" w:fill="EFD200"/>
    </w:rPr>
  </w:style>
  <w:style w:type="character" w:customStyle="1" w:styleId="978">
    <w:name w:val="font71"/>
    <w:autoRedefine/>
    <w:qFormat/>
    <w:uiPriority w:val="0"/>
    <w:rPr>
      <w:rFonts w:hint="eastAsia" w:ascii="宋体" w:hAnsi="宋体" w:eastAsia="宋体" w:cs="宋体"/>
      <w:color w:val="000000"/>
      <w:sz w:val="22"/>
      <w:szCs w:val="22"/>
      <w:u w:val="none"/>
    </w:rPr>
  </w:style>
  <w:style w:type="character" w:customStyle="1" w:styleId="979">
    <w:name w:val="font91"/>
    <w:autoRedefine/>
    <w:qFormat/>
    <w:uiPriority w:val="0"/>
    <w:rPr>
      <w:rFonts w:hint="eastAsia" w:ascii="仿宋" w:hAnsi="仿宋" w:eastAsia="仿宋" w:cs="仿宋"/>
      <w:color w:val="000000"/>
      <w:sz w:val="22"/>
      <w:szCs w:val="22"/>
      <w:u w:val="none"/>
    </w:rPr>
  </w:style>
  <w:style w:type="paragraph" w:customStyle="1" w:styleId="980">
    <w:name w:val="修订4"/>
    <w:autoRedefine/>
    <w:hidden/>
    <w:semiHidden/>
    <w:qFormat/>
    <w:uiPriority w:val="99"/>
    <w:rPr>
      <w:rFonts w:ascii="Times New Roman" w:hAnsi="Times New Roman" w:eastAsia="宋体" w:cs="Times New Roman"/>
      <w:kern w:val="2"/>
      <w:sz w:val="21"/>
      <w:szCs w:val="24"/>
      <w:lang w:val="en-US" w:eastAsia="zh-CN" w:bidi="ar-SA"/>
    </w:rPr>
  </w:style>
  <w:style w:type="paragraph" w:customStyle="1" w:styleId="981">
    <w:name w:val="样式 行距: 1.5 倍行距 首行缩进:  2 字符"/>
    <w:basedOn w:val="1"/>
    <w:autoRedefine/>
    <w:qFormat/>
    <w:uiPriority w:val="0"/>
    <w:pPr>
      <w:adjustRightInd/>
      <w:spacing w:line="360" w:lineRule="auto"/>
      <w:ind w:firstLine="420" w:firstLineChars="200"/>
    </w:pPr>
    <w:rPr>
      <w:rFonts w:eastAsia="仿宋" w:cs="宋体"/>
      <w:sz w:val="28"/>
      <w:szCs w:val="20"/>
    </w:rPr>
  </w:style>
  <w:style w:type="paragraph" w:customStyle="1" w:styleId="982">
    <w:name w:val="正文 + 首行缩进:  2 字符"/>
    <w:basedOn w:val="1"/>
    <w:autoRedefine/>
    <w:qFormat/>
    <w:uiPriority w:val="0"/>
    <w:pPr>
      <w:adjustRightInd/>
      <w:spacing w:line="360" w:lineRule="auto"/>
      <w:ind w:left="-34" w:firstLine="482"/>
    </w:pPr>
    <w:rPr>
      <w:rFonts w:ascii="宋体" w:hAnsi="宋体"/>
      <w:bCs/>
      <w:sz w:val="24"/>
      <w:szCs w:val="20"/>
    </w:rPr>
  </w:style>
  <w:style w:type="character" w:customStyle="1" w:styleId="983">
    <w:name w:val="宏文本 Char"/>
    <w:basedOn w:val="87"/>
    <w:link w:val="2"/>
    <w:autoRedefine/>
    <w:qFormat/>
    <w:uiPriority w:val="0"/>
    <w:rPr>
      <w:rFonts w:ascii="Courier New" w:hAnsi="Courier New" w:cs="Courier New"/>
      <w:kern w:val="2"/>
      <w:sz w:val="24"/>
      <w:szCs w:val="24"/>
    </w:rPr>
  </w:style>
  <w:style w:type="character" w:customStyle="1" w:styleId="984">
    <w:name w:val="标题 3 Char"/>
    <w:link w:val="5"/>
    <w:autoRedefine/>
    <w:qFormat/>
    <w:uiPriority w:val="0"/>
    <w:rPr>
      <w:b/>
      <w:bCs/>
      <w:kern w:val="2"/>
      <w:sz w:val="32"/>
      <w:szCs w:val="32"/>
    </w:rPr>
  </w:style>
  <w:style w:type="character" w:customStyle="1" w:styleId="985">
    <w:name w:val="电子邮件签名 Char"/>
    <w:basedOn w:val="87"/>
    <w:link w:val="18"/>
    <w:autoRedefine/>
    <w:qFormat/>
    <w:uiPriority w:val="0"/>
    <w:rPr>
      <w:rFonts w:eastAsia="楷体_GB2312"/>
      <w:kern w:val="2"/>
      <w:sz w:val="24"/>
      <w:szCs w:val="24"/>
    </w:rPr>
  </w:style>
  <w:style w:type="character" w:customStyle="1" w:styleId="986">
    <w:name w:val="纯文本 Char3"/>
    <w:autoRedefine/>
    <w:qFormat/>
    <w:uiPriority w:val="0"/>
    <w:rPr>
      <w:rFonts w:ascii="??" w:hAnsi="??" w:eastAsia="??" w:cs="宋体"/>
      <w:kern w:val="2"/>
      <w:sz w:val="21"/>
      <w:szCs w:val="21"/>
    </w:rPr>
  </w:style>
  <w:style w:type="paragraph" w:customStyle="1" w:styleId="987">
    <w:name w:val="[Normal]"/>
    <w:autoRedefine/>
    <w:qFormat/>
    <w:uiPriority w:val="0"/>
    <w:rPr>
      <w:rFonts w:ascii="宋体" w:hAnsi="宋体" w:eastAsia="宋体" w:cs="Times New Roman"/>
      <w:sz w:val="24"/>
      <w:szCs w:val="22"/>
      <w:lang w:val="zh-CN" w:eastAsia="zh-CN" w:bidi="ar-SA"/>
    </w:rPr>
  </w:style>
  <w:style w:type="character" w:customStyle="1" w:styleId="988">
    <w:name w:val="样式1 Char Char"/>
    <w:link w:val="741"/>
    <w:autoRedefine/>
    <w:qFormat/>
    <w:uiPriority w:val="0"/>
    <w:rPr>
      <w:rFonts w:ascii="宋体" w:hAnsi="宋体"/>
      <w:sz w:val="24"/>
    </w:rPr>
  </w:style>
  <w:style w:type="character" w:customStyle="1" w:styleId="989">
    <w:name w:val="普通文字 Char Char"/>
    <w:autoRedefine/>
    <w:qFormat/>
    <w:uiPriority w:val="0"/>
    <w:rPr>
      <w:rFonts w:ascii="宋体" w:hAnsi="Courier New" w:eastAsia="宋体"/>
      <w:kern w:val="2"/>
      <w:sz w:val="21"/>
      <w:szCs w:val="21"/>
      <w:lang w:bidi="ar-SA"/>
    </w:rPr>
  </w:style>
  <w:style w:type="character" w:customStyle="1" w:styleId="990">
    <w:name w:val="subtitle1"/>
    <w:autoRedefine/>
    <w:qFormat/>
    <w:uiPriority w:val="0"/>
    <w:rPr>
      <w:rFonts w:hint="default" w:ascii="Georgia" w:hAnsi="Georgia"/>
      <w:b/>
      <w:bCs/>
      <w:color w:val="666666"/>
      <w:sz w:val="18"/>
      <w:szCs w:val="18"/>
    </w:rPr>
  </w:style>
  <w:style w:type="character" w:customStyle="1" w:styleId="991">
    <w:name w:val="段 Char Char Char"/>
    <w:autoRedefine/>
    <w:qFormat/>
    <w:uiPriority w:val="0"/>
    <w:rPr>
      <w:rFonts w:ascii="宋体" w:eastAsia="宋体"/>
      <w:sz w:val="21"/>
      <w:lang w:val="en-US" w:eastAsia="zh-CN" w:bidi="ar-SA"/>
    </w:rPr>
  </w:style>
  <w:style w:type="character" w:customStyle="1" w:styleId="992">
    <w:name w:val="title141"/>
    <w:autoRedefine/>
    <w:qFormat/>
    <w:uiPriority w:val="0"/>
    <w:rPr>
      <w:sz w:val="25"/>
      <w:szCs w:val="25"/>
    </w:rPr>
  </w:style>
  <w:style w:type="character" w:customStyle="1" w:styleId="993">
    <w:name w:val="DN-正文 Char Char"/>
    <w:link w:val="994"/>
    <w:autoRedefine/>
    <w:qFormat/>
    <w:uiPriority w:val="0"/>
    <w:rPr>
      <w:kern w:val="2"/>
      <w:sz w:val="21"/>
      <w:szCs w:val="24"/>
    </w:rPr>
  </w:style>
  <w:style w:type="paragraph" w:customStyle="1" w:styleId="994">
    <w:name w:val="DN-正文"/>
    <w:basedOn w:val="6"/>
    <w:link w:val="993"/>
    <w:autoRedefine/>
    <w:qFormat/>
    <w:uiPriority w:val="0"/>
    <w:pPr>
      <w:widowControl w:val="0"/>
      <w:adjustRightInd/>
      <w:snapToGrid/>
      <w:spacing w:line="400" w:lineRule="exact"/>
      <w:ind w:firstLine="200" w:firstLineChars="200"/>
    </w:pPr>
    <w:rPr>
      <w:rFonts w:ascii="Times New Roman"/>
      <w:snapToGrid/>
      <w:color w:val="auto"/>
      <w:kern w:val="2"/>
      <w:sz w:val="21"/>
      <w:szCs w:val="24"/>
    </w:rPr>
  </w:style>
  <w:style w:type="character" w:customStyle="1" w:styleId="995">
    <w:name w:val="标准正文 Char"/>
    <w:link w:val="911"/>
    <w:autoRedefine/>
    <w:qFormat/>
    <w:locked/>
    <w:uiPriority w:val="0"/>
    <w:rPr>
      <w:kern w:val="2"/>
      <w:sz w:val="24"/>
      <w:szCs w:val="24"/>
    </w:rPr>
  </w:style>
  <w:style w:type="character" w:customStyle="1" w:styleId="996">
    <w:name w:val="t_tag"/>
    <w:autoRedefine/>
    <w:qFormat/>
    <w:uiPriority w:val="0"/>
  </w:style>
  <w:style w:type="character" w:styleId="997">
    <w:name w:val="Placeholder Text"/>
    <w:autoRedefine/>
    <w:semiHidden/>
    <w:qFormat/>
    <w:uiPriority w:val="0"/>
    <w:rPr>
      <w:color w:val="808080"/>
    </w:rPr>
  </w:style>
  <w:style w:type="character" w:customStyle="1" w:styleId="998">
    <w:name w:val="ih151"/>
    <w:autoRedefine/>
    <w:qFormat/>
    <w:uiPriority w:val="0"/>
    <w:rPr>
      <w:color w:val="666666"/>
      <w:sz w:val="18"/>
      <w:szCs w:val="18"/>
      <w:u w:val="none"/>
    </w:rPr>
  </w:style>
  <w:style w:type="character" w:customStyle="1" w:styleId="999">
    <w:name w:val="style161"/>
    <w:autoRedefine/>
    <w:qFormat/>
    <w:uiPriority w:val="0"/>
    <w:rPr>
      <w:sz w:val="20"/>
      <w:szCs w:val="20"/>
    </w:rPr>
  </w:style>
  <w:style w:type="character" w:customStyle="1" w:styleId="1000">
    <w:name w:val="font-121"/>
    <w:autoRedefine/>
    <w:qFormat/>
    <w:uiPriority w:val="0"/>
    <w:rPr>
      <w:color w:val="666666"/>
      <w:sz w:val="18"/>
      <w:szCs w:val="18"/>
      <w:u w:val="none"/>
    </w:rPr>
  </w:style>
  <w:style w:type="character" w:customStyle="1" w:styleId="1001">
    <w:name w:val="normalfont1"/>
    <w:autoRedefine/>
    <w:qFormat/>
    <w:uiPriority w:val="0"/>
    <w:rPr>
      <w:rFonts w:hint="default" w:ascii="ˎ̥" w:hAnsi="ˎ̥"/>
      <w:sz w:val="18"/>
      <w:szCs w:val="18"/>
      <w:u w:val="none"/>
    </w:rPr>
  </w:style>
  <w:style w:type="character" w:customStyle="1" w:styleId="1002">
    <w:name w:val="param_td12"/>
    <w:autoRedefine/>
    <w:qFormat/>
    <w:uiPriority w:val="0"/>
  </w:style>
  <w:style w:type="character" w:customStyle="1" w:styleId="1003">
    <w:name w:val="正文 首行缩进2字符 Char Char Char"/>
    <w:autoRedefine/>
    <w:qFormat/>
    <w:uiPriority w:val="0"/>
    <w:rPr>
      <w:rFonts w:eastAsia="宋体"/>
      <w:kern w:val="2"/>
      <w:sz w:val="24"/>
      <w:szCs w:val="24"/>
      <w:lang w:val="en-US" w:eastAsia="zh-CN" w:bidi="ar-SA"/>
    </w:rPr>
  </w:style>
  <w:style w:type="character" w:customStyle="1" w:styleId="1004">
    <w:name w:val="sony121"/>
    <w:autoRedefine/>
    <w:qFormat/>
    <w:uiPriority w:val="0"/>
    <w:rPr>
      <w:rFonts w:hint="eastAsia" w:ascii="宋体" w:hAnsi="宋体" w:eastAsia="宋体"/>
      <w:sz w:val="18"/>
      <w:szCs w:val="18"/>
    </w:rPr>
  </w:style>
  <w:style w:type="character" w:customStyle="1" w:styleId="1005">
    <w:name w:val="正文4 Char"/>
    <w:link w:val="834"/>
    <w:autoRedefine/>
    <w:qFormat/>
    <w:uiPriority w:val="0"/>
    <w:rPr>
      <w:kern w:val="2"/>
      <w:sz w:val="24"/>
      <w:szCs w:val="24"/>
    </w:rPr>
  </w:style>
  <w:style w:type="character" w:customStyle="1" w:styleId="1006">
    <w:name w:val="标题 3 Char Char Char Char Char Char Char Char Char Char Char Char Char Char Char Char Char Char Char Char Char Char Char Char Char Char Char Char Char Char Char Char Char Char Char Char Char Char Char Char Char Char Char Char Char Char Char Char Cha Char"/>
    <w:autoRedefine/>
    <w:qFormat/>
    <w:uiPriority w:val="0"/>
    <w:rPr>
      <w:rFonts w:eastAsia="宋体"/>
      <w:b/>
      <w:bCs/>
      <w:kern w:val="2"/>
      <w:sz w:val="32"/>
      <w:szCs w:val="32"/>
      <w:lang w:val="en-US" w:eastAsia="zh-CN" w:bidi="ar-SA"/>
    </w:rPr>
  </w:style>
  <w:style w:type="character" w:customStyle="1" w:styleId="1007">
    <w:name w:val="ca-41"/>
    <w:autoRedefine/>
    <w:qFormat/>
    <w:uiPriority w:val="0"/>
    <w:rPr>
      <w:rFonts w:hint="eastAsia" w:ascii="仿宋_GB2312" w:eastAsia="仿宋_GB2312"/>
      <w:sz w:val="24"/>
      <w:szCs w:val="24"/>
    </w:rPr>
  </w:style>
  <w:style w:type="character" w:customStyle="1" w:styleId="1008">
    <w:name w:val="样式 样式4 + 加粗 首行缩进: Char Char Char Char"/>
    <w:autoRedefine/>
    <w:qFormat/>
    <w:uiPriority w:val="0"/>
    <w:rPr>
      <w:rFonts w:eastAsia="宋体" w:cs="宋体"/>
      <w:b/>
      <w:bCs/>
      <w:color w:val="000000"/>
      <w:kern w:val="2"/>
      <w:sz w:val="24"/>
      <w:szCs w:val="24"/>
      <w:lang w:val="en-US" w:eastAsia="zh-CN" w:bidi="ar-SA"/>
    </w:rPr>
  </w:style>
  <w:style w:type="character" w:customStyle="1" w:styleId="1009">
    <w:name w:val="bookmark-item"/>
    <w:autoRedefine/>
    <w:qFormat/>
    <w:uiPriority w:val="0"/>
    <w:rPr>
      <w:rFonts w:ascii="Arial" w:hAnsi="Arial" w:eastAsia="黑体" w:cs="Arial"/>
      <w:snapToGrid w:val="0"/>
      <w:kern w:val="0"/>
      <w:szCs w:val="21"/>
    </w:rPr>
  </w:style>
  <w:style w:type="character" w:customStyle="1" w:styleId="1010">
    <w:name w:val="标题 5 Char Char Char Char Char Char Char Char Char Char Char Char Char"/>
    <w:autoRedefine/>
    <w:qFormat/>
    <w:uiPriority w:val="0"/>
    <w:rPr>
      <w:rFonts w:eastAsia="宋体"/>
      <w:b/>
      <w:bCs/>
      <w:kern w:val="2"/>
      <w:sz w:val="28"/>
      <w:szCs w:val="28"/>
      <w:lang w:val="en-US" w:eastAsia="zh-CN" w:bidi="ar-SA"/>
    </w:rPr>
  </w:style>
  <w:style w:type="character" w:customStyle="1" w:styleId="1011">
    <w:name w:val="正文 首行缩进:  2 字符 Char Char Char"/>
    <w:autoRedefine/>
    <w:qFormat/>
    <w:uiPriority w:val="0"/>
    <w:rPr>
      <w:rFonts w:eastAsia="宋体" w:cs="宋体"/>
      <w:kern w:val="2"/>
      <w:sz w:val="24"/>
      <w:lang w:val="en-US" w:eastAsia="zh-CN" w:bidi="ar-SA"/>
    </w:rPr>
  </w:style>
  <w:style w:type="character" w:customStyle="1" w:styleId="1012">
    <w:name w:val="样式 样式 标书正文 + 首行缩进:  0.01 字符 + 首行缩进:  0.01 字符 Char"/>
    <w:link w:val="1013"/>
    <w:autoRedefine/>
    <w:qFormat/>
    <w:uiPriority w:val="0"/>
    <w:rPr>
      <w:rFonts w:ascii="宋体" w:hAnsi="宋体" w:cs="宋体"/>
      <w:sz w:val="28"/>
    </w:rPr>
  </w:style>
  <w:style w:type="paragraph" w:customStyle="1" w:styleId="1013">
    <w:name w:val="样式 样式 标书正文 + 首行缩进:  0.01 字符 + 首行缩进:  0.01 字符"/>
    <w:basedOn w:val="1"/>
    <w:link w:val="1012"/>
    <w:autoRedefine/>
    <w:qFormat/>
    <w:uiPriority w:val="0"/>
    <w:pPr>
      <w:widowControl/>
      <w:snapToGrid w:val="0"/>
      <w:spacing w:afterLines="50" w:line="360" w:lineRule="auto"/>
      <w:ind w:left="-2" w:leftChars="-2" w:firstLine="200" w:firstLineChars="200"/>
      <w:jc w:val="left"/>
    </w:pPr>
    <w:rPr>
      <w:rFonts w:ascii="宋体" w:hAnsi="宋体" w:cs="宋体"/>
      <w:kern w:val="0"/>
      <w:sz w:val="28"/>
      <w:szCs w:val="20"/>
    </w:rPr>
  </w:style>
  <w:style w:type="character" w:customStyle="1" w:styleId="1014">
    <w:name w:val="样式4 Char Char"/>
    <w:autoRedefine/>
    <w:qFormat/>
    <w:uiPriority w:val="0"/>
    <w:rPr>
      <w:rFonts w:eastAsia="宋体" w:cs="宋体"/>
      <w:color w:val="000000"/>
      <w:sz w:val="24"/>
      <w:szCs w:val="24"/>
      <w:lang w:val="en-US" w:eastAsia="zh-CN" w:bidi="ar-SA"/>
    </w:rPr>
  </w:style>
  <w:style w:type="character" w:customStyle="1" w:styleId="1015">
    <w:name w:val="ca-61"/>
    <w:autoRedefine/>
    <w:qFormat/>
    <w:uiPriority w:val="0"/>
    <w:rPr>
      <w:rFonts w:hint="eastAsia" w:ascii="仿宋_GB2312" w:eastAsia="仿宋_GB2312"/>
      <w:b/>
      <w:bCs/>
      <w:spacing w:val="-20"/>
      <w:sz w:val="24"/>
      <w:szCs w:val="24"/>
    </w:rPr>
  </w:style>
  <w:style w:type="character" w:customStyle="1" w:styleId="1016">
    <w:name w:val="标题 2 Char1"/>
    <w:autoRedefine/>
    <w:qFormat/>
    <w:uiPriority w:val="0"/>
    <w:rPr>
      <w:rFonts w:ascii="宋体" w:hAnsi="宋体" w:eastAsia="黑体"/>
      <w:bCs/>
      <w:kern w:val="2"/>
      <w:sz w:val="32"/>
      <w:szCs w:val="32"/>
    </w:rPr>
  </w:style>
  <w:style w:type="character" w:customStyle="1" w:styleId="1017">
    <w:name w:val="pword"/>
    <w:autoRedefine/>
    <w:qFormat/>
    <w:uiPriority w:val="0"/>
  </w:style>
  <w:style w:type="character" w:customStyle="1" w:styleId="1018">
    <w:name w:val="正文缩 Char"/>
    <w:link w:val="1019"/>
    <w:autoRedefine/>
    <w:qFormat/>
    <w:uiPriority w:val="0"/>
    <w:rPr>
      <w:rFonts w:eastAsia="楷体_GB2312"/>
      <w:kern w:val="2"/>
      <w:sz w:val="24"/>
      <w:szCs w:val="24"/>
    </w:rPr>
  </w:style>
  <w:style w:type="paragraph" w:customStyle="1" w:styleId="1019">
    <w:name w:val="正文缩"/>
    <w:basedOn w:val="1"/>
    <w:link w:val="1018"/>
    <w:autoRedefine/>
    <w:qFormat/>
    <w:uiPriority w:val="0"/>
    <w:pPr>
      <w:adjustRightInd/>
      <w:spacing w:line="360" w:lineRule="auto"/>
      <w:ind w:firstLine="200" w:firstLineChars="200"/>
    </w:pPr>
    <w:rPr>
      <w:rFonts w:eastAsia="楷体_GB2312"/>
      <w:sz w:val="24"/>
    </w:rPr>
  </w:style>
  <w:style w:type="character" w:customStyle="1" w:styleId="1020">
    <w:name w:val="fonts11"/>
    <w:autoRedefine/>
    <w:qFormat/>
    <w:uiPriority w:val="0"/>
    <w:rPr>
      <w:sz w:val="18"/>
      <w:szCs w:val="18"/>
    </w:rPr>
  </w:style>
  <w:style w:type="character" w:customStyle="1" w:styleId="1021">
    <w:name w:val="哈哈改 Char"/>
    <w:link w:val="1022"/>
    <w:autoRedefine/>
    <w:qFormat/>
    <w:uiPriority w:val="0"/>
    <w:rPr>
      <w:rFonts w:ascii="宋体" w:hAnsi="宋体"/>
      <w:b/>
      <w:kern w:val="2"/>
      <w:sz w:val="24"/>
      <w:szCs w:val="24"/>
    </w:rPr>
  </w:style>
  <w:style w:type="paragraph" w:customStyle="1" w:styleId="1022">
    <w:name w:val="哈哈改"/>
    <w:basedOn w:val="119"/>
    <w:link w:val="1021"/>
    <w:autoRedefine/>
    <w:qFormat/>
    <w:uiPriority w:val="0"/>
    <w:pPr>
      <w:ind w:firstLine="480"/>
    </w:pPr>
    <w:rPr>
      <w:b/>
      <w:szCs w:val="24"/>
    </w:rPr>
  </w:style>
  <w:style w:type="paragraph" w:customStyle="1" w:styleId="1023">
    <w:name w:val="内文正文"/>
    <w:autoRedefine/>
    <w:qFormat/>
    <w:uiPriority w:val="0"/>
    <w:pPr>
      <w:autoSpaceDE w:val="0"/>
      <w:autoSpaceDN w:val="0"/>
      <w:spacing w:line="400" w:lineRule="exact"/>
      <w:ind w:firstLine="200" w:firstLineChars="200"/>
      <w:jc w:val="both"/>
      <w:textAlignment w:val="bottom"/>
    </w:pPr>
    <w:rPr>
      <w:rFonts w:ascii="??" w:hAnsi="??" w:eastAsia="??" w:cs="宋体"/>
      <w:sz w:val="21"/>
      <w:szCs w:val="28"/>
      <w:lang w:val="en-US" w:eastAsia="zh-CN" w:bidi="ar-SA"/>
    </w:rPr>
  </w:style>
  <w:style w:type="paragraph" w:customStyle="1" w:styleId="1024">
    <w:name w:val="表格正文"/>
    <w:basedOn w:val="1"/>
    <w:autoRedefine/>
    <w:qFormat/>
    <w:uiPriority w:val="0"/>
    <w:pPr>
      <w:adjustRightInd/>
      <w:spacing w:line="360" w:lineRule="auto"/>
    </w:pPr>
    <w:rPr>
      <w:rFonts w:ascii="宋体" w:hAnsi="宋体" w:eastAsia="楷体_GB2312" w:cs="宋体"/>
      <w:sz w:val="24"/>
      <w:szCs w:val="20"/>
    </w:rPr>
  </w:style>
  <w:style w:type="paragraph" w:customStyle="1" w:styleId="1025">
    <w:name w:val="xl105"/>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textAlignment w:val="bottom"/>
    </w:pPr>
    <w:rPr>
      <w:rFonts w:ascii="Arial" w:hAnsi="Arial"/>
      <w:kern w:val="0"/>
      <w:sz w:val="18"/>
      <w:szCs w:val="20"/>
    </w:rPr>
  </w:style>
  <w:style w:type="paragraph" w:customStyle="1" w:styleId="1026">
    <w:name w:val="符号 2"/>
    <w:basedOn w:val="1027"/>
    <w:autoRedefine/>
    <w:qFormat/>
    <w:uiPriority w:val="0"/>
    <w:pPr>
      <w:tabs>
        <w:tab w:val="left" w:pos="900"/>
        <w:tab w:val="left" w:pos="1320"/>
      </w:tabs>
      <w:ind w:left="1320"/>
    </w:pPr>
  </w:style>
  <w:style w:type="paragraph" w:customStyle="1" w:styleId="1027">
    <w:name w:val="符号 1"/>
    <w:basedOn w:val="31"/>
    <w:autoRedefine/>
    <w:qFormat/>
    <w:uiPriority w:val="0"/>
    <w:pPr>
      <w:tabs>
        <w:tab w:val="left" w:pos="900"/>
      </w:tabs>
      <w:adjustRightInd/>
      <w:spacing w:line="360" w:lineRule="auto"/>
      <w:ind w:left="900" w:hanging="420" w:firstLineChars="0"/>
    </w:pPr>
    <w:rPr>
      <w:rFonts w:ascii="Times New Roman" w:hAnsi="Times New Roman" w:eastAsia="楷体_GB2312"/>
      <w:kern w:val="28"/>
    </w:rPr>
  </w:style>
  <w:style w:type="paragraph" w:customStyle="1" w:styleId="1028">
    <w:name w:val="带标题正文"/>
    <w:basedOn w:val="1"/>
    <w:autoRedefine/>
    <w:qFormat/>
    <w:uiPriority w:val="0"/>
    <w:pPr>
      <w:tabs>
        <w:tab w:val="left" w:pos="425"/>
      </w:tabs>
      <w:adjustRightInd/>
      <w:snapToGrid w:val="0"/>
      <w:spacing w:before="100" w:after="100"/>
      <w:ind w:firstLine="115"/>
    </w:pPr>
    <w:rPr>
      <w:rFonts w:ascii="楷体" w:hAnsi="等线" w:eastAsia="楷体"/>
      <w:b/>
      <w:sz w:val="28"/>
      <w:szCs w:val="20"/>
    </w:rPr>
  </w:style>
  <w:style w:type="paragraph" w:customStyle="1" w:styleId="1029">
    <w:name w:val="xl63"/>
    <w:basedOn w:val="1"/>
    <w:autoRedefine/>
    <w:qFormat/>
    <w:uiPriority w:val="0"/>
    <w:pPr>
      <w:widowControl/>
      <w:pBdr>
        <w:top w:val="single" w:color="auto" w:sz="4" w:space="0"/>
        <w:left w:val="single" w:color="auto" w:sz="8" w:space="0"/>
        <w:bottom w:val="single" w:color="auto" w:sz="4" w:space="0"/>
        <w:right w:val="single" w:color="auto" w:sz="4" w:space="0"/>
      </w:pBdr>
      <w:shd w:val="clear" w:color="auto" w:fill="CCFFFF"/>
      <w:adjustRightInd/>
      <w:spacing w:before="100" w:beforeAutospacing="1" w:after="100" w:afterAutospacing="1"/>
      <w:jc w:val="center"/>
      <w:textAlignment w:val="bottom"/>
    </w:pPr>
    <w:rPr>
      <w:rFonts w:ascii="宋体" w:hAnsi="宋体"/>
      <w:kern w:val="0"/>
      <w:sz w:val="18"/>
      <w:szCs w:val="20"/>
    </w:rPr>
  </w:style>
  <w:style w:type="paragraph" w:customStyle="1" w:styleId="1030">
    <w:name w:val="font16"/>
    <w:basedOn w:val="1"/>
    <w:autoRedefine/>
    <w:qFormat/>
    <w:uiPriority w:val="0"/>
    <w:pPr>
      <w:widowControl/>
      <w:adjustRightInd/>
      <w:spacing w:before="100" w:beforeAutospacing="1" w:after="100" w:afterAutospacing="1"/>
      <w:jc w:val="left"/>
    </w:pPr>
    <w:rPr>
      <w:rFonts w:ascii="宋体" w:hAnsi="宋体" w:cs="宋体"/>
      <w:color w:val="000000"/>
      <w:kern w:val="0"/>
      <w:szCs w:val="21"/>
    </w:rPr>
  </w:style>
  <w:style w:type="paragraph" w:customStyle="1" w:styleId="1031">
    <w:name w:val="xl52"/>
    <w:basedOn w:val="1"/>
    <w:autoRedefine/>
    <w:qFormat/>
    <w:uiPriority w:val="0"/>
    <w:pPr>
      <w:widowControl/>
      <w:pBdr>
        <w:top w:val="single" w:color="auto" w:sz="4" w:space="0"/>
        <w:left w:val="single" w:color="auto" w:sz="4" w:space="0"/>
        <w:bottom w:val="single" w:color="auto" w:sz="4" w:space="0"/>
        <w:right w:val="single" w:color="auto" w:sz="4" w:space="0"/>
      </w:pBdr>
      <w:shd w:val="clear" w:color="auto" w:fill="CCFFFF"/>
      <w:adjustRightInd/>
      <w:spacing w:before="100" w:beforeAutospacing="1" w:after="100" w:afterAutospacing="1"/>
      <w:jc w:val="center"/>
    </w:pPr>
    <w:rPr>
      <w:rFonts w:ascii="宋体" w:hAnsi="宋体"/>
      <w:kern w:val="0"/>
      <w:sz w:val="24"/>
      <w:szCs w:val="20"/>
    </w:rPr>
  </w:style>
  <w:style w:type="paragraph" w:customStyle="1" w:styleId="1032">
    <w:name w:val="xl132"/>
    <w:basedOn w:val="1"/>
    <w:autoRedefine/>
    <w:qFormat/>
    <w:uiPriority w:val="0"/>
    <w:pPr>
      <w:widowControl/>
      <w:pBdr>
        <w:top w:val="single" w:color="auto" w:sz="4" w:space="0"/>
        <w:left w:val="single" w:color="auto" w:sz="4" w:space="0"/>
        <w:bottom w:val="single" w:color="auto" w:sz="4" w:space="0"/>
        <w:right w:val="single" w:color="auto" w:sz="8" w:space="0"/>
      </w:pBdr>
      <w:adjustRightInd/>
      <w:spacing w:before="100" w:beforeAutospacing="1" w:after="100" w:afterAutospacing="1"/>
      <w:jc w:val="left"/>
    </w:pPr>
    <w:rPr>
      <w:rFonts w:ascii="Arial" w:hAnsi="Arial"/>
      <w:kern w:val="0"/>
      <w:sz w:val="20"/>
      <w:szCs w:val="20"/>
    </w:rPr>
  </w:style>
  <w:style w:type="paragraph" w:customStyle="1" w:styleId="1033">
    <w:name w:val="中文标题 4"/>
    <w:basedOn w:val="31"/>
    <w:autoRedefine/>
    <w:qFormat/>
    <w:uiPriority w:val="0"/>
    <w:pPr>
      <w:adjustRightInd/>
      <w:spacing w:before="100" w:beforeAutospacing="1" w:after="100" w:afterAutospacing="1" w:line="360" w:lineRule="auto"/>
      <w:ind w:firstLine="482" w:firstLineChars="0"/>
    </w:pPr>
    <w:rPr>
      <w:rFonts w:ascii="Times New Roman" w:hAnsi="Times New Roman" w:eastAsia="楷体_GB2312"/>
      <w:kern w:val="28"/>
    </w:rPr>
  </w:style>
  <w:style w:type="paragraph" w:customStyle="1" w:styleId="1034">
    <w:name w:val="_Style 40"/>
    <w:basedOn w:val="1"/>
    <w:autoRedefine/>
    <w:qFormat/>
    <w:uiPriority w:val="0"/>
    <w:pPr>
      <w:adjustRightInd/>
    </w:pPr>
    <w:rPr>
      <w:rFonts w:ascii="等线" w:hAnsi="等线" w:eastAsia="??"/>
      <w:szCs w:val="28"/>
    </w:rPr>
  </w:style>
  <w:style w:type="paragraph" w:customStyle="1" w:styleId="1035">
    <w:name w:val="样式 样式 首行缩进:  0.74 厘米 行距: 1.5 倍行距 + 段后: 0.5 行"/>
    <w:basedOn w:val="1"/>
    <w:autoRedefine/>
    <w:qFormat/>
    <w:uiPriority w:val="0"/>
    <w:pPr>
      <w:widowControl/>
      <w:adjustRightInd/>
      <w:spacing w:after="200" w:line="360" w:lineRule="auto"/>
      <w:ind w:firstLine="420" w:firstLineChars="200"/>
      <w:jc w:val="left"/>
    </w:pPr>
    <w:rPr>
      <w:rFonts w:ascii="Calibri" w:hAnsi="Calibri"/>
      <w:kern w:val="0"/>
      <w:sz w:val="22"/>
      <w:szCs w:val="20"/>
      <w:lang w:eastAsia="en-US" w:bidi="en-US"/>
    </w:rPr>
  </w:style>
  <w:style w:type="paragraph" w:customStyle="1" w:styleId="1036">
    <w:name w:val="xl51"/>
    <w:basedOn w:val="1"/>
    <w:autoRedefine/>
    <w:qFormat/>
    <w:uiPriority w:val="0"/>
    <w:pPr>
      <w:widowControl/>
      <w:pBdr>
        <w:top w:val="single" w:color="auto" w:sz="4" w:space="0"/>
        <w:left w:val="single" w:color="auto" w:sz="4" w:space="0"/>
        <w:bottom w:val="single" w:color="auto" w:sz="4" w:space="0"/>
        <w:right w:val="single" w:color="auto" w:sz="4" w:space="0"/>
      </w:pBdr>
      <w:shd w:val="clear" w:color="auto" w:fill="FFFFFF"/>
      <w:adjustRightInd/>
      <w:spacing w:before="100" w:beforeAutospacing="1" w:after="100" w:afterAutospacing="1"/>
      <w:jc w:val="center"/>
    </w:pPr>
    <w:rPr>
      <w:rFonts w:ascii="Arial" w:hAnsi="Arial"/>
      <w:kern w:val="0"/>
      <w:sz w:val="18"/>
      <w:szCs w:val="20"/>
    </w:rPr>
  </w:style>
  <w:style w:type="paragraph" w:customStyle="1" w:styleId="1037">
    <w:name w:val="xl60"/>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textAlignment w:val="bottom"/>
    </w:pPr>
    <w:rPr>
      <w:rFonts w:ascii="宋体" w:hAnsi="宋体"/>
      <w:kern w:val="0"/>
      <w:sz w:val="20"/>
      <w:szCs w:val="20"/>
    </w:rPr>
  </w:style>
  <w:style w:type="paragraph" w:customStyle="1" w:styleId="1038">
    <w:name w:val="font17"/>
    <w:basedOn w:val="1"/>
    <w:autoRedefine/>
    <w:qFormat/>
    <w:uiPriority w:val="0"/>
    <w:pPr>
      <w:widowControl/>
      <w:adjustRightInd/>
      <w:spacing w:before="100" w:beforeAutospacing="1" w:after="100" w:afterAutospacing="1"/>
      <w:jc w:val="left"/>
    </w:pPr>
    <w:rPr>
      <w:rFonts w:ascii="宋体" w:hAnsi="宋体" w:cs="宋体"/>
      <w:color w:val="000000"/>
      <w:kern w:val="0"/>
      <w:sz w:val="22"/>
      <w:szCs w:val="22"/>
    </w:rPr>
  </w:style>
  <w:style w:type="paragraph" w:customStyle="1" w:styleId="1039">
    <w:name w:val="xl116"/>
    <w:basedOn w:val="1"/>
    <w:autoRedefine/>
    <w:qFormat/>
    <w:uiPriority w:val="0"/>
    <w:pPr>
      <w:widowControl/>
      <w:pBdr>
        <w:top w:val="single" w:color="auto" w:sz="4" w:space="0"/>
        <w:left w:val="single" w:color="auto" w:sz="4" w:space="0"/>
        <w:bottom w:val="single" w:color="auto" w:sz="4" w:space="0"/>
        <w:right w:val="single" w:color="auto" w:sz="4" w:space="0"/>
      </w:pBdr>
      <w:shd w:val="clear" w:color="auto" w:fill="CCFFFF"/>
      <w:adjustRightInd/>
      <w:spacing w:before="100" w:beforeAutospacing="1" w:after="100" w:afterAutospacing="1"/>
      <w:jc w:val="left"/>
      <w:textAlignment w:val="bottom"/>
    </w:pPr>
    <w:rPr>
      <w:rFonts w:ascii="Arial" w:hAnsi="Arial"/>
      <w:color w:val="000000"/>
      <w:kern w:val="0"/>
      <w:sz w:val="18"/>
      <w:szCs w:val="20"/>
    </w:rPr>
  </w:style>
  <w:style w:type="paragraph" w:customStyle="1" w:styleId="1040">
    <w:name w:val="xl101"/>
    <w:basedOn w:val="1"/>
    <w:autoRedefine/>
    <w:qFormat/>
    <w:uiPriority w:val="0"/>
    <w:pPr>
      <w:widowControl/>
      <w:adjustRightInd/>
      <w:spacing w:before="100" w:beforeAutospacing="1" w:after="100" w:afterAutospacing="1"/>
      <w:jc w:val="center"/>
    </w:pPr>
    <w:rPr>
      <w:rFonts w:ascii="Arial" w:hAnsi="Arial"/>
      <w:kern w:val="0"/>
      <w:sz w:val="18"/>
      <w:szCs w:val="20"/>
    </w:rPr>
  </w:style>
  <w:style w:type="paragraph" w:customStyle="1" w:styleId="1041">
    <w:name w:val="xl95"/>
    <w:basedOn w:val="1"/>
    <w:autoRedefine/>
    <w:qFormat/>
    <w:uiPriority w:val="0"/>
    <w:pPr>
      <w:widowControl/>
      <w:pBdr>
        <w:left w:val="single" w:color="auto" w:sz="4" w:space="0"/>
        <w:bottom w:val="single" w:color="auto" w:sz="8" w:space="0"/>
        <w:right w:val="single" w:color="auto" w:sz="4" w:space="0"/>
      </w:pBdr>
      <w:adjustRightInd/>
      <w:spacing w:before="100" w:beforeAutospacing="1" w:after="100" w:afterAutospacing="1"/>
      <w:jc w:val="center"/>
      <w:textAlignment w:val="bottom"/>
    </w:pPr>
    <w:rPr>
      <w:rFonts w:ascii="宋体" w:hAnsi="宋体"/>
      <w:kern w:val="0"/>
      <w:sz w:val="18"/>
      <w:szCs w:val="20"/>
    </w:rPr>
  </w:style>
  <w:style w:type="paragraph" w:customStyle="1" w:styleId="1042">
    <w:name w:val="xl110"/>
    <w:basedOn w:val="1"/>
    <w:autoRedefine/>
    <w:qFormat/>
    <w:uiPriority w:val="0"/>
    <w:pPr>
      <w:widowControl/>
      <w:pBdr>
        <w:top w:val="single" w:color="auto" w:sz="4" w:space="0"/>
        <w:left w:val="single" w:color="auto" w:sz="4" w:space="0"/>
        <w:bottom w:val="single" w:color="auto" w:sz="4" w:space="0"/>
        <w:right w:val="single" w:color="auto" w:sz="4" w:space="0"/>
      </w:pBdr>
      <w:shd w:val="clear" w:color="auto" w:fill="FFFF99"/>
      <w:adjustRightInd/>
      <w:spacing w:before="100" w:beforeAutospacing="1" w:after="100" w:afterAutospacing="1"/>
      <w:jc w:val="left"/>
      <w:textAlignment w:val="bottom"/>
    </w:pPr>
    <w:rPr>
      <w:rFonts w:ascii="Arial" w:hAnsi="Arial"/>
      <w:kern w:val="0"/>
      <w:sz w:val="18"/>
      <w:szCs w:val="20"/>
    </w:rPr>
  </w:style>
  <w:style w:type="paragraph" w:customStyle="1" w:styleId="1043">
    <w:name w:val="表格标题"/>
    <w:basedOn w:val="1024"/>
    <w:autoRedefine/>
    <w:qFormat/>
    <w:uiPriority w:val="0"/>
    <w:pPr>
      <w:jc w:val="center"/>
    </w:pPr>
    <w:rPr>
      <w:b/>
    </w:rPr>
  </w:style>
  <w:style w:type="paragraph" w:customStyle="1" w:styleId="1044">
    <w:name w:val="Char Char1 Char Char Char Char Char Char Char Char"/>
    <w:basedOn w:val="1"/>
    <w:autoRedefine/>
    <w:qFormat/>
    <w:uiPriority w:val="0"/>
    <w:pPr>
      <w:widowControl/>
      <w:adjustRightInd/>
      <w:spacing w:after="160" w:line="240" w:lineRule="exact"/>
      <w:jc w:val="left"/>
    </w:pPr>
    <w:rPr>
      <w:rFonts w:ascii="Verdana" w:hAnsi="Verdana"/>
      <w:kern w:val="0"/>
      <w:sz w:val="20"/>
      <w:szCs w:val="20"/>
      <w:lang w:eastAsia="en-US"/>
    </w:rPr>
  </w:style>
  <w:style w:type="paragraph" w:customStyle="1" w:styleId="1045">
    <w:name w:val="xl98"/>
    <w:basedOn w:val="1"/>
    <w:autoRedefine/>
    <w:qFormat/>
    <w:uiPriority w:val="0"/>
    <w:pPr>
      <w:widowControl/>
      <w:pBdr>
        <w:top w:val="single" w:color="auto" w:sz="4" w:space="0"/>
        <w:left w:val="single" w:color="auto" w:sz="4" w:space="0"/>
        <w:bottom w:val="single" w:color="auto" w:sz="4" w:space="0"/>
        <w:right w:val="single" w:color="auto" w:sz="8" w:space="0"/>
      </w:pBdr>
      <w:shd w:val="clear" w:color="auto" w:fill="CCFFFF"/>
      <w:adjustRightInd/>
      <w:spacing w:before="100" w:beforeAutospacing="1" w:after="100" w:afterAutospacing="1"/>
      <w:jc w:val="center"/>
      <w:textAlignment w:val="bottom"/>
    </w:pPr>
    <w:rPr>
      <w:rFonts w:ascii="宋体" w:hAnsi="宋体"/>
      <w:kern w:val="0"/>
      <w:sz w:val="20"/>
      <w:szCs w:val="20"/>
    </w:rPr>
  </w:style>
  <w:style w:type="paragraph" w:customStyle="1" w:styleId="1046">
    <w:name w:val="中文标题 1"/>
    <w:basedOn w:val="31"/>
    <w:next w:val="31"/>
    <w:autoRedefine/>
    <w:qFormat/>
    <w:uiPriority w:val="0"/>
    <w:pPr>
      <w:keepNext/>
      <w:adjustRightInd/>
      <w:spacing w:beforeLines="50" w:after="100" w:afterAutospacing="1" w:line="360" w:lineRule="auto"/>
      <w:ind w:firstLine="482" w:firstLineChars="0"/>
      <w:outlineLvl w:val="0"/>
    </w:pPr>
    <w:rPr>
      <w:rFonts w:ascii="Times New Roman" w:hAnsi="Times New Roman" w:eastAsia="楷体_GB2312"/>
      <w:kern w:val="28"/>
    </w:rPr>
  </w:style>
  <w:style w:type="paragraph" w:customStyle="1" w:styleId="1047">
    <w:name w:val="xl134"/>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textAlignment w:val="bottom"/>
    </w:pPr>
    <w:rPr>
      <w:rFonts w:ascii="Arial" w:hAnsi="Arial"/>
      <w:color w:val="FF0000"/>
      <w:kern w:val="0"/>
      <w:sz w:val="18"/>
      <w:szCs w:val="20"/>
    </w:rPr>
  </w:style>
  <w:style w:type="paragraph" w:customStyle="1" w:styleId="1048">
    <w:name w:val="xl62"/>
    <w:basedOn w:val="1"/>
    <w:autoRedefine/>
    <w:qFormat/>
    <w:uiPriority w:val="0"/>
    <w:pPr>
      <w:widowControl/>
      <w:pBdr>
        <w:top w:val="single" w:color="auto" w:sz="8" w:space="0"/>
        <w:left w:val="single" w:color="auto" w:sz="4" w:space="0"/>
        <w:bottom w:val="single" w:color="auto" w:sz="4" w:space="0"/>
        <w:right w:val="single" w:color="auto" w:sz="8" w:space="0"/>
      </w:pBdr>
      <w:shd w:val="clear" w:color="auto" w:fill="800080"/>
      <w:adjustRightInd/>
      <w:spacing w:before="100" w:beforeAutospacing="1" w:after="100" w:afterAutospacing="1"/>
      <w:jc w:val="center"/>
    </w:pPr>
    <w:rPr>
      <w:rFonts w:ascii="宋体" w:hAnsi="宋体"/>
      <w:b/>
      <w:color w:val="FFFFFF"/>
      <w:kern w:val="0"/>
      <w:sz w:val="20"/>
      <w:szCs w:val="20"/>
    </w:rPr>
  </w:style>
  <w:style w:type="paragraph" w:customStyle="1" w:styleId="1049">
    <w:name w:val="表格内容"/>
    <w:basedOn w:val="1"/>
    <w:autoRedefine/>
    <w:qFormat/>
    <w:uiPriority w:val="0"/>
    <w:pPr>
      <w:widowControl/>
      <w:autoSpaceDE w:val="0"/>
      <w:autoSpaceDN w:val="0"/>
      <w:spacing w:before="60" w:line="300" w:lineRule="auto"/>
      <w:jc w:val="center"/>
      <w:textAlignment w:val="bottom"/>
    </w:pPr>
    <w:rPr>
      <w:rFonts w:ascii="等线" w:hAnsi="等线"/>
      <w:kern w:val="0"/>
      <w:szCs w:val="20"/>
    </w:rPr>
  </w:style>
  <w:style w:type="paragraph" w:customStyle="1" w:styleId="1050">
    <w:name w:val="xl119"/>
    <w:basedOn w:val="1"/>
    <w:autoRedefine/>
    <w:qFormat/>
    <w:uiPriority w:val="0"/>
    <w:pPr>
      <w:widowControl/>
      <w:pBdr>
        <w:top w:val="single" w:color="auto" w:sz="4" w:space="0"/>
        <w:left w:val="single" w:color="auto" w:sz="4" w:space="0"/>
        <w:bottom w:val="single" w:color="auto" w:sz="4" w:space="0"/>
        <w:right w:val="single" w:color="auto" w:sz="4" w:space="0"/>
      </w:pBdr>
      <w:shd w:val="clear" w:color="auto" w:fill="CCFFFF"/>
      <w:adjustRightInd/>
      <w:spacing w:before="100" w:beforeAutospacing="1" w:after="100" w:afterAutospacing="1"/>
      <w:jc w:val="center"/>
    </w:pPr>
    <w:rPr>
      <w:rFonts w:ascii="Arial" w:hAnsi="Arial"/>
      <w:color w:val="FF0000"/>
      <w:kern w:val="0"/>
      <w:sz w:val="18"/>
      <w:szCs w:val="20"/>
    </w:rPr>
  </w:style>
  <w:style w:type="paragraph" w:customStyle="1" w:styleId="1051">
    <w:name w:val="xl109"/>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textAlignment w:val="bottom"/>
    </w:pPr>
    <w:rPr>
      <w:rFonts w:ascii="Arial" w:hAnsi="Arial"/>
      <w:color w:val="FF0000"/>
      <w:kern w:val="0"/>
      <w:sz w:val="18"/>
      <w:szCs w:val="20"/>
    </w:rPr>
  </w:style>
  <w:style w:type="paragraph" w:customStyle="1" w:styleId="1052">
    <w:name w:val="xl47"/>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textAlignment w:val="bottom"/>
    </w:pPr>
    <w:rPr>
      <w:rFonts w:ascii="Arial" w:hAnsi="Arial"/>
      <w:kern w:val="0"/>
      <w:sz w:val="18"/>
      <w:szCs w:val="20"/>
    </w:rPr>
  </w:style>
  <w:style w:type="paragraph" w:customStyle="1" w:styleId="1053">
    <w:name w:val="Body text|1"/>
    <w:basedOn w:val="1"/>
    <w:autoRedefine/>
    <w:qFormat/>
    <w:uiPriority w:val="0"/>
    <w:pPr>
      <w:adjustRightInd/>
      <w:spacing w:line="425" w:lineRule="auto"/>
      <w:ind w:firstLine="400"/>
    </w:pPr>
    <w:rPr>
      <w:rFonts w:ascii="宋体" w:hAnsi="宋体" w:cs="宋体"/>
      <w:sz w:val="20"/>
      <w:szCs w:val="20"/>
      <w:lang w:val="zh-CN" w:bidi="zh-CN"/>
    </w:rPr>
  </w:style>
  <w:style w:type="paragraph" w:customStyle="1" w:styleId="1054">
    <w:name w:val="样式 样式 样式 我的正文首行缩进 + 首行缩进:  2 字符 + 首行缩进:  2 字符 + 首行缩进:  2 字符"/>
    <w:basedOn w:val="1"/>
    <w:autoRedefine/>
    <w:qFormat/>
    <w:uiPriority w:val="0"/>
    <w:pPr>
      <w:widowControl/>
      <w:tabs>
        <w:tab w:val="left" w:pos="840"/>
      </w:tabs>
      <w:adjustRightInd/>
      <w:spacing w:after="120" w:line="300" w:lineRule="auto"/>
      <w:ind w:left="840" w:hanging="360"/>
      <w:jc w:val="left"/>
    </w:pPr>
    <w:rPr>
      <w:rFonts w:ascii="等线" w:hAnsi="等线" w:eastAsia="华文细黑"/>
      <w:kern w:val="0"/>
      <w:sz w:val="24"/>
    </w:rPr>
  </w:style>
  <w:style w:type="paragraph" w:customStyle="1" w:styleId="1055">
    <w:name w:val="xl44"/>
    <w:basedOn w:val="1"/>
    <w:autoRedefine/>
    <w:qFormat/>
    <w:uiPriority w:val="0"/>
    <w:pPr>
      <w:widowControl/>
      <w:pBdr>
        <w:top w:val="single" w:color="auto" w:sz="4" w:space="0"/>
        <w:left w:val="single" w:color="auto" w:sz="4" w:space="0"/>
        <w:bottom w:val="single" w:color="auto" w:sz="4" w:space="0"/>
        <w:right w:val="single" w:color="auto" w:sz="4" w:space="0"/>
      </w:pBdr>
      <w:shd w:val="clear" w:color="auto" w:fill="FFFFFF"/>
      <w:adjustRightInd/>
      <w:spacing w:before="100" w:beforeAutospacing="1" w:after="100" w:afterAutospacing="1"/>
      <w:jc w:val="left"/>
      <w:textAlignment w:val="bottom"/>
    </w:pPr>
    <w:rPr>
      <w:rFonts w:ascii="宋体" w:hAnsi="宋体"/>
      <w:kern w:val="0"/>
      <w:sz w:val="18"/>
      <w:szCs w:val="20"/>
    </w:rPr>
  </w:style>
  <w:style w:type="paragraph" w:customStyle="1" w:styleId="1056">
    <w:name w:val="xl103"/>
    <w:basedOn w:val="1"/>
    <w:autoRedefine/>
    <w:qFormat/>
    <w:uiPriority w:val="0"/>
    <w:pPr>
      <w:widowControl/>
      <w:pBdr>
        <w:top w:val="single" w:color="auto" w:sz="4" w:space="0"/>
        <w:left w:val="single" w:color="auto" w:sz="4" w:space="0"/>
        <w:bottom w:val="single" w:color="auto" w:sz="4" w:space="0"/>
        <w:right w:val="single" w:color="auto" w:sz="4" w:space="0"/>
      </w:pBdr>
      <w:shd w:val="clear" w:color="auto" w:fill="CCFFFF"/>
      <w:adjustRightInd/>
      <w:spacing w:before="100" w:beforeAutospacing="1" w:after="100" w:afterAutospacing="1"/>
      <w:jc w:val="left"/>
      <w:textAlignment w:val="bottom"/>
    </w:pPr>
    <w:rPr>
      <w:rFonts w:ascii="Arial" w:hAnsi="Arial"/>
      <w:kern w:val="0"/>
      <w:sz w:val="18"/>
      <w:szCs w:val="20"/>
    </w:rPr>
  </w:style>
  <w:style w:type="paragraph" w:customStyle="1" w:styleId="1057">
    <w:name w:val="正文 首行缩进:  2 字符 Char Char Char Char"/>
    <w:basedOn w:val="1"/>
    <w:autoRedefine/>
    <w:qFormat/>
    <w:uiPriority w:val="0"/>
    <w:pPr>
      <w:adjustRightInd/>
      <w:spacing w:line="360" w:lineRule="auto"/>
      <w:ind w:firstLine="480"/>
    </w:pPr>
    <w:rPr>
      <w:rFonts w:ascii="等线" w:hAnsi="等线" w:eastAsia="楷体_GB2312" w:cs="宋体"/>
      <w:sz w:val="24"/>
    </w:rPr>
  </w:style>
  <w:style w:type="paragraph" w:customStyle="1" w:styleId="1058">
    <w:name w:val="编号 2"/>
    <w:basedOn w:val="1059"/>
    <w:autoRedefine/>
    <w:qFormat/>
    <w:uiPriority w:val="0"/>
    <w:pPr>
      <w:tabs>
        <w:tab w:val="left" w:pos="1320"/>
        <w:tab w:val="left" w:pos="1560"/>
      </w:tabs>
      <w:ind w:left="-80"/>
    </w:pPr>
    <w:rPr>
      <w:szCs w:val="20"/>
    </w:rPr>
  </w:style>
  <w:style w:type="paragraph" w:customStyle="1" w:styleId="1059">
    <w:name w:val="编号 1"/>
    <w:basedOn w:val="1"/>
    <w:autoRedefine/>
    <w:qFormat/>
    <w:uiPriority w:val="0"/>
    <w:pPr>
      <w:tabs>
        <w:tab w:val="left" w:pos="1320"/>
      </w:tabs>
      <w:adjustRightInd/>
      <w:spacing w:before="100" w:beforeAutospacing="1" w:after="100" w:afterAutospacing="1" w:line="360" w:lineRule="auto"/>
      <w:ind w:left="400" w:firstLine="560"/>
    </w:pPr>
    <w:rPr>
      <w:rFonts w:ascii="宋体" w:hAnsi="等线" w:eastAsia="楷体_GB2312"/>
      <w:sz w:val="24"/>
    </w:rPr>
  </w:style>
  <w:style w:type="paragraph" w:customStyle="1" w:styleId="1060">
    <w:name w:val="xl144"/>
    <w:basedOn w:val="1"/>
    <w:autoRedefine/>
    <w:qFormat/>
    <w:uiPriority w:val="0"/>
    <w:pPr>
      <w:widowControl/>
      <w:pBdr>
        <w:top w:val="single" w:color="auto" w:sz="4" w:space="0"/>
        <w:left w:val="single" w:color="auto" w:sz="4" w:space="0"/>
        <w:bottom w:val="single" w:color="auto" w:sz="8" w:space="0"/>
        <w:right w:val="single" w:color="auto" w:sz="8" w:space="0"/>
      </w:pBdr>
      <w:shd w:val="clear" w:color="000000" w:fill="FFFF00"/>
      <w:adjustRightInd/>
      <w:spacing w:before="100" w:beforeAutospacing="1" w:after="100" w:afterAutospacing="1"/>
      <w:jc w:val="right"/>
    </w:pPr>
    <w:rPr>
      <w:rFonts w:ascii="宋体" w:hAnsi="宋体" w:cs="宋体"/>
      <w:kern w:val="0"/>
      <w:sz w:val="24"/>
    </w:rPr>
  </w:style>
  <w:style w:type="paragraph" w:customStyle="1" w:styleId="1061">
    <w:name w:val="样式 正文文本缩进 + 左侧:  0.63 厘米 首行缩进:  0 厘米"/>
    <w:basedOn w:val="31"/>
    <w:autoRedefine/>
    <w:qFormat/>
    <w:uiPriority w:val="0"/>
    <w:pPr>
      <w:autoSpaceDE w:val="0"/>
      <w:autoSpaceDN w:val="0"/>
      <w:spacing w:after="120" w:line="360" w:lineRule="auto"/>
      <w:ind w:left="278" w:leftChars="116" w:right="17" w:firstLine="461" w:firstLineChars="192"/>
    </w:pPr>
    <w:rPr>
      <w:rFonts w:eastAsia="楷体_GB2312"/>
    </w:rPr>
  </w:style>
  <w:style w:type="paragraph" w:customStyle="1" w:styleId="1062">
    <w:name w:val="xl135"/>
    <w:basedOn w:val="1"/>
    <w:autoRedefine/>
    <w:qFormat/>
    <w:uiPriority w:val="0"/>
    <w:pPr>
      <w:widowControl/>
      <w:pBdr>
        <w:top w:val="single" w:color="auto" w:sz="4" w:space="0"/>
        <w:left w:val="single" w:color="auto" w:sz="4" w:space="0"/>
        <w:bottom w:val="single" w:color="auto" w:sz="4" w:space="0"/>
        <w:right w:val="single" w:color="auto" w:sz="8" w:space="0"/>
      </w:pBdr>
      <w:adjustRightInd/>
      <w:spacing w:before="100" w:beforeAutospacing="1" w:after="100" w:afterAutospacing="1"/>
      <w:jc w:val="left"/>
      <w:textAlignment w:val="bottom"/>
    </w:pPr>
    <w:rPr>
      <w:rFonts w:ascii="Arial" w:hAnsi="Arial"/>
      <w:kern w:val="0"/>
      <w:sz w:val="20"/>
      <w:szCs w:val="20"/>
    </w:rPr>
  </w:style>
  <w:style w:type="paragraph" w:customStyle="1" w:styleId="1063">
    <w:name w:val="xl56"/>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宋体" w:hAnsi="宋体"/>
      <w:kern w:val="0"/>
      <w:sz w:val="24"/>
      <w:szCs w:val="20"/>
    </w:rPr>
  </w:style>
  <w:style w:type="paragraph" w:customStyle="1" w:styleId="1064">
    <w:name w:val="普通段落"/>
    <w:basedOn w:val="1"/>
    <w:autoRedefine/>
    <w:qFormat/>
    <w:uiPriority w:val="0"/>
    <w:pPr>
      <w:snapToGrid w:val="0"/>
      <w:spacing w:line="360" w:lineRule="auto"/>
      <w:ind w:firstLine="480" w:firstLineChars="200"/>
    </w:pPr>
    <w:rPr>
      <w:rFonts w:ascii="等线" w:hAnsi="等线"/>
      <w:sz w:val="24"/>
      <w:szCs w:val="20"/>
    </w:rPr>
  </w:style>
  <w:style w:type="paragraph" w:customStyle="1" w:styleId="1065">
    <w:name w:val="font14"/>
    <w:basedOn w:val="1"/>
    <w:autoRedefine/>
    <w:qFormat/>
    <w:uiPriority w:val="0"/>
    <w:pPr>
      <w:widowControl/>
      <w:adjustRightInd/>
      <w:spacing w:before="100" w:beforeAutospacing="1" w:after="100" w:afterAutospacing="1"/>
      <w:jc w:val="left"/>
    </w:pPr>
    <w:rPr>
      <w:rFonts w:ascii="宋体" w:hAnsi="宋体" w:cs="宋体"/>
      <w:color w:val="000000"/>
      <w:kern w:val="0"/>
      <w:sz w:val="20"/>
      <w:szCs w:val="20"/>
    </w:rPr>
  </w:style>
  <w:style w:type="paragraph" w:customStyle="1" w:styleId="1066">
    <w:name w:val="xl107"/>
    <w:basedOn w:val="1"/>
    <w:autoRedefine/>
    <w:qFormat/>
    <w:uiPriority w:val="0"/>
    <w:pPr>
      <w:widowControl/>
      <w:pBdr>
        <w:top w:val="single" w:color="auto" w:sz="4" w:space="0"/>
        <w:left w:val="single" w:color="auto" w:sz="4" w:space="0"/>
        <w:bottom w:val="single" w:color="auto" w:sz="4" w:space="0"/>
        <w:right w:val="single" w:color="auto" w:sz="4" w:space="0"/>
      </w:pBdr>
      <w:shd w:val="clear" w:color="auto" w:fill="CCFFFF"/>
      <w:adjustRightInd/>
      <w:spacing w:before="100" w:beforeAutospacing="1" w:after="100" w:afterAutospacing="1"/>
      <w:jc w:val="center"/>
      <w:textAlignment w:val="bottom"/>
    </w:pPr>
    <w:rPr>
      <w:rFonts w:ascii="Arial" w:hAnsi="Arial"/>
      <w:color w:val="FF0000"/>
      <w:kern w:val="0"/>
      <w:sz w:val="18"/>
      <w:szCs w:val="20"/>
    </w:rPr>
  </w:style>
  <w:style w:type="paragraph" w:customStyle="1" w:styleId="1067">
    <w:name w:val="xl143"/>
    <w:basedOn w:val="1"/>
    <w:autoRedefine/>
    <w:qFormat/>
    <w:uiPriority w:val="0"/>
    <w:pPr>
      <w:widowControl/>
      <w:pBdr>
        <w:top w:val="single" w:color="auto" w:sz="4" w:space="0"/>
        <w:left w:val="single" w:color="auto" w:sz="4" w:space="0"/>
        <w:bottom w:val="single" w:color="auto" w:sz="4" w:space="0"/>
        <w:right w:val="single" w:color="auto" w:sz="8" w:space="0"/>
      </w:pBdr>
      <w:adjustRightInd/>
      <w:spacing w:before="100" w:beforeAutospacing="1" w:after="100" w:afterAutospacing="1"/>
      <w:jc w:val="right"/>
    </w:pPr>
    <w:rPr>
      <w:rFonts w:ascii="宋体" w:hAnsi="宋体" w:cs="宋体"/>
      <w:kern w:val="0"/>
      <w:sz w:val="20"/>
      <w:szCs w:val="20"/>
    </w:rPr>
  </w:style>
  <w:style w:type="paragraph" w:customStyle="1" w:styleId="1068">
    <w:name w:val="xl124"/>
    <w:basedOn w:val="1"/>
    <w:autoRedefine/>
    <w:qFormat/>
    <w:uiPriority w:val="0"/>
    <w:pPr>
      <w:widowControl/>
      <w:pBdr>
        <w:top w:val="single" w:color="auto" w:sz="4" w:space="0"/>
        <w:left w:val="single" w:color="auto" w:sz="4" w:space="0"/>
        <w:bottom w:val="single" w:color="auto" w:sz="8" w:space="0"/>
        <w:right w:val="single" w:color="auto" w:sz="4" w:space="0"/>
      </w:pBdr>
      <w:adjustRightInd/>
      <w:spacing w:before="100" w:beforeAutospacing="1" w:after="100" w:afterAutospacing="1"/>
      <w:jc w:val="left"/>
      <w:textAlignment w:val="bottom"/>
    </w:pPr>
    <w:rPr>
      <w:rFonts w:ascii="Arial" w:hAnsi="Arial"/>
      <w:kern w:val="0"/>
      <w:sz w:val="18"/>
      <w:szCs w:val="20"/>
    </w:rPr>
  </w:style>
  <w:style w:type="paragraph" w:customStyle="1" w:styleId="1069">
    <w:name w:val="xl127"/>
    <w:basedOn w:val="1"/>
    <w:autoRedefine/>
    <w:qFormat/>
    <w:uiPriority w:val="0"/>
    <w:pPr>
      <w:widowControl/>
      <w:adjustRightInd/>
      <w:spacing w:before="100" w:beforeAutospacing="1" w:after="100" w:afterAutospacing="1"/>
      <w:jc w:val="center"/>
      <w:textAlignment w:val="bottom"/>
    </w:pPr>
    <w:rPr>
      <w:rFonts w:ascii="Arial" w:hAnsi="Arial"/>
      <w:kern w:val="0"/>
      <w:sz w:val="18"/>
      <w:szCs w:val="20"/>
    </w:rPr>
  </w:style>
  <w:style w:type="paragraph" w:customStyle="1" w:styleId="1070">
    <w:name w:val="Normal_13"/>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71">
    <w:name w:val="Char Char Char1 Char Char Char1 Char"/>
    <w:basedOn w:val="1"/>
    <w:autoRedefine/>
    <w:qFormat/>
    <w:uiPriority w:val="0"/>
    <w:pPr>
      <w:tabs>
        <w:tab w:val="left" w:pos="360"/>
      </w:tabs>
      <w:adjustRightInd/>
    </w:pPr>
    <w:rPr>
      <w:rFonts w:ascii="等线" w:hAnsi="等线"/>
      <w:sz w:val="24"/>
    </w:rPr>
  </w:style>
  <w:style w:type="paragraph" w:customStyle="1" w:styleId="1072">
    <w:name w:val="xl49"/>
    <w:basedOn w:val="1"/>
    <w:autoRedefine/>
    <w:qFormat/>
    <w:uiPriority w:val="0"/>
    <w:pPr>
      <w:widowControl/>
      <w:pBdr>
        <w:top w:val="single" w:color="auto" w:sz="8" w:space="0"/>
        <w:left w:val="single" w:color="auto" w:sz="8" w:space="0"/>
        <w:bottom w:val="single" w:color="auto" w:sz="4" w:space="0"/>
        <w:right w:val="single" w:color="auto" w:sz="4" w:space="0"/>
      </w:pBdr>
      <w:shd w:val="clear" w:color="auto" w:fill="800080"/>
      <w:adjustRightInd/>
      <w:spacing w:before="100" w:beforeAutospacing="1" w:after="100" w:afterAutospacing="1"/>
      <w:jc w:val="center"/>
    </w:pPr>
    <w:rPr>
      <w:rFonts w:ascii="宋体" w:hAnsi="宋体"/>
      <w:b/>
      <w:color w:val="FFFFFF"/>
      <w:kern w:val="0"/>
      <w:sz w:val="20"/>
      <w:szCs w:val="20"/>
    </w:rPr>
  </w:style>
  <w:style w:type="paragraph" w:customStyle="1" w:styleId="1073">
    <w:name w:val="xl96"/>
    <w:basedOn w:val="1"/>
    <w:autoRedefine/>
    <w:qFormat/>
    <w:uiPriority w:val="0"/>
    <w:pPr>
      <w:widowControl/>
      <w:pBdr>
        <w:left w:val="single" w:color="auto" w:sz="4" w:space="0"/>
        <w:bottom w:val="single" w:color="auto" w:sz="8" w:space="0"/>
        <w:right w:val="single" w:color="auto" w:sz="4" w:space="0"/>
      </w:pBdr>
      <w:adjustRightInd/>
      <w:spacing w:before="100" w:beforeAutospacing="1" w:after="100" w:afterAutospacing="1"/>
      <w:jc w:val="left"/>
      <w:textAlignment w:val="bottom"/>
    </w:pPr>
    <w:rPr>
      <w:rFonts w:ascii="宋体" w:hAnsi="宋体"/>
      <w:kern w:val="0"/>
      <w:sz w:val="18"/>
      <w:szCs w:val="20"/>
    </w:rPr>
  </w:style>
  <w:style w:type="paragraph" w:customStyle="1" w:styleId="1074">
    <w:name w:val="样式 正文文本缩进 + 仿宋_GB2312 四号"/>
    <w:basedOn w:val="1"/>
    <w:next w:val="9"/>
    <w:autoRedefine/>
    <w:qFormat/>
    <w:uiPriority w:val="0"/>
    <w:pPr>
      <w:widowControl/>
      <w:adjustRightInd/>
      <w:spacing w:line="360" w:lineRule="auto"/>
      <w:jc w:val="left"/>
    </w:pPr>
    <w:rPr>
      <w:rFonts w:ascii="宋体" w:hAnsi="宋体" w:cs="宋体"/>
      <w:b/>
      <w:snapToGrid w:val="0"/>
      <w:kern w:val="0"/>
      <w:sz w:val="28"/>
      <w:szCs w:val="28"/>
    </w:rPr>
  </w:style>
  <w:style w:type="paragraph" w:customStyle="1" w:styleId="1075">
    <w:name w:val="xl54"/>
    <w:basedOn w:val="1"/>
    <w:autoRedefine/>
    <w:qFormat/>
    <w:uiPriority w:val="0"/>
    <w:pPr>
      <w:widowControl/>
      <w:pBdr>
        <w:top w:val="single" w:color="auto" w:sz="4" w:space="0"/>
        <w:left w:val="single" w:color="auto" w:sz="4" w:space="0"/>
        <w:bottom w:val="single" w:color="auto" w:sz="4" w:space="0"/>
        <w:right w:val="single" w:color="auto" w:sz="4" w:space="0"/>
      </w:pBdr>
      <w:shd w:val="clear" w:color="auto" w:fill="CCFFFF"/>
      <w:adjustRightInd/>
      <w:spacing w:before="100" w:beforeAutospacing="1" w:after="100" w:afterAutospacing="1"/>
      <w:jc w:val="left"/>
    </w:pPr>
    <w:rPr>
      <w:rFonts w:ascii="宋体" w:hAnsi="宋体"/>
      <w:kern w:val="0"/>
      <w:sz w:val="24"/>
      <w:szCs w:val="20"/>
    </w:rPr>
  </w:style>
  <w:style w:type="paragraph" w:customStyle="1" w:styleId="1076">
    <w:name w:val="xl115"/>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Arial" w:hAnsi="Arial"/>
      <w:kern w:val="0"/>
      <w:sz w:val="18"/>
      <w:szCs w:val="20"/>
    </w:rPr>
  </w:style>
  <w:style w:type="paragraph" w:customStyle="1" w:styleId="1077">
    <w:name w:val="xl48"/>
    <w:basedOn w:val="1"/>
    <w:autoRedefine/>
    <w:qFormat/>
    <w:uiPriority w:val="0"/>
    <w:pPr>
      <w:widowControl/>
      <w:pBdr>
        <w:top w:val="single" w:color="auto" w:sz="4" w:space="0"/>
        <w:left w:val="single" w:color="auto" w:sz="4" w:space="0"/>
        <w:bottom w:val="single" w:color="auto" w:sz="4" w:space="0"/>
        <w:right w:val="single" w:color="auto" w:sz="4" w:space="0"/>
      </w:pBdr>
      <w:shd w:val="clear" w:color="auto" w:fill="CCFFFF"/>
      <w:adjustRightInd/>
      <w:spacing w:before="100" w:beforeAutospacing="1" w:after="100" w:afterAutospacing="1"/>
      <w:jc w:val="left"/>
      <w:textAlignment w:val="bottom"/>
    </w:pPr>
    <w:rPr>
      <w:rFonts w:ascii="Arial" w:hAnsi="Arial"/>
      <w:kern w:val="0"/>
      <w:sz w:val="20"/>
      <w:szCs w:val="20"/>
    </w:rPr>
  </w:style>
  <w:style w:type="paragraph" w:customStyle="1" w:styleId="1078">
    <w:name w:val="xl108"/>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textAlignment w:val="bottom"/>
    </w:pPr>
    <w:rPr>
      <w:rFonts w:ascii="Arial" w:hAnsi="Arial"/>
      <w:color w:val="FF0000"/>
      <w:kern w:val="0"/>
      <w:sz w:val="18"/>
      <w:szCs w:val="20"/>
    </w:rPr>
  </w:style>
  <w:style w:type="paragraph" w:customStyle="1" w:styleId="1079">
    <w:name w:val="xl125"/>
    <w:basedOn w:val="1"/>
    <w:autoRedefine/>
    <w:qFormat/>
    <w:uiPriority w:val="0"/>
    <w:pPr>
      <w:widowControl/>
      <w:pBdr>
        <w:top w:val="single" w:color="auto" w:sz="4" w:space="0"/>
        <w:left w:val="single" w:color="auto" w:sz="4" w:space="0"/>
        <w:bottom w:val="single" w:color="auto" w:sz="8" w:space="0"/>
        <w:right w:val="single" w:color="auto" w:sz="4" w:space="0"/>
      </w:pBdr>
      <w:adjustRightInd/>
      <w:spacing w:before="100" w:beforeAutospacing="1" w:after="100" w:afterAutospacing="1"/>
      <w:jc w:val="center"/>
    </w:pPr>
    <w:rPr>
      <w:rFonts w:ascii="Arial" w:hAnsi="Arial"/>
      <w:kern w:val="0"/>
      <w:sz w:val="18"/>
      <w:szCs w:val="20"/>
    </w:rPr>
  </w:style>
  <w:style w:type="paragraph" w:customStyle="1" w:styleId="1080">
    <w:name w:val="paragraph1"/>
    <w:basedOn w:val="1"/>
    <w:autoRedefine/>
    <w:qFormat/>
    <w:uiPriority w:val="0"/>
    <w:pPr>
      <w:adjustRightInd/>
      <w:spacing w:beforeLines="20" w:afterLines="30" w:line="360" w:lineRule="auto"/>
      <w:ind w:firstLine="200" w:firstLineChars="200"/>
    </w:pPr>
    <w:rPr>
      <w:rFonts w:ascii="等线" w:hAnsi="等线"/>
      <w:sz w:val="24"/>
    </w:rPr>
  </w:style>
  <w:style w:type="paragraph" w:customStyle="1" w:styleId="1081">
    <w:name w:val="pa-67"/>
    <w:basedOn w:val="1"/>
    <w:autoRedefine/>
    <w:qFormat/>
    <w:uiPriority w:val="0"/>
    <w:pPr>
      <w:widowControl/>
      <w:adjustRightInd/>
      <w:spacing w:line="360" w:lineRule="atLeast"/>
      <w:ind w:firstLine="480"/>
      <w:jc w:val="center"/>
    </w:pPr>
    <w:rPr>
      <w:rFonts w:ascii="宋体" w:hAnsi="宋体" w:cs="宋体"/>
      <w:kern w:val="0"/>
      <w:sz w:val="24"/>
    </w:rPr>
  </w:style>
  <w:style w:type="paragraph" w:customStyle="1" w:styleId="1082">
    <w:name w:val="标题4"/>
    <w:basedOn w:val="1"/>
    <w:autoRedefine/>
    <w:qFormat/>
    <w:uiPriority w:val="0"/>
    <w:pPr>
      <w:adjustRightInd/>
    </w:pPr>
    <w:rPr>
      <w:rFonts w:ascii="等线" w:hAnsi="等线" w:eastAsia="??_GB2312"/>
      <w:sz w:val="32"/>
      <w:szCs w:val="28"/>
    </w:rPr>
  </w:style>
  <w:style w:type="paragraph" w:customStyle="1" w:styleId="1083">
    <w:name w:val="xl133"/>
    <w:basedOn w:val="1"/>
    <w:autoRedefine/>
    <w:qFormat/>
    <w:uiPriority w:val="0"/>
    <w:pPr>
      <w:widowControl/>
      <w:pBdr>
        <w:top w:val="single" w:color="auto" w:sz="4" w:space="0"/>
        <w:left w:val="single" w:color="auto" w:sz="4" w:space="0"/>
        <w:bottom w:val="single" w:color="auto" w:sz="4" w:space="0"/>
        <w:right w:val="single" w:color="auto" w:sz="4" w:space="0"/>
      </w:pBdr>
      <w:shd w:val="clear" w:color="auto" w:fill="CCFFFF"/>
      <w:adjustRightInd/>
      <w:spacing w:before="100" w:beforeAutospacing="1" w:after="100" w:afterAutospacing="1"/>
      <w:jc w:val="center"/>
      <w:textAlignment w:val="bottom"/>
    </w:pPr>
    <w:rPr>
      <w:rFonts w:ascii="Arial" w:hAnsi="Arial"/>
      <w:color w:val="FF0000"/>
      <w:kern w:val="0"/>
      <w:sz w:val="18"/>
      <w:szCs w:val="20"/>
    </w:rPr>
  </w:style>
  <w:style w:type="paragraph" w:customStyle="1" w:styleId="1084">
    <w:name w:val="序号"/>
    <w:basedOn w:val="1"/>
    <w:autoRedefine/>
    <w:qFormat/>
    <w:uiPriority w:val="0"/>
    <w:pPr>
      <w:tabs>
        <w:tab w:val="left" w:pos="840"/>
        <w:tab w:val="left" w:pos="900"/>
        <w:tab w:val="left" w:pos="1110"/>
      </w:tabs>
      <w:adjustRightInd/>
      <w:snapToGrid w:val="0"/>
      <w:spacing w:line="360" w:lineRule="auto"/>
      <w:ind w:left="-244" w:firstLine="200" w:firstLineChars="200"/>
    </w:pPr>
    <w:rPr>
      <w:rFonts w:ascii="仿宋" w:hAnsi="仿宋" w:eastAsia="仿宋"/>
      <w:bCs/>
      <w:sz w:val="24"/>
    </w:rPr>
  </w:style>
  <w:style w:type="paragraph" w:customStyle="1" w:styleId="1085">
    <w:name w:val="中文标题 2"/>
    <w:basedOn w:val="31"/>
    <w:next w:val="31"/>
    <w:autoRedefine/>
    <w:qFormat/>
    <w:uiPriority w:val="0"/>
    <w:pPr>
      <w:adjustRightInd/>
      <w:spacing w:before="100" w:beforeAutospacing="1" w:after="100" w:afterAutospacing="1" w:line="360" w:lineRule="auto"/>
      <w:ind w:firstLine="482" w:firstLineChars="0"/>
      <w:outlineLvl w:val="1"/>
    </w:pPr>
    <w:rPr>
      <w:rFonts w:ascii="Times New Roman" w:hAnsi="Times New Roman" w:eastAsia="楷体_GB2312"/>
      <w:kern w:val="28"/>
    </w:rPr>
  </w:style>
  <w:style w:type="paragraph" w:customStyle="1" w:styleId="1086">
    <w:name w:val="正文 首行缩进"/>
    <w:basedOn w:val="1"/>
    <w:autoRedefine/>
    <w:qFormat/>
    <w:uiPriority w:val="0"/>
    <w:pPr>
      <w:adjustRightInd/>
      <w:spacing w:line="360" w:lineRule="auto"/>
      <w:ind w:firstLine="200" w:firstLineChars="200"/>
    </w:pPr>
    <w:rPr>
      <w:rFonts w:ascii="等线" w:hAnsi="等线" w:eastAsia="楷体_GB2312"/>
      <w:sz w:val="28"/>
      <w:szCs w:val="20"/>
    </w:rPr>
  </w:style>
  <w:style w:type="paragraph" w:customStyle="1" w:styleId="1087">
    <w:name w:val="标题 ４"/>
    <w:basedOn w:val="5"/>
    <w:autoRedefine/>
    <w:qFormat/>
    <w:uiPriority w:val="0"/>
    <w:pPr>
      <w:tabs>
        <w:tab w:val="left" w:pos="720"/>
        <w:tab w:val="left" w:pos="993"/>
        <w:tab w:val="left" w:pos="1980"/>
        <w:tab w:val="clear" w:pos="900"/>
      </w:tabs>
      <w:adjustRightInd/>
      <w:ind w:left="1980" w:hanging="420"/>
    </w:pPr>
  </w:style>
  <w:style w:type="paragraph" w:customStyle="1" w:styleId="1088">
    <w:name w:val="正文 首行缩进:  2 字符"/>
    <w:basedOn w:val="1"/>
    <w:autoRedefine/>
    <w:qFormat/>
    <w:uiPriority w:val="0"/>
    <w:pPr>
      <w:adjustRightInd/>
      <w:spacing w:line="360" w:lineRule="auto"/>
      <w:ind w:firstLine="480" w:firstLineChars="200"/>
    </w:pPr>
    <w:rPr>
      <w:rFonts w:ascii="等线" w:hAnsi="等线" w:eastAsia="楷体_GB2312" w:cs="宋体"/>
      <w:sz w:val="24"/>
      <w:szCs w:val="20"/>
    </w:rPr>
  </w:style>
  <w:style w:type="paragraph" w:customStyle="1" w:styleId="1089">
    <w:name w:val="正文 首行缩进2字符"/>
    <w:basedOn w:val="1"/>
    <w:autoRedefine/>
    <w:qFormat/>
    <w:uiPriority w:val="0"/>
    <w:pPr>
      <w:adjustRightInd/>
      <w:spacing w:line="360" w:lineRule="auto"/>
      <w:ind w:firstLine="200" w:firstLineChars="200"/>
    </w:pPr>
    <w:rPr>
      <w:rFonts w:ascii="等线" w:hAnsi="等线" w:eastAsia="楷体_GB2312"/>
      <w:sz w:val="24"/>
      <w:szCs w:val="20"/>
    </w:rPr>
  </w:style>
  <w:style w:type="paragraph" w:customStyle="1" w:styleId="1090">
    <w:name w:val="xl122"/>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Arial" w:hAnsi="Arial"/>
      <w:color w:val="FF0000"/>
      <w:kern w:val="0"/>
      <w:sz w:val="18"/>
      <w:szCs w:val="20"/>
    </w:rPr>
  </w:style>
  <w:style w:type="paragraph" w:customStyle="1" w:styleId="1091">
    <w:name w:val="样式 标题 1H1标书1h1Level 1 Topic Heading1st levelSection Headl..."/>
    <w:basedOn w:val="3"/>
    <w:autoRedefine/>
    <w:qFormat/>
    <w:uiPriority w:val="0"/>
    <w:pPr>
      <w:keepNext w:val="0"/>
      <w:tabs>
        <w:tab w:val="left" w:pos="780"/>
      </w:tabs>
      <w:adjustRightInd/>
      <w:spacing w:beforeLines="50" w:afterLines="50"/>
      <w:ind w:left="420" w:leftChars="100" w:right="210" w:rightChars="100" w:firstLine="160" w:firstLineChars="50"/>
    </w:pPr>
    <w:rPr>
      <w:rFonts w:eastAsia="楷体_GB2312" w:cs="宋体"/>
      <w:sz w:val="32"/>
      <w:szCs w:val="20"/>
    </w:rPr>
  </w:style>
  <w:style w:type="paragraph" w:customStyle="1" w:styleId="1092">
    <w:name w:val="中等深浅网格 21"/>
    <w:autoRedefine/>
    <w:qFormat/>
    <w:uiPriority w:val="1"/>
    <w:pPr>
      <w:widowControl w:val="0"/>
      <w:jc w:val="both"/>
    </w:pPr>
    <w:rPr>
      <w:rFonts w:ascii="Times New Roman" w:hAnsi="Times New Roman" w:eastAsia="宋体" w:cs="Times New Roman"/>
      <w:kern w:val="2"/>
      <w:sz w:val="21"/>
      <w:szCs w:val="22"/>
      <w:lang w:val="en-US" w:eastAsia="zh-CN" w:bidi="ar-SA"/>
    </w:rPr>
  </w:style>
  <w:style w:type="paragraph" w:customStyle="1" w:styleId="1093">
    <w:name w:val="公文标题 4"/>
    <w:basedOn w:val="1094"/>
    <w:next w:val="370"/>
    <w:autoRedefine/>
    <w:qFormat/>
    <w:uiPriority w:val="0"/>
    <w:pPr>
      <w:outlineLvl w:val="9"/>
    </w:pPr>
  </w:style>
  <w:style w:type="paragraph" w:customStyle="1" w:styleId="1094">
    <w:name w:val="公文标题 3"/>
    <w:basedOn w:val="1095"/>
    <w:next w:val="370"/>
    <w:autoRedefine/>
    <w:qFormat/>
    <w:uiPriority w:val="0"/>
    <w:pPr>
      <w:outlineLvl w:val="2"/>
    </w:pPr>
  </w:style>
  <w:style w:type="paragraph" w:customStyle="1" w:styleId="1095">
    <w:name w:val="公文标题 2"/>
    <w:basedOn w:val="1096"/>
    <w:next w:val="370"/>
    <w:autoRedefine/>
    <w:qFormat/>
    <w:uiPriority w:val="0"/>
    <w:pPr>
      <w:ind w:firstLine="561"/>
      <w:outlineLvl w:val="1"/>
    </w:pPr>
    <w:rPr>
      <w:sz w:val="28"/>
      <w:lang w:val="en-US"/>
    </w:rPr>
  </w:style>
  <w:style w:type="paragraph" w:customStyle="1" w:styleId="1096">
    <w:name w:val="公文标题 1"/>
    <w:basedOn w:val="1"/>
    <w:next w:val="1"/>
    <w:autoRedefine/>
    <w:qFormat/>
    <w:uiPriority w:val="0"/>
    <w:pPr>
      <w:adjustRightInd/>
      <w:spacing w:line="360" w:lineRule="auto"/>
      <w:outlineLvl w:val="0"/>
    </w:pPr>
    <w:rPr>
      <w:rFonts w:ascii="仿宋_GB2312" w:hAnsi="宋体" w:eastAsia="仿宋_GB2312"/>
      <w:kern w:val="28"/>
      <w:sz w:val="24"/>
      <w:lang w:val="zh-CN"/>
    </w:rPr>
  </w:style>
  <w:style w:type="paragraph" w:customStyle="1" w:styleId="1097">
    <w:name w:val="xl123"/>
    <w:basedOn w:val="1"/>
    <w:autoRedefine/>
    <w:qFormat/>
    <w:uiPriority w:val="0"/>
    <w:pPr>
      <w:widowControl/>
      <w:pBdr>
        <w:top w:val="single" w:color="auto" w:sz="4" w:space="0"/>
        <w:left w:val="single" w:color="auto" w:sz="8" w:space="0"/>
        <w:bottom w:val="single" w:color="auto" w:sz="8" w:space="0"/>
        <w:right w:val="single" w:color="auto" w:sz="4" w:space="0"/>
      </w:pBdr>
      <w:adjustRightInd/>
      <w:spacing w:before="100" w:beforeAutospacing="1" w:after="100" w:afterAutospacing="1"/>
      <w:jc w:val="center"/>
    </w:pPr>
    <w:rPr>
      <w:rFonts w:ascii="Arial" w:hAnsi="Arial"/>
      <w:kern w:val="0"/>
      <w:sz w:val="18"/>
      <w:szCs w:val="20"/>
    </w:rPr>
  </w:style>
  <w:style w:type="paragraph" w:customStyle="1" w:styleId="1098">
    <w:name w:val="标准小三"/>
    <w:basedOn w:val="1"/>
    <w:autoRedefine/>
    <w:qFormat/>
    <w:uiPriority w:val="0"/>
    <w:pPr>
      <w:widowControl/>
      <w:tabs>
        <w:tab w:val="left" w:pos="-839"/>
      </w:tabs>
      <w:adjustRightInd/>
      <w:spacing w:line="700" w:lineRule="exact"/>
      <w:ind w:firstLine="200" w:firstLineChars="200"/>
      <w:jc w:val="left"/>
    </w:pPr>
    <w:rPr>
      <w:rFonts w:ascii="宋体" w:hAnsi="Arial" w:eastAsia="仿宋_GB2312" w:cs="宋体"/>
      <w:snapToGrid w:val="0"/>
      <w:kern w:val="0"/>
      <w:sz w:val="30"/>
      <w:szCs w:val="32"/>
    </w:rPr>
  </w:style>
  <w:style w:type="paragraph" w:customStyle="1" w:styleId="1099">
    <w:name w:val="xl111"/>
    <w:basedOn w:val="1"/>
    <w:autoRedefine/>
    <w:qFormat/>
    <w:uiPriority w:val="0"/>
    <w:pPr>
      <w:widowControl/>
      <w:pBdr>
        <w:top w:val="single" w:color="auto" w:sz="4" w:space="0"/>
        <w:left w:val="single" w:color="auto" w:sz="4" w:space="0"/>
        <w:bottom w:val="single" w:color="auto" w:sz="4" w:space="0"/>
        <w:right w:val="single" w:color="auto" w:sz="4" w:space="0"/>
      </w:pBdr>
      <w:shd w:val="clear" w:color="auto" w:fill="CCFFFF"/>
      <w:adjustRightInd/>
      <w:spacing w:before="100" w:beforeAutospacing="1" w:after="100" w:afterAutospacing="1"/>
      <w:jc w:val="left"/>
      <w:textAlignment w:val="bottom"/>
    </w:pPr>
    <w:rPr>
      <w:rFonts w:ascii="Arial" w:hAnsi="Arial"/>
      <w:b/>
      <w:color w:val="FF0000"/>
      <w:kern w:val="0"/>
      <w:sz w:val="18"/>
      <w:szCs w:val="20"/>
    </w:rPr>
  </w:style>
  <w:style w:type="paragraph" w:customStyle="1" w:styleId="1100">
    <w:name w:val="_Style 47"/>
    <w:basedOn w:val="1"/>
    <w:autoRedefine/>
    <w:qFormat/>
    <w:uiPriority w:val="0"/>
    <w:pPr>
      <w:adjustRightInd/>
    </w:pPr>
    <w:rPr>
      <w:rFonts w:ascii="仿宋_GB2312" w:hAnsi="等线" w:eastAsia="仿宋_GB2312"/>
      <w:b/>
      <w:sz w:val="32"/>
      <w:szCs w:val="32"/>
    </w:rPr>
  </w:style>
  <w:style w:type="paragraph" w:customStyle="1" w:styleId="1101">
    <w:name w:val="xl58"/>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Arial" w:hAnsi="Arial"/>
      <w:kern w:val="0"/>
      <w:sz w:val="20"/>
      <w:szCs w:val="20"/>
    </w:rPr>
  </w:style>
  <w:style w:type="paragraph" w:customStyle="1" w:styleId="1102">
    <w:name w:val="_Style 344"/>
    <w:autoRedefine/>
    <w:semiHidden/>
    <w:qFormat/>
    <w:uiPriority w:val="0"/>
    <w:rPr>
      <w:rFonts w:ascii="Times New Roman" w:hAnsi="Times New Roman" w:eastAsia="宋体" w:cs="Times New Roman"/>
      <w:kern w:val="2"/>
      <w:sz w:val="21"/>
      <w:lang w:val="en-US" w:eastAsia="zh-CN" w:bidi="ar-SA"/>
    </w:rPr>
  </w:style>
  <w:style w:type="paragraph" w:customStyle="1" w:styleId="1103">
    <w:name w:val="段 Char"/>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104">
    <w:name w:val="xl138"/>
    <w:basedOn w:val="1"/>
    <w:autoRedefine/>
    <w:qFormat/>
    <w:uiPriority w:val="0"/>
    <w:pPr>
      <w:widowControl/>
      <w:adjustRightInd/>
      <w:spacing w:before="100" w:beforeAutospacing="1" w:after="100" w:afterAutospacing="1"/>
      <w:jc w:val="center"/>
      <w:textAlignment w:val="bottom"/>
    </w:pPr>
    <w:rPr>
      <w:rFonts w:ascii="Arial" w:hAnsi="Arial"/>
      <w:kern w:val="0"/>
      <w:sz w:val="18"/>
      <w:szCs w:val="20"/>
    </w:rPr>
  </w:style>
  <w:style w:type="paragraph" w:customStyle="1" w:styleId="1105">
    <w:name w:val="xl130"/>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textAlignment w:val="bottom"/>
    </w:pPr>
    <w:rPr>
      <w:rFonts w:ascii="Arial" w:hAnsi="Arial"/>
      <w:kern w:val="0"/>
      <w:sz w:val="18"/>
      <w:szCs w:val="20"/>
    </w:rPr>
  </w:style>
  <w:style w:type="paragraph" w:customStyle="1" w:styleId="1106">
    <w:name w:val="正文空格"/>
    <w:basedOn w:val="1"/>
    <w:next w:val="1"/>
    <w:autoRedefine/>
    <w:qFormat/>
    <w:uiPriority w:val="0"/>
    <w:pPr>
      <w:adjustRightInd/>
      <w:ind w:firstLine="200" w:firstLineChars="200"/>
    </w:pPr>
    <w:rPr>
      <w:rFonts w:ascii="等线" w:hAnsi="等线"/>
    </w:rPr>
  </w:style>
  <w:style w:type="paragraph" w:customStyle="1" w:styleId="1107">
    <w:name w:val="图样式"/>
    <w:basedOn w:val="1"/>
    <w:autoRedefine/>
    <w:qFormat/>
    <w:uiPriority w:val="0"/>
    <w:pPr>
      <w:keepNext/>
      <w:widowControl/>
      <w:tabs>
        <w:tab w:val="left" w:pos="840"/>
      </w:tabs>
      <w:adjustRightInd/>
      <w:snapToGrid w:val="0"/>
      <w:spacing w:before="80" w:after="80" w:line="300" w:lineRule="auto"/>
      <w:ind w:left="851" w:hanging="420"/>
      <w:jc w:val="center"/>
    </w:pPr>
    <w:rPr>
      <w:rFonts w:ascii="Arial" w:hAnsi="Arial"/>
      <w:kern w:val="0"/>
      <w:szCs w:val="20"/>
    </w:rPr>
  </w:style>
  <w:style w:type="paragraph" w:customStyle="1" w:styleId="1108">
    <w:name w:val="xl61"/>
    <w:basedOn w:val="1"/>
    <w:autoRedefine/>
    <w:qFormat/>
    <w:uiPriority w:val="0"/>
    <w:pPr>
      <w:widowControl/>
      <w:pBdr>
        <w:top w:val="single" w:color="auto" w:sz="8" w:space="0"/>
        <w:left w:val="single" w:color="auto" w:sz="4" w:space="0"/>
        <w:bottom w:val="single" w:color="auto" w:sz="4" w:space="0"/>
        <w:right w:val="single" w:color="auto" w:sz="4" w:space="0"/>
      </w:pBdr>
      <w:shd w:val="clear" w:color="auto" w:fill="800080"/>
      <w:adjustRightInd/>
      <w:spacing w:before="100" w:beforeAutospacing="1" w:after="100" w:afterAutospacing="1"/>
      <w:jc w:val="center"/>
    </w:pPr>
    <w:rPr>
      <w:rFonts w:ascii="宋体" w:hAnsi="宋体"/>
      <w:b/>
      <w:color w:val="FFFFFF"/>
      <w:kern w:val="0"/>
      <w:sz w:val="18"/>
      <w:szCs w:val="20"/>
    </w:rPr>
  </w:style>
  <w:style w:type="paragraph" w:customStyle="1" w:styleId="1109">
    <w:name w:val="正文 首行缩进2字符 Char Char"/>
    <w:basedOn w:val="1"/>
    <w:autoRedefine/>
    <w:qFormat/>
    <w:uiPriority w:val="0"/>
    <w:pPr>
      <w:adjustRightInd/>
      <w:spacing w:line="360" w:lineRule="auto"/>
      <w:ind w:firstLine="200" w:firstLineChars="200"/>
    </w:pPr>
    <w:rPr>
      <w:rFonts w:ascii="等线" w:hAnsi="等线" w:eastAsia="楷体_GB2312"/>
      <w:sz w:val="24"/>
    </w:rPr>
  </w:style>
  <w:style w:type="paragraph" w:customStyle="1" w:styleId="1110">
    <w:name w:val="xl100"/>
    <w:basedOn w:val="1"/>
    <w:autoRedefine/>
    <w:qFormat/>
    <w:uiPriority w:val="0"/>
    <w:pPr>
      <w:widowControl/>
      <w:adjustRightInd/>
      <w:spacing w:before="100" w:beforeAutospacing="1" w:after="100" w:afterAutospacing="1"/>
      <w:jc w:val="left"/>
    </w:pPr>
    <w:rPr>
      <w:rFonts w:ascii="Arial" w:hAnsi="Arial"/>
      <w:kern w:val="0"/>
      <w:sz w:val="24"/>
      <w:szCs w:val="20"/>
    </w:rPr>
  </w:style>
  <w:style w:type="paragraph" w:customStyle="1" w:styleId="1111">
    <w:name w:val="正文蓝"/>
    <w:basedOn w:val="1"/>
    <w:autoRedefine/>
    <w:qFormat/>
    <w:uiPriority w:val="0"/>
    <w:pPr>
      <w:adjustRightInd/>
      <w:spacing w:before="156" w:line="360" w:lineRule="auto"/>
      <w:ind w:firstLine="360" w:firstLineChars="200"/>
    </w:pPr>
    <w:rPr>
      <w:rFonts w:ascii="仿宋_GB2312" w:hAnsi="等线" w:eastAsia="仿宋_GB2312"/>
      <w:color w:val="000080"/>
      <w:sz w:val="24"/>
      <w:szCs w:val="20"/>
    </w:rPr>
  </w:style>
  <w:style w:type="paragraph" w:customStyle="1" w:styleId="1112">
    <w:name w:val="xl106"/>
    <w:basedOn w:val="1"/>
    <w:autoRedefine/>
    <w:qFormat/>
    <w:uiPriority w:val="0"/>
    <w:pPr>
      <w:widowControl/>
      <w:pBdr>
        <w:top w:val="single" w:color="auto" w:sz="4" w:space="0"/>
        <w:left w:val="single" w:color="auto" w:sz="4" w:space="0"/>
        <w:bottom w:val="single" w:color="auto" w:sz="4" w:space="0"/>
        <w:right w:val="single" w:color="auto" w:sz="4" w:space="0"/>
      </w:pBdr>
      <w:shd w:val="clear" w:color="auto" w:fill="FFFF00"/>
      <w:adjustRightInd/>
      <w:spacing w:before="100" w:beforeAutospacing="1" w:after="100" w:afterAutospacing="1"/>
      <w:jc w:val="left"/>
      <w:textAlignment w:val="bottom"/>
    </w:pPr>
    <w:rPr>
      <w:rFonts w:ascii="Arial" w:hAnsi="Arial"/>
      <w:kern w:val="0"/>
      <w:sz w:val="18"/>
      <w:szCs w:val="20"/>
    </w:rPr>
  </w:style>
  <w:style w:type="paragraph" w:customStyle="1" w:styleId="1113">
    <w:name w:val="xl126"/>
    <w:basedOn w:val="1"/>
    <w:autoRedefine/>
    <w:qFormat/>
    <w:uiPriority w:val="0"/>
    <w:pPr>
      <w:widowControl/>
      <w:adjustRightInd/>
      <w:spacing w:before="100" w:beforeAutospacing="1" w:after="100" w:afterAutospacing="1"/>
      <w:jc w:val="left"/>
      <w:textAlignment w:val="bottom"/>
    </w:pPr>
    <w:rPr>
      <w:rFonts w:ascii="Arial" w:hAnsi="Arial"/>
      <w:kern w:val="0"/>
      <w:sz w:val="18"/>
      <w:szCs w:val="20"/>
    </w:rPr>
  </w:style>
  <w:style w:type="paragraph" w:customStyle="1" w:styleId="1114">
    <w:name w:val="xl140"/>
    <w:basedOn w:val="1"/>
    <w:autoRedefine/>
    <w:qFormat/>
    <w:uiPriority w:val="0"/>
    <w:pPr>
      <w:widowControl/>
      <w:pBdr>
        <w:top w:val="single" w:color="auto" w:sz="4" w:space="0"/>
        <w:left w:val="single" w:color="auto" w:sz="8" w:space="0"/>
        <w:bottom w:val="single" w:color="auto" w:sz="4" w:space="0"/>
        <w:right w:val="single" w:color="auto" w:sz="4" w:space="0"/>
      </w:pBdr>
      <w:shd w:val="clear" w:color="auto" w:fill="CCFFFF"/>
      <w:adjustRightInd/>
      <w:spacing w:before="100" w:beforeAutospacing="1" w:after="100" w:afterAutospacing="1"/>
      <w:jc w:val="center"/>
    </w:pPr>
    <w:rPr>
      <w:rFonts w:ascii="Arial" w:hAnsi="Arial"/>
      <w:kern w:val="0"/>
      <w:sz w:val="24"/>
      <w:szCs w:val="20"/>
    </w:rPr>
  </w:style>
  <w:style w:type="paragraph" w:customStyle="1" w:styleId="1115">
    <w:name w:val="段 Char Char"/>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116">
    <w:name w:val="xl139"/>
    <w:basedOn w:val="1"/>
    <w:autoRedefine/>
    <w:qFormat/>
    <w:uiPriority w:val="0"/>
    <w:pPr>
      <w:widowControl/>
      <w:pBdr>
        <w:top w:val="single" w:color="auto" w:sz="4" w:space="0"/>
        <w:left w:val="single" w:color="auto" w:sz="4" w:space="0"/>
        <w:bottom w:val="single" w:color="auto" w:sz="4" w:space="0"/>
        <w:right w:val="single" w:color="auto" w:sz="4" w:space="0"/>
      </w:pBdr>
      <w:shd w:val="clear" w:color="auto" w:fill="CCFFFF"/>
      <w:adjustRightInd/>
      <w:spacing w:before="100" w:beforeAutospacing="1" w:after="100" w:afterAutospacing="1"/>
      <w:jc w:val="left"/>
      <w:textAlignment w:val="bottom"/>
    </w:pPr>
    <w:rPr>
      <w:rFonts w:ascii="Arial" w:hAnsi="Arial"/>
      <w:kern w:val="0"/>
      <w:sz w:val="18"/>
      <w:szCs w:val="20"/>
    </w:rPr>
  </w:style>
  <w:style w:type="paragraph" w:customStyle="1" w:styleId="1117">
    <w:name w:val="样式 正文缩进正文（首行缩进两字）表正文正文非缩进特点段1段1 Charno-step正文双线四号首行缩进..."/>
    <w:basedOn w:val="6"/>
    <w:autoRedefine/>
    <w:qFormat/>
    <w:uiPriority w:val="0"/>
    <w:pPr>
      <w:widowControl w:val="0"/>
      <w:spacing w:line="360" w:lineRule="auto"/>
      <w:ind w:firstLine="560" w:firstLineChars="200"/>
    </w:pPr>
    <w:rPr>
      <w:rFonts w:ascii="仿宋_GB2312" w:eastAsia="仿宋_GB2312" w:cs="Century"/>
      <w:snapToGrid/>
      <w:kern w:val="2"/>
    </w:rPr>
  </w:style>
  <w:style w:type="paragraph" w:customStyle="1" w:styleId="1118">
    <w:name w:val="正文规范1"/>
    <w:basedOn w:val="1"/>
    <w:autoRedefine/>
    <w:qFormat/>
    <w:uiPriority w:val="0"/>
    <w:pPr>
      <w:adjustRightInd/>
      <w:spacing w:line="360" w:lineRule="auto"/>
      <w:ind w:firstLine="480" w:firstLineChars="200"/>
    </w:pPr>
    <w:rPr>
      <w:rFonts w:ascii="等线" w:hAnsi="等线"/>
      <w:sz w:val="24"/>
    </w:rPr>
  </w:style>
  <w:style w:type="paragraph" w:customStyle="1" w:styleId="1119">
    <w:name w:val="_Style 377"/>
    <w:basedOn w:val="1"/>
    <w:next w:val="1"/>
    <w:autoRedefine/>
    <w:qFormat/>
    <w:uiPriority w:val="0"/>
    <w:pPr>
      <w:pBdr>
        <w:bottom w:val="single" w:color="auto" w:sz="6" w:space="1"/>
      </w:pBdr>
      <w:adjustRightInd/>
      <w:jc w:val="center"/>
    </w:pPr>
    <w:rPr>
      <w:rFonts w:ascii="Arial" w:hAnsi="等线"/>
      <w:vanish/>
      <w:sz w:val="16"/>
    </w:rPr>
  </w:style>
  <w:style w:type="paragraph" w:customStyle="1" w:styleId="1120">
    <w:name w:val="xl45"/>
    <w:basedOn w:val="1"/>
    <w:autoRedefine/>
    <w:qFormat/>
    <w:uiPriority w:val="0"/>
    <w:pPr>
      <w:widowControl/>
      <w:pBdr>
        <w:top w:val="single" w:color="auto" w:sz="4" w:space="0"/>
        <w:left w:val="single" w:color="auto" w:sz="4" w:space="0"/>
        <w:bottom w:val="single" w:color="auto" w:sz="4" w:space="0"/>
        <w:right w:val="single" w:color="auto" w:sz="4" w:space="0"/>
      </w:pBdr>
      <w:shd w:val="clear" w:color="auto" w:fill="FFFFFF"/>
      <w:adjustRightInd/>
      <w:spacing w:before="100" w:beforeAutospacing="1" w:after="100" w:afterAutospacing="1"/>
      <w:jc w:val="center"/>
      <w:textAlignment w:val="bottom"/>
    </w:pPr>
    <w:rPr>
      <w:rFonts w:ascii="宋体" w:hAnsi="宋体"/>
      <w:kern w:val="0"/>
      <w:sz w:val="18"/>
      <w:szCs w:val="20"/>
    </w:rPr>
  </w:style>
  <w:style w:type="paragraph" w:customStyle="1" w:styleId="1121">
    <w:name w:val="_Style 383"/>
    <w:basedOn w:val="3"/>
    <w:next w:val="1"/>
    <w:autoRedefine/>
    <w:qFormat/>
    <w:uiPriority w:val="0"/>
    <w:pPr>
      <w:widowControl/>
      <w:tabs>
        <w:tab w:val="clear" w:pos="432"/>
      </w:tabs>
      <w:adjustRightInd/>
      <w:spacing w:before="480" w:after="0" w:line="276" w:lineRule="auto"/>
      <w:ind w:left="0" w:firstLine="0"/>
      <w:jc w:val="left"/>
      <w:outlineLvl w:val="9"/>
    </w:pPr>
    <w:rPr>
      <w:rFonts w:ascii="Cambria" w:hAnsi="Cambria" w:eastAsia="??" w:cs="宋体"/>
      <w:color w:val="365F91"/>
      <w:kern w:val="0"/>
      <w:sz w:val="28"/>
      <w:szCs w:val="28"/>
    </w:rPr>
  </w:style>
  <w:style w:type="paragraph" w:customStyle="1" w:styleId="1122">
    <w:name w:val="Char Char Char Char Char Char Char Char Char Char Char Char Char Char Char Char Char Char Char Char Char Char Char Char Char"/>
    <w:basedOn w:val="1"/>
    <w:autoRedefine/>
    <w:qFormat/>
    <w:uiPriority w:val="0"/>
    <w:pPr>
      <w:adjustRightInd/>
    </w:pPr>
    <w:rPr>
      <w:rFonts w:ascii="Tahoma" w:hAnsi="Tahoma" w:eastAsia="??" w:cs="Tahoma"/>
      <w:sz w:val="24"/>
      <w:szCs w:val="28"/>
    </w:rPr>
  </w:style>
  <w:style w:type="paragraph" w:customStyle="1" w:styleId="1123">
    <w:name w:val="图"/>
    <w:basedOn w:val="1"/>
    <w:autoRedefine/>
    <w:qFormat/>
    <w:uiPriority w:val="0"/>
    <w:pPr>
      <w:adjustRightInd/>
      <w:spacing w:line="360" w:lineRule="auto"/>
      <w:jc w:val="center"/>
    </w:pPr>
    <w:rPr>
      <w:rFonts w:ascii="宋体" w:hAnsi="宋体" w:eastAsia="楷体_GB2312" w:cs="宋体"/>
      <w:sz w:val="24"/>
      <w:szCs w:val="20"/>
    </w:rPr>
  </w:style>
  <w:style w:type="paragraph" w:customStyle="1" w:styleId="1124">
    <w:name w:val="xl50"/>
    <w:basedOn w:val="1"/>
    <w:autoRedefine/>
    <w:qFormat/>
    <w:uiPriority w:val="0"/>
    <w:pPr>
      <w:widowControl/>
      <w:pBdr>
        <w:top w:val="single" w:color="auto" w:sz="4" w:space="0"/>
        <w:left w:val="single" w:color="auto" w:sz="4" w:space="0"/>
        <w:bottom w:val="single" w:color="auto" w:sz="4" w:space="0"/>
        <w:right w:val="single" w:color="auto" w:sz="4" w:space="0"/>
      </w:pBdr>
      <w:shd w:val="clear" w:color="auto" w:fill="CCFFFF"/>
      <w:adjustRightInd/>
      <w:spacing w:before="100" w:beforeAutospacing="1" w:after="100" w:afterAutospacing="1"/>
      <w:jc w:val="center"/>
      <w:textAlignment w:val="bottom"/>
    </w:pPr>
    <w:rPr>
      <w:rFonts w:ascii="宋体" w:hAnsi="宋体"/>
      <w:b/>
      <w:color w:val="FF0000"/>
      <w:kern w:val="0"/>
      <w:sz w:val="18"/>
      <w:szCs w:val="20"/>
    </w:rPr>
  </w:style>
  <w:style w:type="paragraph" w:customStyle="1" w:styleId="1125">
    <w:name w:val="No Spacing1"/>
    <w:autoRedefine/>
    <w:qFormat/>
    <w:uiPriority w:val="0"/>
    <w:rPr>
      <w:rFonts w:ascii="Times New Roman" w:hAnsi="Times New Roman" w:eastAsia="??" w:cs="宋体"/>
      <w:sz w:val="22"/>
      <w:szCs w:val="22"/>
      <w:lang w:val="en-US" w:eastAsia="en-US" w:bidi="ar-SA"/>
    </w:rPr>
  </w:style>
  <w:style w:type="paragraph" w:customStyle="1" w:styleId="1126">
    <w:name w:val="段 1"/>
    <w:basedOn w:val="1"/>
    <w:autoRedefine/>
    <w:qFormat/>
    <w:uiPriority w:val="0"/>
    <w:pPr>
      <w:adjustRightInd/>
      <w:spacing w:line="360" w:lineRule="auto"/>
    </w:pPr>
    <w:rPr>
      <w:rFonts w:ascii="等线" w:hAnsi="等线" w:eastAsia="楷体_GB2312"/>
      <w:b/>
      <w:bCs/>
      <w:sz w:val="24"/>
    </w:rPr>
  </w:style>
  <w:style w:type="paragraph" w:customStyle="1" w:styleId="1127">
    <w:name w:val="Char Char1 Char Char Char Char"/>
    <w:basedOn w:val="1"/>
    <w:autoRedefine/>
    <w:qFormat/>
    <w:uiPriority w:val="0"/>
    <w:pPr>
      <w:widowControl/>
      <w:adjustRightInd/>
      <w:spacing w:after="160" w:line="240" w:lineRule="exact"/>
      <w:jc w:val="left"/>
    </w:pPr>
    <w:rPr>
      <w:rFonts w:ascii="Verdana" w:hAnsi="Verdana"/>
      <w:kern w:val="0"/>
      <w:sz w:val="20"/>
      <w:szCs w:val="20"/>
      <w:lang w:eastAsia="en-US"/>
    </w:rPr>
  </w:style>
  <w:style w:type="paragraph" w:customStyle="1" w:styleId="1128">
    <w:name w:val="xl59"/>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宋体" w:hAnsi="宋体"/>
      <w:b/>
      <w:kern w:val="0"/>
      <w:sz w:val="20"/>
      <w:szCs w:val="20"/>
    </w:rPr>
  </w:style>
  <w:style w:type="paragraph" w:customStyle="1" w:styleId="1129">
    <w:name w:val="Code"/>
    <w:basedOn w:val="1"/>
    <w:autoRedefine/>
    <w:qFormat/>
    <w:uiPriority w:val="0"/>
    <w:pPr>
      <w:pBdr>
        <w:top w:val="single" w:color="auto" w:sz="4" w:space="1"/>
        <w:left w:val="single" w:color="auto" w:sz="4" w:space="4"/>
        <w:bottom w:val="single" w:color="auto" w:sz="4" w:space="1"/>
        <w:right w:val="single" w:color="auto" w:sz="4" w:space="4"/>
      </w:pBdr>
      <w:adjustRightInd/>
      <w:ind w:left="720" w:hanging="720" w:hangingChars="400"/>
    </w:pPr>
    <w:rPr>
      <w:rFonts w:ascii="宋体" w:hAnsi="宋体" w:eastAsia="楷体_GB2312" w:cs="Courier New"/>
      <w:sz w:val="18"/>
    </w:rPr>
  </w:style>
  <w:style w:type="paragraph" w:customStyle="1" w:styleId="1130">
    <w:name w:val="自由格式"/>
    <w:autoRedefine/>
    <w:qFormat/>
    <w:uiPriority w:val="0"/>
    <w:rPr>
      <w:rFonts w:ascii="Cambria" w:hAnsi="Cambria" w:eastAsia="Cambria" w:cs="Cambria"/>
      <w:color w:val="000000"/>
      <w:sz w:val="24"/>
      <w:szCs w:val="24"/>
      <w:lang w:val="en-US" w:eastAsia="zh-CN" w:bidi="ar-SA"/>
    </w:rPr>
  </w:style>
  <w:style w:type="paragraph" w:customStyle="1" w:styleId="1131">
    <w:name w:val="正文_0_0"/>
    <w:autoRedefine/>
    <w:qFormat/>
    <w:uiPriority w:val="0"/>
    <w:rPr>
      <w:rFonts w:ascii="Times New Roman" w:hAnsi="Times New Roman" w:eastAsia="宋体" w:cs="Times New Roman"/>
      <w:lang w:val="en-US" w:eastAsia="zh-CN" w:bidi="ar-SA"/>
    </w:rPr>
  </w:style>
  <w:style w:type="paragraph" w:customStyle="1" w:styleId="1132">
    <w:name w:val="jd-正文1"/>
    <w:basedOn w:val="1"/>
    <w:autoRedefine/>
    <w:qFormat/>
    <w:uiPriority w:val="0"/>
    <w:pPr>
      <w:widowControl/>
      <w:adjustRightInd/>
      <w:spacing w:line="360" w:lineRule="auto"/>
      <w:ind w:firstLine="482" w:firstLineChars="200"/>
    </w:pPr>
    <w:rPr>
      <w:rFonts w:ascii="宋体" w:hAnsi="宋体" w:cs="宋体"/>
      <w:sz w:val="24"/>
      <w:szCs w:val="20"/>
    </w:rPr>
  </w:style>
  <w:style w:type="paragraph" w:customStyle="1" w:styleId="1133">
    <w:name w:val="xl46"/>
    <w:basedOn w:val="1"/>
    <w:autoRedefine/>
    <w:qFormat/>
    <w:uiPriority w:val="0"/>
    <w:pPr>
      <w:widowControl/>
      <w:pBdr>
        <w:top w:val="single" w:color="auto" w:sz="4" w:space="0"/>
        <w:left w:val="single" w:color="auto" w:sz="4" w:space="0"/>
        <w:bottom w:val="single" w:color="auto" w:sz="4" w:space="0"/>
        <w:right w:val="single" w:color="auto" w:sz="4" w:space="0"/>
      </w:pBdr>
      <w:shd w:val="clear" w:color="auto" w:fill="FFFFFF"/>
      <w:adjustRightInd/>
      <w:spacing w:before="100" w:beforeAutospacing="1" w:after="100" w:afterAutospacing="1"/>
      <w:jc w:val="center"/>
      <w:textAlignment w:val="bottom"/>
    </w:pPr>
    <w:rPr>
      <w:rFonts w:ascii="宋体" w:hAnsi="宋体"/>
      <w:kern w:val="0"/>
      <w:sz w:val="18"/>
      <w:szCs w:val="20"/>
    </w:rPr>
  </w:style>
  <w:style w:type="paragraph" w:customStyle="1" w:styleId="1134">
    <w:name w:val="样式 样式 我的正文首行缩进 + 首行缩进:  2 字符 + 首行缩进:  2 字符 Char Char Char Char Char Char Char Char Char Char Char Char"/>
    <w:basedOn w:val="1"/>
    <w:autoRedefine/>
    <w:qFormat/>
    <w:uiPriority w:val="0"/>
    <w:pPr>
      <w:widowControl/>
      <w:adjustRightInd/>
      <w:spacing w:after="120"/>
      <w:ind w:firstLine="200" w:firstLineChars="200"/>
      <w:jc w:val="left"/>
    </w:pPr>
    <w:rPr>
      <w:rFonts w:ascii="等线" w:hAnsi="等线" w:eastAsia="华文细黑"/>
      <w:kern w:val="0"/>
      <w:sz w:val="24"/>
    </w:rPr>
  </w:style>
  <w:style w:type="paragraph" w:customStyle="1" w:styleId="1135">
    <w:name w:val="2"/>
    <w:basedOn w:val="1"/>
    <w:autoRedefine/>
    <w:qFormat/>
    <w:uiPriority w:val="0"/>
    <w:pPr>
      <w:adjustRightInd/>
    </w:pPr>
    <w:rPr>
      <w:rFonts w:ascii="Tahoma" w:hAnsi="Tahoma" w:eastAsia="??" w:cs="Tahoma"/>
      <w:sz w:val="24"/>
      <w:szCs w:val="28"/>
    </w:rPr>
  </w:style>
  <w:style w:type="paragraph" w:customStyle="1" w:styleId="1136">
    <w:name w:val="正文文本缩进1"/>
    <w:basedOn w:val="1"/>
    <w:autoRedefine/>
    <w:qFormat/>
    <w:uiPriority w:val="0"/>
    <w:pPr>
      <w:spacing w:line="360" w:lineRule="auto"/>
      <w:ind w:firstLine="490"/>
      <w:jc w:val="left"/>
    </w:pPr>
    <w:rPr>
      <w:rFonts w:ascii="宋体" w:hAnsi="宋体"/>
      <w:sz w:val="24"/>
    </w:rPr>
  </w:style>
  <w:style w:type="paragraph" w:customStyle="1" w:styleId="1137">
    <w:name w:val="大标题"/>
    <w:basedOn w:val="1"/>
    <w:next w:val="1"/>
    <w:autoRedefine/>
    <w:qFormat/>
    <w:uiPriority w:val="0"/>
    <w:pPr>
      <w:pageBreakBefore/>
      <w:tabs>
        <w:tab w:val="left" w:pos="900"/>
      </w:tabs>
      <w:adjustRightInd/>
      <w:spacing w:line="360" w:lineRule="auto"/>
      <w:ind w:hanging="420" w:firstLineChars="200"/>
      <w:outlineLvl w:val="0"/>
    </w:pPr>
    <w:rPr>
      <w:rFonts w:ascii="等线" w:hAnsi="等线"/>
      <w:b/>
      <w:iCs/>
      <w:sz w:val="44"/>
    </w:rPr>
  </w:style>
  <w:style w:type="paragraph" w:customStyle="1" w:styleId="1138">
    <w:name w:val="样式 Arial 左侧:  0.43 厘米 段前: 1.4 磅 段后: 2.8 磅"/>
    <w:basedOn w:val="1"/>
    <w:autoRedefine/>
    <w:qFormat/>
    <w:uiPriority w:val="0"/>
    <w:pPr>
      <w:adjustRightInd/>
      <w:spacing w:before="28" w:after="56" w:line="360" w:lineRule="auto"/>
      <w:ind w:left="244" w:firstLine="540" w:firstLineChars="225"/>
    </w:pPr>
    <w:rPr>
      <w:rFonts w:ascii="Arial" w:hAnsi="Arial" w:eastAsia="楷体_GB2312" w:cs="宋体"/>
      <w:sz w:val="24"/>
    </w:rPr>
  </w:style>
  <w:style w:type="paragraph" w:customStyle="1" w:styleId="1139">
    <w:name w:val="xl145"/>
    <w:basedOn w:val="1"/>
    <w:autoRedefine/>
    <w:qFormat/>
    <w:uiPriority w:val="0"/>
    <w:pPr>
      <w:widowControl/>
      <w:adjustRightInd/>
      <w:spacing w:before="100" w:beforeAutospacing="1" w:after="100" w:afterAutospacing="1"/>
      <w:jc w:val="left"/>
    </w:pPr>
    <w:rPr>
      <w:rFonts w:ascii="宋体" w:hAnsi="宋体" w:cs="宋体"/>
      <w:kern w:val="0"/>
      <w:sz w:val="24"/>
    </w:rPr>
  </w:style>
  <w:style w:type="paragraph" w:customStyle="1" w:styleId="1140">
    <w:name w:val="正文缩进111"/>
    <w:basedOn w:val="1"/>
    <w:next w:val="31"/>
    <w:autoRedefine/>
    <w:qFormat/>
    <w:uiPriority w:val="0"/>
    <w:pPr>
      <w:autoSpaceDE w:val="0"/>
      <w:autoSpaceDN w:val="0"/>
      <w:snapToGrid w:val="0"/>
      <w:spacing w:after="120" w:line="360" w:lineRule="auto"/>
      <w:ind w:left="420" w:leftChars="200" w:firstLine="480" w:firstLineChars="200"/>
    </w:pPr>
    <w:rPr>
      <w:rFonts w:ascii="等线" w:hAnsi="等线"/>
      <w:sz w:val="24"/>
      <w:szCs w:val="20"/>
    </w:rPr>
  </w:style>
  <w:style w:type="paragraph" w:customStyle="1" w:styleId="1141">
    <w:name w:val="xl99"/>
    <w:basedOn w:val="1"/>
    <w:autoRedefine/>
    <w:qFormat/>
    <w:uiPriority w:val="0"/>
    <w:pPr>
      <w:widowControl/>
      <w:adjustRightInd/>
      <w:spacing w:before="100" w:beforeAutospacing="1" w:after="100" w:afterAutospacing="1"/>
      <w:jc w:val="left"/>
    </w:pPr>
    <w:rPr>
      <w:rFonts w:ascii="宋体" w:hAnsi="宋体"/>
      <w:kern w:val="0"/>
      <w:sz w:val="24"/>
      <w:szCs w:val="20"/>
    </w:rPr>
  </w:style>
  <w:style w:type="paragraph" w:customStyle="1" w:styleId="1142">
    <w:name w:val="List Paragraph11"/>
    <w:basedOn w:val="1"/>
    <w:autoRedefine/>
    <w:qFormat/>
    <w:uiPriority w:val="0"/>
    <w:pPr>
      <w:adjustRightInd/>
      <w:ind w:firstLine="420" w:firstLineChars="200"/>
    </w:pPr>
    <w:rPr>
      <w:rFonts w:ascii="等线" w:hAnsi="等线"/>
      <w:szCs w:val="20"/>
    </w:rPr>
  </w:style>
  <w:style w:type="paragraph" w:customStyle="1" w:styleId="1143">
    <w:name w:val="常用正文"/>
    <w:autoRedefine/>
    <w:qFormat/>
    <w:uiPriority w:val="0"/>
    <w:pPr>
      <w:widowControl w:val="0"/>
      <w:spacing w:line="360" w:lineRule="auto"/>
      <w:ind w:firstLine="200"/>
      <w:textAlignment w:val="bottom"/>
    </w:pPr>
    <w:rPr>
      <w:rFonts w:ascii="Arial" w:hAnsi="Arial" w:eastAsia="楷体_GB2312" w:cs="Times New Roman"/>
      <w:sz w:val="28"/>
      <w:lang w:val="en-US" w:eastAsia="zh-CN" w:bidi="ar-SA"/>
    </w:rPr>
  </w:style>
  <w:style w:type="paragraph" w:customStyle="1" w:styleId="1144">
    <w:name w:val="标题 5l"/>
    <w:basedOn w:val="8"/>
    <w:autoRedefine/>
    <w:qFormat/>
    <w:uiPriority w:val="0"/>
    <w:pPr>
      <w:tabs>
        <w:tab w:val="left" w:pos="0"/>
        <w:tab w:val="clear" w:pos="1008"/>
      </w:tabs>
      <w:spacing w:line="376" w:lineRule="atLeast"/>
      <w:ind w:left="1008" w:hanging="1008"/>
      <w:textAlignment w:val="baseline"/>
    </w:pPr>
    <w:rPr>
      <w:rFonts w:eastAsia="楷体_GB2312"/>
      <w:kern w:val="0"/>
    </w:rPr>
  </w:style>
  <w:style w:type="paragraph" w:customStyle="1" w:styleId="1145">
    <w:name w:val="正文 2"/>
    <w:autoRedefine/>
    <w:qFormat/>
    <w:uiPriority w:val="0"/>
    <w:pPr>
      <w:pBdr>
        <w:top w:val="none" w:color="FFFFFF" w:sz="0" w:space="31"/>
        <w:left w:val="none" w:color="FFFFFF" w:sz="0" w:space="31"/>
        <w:bottom w:val="none" w:color="FFFFFF" w:sz="0" w:space="31"/>
        <w:right w:val="none" w:color="FFFFFF" w:sz="0" w:space="31"/>
      </w:pBdr>
      <w:spacing w:after="80" w:line="288" w:lineRule="auto"/>
    </w:pPr>
    <w:rPr>
      <w:rFonts w:ascii="Baskerville" w:hAnsi="Arial Unicode MS" w:eastAsia="Times New Roman" w:cs="Arial Unicode MS"/>
      <w:color w:val="434343"/>
      <w:sz w:val="24"/>
      <w:szCs w:val="24"/>
      <w:lang w:val="en-US" w:eastAsia="zh-CN" w:bidi="ar-SA"/>
    </w:rPr>
  </w:style>
  <w:style w:type="paragraph" w:customStyle="1" w:styleId="1146">
    <w:name w:val="正文 居中"/>
    <w:basedOn w:val="1"/>
    <w:autoRedefine/>
    <w:qFormat/>
    <w:uiPriority w:val="0"/>
    <w:pPr>
      <w:adjustRightInd/>
      <w:spacing w:line="360" w:lineRule="auto"/>
      <w:jc w:val="center"/>
    </w:pPr>
    <w:rPr>
      <w:rFonts w:ascii="等线" w:hAnsi="等线"/>
      <w:sz w:val="24"/>
      <w:szCs w:val="20"/>
    </w:rPr>
  </w:style>
  <w:style w:type="paragraph" w:customStyle="1" w:styleId="1147">
    <w:name w:val="编号 3"/>
    <w:basedOn w:val="1"/>
    <w:autoRedefine/>
    <w:qFormat/>
    <w:uiPriority w:val="0"/>
    <w:pPr>
      <w:tabs>
        <w:tab w:val="left" w:pos="1155"/>
      </w:tabs>
      <w:adjustRightInd/>
      <w:spacing w:line="360" w:lineRule="auto"/>
      <w:ind w:left="1155" w:hanging="735"/>
    </w:pPr>
    <w:rPr>
      <w:rFonts w:ascii="宋体" w:hAnsi="宋体" w:eastAsia="楷体_GB2312"/>
      <w:color w:val="000000"/>
      <w:sz w:val="24"/>
      <w:szCs w:val="20"/>
    </w:rPr>
  </w:style>
  <w:style w:type="paragraph" w:customStyle="1" w:styleId="1148">
    <w:name w:val="xl104"/>
    <w:basedOn w:val="1"/>
    <w:autoRedefine/>
    <w:qFormat/>
    <w:uiPriority w:val="0"/>
    <w:pPr>
      <w:widowControl/>
      <w:pBdr>
        <w:top w:val="single" w:color="auto" w:sz="4" w:space="0"/>
        <w:left w:val="single" w:color="auto" w:sz="8" w:space="0"/>
        <w:bottom w:val="single" w:color="auto" w:sz="4" w:space="0"/>
        <w:right w:val="single" w:color="auto" w:sz="4" w:space="0"/>
      </w:pBdr>
      <w:adjustRightInd/>
      <w:spacing w:before="100" w:beforeAutospacing="1" w:after="100" w:afterAutospacing="1"/>
      <w:jc w:val="left"/>
      <w:textAlignment w:val="bottom"/>
    </w:pPr>
    <w:rPr>
      <w:rFonts w:ascii="Arial" w:hAnsi="Arial"/>
      <w:kern w:val="0"/>
      <w:sz w:val="18"/>
      <w:szCs w:val="20"/>
    </w:rPr>
  </w:style>
  <w:style w:type="paragraph" w:customStyle="1" w:styleId="1149">
    <w:name w:val="word"/>
    <w:basedOn w:val="1"/>
    <w:autoRedefine/>
    <w:qFormat/>
    <w:uiPriority w:val="0"/>
    <w:pPr>
      <w:widowControl/>
      <w:adjustRightInd/>
      <w:spacing w:before="100" w:beforeAutospacing="1" w:after="100" w:afterAutospacing="1" w:line="270" w:lineRule="atLeast"/>
      <w:jc w:val="left"/>
    </w:pPr>
    <w:rPr>
      <w:rFonts w:ascii="宋体" w:hAnsi="宋体" w:eastAsia="楷体_GB2312" w:cs="宋体"/>
      <w:kern w:val="0"/>
      <w:sz w:val="18"/>
      <w:szCs w:val="18"/>
    </w:rPr>
  </w:style>
  <w:style w:type="paragraph" w:customStyle="1" w:styleId="1150">
    <w:name w:val="Char Char Char Char Char Char Char Char Char Char Char Char Char Char Char Char Char Char Char Char Char Char Char Char Char1"/>
    <w:basedOn w:val="1"/>
    <w:autoRedefine/>
    <w:qFormat/>
    <w:uiPriority w:val="0"/>
    <w:pPr>
      <w:adjustRightInd/>
    </w:pPr>
    <w:rPr>
      <w:rFonts w:ascii="Tahoma" w:hAnsi="Tahoma"/>
      <w:sz w:val="24"/>
      <w:szCs w:val="20"/>
    </w:rPr>
  </w:style>
  <w:style w:type="paragraph" w:customStyle="1" w:styleId="1151">
    <w:name w:val="正文文字缩进 3"/>
    <w:basedOn w:val="1"/>
    <w:autoRedefine/>
    <w:qFormat/>
    <w:uiPriority w:val="0"/>
    <w:pPr>
      <w:suppressAutoHyphens/>
      <w:adjustRightInd/>
      <w:spacing w:line="360" w:lineRule="auto"/>
      <w:ind w:left="481" w:firstLine="480"/>
    </w:pPr>
    <w:rPr>
      <w:rFonts w:ascii="等线" w:hAnsi="等线" w:eastAsia="楷体_GB2312"/>
      <w:kern w:val="1"/>
      <w:sz w:val="24"/>
      <w:szCs w:val="20"/>
      <w:lang w:eastAsia="ar-SA"/>
    </w:rPr>
  </w:style>
  <w:style w:type="paragraph" w:customStyle="1" w:styleId="1152">
    <w:name w:val="xl131"/>
    <w:basedOn w:val="1"/>
    <w:autoRedefine/>
    <w:qFormat/>
    <w:uiPriority w:val="0"/>
    <w:pPr>
      <w:widowControl/>
      <w:pBdr>
        <w:top w:val="single" w:color="auto" w:sz="4" w:space="0"/>
        <w:left w:val="single" w:color="auto" w:sz="4" w:space="0"/>
        <w:bottom w:val="single" w:color="auto" w:sz="4" w:space="0"/>
        <w:right w:val="single" w:color="auto" w:sz="8" w:space="0"/>
      </w:pBdr>
      <w:adjustRightInd/>
      <w:spacing w:before="100" w:beforeAutospacing="1" w:after="100" w:afterAutospacing="1"/>
      <w:jc w:val="center"/>
    </w:pPr>
    <w:rPr>
      <w:rFonts w:ascii="Arial" w:hAnsi="Arial"/>
      <w:kern w:val="0"/>
      <w:sz w:val="20"/>
      <w:szCs w:val="20"/>
    </w:rPr>
  </w:style>
  <w:style w:type="paragraph" w:customStyle="1" w:styleId="1153">
    <w:name w:val="正文11"/>
    <w:basedOn w:val="1"/>
    <w:next w:val="1"/>
    <w:autoRedefine/>
    <w:qFormat/>
    <w:uiPriority w:val="0"/>
    <w:pPr>
      <w:adjustRightInd/>
      <w:spacing w:before="156" w:line="360" w:lineRule="auto"/>
      <w:ind w:left="426"/>
    </w:pPr>
    <w:rPr>
      <w:rFonts w:ascii="等线" w:hAnsi="等线"/>
      <w:sz w:val="24"/>
      <w:szCs w:val="20"/>
    </w:rPr>
  </w:style>
  <w:style w:type="paragraph" w:customStyle="1" w:styleId="1154">
    <w:name w:val="xl142"/>
    <w:basedOn w:val="1"/>
    <w:autoRedefine/>
    <w:qFormat/>
    <w:uiPriority w:val="0"/>
    <w:pPr>
      <w:widowControl/>
      <w:pBdr>
        <w:left w:val="single" w:color="auto" w:sz="4" w:space="0"/>
        <w:bottom w:val="single" w:color="auto" w:sz="4" w:space="0"/>
        <w:right w:val="single" w:color="auto" w:sz="8" w:space="0"/>
      </w:pBdr>
      <w:adjustRightInd/>
      <w:spacing w:before="100" w:beforeAutospacing="1" w:after="100" w:afterAutospacing="1"/>
      <w:jc w:val="center"/>
    </w:pPr>
    <w:rPr>
      <w:rFonts w:ascii="宋体" w:hAnsi="宋体" w:cs="宋体"/>
      <w:kern w:val="0"/>
      <w:sz w:val="20"/>
      <w:szCs w:val="20"/>
    </w:rPr>
  </w:style>
  <w:style w:type="paragraph" w:customStyle="1" w:styleId="1155">
    <w:name w:val="xl141"/>
    <w:basedOn w:val="1"/>
    <w:autoRedefine/>
    <w:qFormat/>
    <w:uiPriority w:val="0"/>
    <w:pPr>
      <w:widowControl/>
      <w:pBdr>
        <w:top w:val="single" w:color="auto" w:sz="4" w:space="0"/>
        <w:left w:val="single" w:color="auto" w:sz="4" w:space="0"/>
        <w:bottom w:val="single" w:color="auto" w:sz="4" w:space="0"/>
        <w:right w:val="single" w:color="auto" w:sz="4" w:space="0"/>
      </w:pBdr>
      <w:shd w:val="clear" w:color="auto" w:fill="CCFFFF"/>
      <w:adjustRightInd/>
      <w:spacing w:before="100" w:beforeAutospacing="1" w:after="100" w:afterAutospacing="1"/>
      <w:jc w:val="center"/>
    </w:pPr>
    <w:rPr>
      <w:rFonts w:ascii="Arial" w:hAnsi="Arial"/>
      <w:kern w:val="0"/>
      <w:sz w:val="24"/>
      <w:szCs w:val="20"/>
    </w:rPr>
  </w:style>
  <w:style w:type="paragraph" w:customStyle="1" w:styleId="1156">
    <w:name w:val="正文首行缩进二字符"/>
    <w:basedOn w:val="1"/>
    <w:autoRedefine/>
    <w:qFormat/>
    <w:uiPriority w:val="0"/>
    <w:pPr>
      <w:adjustRightInd/>
      <w:snapToGrid w:val="0"/>
      <w:spacing w:line="360" w:lineRule="auto"/>
      <w:ind w:firstLine="200" w:firstLineChars="200"/>
    </w:pPr>
    <w:rPr>
      <w:rFonts w:ascii="仿宋" w:hAnsi="仿宋" w:eastAsia="仿宋"/>
      <w:sz w:val="24"/>
    </w:rPr>
  </w:style>
  <w:style w:type="paragraph" w:customStyle="1" w:styleId="1157">
    <w:name w:val="xl97"/>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textAlignment w:val="bottom"/>
    </w:pPr>
    <w:rPr>
      <w:rFonts w:ascii="宋体" w:hAnsi="宋体"/>
      <w:color w:val="FF0000"/>
      <w:kern w:val="0"/>
      <w:sz w:val="18"/>
      <w:szCs w:val="20"/>
    </w:rPr>
  </w:style>
  <w:style w:type="paragraph" w:customStyle="1" w:styleId="1158">
    <w:name w:val="样式 仿宋_GB2312 三号"/>
    <w:basedOn w:val="1"/>
    <w:autoRedefine/>
    <w:qFormat/>
    <w:uiPriority w:val="0"/>
    <w:pPr>
      <w:snapToGrid w:val="0"/>
      <w:spacing w:line="360" w:lineRule="auto"/>
      <w:ind w:firstLine="560" w:firstLineChars="200"/>
    </w:pPr>
    <w:rPr>
      <w:rFonts w:ascii="仿宋_GB2312" w:hAnsi="等线" w:eastAsia="仿宋_GB2312" w:cs="宋体"/>
      <w:sz w:val="32"/>
      <w:szCs w:val="20"/>
    </w:rPr>
  </w:style>
  <w:style w:type="paragraph" w:customStyle="1" w:styleId="1159">
    <w:name w:val="xl120"/>
    <w:basedOn w:val="1"/>
    <w:autoRedefine/>
    <w:qFormat/>
    <w:uiPriority w:val="0"/>
    <w:pPr>
      <w:widowControl/>
      <w:pBdr>
        <w:top w:val="single" w:color="auto" w:sz="4" w:space="0"/>
        <w:left w:val="single" w:color="auto" w:sz="8" w:space="0"/>
        <w:bottom w:val="single" w:color="auto" w:sz="4" w:space="0"/>
        <w:right w:val="single" w:color="auto" w:sz="4" w:space="0"/>
      </w:pBdr>
      <w:adjustRightInd/>
      <w:spacing w:before="100" w:beforeAutospacing="1" w:after="100" w:afterAutospacing="1"/>
      <w:jc w:val="center"/>
    </w:pPr>
    <w:rPr>
      <w:rFonts w:ascii="Arial" w:hAnsi="Arial"/>
      <w:color w:val="FF0000"/>
      <w:kern w:val="0"/>
      <w:sz w:val="18"/>
      <w:szCs w:val="20"/>
    </w:rPr>
  </w:style>
  <w:style w:type="paragraph" w:customStyle="1" w:styleId="1160">
    <w:name w:val="正文 New New New New New"/>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61">
    <w:name w:val="xl113"/>
    <w:basedOn w:val="1"/>
    <w:autoRedefine/>
    <w:qFormat/>
    <w:uiPriority w:val="0"/>
    <w:pPr>
      <w:widowControl/>
      <w:pBdr>
        <w:top w:val="single" w:color="auto" w:sz="4" w:space="0"/>
        <w:left w:val="single" w:color="auto" w:sz="4" w:space="0"/>
        <w:bottom w:val="single" w:color="auto" w:sz="4" w:space="0"/>
        <w:right w:val="single" w:color="auto" w:sz="4" w:space="0"/>
      </w:pBdr>
      <w:shd w:val="clear" w:color="auto" w:fill="CCFFFF"/>
      <w:adjustRightInd/>
      <w:spacing w:before="100" w:beforeAutospacing="1" w:after="100" w:afterAutospacing="1"/>
      <w:jc w:val="center"/>
    </w:pPr>
    <w:rPr>
      <w:rFonts w:ascii="Arial" w:hAnsi="Arial"/>
      <w:kern w:val="0"/>
      <w:sz w:val="18"/>
      <w:szCs w:val="20"/>
    </w:rPr>
  </w:style>
  <w:style w:type="paragraph" w:customStyle="1" w:styleId="1162">
    <w:name w:val="xl114"/>
    <w:basedOn w:val="1"/>
    <w:autoRedefine/>
    <w:qFormat/>
    <w:uiPriority w:val="0"/>
    <w:pPr>
      <w:widowControl/>
      <w:pBdr>
        <w:top w:val="single" w:color="auto" w:sz="4" w:space="0"/>
        <w:left w:val="single" w:color="auto" w:sz="8" w:space="0"/>
        <w:bottom w:val="single" w:color="auto" w:sz="4" w:space="0"/>
        <w:right w:val="single" w:color="auto" w:sz="4" w:space="0"/>
      </w:pBdr>
      <w:adjustRightInd/>
      <w:spacing w:before="100" w:beforeAutospacing="1" w:after="100" w:afterAutospacing="1"/>
      <w:jc w:val="center"/>
    </w:pPr>
    <w:rPr>
      <w:rFonts w:ascii="Arial" w:hAnsi="Arial"/>
      <w:kern w:val="0"/>
      <w:sz w:val="18"/>
      <w:szCs w:val="20"/>
    </w:rPr>
  </w:style>
  <w:style w:type="paragraph" w:customStyle="1" w:styleId="1163">
    <w:name w:val="样式 正文首行缩进 + 首行缩进:  1 字符"/>
    <w:basedOn w:val="78"/>
    <w:autoRedefine/>
    <w:qFormat/>
    <w:uiPriority w:val="0"/>
    <w:pPr>
      <w:widowControl/>
      <w:autoSpaceDE/>
      <w:autoSpaceDN/>
      <w:adjustRightInd/>
      <w:spacing w:after="120" w:line="240" w:lineRule="auto"/>
      <w:ind w:firstLine="200" w:firstLineChars="200"/>
      <w:jc w:val="left"/>
    </w:pPr>
    <w:rPr>
      <w:rFonts w:ascii="Times New Roman" w:hAnsi="Times New Roman" w:eastAsia="华文细黑"/>
      <w:kern w:val="0"/>
      <w:szCs w:val="24"/>
      <w:lang w:val="en-US"/>
    </w:rPr>
  </w:style>
  <w:style w:type="paragraph" w:customStyle="1" w:styleId="1164">
    <w:name w:val="样式 宋体 小四 行距: 1.5 倍行距 首行缩进:  2 字符"/>
    <w:basedOn w:val="1"/>
    <w:autoRedefine/>
    <w:qFormat/>
    <w:uiPriority w:val="0"/>
    <w:pPr>
      <w:adjustRightInd/>
      <w:spacing w:line="360" w:lineRule="auto"/>
      <w:ind w:firstLine="200" w:firstLineChars="200"/>
    </w:pPr>
    <w:rPr>
      <w:rFonts w:ascii="宋体" w:hAnsi="宋体" w:cs="宋体"/>
      <w:sz w:val="24"/>
    </w:rPr>
  </w:style>
  <w:style w:type="paragraph" w:customStyle="1" w:styleId="1165">
    <w:name w:val="xl102"/>
    <w:basedOn w:val="1"/>
    <w:autoRedefine/>
    <w:qFormat/>
    <w:uiPriority w:val="0"/>
    <w:pPr>
      <w:widowControl/>
      <w:pBdr>
        <w:top w:val="single" w:color="auto" w:sz="4" w:space="0"/>
        <w:left w:val="single" w:color="auto" w:sz="8" w:space="0"/>
        <w:bottom w:val="single" w:color="auto" w:sz="4" w:space="0"/>
        <w:right w:val="single" w:color="auto" w:sz="4" w:space="0"/>
      </w:pBdr>
      <w:shd w:val="clear" w:color="auto" w:fill="CCFFFF"/>
      <w:adjustRightInd/>
      <w:spacing w:before="100" w:beforeAutospacing="1" w:after="100" w:afterAutospacing="1"/>
      <w:jc w:val="center"/>
      <w:textAlignment w:val="bottom"/>
    </w:pPr>
    <w:rPr>
      <w:rFonts w:ascii="Arial" w:hAnsi="Arial"/>
      <w:kern w:val="0"/>
      <w:sz w:val="18"/>
      <w:szCs w:val="20"/>
    </w:rPr>
  </w:style>
  <w:style w:type="paragraph" w:customStyle="1" w:styleId="1166">
    <w:name w:val="xl136"/>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Arial" w:hAnsi="Arial"/>
      <w:kern w:val="0"/>
      <w:sz w:val="18"/>
      <w:szCs w:val="20"/>
    </w:rPr>
  </w:style>
  <w:style w:type="paragraph" w:customStyle="1" w:styleId="1167">
    <w:name w:val="xl112"/>
    <w:basedOn w:val="1"/>
    <w:autoRedefine/>
    <w:qFormat/>
    <w:uiPriority w:val="0"/>
    <w:pPr>
      <w:widowControl/>
      <w:pBdr>
        <w:top w:val="single" w:color="auto" w:sz="4" w:space="0"/>
        <w:left w:val="single" w:color="auto" w:sz="8" w:space="0"/>
        <w:bottom w:val="single" w:color="auto" w:sz="4" w:space="0"/>
        <w:right w:val="single" w:color="auto" w:sz="4" w:space="0"/>
      </w:pBdr>
      <w:shd w:val="clear" w:color="auto" w:fill="CCFFFF"/>
      <w:adjustRightInd/>
      <w:spacing w:before="100" w:beforeAutospacing="1" w:after="100" w:afterAutospacing="1"/>
      <w:jc w:val="center"/>
    </w:pPr>
    <w:rPr>
      <w:rFonts w:ascii="Arial" w:hAnsi="Arial"/>
      <w:kern w:val="0"/>
      <w:sz w:val="18"/>
      <w:szCs w:val="20"/>
    </w:rPr>
  </w:style>
  <w:style w:type="paragraph" w:customStyle="1" w:styleId="1168">
    <w:name w:val="首行缩进正文"/>
    <w:basedOn w:val="1"/>
    <w:autoRedefine/>
    <w:qFormat/>
    <w:uiPriority w:val="0"/>
    <w:pPr>
      <w:adjustRightInd/>
      <w:spacing w:line="360" w:lineRule="auto"/>
      <w:ind w:firstLine="480"/>
    </w:pPr>
    <w:rPr>
      <w:rFonts w:ascii="等线" w:hAnsi="等线" w:eastAsia="楷体_GB2312"/>
      <w:sz w:val="24"/>
      <w:szCs w:val="20"/>
    </w:rPr>
  </w:style>
  <w:style w:type="paragraph" w:customStyle="1" w:styleId="1169">
    <w:name w:val="页眉与页脚"/>
    <w:autoRedefine/>
    <w:unhideWhenUsed/>
    <w:qFormat/>
    <w:uiPriority w:val="99"/>
    <w:pPr>
      <w:tabs>
        <w:tab w:val="right" w:pos="9020"/>
      </w:tabs>
    </w:pPr>
    <w:rPr>
      <w:rFonts w:hint="eastAsia" w:ascii="Helvetica" w:hAnsi="Arial Unicode MS" w:eastAsia="Times New Roman" w:cs="Times New Roman"/>
      <w:color w:val="000000"/>
      <w:sz w:val="24"/>
      <w:szCs w:val="22"/>
      <w:lang w:val="en-US" w:eastAsia="zh-CN" w:bidi="ar-SA"/>
    </w:rPr>
  </w:style>
  <w:style w:type="paragraph" w:customStyle="1" w:styleId="1170">
    <w:name w:val="符号》"/>
    <w:basedOn w:val="1"/>
    <w:autoRedefine/>
    <w:qFormat/>
    <w:uiPriority w:val="0"/>
    <w:pPr>
      <w:widowControl/>
      <w:tabs>
        <w:tab w:val="left" w:pos="425"/>
        <w:tab w:val="left" w:pos="795"/>
      </w:tabs>
      <w:adjustRightInd/>
      <w:spacing w:line="360" w:lineRule="auto"/>
      <w:ind w:left="425" w:hanging="425"/>
      <w:jc w:val="left"/>
    </w:pPr>
    <w:rPr>
      <w:rFonts w:ascii="宋体" w:hAnsi="宋体" w:eastAsia="楷体_GB2312" w:cs="宋体"/>
      <w:kern w:val="0"/>
      <w:sz w:val="24"/>
    </w:rPr>
  </w:style>
  <w:style w:type="paragraph" w:customStyle="1" w:styleId="1171">
    <w:name w:val="样式 样式 样式 我的正文首行缩进 + 首行缩进:  2 字符 + 首行缩进:  2 字符 + 首行缩进:  2 字符1"/>
    <w:basedOn w:val="1"/>
    <w:autoRedefine/>
    <w:qFormat/>
    <w:uiPriority w:val="0"/>
    <w:pPr>
      <w:widowControl/>
      <w:adjustRightInd/>
      <w:spacing w:after="120"/>
      <w:ind w:firstLine="200" w:firstLineChars="200"/>
      <w:jc w:val="left"/>
    </w:pPr>
    <w:rPr>
      <w:rFonts w:ascii="等线" w:hAnsi="等线" w:eastAsia="华文细黑"/>
      <w:sz w:val="24"/>
    </w:rPr>
  </w:style>
  <w:style w:type="paragraph" w:customStyle="1" w:styleId="1172">
    <w:name w:val="xl129"/>
    <w:basedOn w:val="1"/>
    <w:autoRedefine/>
    <w:qFormat/>
    <w:uiPriority w:val="0"/>
    <w:pPr>
      <w:widowControl/>
      <w:pBdr>
        <w:top w:val="single" w:color="auto" w:sz="4" w:space="0"/>
        <w:left w:val="single" w:color="auto" w:sz="4" w:space="0"/>
        <w:bottom w:val="single" w:color="auto" w:sz="4" w:space="0"/>
        <w:right w:val="single" w:color="auto" w:sz="4" w:space="0"/>
      </w:pBdr>
      <w:shd w:val="clear" w:color="auto" w:fill="CCFFFF"/>
      <w:adjustRightInd/>
      <w:spacing w:before="100" w:beforeAutospacing="1" w:after="100" w:afterAutospacing="1"/>
      <w:jc w:val="center"/>
      <w:textAlignment w:val="bottom"/>
    </w:pPr>
    <w:rPr>
      <w:rFonts w:ascii="Arial" w:hAnsi="Arial"/>
      <w:kern w:val="0"/>
      <w:sz w:val="18"/>
      <w:szCs w:val="20"/>
    </w:rPr>
  </w:style>
  <w:style w:type="paragraph" w:customStyle="1" w:styleId="1173">
    <w:name w:val="xl128"/>
    <w:basedOn w:val="1"/>
    <w:autoRedefine/>
    <w:qFormat/>
    <w:uiPriority w:val="0"/>
    <w:pPr>
      <w:widowControl/>
      <w:adjustRightInd/>
      <w:spacing w:before="100" w:beforeAutospacing="1" w:after="100" w:afterAutospacing="1"/>
      <w:jc w:val="center"/>
    </w:pPr>
    <w:rPr>
      <w:rFonts w:ascii="Arial" w:hAnsi="Arial"/>
      <w:kern w:val="0"/>
      <w:sz w:val="24"/>
      <w:szCs w:val="20"/>
    </w:rPr>
  </w:style>
  <w:style w:type="paragraph" w:customStyle="1" w:styleId="1174">
    <w:name w:val="xl118"/>
    <w:basedOn w:val="1"/>
    <w:autoRedefine/>
    <w:qFormat/>
    <w:uiPriority w:val="0"/>
    <w:pPr>
      <w:widowControl/>
      <w:pBdr>
        <w:top w:val="single" w:color="auto" w:sz="4" w:space="0"/>
        <w:left w:val="single" w:color="auto" w:sz="4" w:space="0"/>
        <w:bottom w:val="single" w:color="auto" w:sz="4" w:space="0"/>
        <w:right w:val="single" w:color="auto" w:sz="4" w:space="0"/>
      </w:pBdr>
      <w:shd w:val="clear" w:color="auto" w:fill="CCFFFF"/>
      <w:adjustRightInd/>
      <w:spacing w:before="100" w:beforeAutospacing="1" w:after="100" w:afterAutospacing="1"/>
      <w:jc w:val="left"/>
      <w:textAlignment w:val="bottom"/>
    </w:pPr>
    <w:rPr>
      <w:rFonts w:ascii="Arial" w:hAnsi="Arial"/>
      <w:color w:val="FF0000"/>
      <w:kern w:val="0"/>
      <w:sz w:val="18"/>
      <w:szCs w:val="20"/>
    </w:rPr>
  </w:style>
  <w:style w:type="paragraph" w:customStyle="1" w:styleId="1175">
    <w:name w:val="Normal_3"/>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76">
    <w:name w:val="xl137"/>
    <w:basedOn w:val="1"/>
    <w:autoRedefine/>
    <w:qFormat/>
    <w:uiPriority w:val="0"/>
    <w:pPr>
      <w:widowControl/>
      <w:pBdr>
        <w:top w:val="single" w:color="auto" w:sz="4" w:space="0"/>
        <w:left w:val="single" w:color="auto" w:sz="4" w:space="0"/>
        <w:bottom w:val="single" w:color="auto" w:sz="8" w:space="0"/>
        <w:right w:val="single" w:color="auto" w:sz="8" w:space="0"/>
      </w:pBdr>
      <w:adjustRightInd/>
      <w:spacing w:before="100" w:beforeAutospacing="1" w:after="100" w:afterAutospacing="1"/>
      <w:jc w:val="left"/>
      <w:textAlignment w:val="bottom"/>
    </w:pPr>
    <w:rPr>
      <w:rFonts w:ascii="Arial" w:hAnsi="Arial"/>
      <w:kern w:val="0"/>
      <w:sz w:val="20"/>
      <w:szCs w:val="20"/>
    </w:rPr>
  </w:style>
  <w:style w:type="paragraph" w:customStyle="1" w:styleId="1177">
    <w:name w:val="正文缩进11"/>
    <w:basedOn w:val="1"/>
    <w:autoRedefine/>
    <w:qFormat/>
    <w:uiPriority w:val="0"/>
    <w:pPr>
      <w:widowControl/>
      <w:snapToGrid w:val="0"/>
      <w:spacing w:line="480" w:lineRule="exact"/>
      <w:ind w:firstLine="567"/>
    </w:pPr>
    <w:rPr>
      <w:rFonts w:ascii="宋体" w:hAnsi="Calibri"/>
      <w:snapToGrid w:val="0"/>
      <w:color w:val="000000"/>
      <w:kern w:val="28"/>
      <w:sz w:val="28"/>
      <w:szCs w:val="22"/>
    </w:rPr>
  </w:style>
  <w:style w:type="paragraph" w:customStyle="1" w:styleId="1178">
    <w:name w:val="公文标题"/>
    <w:basedOn w:val="370"/>
    <w:next w:val="370"/>
    <w:autoRedefine/>
    <w:qFormat/>
    <w:uiPriority w:val="0"/>
    <w:pPr>
      <w:spacing w:before="0"/>
      <w:ind w:firstLine="0" w:firstLineChars="0"/>
      <w:jc w:val="center"/>
    </w:pPr>
    <w:rPr>
      <w:rFonts w:hAnsi="宋体"/>
      <w:b/>
      <w:bCs/>
      <w:kern w:val="28"/>
      <w:sz w:val="44"/>
    </w:rPr>
  </w:style>
  <w:style w:type="paragraph" w:customStyle="1" w:styleId="1179">
    <w:name w:val="pa-69"/>
    <w:basedOn w:val="1"/>
    <w:autoRedefine/>
    <w:qFormat/>
    <w:uiPriority w:val="0"/>
    <w:pPr>
      <w:widowControl/>
      <w:adjustRightInd/>
      <w:spacing w:line="330" w:lineRule="atLeast"/>
      <w:ind w:firstLine="3840"/>
      <w:jc w:val="left"/>
    </w:pPr>
    <w:rPr>
      <w:rFonts w:ascii="宋体" w:hAnsi="宋体" w:cs="宋体"/>
      <w:kern w:val="0"/>
      <w:sz w:val="24"/>
    </w:rPr>
  </w:style>
  <w:style w:type="paragraph" w:customStyle="1" w:styleId="1180">
    <w:name w:val="Normal_20"/>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81">
    <w:name w:val="5 Char"/>
    <w:basedOn w:val="1"/>
    <w:autoRedefine/>
    <w:qFormat/>
    <w:uiPriority w:val="0"/>
    <w:pPr>
      <w:adjustRightInd/>
    </w:pPr>
    <w:rPr>
      <w:rFonts w:ascii="等线" w:hAnsi="等线" w:eastAsia="楷体_GB2312"/>
    </w:rPr>
  </w:style>
  <w:style w:type="paragraph" w:customStyle="1" w:styleId="1182">
    <w:name w:val="xl57"/>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宋体" w:hAnsi="宋体"/>
      <w:kern w:val="0"/>
      <w:sz w:val="24"/>
      <w:szCs w:val="20"/>
    </w:rPr>
  </w:style>
  <w:style w:type="paragraph" w:customStyle="1" w:styleId="1183">
    <w:name w:val="正文 首行缩进:  2 字符 Char Char"/>
    <w:basedOn w:val="1"/>
    <w:autoRedefine/>
    <w:qFormat/>
    <w:uiPriority w:val="0"/>
    <w:pPr>
      <w:adjustRightInd/>
      <w:spacing w:line="360" w:lineRule="auto"/>
      <w:ind w:firstLine="480"/>
    </w:pPr>
    <w:rPr>
      <w:rFonts w:ascii="楷体_GB2312" w:hAnsi="等线" w:eastAsia="楷体_GB2312"/>
      <w:bCs/>
      <w:sz w:val="24"/>
    </w:rPr>
  </w:style>
  <w:style w:type="paragraph" w:customStyle="1" w:styleId="1184">
    <w:name w:val="xl53"/>
    <w:basedOn w:val="1"/>
    <w:autoRedefine/>
    <w:qFormat/>
    <w:uiPriority w:val="0"/>
    <w:pPr>
      <w:widowControl/>
      <w:pBdr>
        <w:top w:val="single" w:color="auto" w:sz="4" w:space="0"/>
        <w:left w:val="single" w:color="auto" w:sz="4" w:space="0"/>
        <w:bottom w:val="single" w:color="auto" w:sz="4" w:space="0"/>
        <w:right w:val="single" w:color="auto" w:sz="4" w:space="0"/>
      </w:pBdr>
      <w:shd w:val="clear" w:color="auto" w:fill="CCFFFF"/>
      <w:adjustRightInd/>
      <w:spacing w:before="100" w:beforeAutospacing="1" w:after="100" w:afterAutospacing="1"/>
      <w:jc w:val="center"/>
      <w:textAlignment w:val="bottom"/>
    </w:pPr>
    <w:rPr>
      <w:rFonts w:ascii="Arial" w:hAnsi="Arial"/>
      <w:kern w:val="0"/>
      <w:sz w:val="18"/>
      <w:szCs w:val="20"/>
    </w:rPr>
  </w:style>
  <w:style w:type="paragraph" w:customStyle="1" w:styleId="1185">
    <w:name w:val="正文内"/>
    <w:basedOn w:val="1"/>
    <w:autoRedefine/>
    <w:qFormat/>
    <w:uiPriority w:val="0"/>
    <w:pPr>
      <w:adjustRightInd/>
      <w:spacing w:line="400" w:lineRule="exact"/>
      <w:ind w:firstLine="200" w:firstLineChars="200"/>
    </w:pPr>
    <w:rPr>
      <w:rFonts w:ascii="??" w:hAnsi="??" w:eastAsia="??" w:cs="宋体"/>
      <w:szCs w:val="28"/>
    </w:rPr>
  </w:style>
  <w:style w:type="paragraph" w:customStyle="1" w:styleId="1186">
    <w:name w:val="xl121"/>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Arial" w:hAnsi="Arial"/>
      <w:color w:val="FF0000"/>
      <w:kern w:val="0"/>
      <w:sz w:val="18"/>
      <w:szCs w:val="20"/>
    </w:rPr>
  </w:style>
  <w:style w:type="paragraph" w:customStyle="1" w:styleId="1187">
    <w:name w:val="功能列表"/>
    <w:basedOn w:val="1"/>
    <w:autoRedefine/>
    <w:qFormat/>
    <w:uiPriority w:val="0"/>
    <w:pPr>
      <w:tabs>
        <w:tab w:val="left" w:pos="0"/>
        <w:tab w:val="left" w:pos="900"/>
      </w:tabs>
      <w:adjustRightInd/>
      <w:spacing w:line="360" w:lineRule="auto"/>
      <w:ind w:firstLine="200" w:firstLineChars="200"/>
    </w:pPr>
    <w:rPr>
      <w:rFonts w:ascii="等线" w:hAnsi="等线"/>
      <w:sz w:val="24"/>
      <w:szCs w:val="20"/>
    </w:rPr>
  </w:style>
  <w:style w:type="paragraph" w:customStyle="1" w:styleId="1188">
    <w:name w:val="xl117"/>
    <w:basedOn w:val="1"/>
    <w:autoRedefine/>
    <w:qFormat/>
    <w:uiPriority w:val="0"/>
    <w:pPr>
      <w:widowControl/>
      <w:pBdr>
        <w:top w:val="single" w:color="auto" w:sz="4" w:space="0"/>
        <w:left w:val="single" w:color="auto" w:sz="8" w:space="0"/>
        <w:bottom w:val="single" w:color="auto" w:sz="4" w:space="0"/>
        <w:right w:val="single" w:color="auto" w:sz="4" w:space="0"/>
      </w:pBdr>
      <w:shd w:val="clear" w:color="auto" w:fill="CCFFFF"/>
      <w:adjustRightInd/>
      <w:spacing w:before="100" w:beforeAutospacing="1" w:after="100" w:afterAutospacing="1"/>
      <w:jc w:val="center"/>
    </w:pPr>
    <w:rPr>
      <w:rFonts w:ascii="Arial" w:hAnsi="Arial"/>
      <w:color w:val="FF0000"/>
      <w:kern w:val="0"/>
      <w:sz w:val="18"/>
      <w:szCs w:val="20"/>
    </w:rPr>
  </w:style>
  <w:style w:type="paragraph" w:customStyle="1" w:styleId="1189">
    <w:name w:val="font15"/>
    <w:basedOn w:val="1"/>
    <w:autoRedefine/>
    <w:qFormat/>
    <w:uiPriority w:val="0"/>
    <w:pPr>
      <w:widowControl/>
      <w:adjustRightInd/>
      <w:spacing w:before="100" w:beforeAutospacing="1" w:after="100" w:afterAutospacing="1"/>
      <w:jc w:val="left"/>
    </w:pPr>
    <w:rPr>
      <w:rFonts w:ascii="宋体" w:hAnsi="宋体" w:cs="宋体"/>
      <w:color w:val="000000"/>
      <w:kern w:val="0"/>
      <w:szCs w:val="21"/>
    </w:rPr>
  </w:style>
  <w:style w:type="paragraph" w:customStyle="1" w:styleId="1190">
    <w:name w:val="标题1"/>
    <w:basedOn w:val="1"/>
    <w:autoRedefine/>
    <w:qFormat/>
    <w:uiPriority w:val="0"/>
    <w:pPr>
      <w:widowControl/>
      <w:tabs>
        <w:tab w:val="left" w:pos="450"/>
      </w:tabs>
      <w:autoSpaceDE w:val="0"/>
      <w:autoSpaceDN w:val="0"/>
      <w:spacing w:before="240" w:after="240"/>
      <w:jc w:val="left"/>
      <w:textAlignment w:val="center"/>
    </w:pPr>
    <w:rPr>
      <w:rFonts w:ascii="宋体" w:hAnsi="等线" w:eastAsia="楷体_GB2312"/>
      <w:b/>
      <w:kern w:val="0"/>
      <w:sz w:val="32"/>
      <w:szCs w:val="20"/>
    </w:rPr>
  </w:style>
  <w:style w:type="paragraph" w:customStyle="1" w:styleId="1191">
    <w:name w:val="pa-68"/>
    <w:basedOn w:val="1"/>
    <w:autoRedefine/>
    <w:qFormat/>
    <w:uiPriority w:val="0"/>
    <w:pPr>
      <w:widowControl/>
      <w:adjustRightInd/>
      <w:spacing w:line="330" w:lineRule="atLeast"/>
      <w:jc w:val="left"/>
    </w:pPr>
    <w:rPr>
      <w:rFonts w:ascii="宋体" w:hAnsi="宋体" w:cs="宋体"/>
      <w:kern w:val="0"/>
      <w:sz w:val="24"/>
    </w:rPr>
  </w:style>
  <w:style w:type="paragraph" w:customStyle="1" w:styleId="1192">
    <w:name w:val="封面一致性程度标识"/>
    <w:autoRedefine/>
    <w:qFormat/>
    <w:uiPriority w:val="0"/>
    <w:pPr>
      <w:spacing w:before="440" w:line="400" w:lineRule="exact"/>
      <w:jc w:val="center"/>
    </w:pPr>
    <w:rPr>
      <w:rFonts w:ascii="宋体" w:hAnsi="Times New Roman" w:eastAsia="宋体" w:cs="Times New Roman"/>
      <w:sz w:val="28"/>
      <w:lang w:val="en-US" w:eastAsia="zh-CN" w:bidi="ar-SA"/>
    </w:rPr>
  </w:style>
  <w:style w:type="paragraph" w:customStyle="1" w:styleId="1193">
    <w:name w:val="_Style 510"/>
    <w:basedOn w:val="1"/>
    <w:next w:val="1"/>
    <w:autoRedefine/>
    <w:qFormat/>
    <w:uiPriority w:val="0"/>
    <w:pPr>
      <w:pBdr>
        <w:top w:val="single" w:color="auto" w:sz="6" w:space="1"/>
      </w:pBdr>
      <w:adjustRightInd/>
      <w:jc w:val="center"/>
    </w:pPr>
    <w:rPr>
      <w:rFonts w:ascii="Arial" w:hAnsi="等线"/>
      <w:vanish/>
      <w:sz w:val="16"/>
    </w:rPr>
  </w:style>
  <w:style w:type="paragraph" w:customStyle="1" w:styleId="1194">
    <w:name w:val="样式 标题 2H2h2Heading 2 HiddenHeading 2 CCBSl2heading 2I22n...1"/>
    <w:basedOn w:val="4"/>
    <w:autoRedefine/>
    <w:qFormat/>
    <w:uiPriority w:val="0"/>
    <w:pPr>
      <w:tabs>
        <w:tab w:val="left" w:pos="1560"/>
        <w:tab w:val="clear" w:pos="432"/>
      </w:tabs>
      <w:spacing w:before="260" w:after="260" w:line="416" w:lineRule="auto"/>
      <w:ind w:left="1560" w:hanging="420"/>
      <w:jc w:val="both"/>
    </w:pPr>
    <w:rPr>
      <w:rFonts w:ascii="Times New Roman" w:hAnsi="Times New Roman" w:eastAsia="黑体"/>
      <w:b w:val="0"/>
      <w:sz w:val="24"/>
      <w:lang w:val="en-US"/>
    </w:rPr>
  </w:style>
  <w:style w:type="paragraph" w:customStyle="1" w:styleId="1195">
    <w:name w:val="条1"/>
    <w:basedOn w:val="1"/>
    <w:autoRedefine/>
    <w:qFormat/>
    <w:uiPriority w:val="0"/>
    <w:pPr>
      <w:tabs>
        <w:tab w:val="left" w:pos="900"/>
      </w:tabs>
      <w:adjustRightInd/>
      <w:spacing w:before="156" w:line="360" w:lineRule="auto"/>
      <w:ind w:left="900" w:hanging="420"/>
    </w:pPr>
    <w:rPr>
      <w:rFonts w:ascii="等线" w:hAnsi="等线" w:eastAsia="黑体"/>
      <w:sz w:val="24"/>
      <w:szCs w:val="20"/>
    </w:rPr>
  </w:style>
  <w:style w:type="paragraph" w:customStyle="1" w:styleId="1196">
    <w:name w:val="font0"/>
    <w:basedOn w:val="1"/>
    <w:autoRedefine/>
    <w:qFormat/>
    <w:uiPriority w:val="0"/>
    <w:pPr>
      <w:widowControl/>
      <w:adjustRightInd/>
      <w:spacing w:before="100" w:beforeAutospacing="1" w:after="100" w:afterAutospacing="1"/>
      <w:jc w:val="left"/>
    </w:pPr>
    <w:rPr>
      <w:rFonts w:ascii="宋体" w:hAnsi="宋体" w:cs="宋体"/>
      <w:color w:val="000000"/>
      <w:kern w:val="0"/>
      <w:sz w:val="22"/>
      <w:szCs w:val="22"/>
    </w:rPr>
  </w:style>
  <w:style w:type="paragraph" w:customStyle="1" w:styleId="1197">
    <w:name w:val="xl64"/>
    <w:basedOn w:val="1"/>
    <w:autoRedefine/>
    <w:qFormat/>
    <w:uiPriority w:val="0"/>
    <w:pPr>
      <w:widowControl/>
      <w:pBdr>
        <w:top w:val="single" w:color="auto" w:sz="4" w:space="0"/>
        <w:left w:val="single" w:color="auto" w:sz="4" w:space="0"/>
        <w:bottom w:val="single" w:color="auto" w:sz="4" w:space="0"/>
        <w:right w:val="single" w:color="auto" w:sz="8" w:space="0"/>
      </w:pBdr>
      <w:adjustRightInd/>
      <w:spacing w:before="100" w:beforeAutospacing="1" w:after="100" w:afterAutospacing="1"/>
      <w:jc w:val="center"/>
    </w:pPr>
    <w:rPr>
      <w:rFonts w:ascii="宋体" w:hAnsi="宋体"/>
      <w:kern w:val="0"/>
      <w:sz w:val="20"/>
      <w:szCs w:val="20"/>
    </w:rPr>
  </w:style>
  <w:style w:type="table" w:customStyle="1" w:styleId="1198">
    <w:name w:val="Table Normal2"/>
    <w:autoRedefine/>
    <w:qFormat/>
    <w:uiPriority w:val="0"/>
    <w:tblPr>
      <w:tblCellMar>
        <w:top w:w="0" w:type="dxa"/>
        <w:left w:w="0" w:type="dxa"/>
        <w:bottom w:w="0" w:type="dxa"/>
        <w:right w:w="0" w:type="dxa"/>
      </w:tblCellMar>
    </w:tblPr>
  </w:style>
  <w:style w:type="table" w:customStyle="1" w:styleId="1199">
    <w:name w:val="Table Normal1"/>
    <w:autoRedefine/>
    <w:qFormat/>
    <w:uiPriority w:val="0"/>
    <w:tblPr>
      <w:tblCellMar>
        <w:top w:w="0" w:type="dxa"/>
        <w:left w:w="0" w:type="dxa"/>
        <w:bottom w:w="0" w:type="dxa"/>
        <w:right w:w="0" w:type="dxa"/>
      </w:tblCellMar>
    </w:tblPr>
  </w:style>
  <w:style w:type="table" w:customStyle="1" w:styleId="1200">
    <w:name w:val="中等深浅网格 2 - 强调文字颜色 11"/>
    <w:basedOn w:val="80"/>
    <w:autoRedefine/>
    <w:qFormat/>
    <w:uiPriority w:val="68"/>
    <w:rPr>
      <w:rFonts w:ascii="Cambria" w:hAnsi="Cambria"/>
      <w:color w:val="000000"/>
    </w:rPr>
    <w:tblPr>
      <w:tblBorders>
        <w:top w:val="single" w:color="4F81BD" w:sz="8" w:space="0"/>
        <w:left w:val="single" w:color="4F81BD" w:sz="8" w:space="0"/>
        <w:bottom w:val="single" w:color="4F81BD" w:sz="8" w:space="0"/>
        <w:right w:val="single" w:color="4F81BD" w:sz="8" w:space="0"/>
        <w:insideH w:val="single" w:color="4F81BD" w:sz="8" w:space="0"/>
        <w:insideV w:val="single" w:color="4F81BD" w:sz="8" w:space="0"/>
      </w:tblBorders>
      <w:tblCellMar>
        <w:top w:w="0" w:type="dxa"/>
        <w:left w:w="108" w:type="dxa"/>
        <w:bottom w:w="0" w:type="dxa"/>
        <w:right w:w="108" w:type="dxa"/>
      </w:tblCellMar>
    </w:tblPr>
    <w:tcPr>
      <w:shd w:val="clear" w:color="auto" w:fill="D3DFEE"/>
    </w:tcPr>
    <w:tblStylePr w:type="firstRow">
      <w:rPr>
        <w:b/>
        <w:bCs/>
        <w:color w:val="000000"/>
      </w:rPr>
      <w:tcPr>
        <w:shd w:val="clear" w:color="auto" w:fill="EDF2F8"/>
      </w:tcPr>
    </w:tblStylePr>
    <w:tblStylePr w:type="lastRow">
      <w:rPr>
        <w:b/>
        <w:bCs/>
        <w:color w:val="000000"/>
      </w:rPr>
      <w:tcPr>
        <w:tcBorders>
          <w:top w:val="single" w:color="000000" w:sz="12" w:space="0"/>
          <w:left w:val="nil"/>
          <w:bottom w:val="nil"/>
          <w:right w:val="nil"/>
          <w:insideH w:val="nil"/>
          <w:insideV w:val="nil"/>
          <w:tl2br w:val="nil"/>
          <w:tr2bl w:val="nil"/>
        </w:tcBorders>
        <w:shd w:val="clear" w:color="auto" w:fill="FFFFFF"/>
      </w:tcPr>
    </w:tblStylePr>
    <w:tblStylePr w:type="firstCol">
      <w:rPr>
        <w:b/>
        <w:bCs/>
        <w:color w:val="000000"/>
      </w:rPr>
      <w:tcPr>
        <w:tcBorders>
          <w:top w:val="nil"/>
          <w:left w:val="nil"/>
          <w:bottom w:val="nil"/>
          <w:right w:val="nil"/>
          <w:insideH w:val="nil"/>
          <w:insideV w:val="nil"/>
          <w:tl2br w:val="nil"/>
          <w:tr2bl w:val="nil"/>
        </w:tcBorders>
        <w:shd w:val="clear" w:color="auto" w:fill="FFFFFF"/>
      </w:tcPr>
    </w:tblStylePr>
    <w:tblStylePr w:type="lastCol">
      <w:rPr>
        <w:b w:val="0"/>
        <w:bCs w:val="0"/>
        <w:color w:val="000000"/>
      </w:rPr>
      <w:tcPr>
        <w:tcBorders>
          <w:top w:val="nil"/>
          <w:left w:val="nil"/>
          <w:bottom w:val="nil"/>
          <w:right w:val="nil"/>
          <w:insideH w:val="nil"/>
          <w:insideV w:val="nil"/>
          <w:tl2br w:val="nil"/>
          <w:tr2bl w:val="nil"/>
        </w:tcBorders>
        <w:shd w:val="clear" w:color="auto" w:fill="DBE5F1"/>
      </w:tcPr>
    </w:tblStylePr>
    <w:tblStylePr w:type="band1Vert">
      <w:tcPr>
        <w:shd w:val="clear" w:color="auto" w:fill="A7C0DE"/>
      </w:tcPr>
    </w:tblStylePr>
    <w:tblStylePr w:type="band1Horz">
      <w:tcPr>
        <w:shd w:val="clear" w:color="auto" w:fill="A7C0DE"/>
      </w:tcPr>
    </w:tblStylePr>
    <w:tblStylePr w:type="nwCell">
      <w:tcPr>
        <w:shd w:val="clear" w:color="auto" w:fill="FFFFFF"/>
      </w:tcPr>
    </w:tblStylePr>
  </w:style>
  <w:style w:type="table" w:customStyle="1" w:styleId="1201">
    <w:name w:val="TableGrid"/>
    <w:autoRedefine/>
    <w:qFormat/>
    <w:uiPriority w:val="0"/>
    <w:rPr>
      <w:rFonts w:ascii="等线" w:hAnsi="等线" w:eastAsia="等线"/>
    </w:rPr>
    <w:tblPr>
      <w:tblCellMar>
        <w:top w:w="0" w:type="dxa"/>
        <w:left w:w="0" w:type="dxa"/>
        <w:bottom w:w="0" w:type="dxa"/>
        <w:right w:w="0" w:type="dxa"/>
      </w:tblCellMar>
    </w:tblPr>
  </w:style>
  <w:style w:type="table" w:customStyle="1" w:styleId="1202">
    <w:name w:val="Table Normal"/>
    <w:autoRedefine/>
    <w:qFormat/>
    <w:uiPriority w:val="0"/>
    <w:tblPr>
      <w:tblCellMar>
        <w:top w:w="0" w:type="dxa"/>
        <w:left w:w="0" w:type="dxa"/>
        <w:bottom w:w="0" w:type="dxa"/>
        <w:right w:w="0" w:type="dxa"/>
      </w:tblCellMar>
    </w:tblPr>
  </w:style>
  <w:style w:type="paragraph" w:customStyle="1" w:styleId="1203">
    <w:name w:val="纯文本11"/>
    <w:basedOn w:val="1"/>
    <w:autoRedefine/>
    <w:qFormat/>
    <w:uiPriority w:val="0"/>
    <w:pPr>
      <w:adjustRightInd/>
    </w:pPr>
    <w:rPr>
      <w:rFonts w:ascii="宋体" w:hAnsi="Courier New"/>
      <w:kern w:val="0"/>
      <w:sz w:val="20"/>
      <w:szCs w:val="20"/>
    </w:rPr>
  </w:style>
  <w:style w:type="paragraph" w:customStyle="1" w:styleId="1204">
    <w:name w:val="标题 3_0"/>
    <w:basedOn w:val="1"/>
    <w:next w:val="1"/>
    <w:autoRedefine/>
    <w:qFormat/>
    <w:uiPriority w:val="9"/>
    <w:pPr>
      <w:keepNext/>
      <w:keepLines/>
      <w:tabs>
        <w:tab w:val="left" w:pos="0"/>
        <w:tab w:val="left" w:pos="720"/>
      </w:tabs>
      <w:adjustRightInd/>
      <w:spacing w:before="260" w:after="260" w:line="416" w:lineRule="auto"/>
      <w:ind w:left="1260" w:hanging="720"/>
      <w:outlineLvl w:val="2"/>
    </w:pPr>
    <w:rPr>
      <w:b/>
      <w:bCs/>
      <w:kern w:val="0"/>
      <w:sz w:val="32"/>
      <w:szCs w:val="32"/>
    </w:rPr>
  </w:style>
  <w:style w:type="paragraph" w:customStyle="1" w:styleId="1205">
    <w:name w:val="正文_1_1_1"/>
    <w:autoRedefine/>
    <w:qFormat/>
    <w:uiPriority w:val="0"/>
    <w:rPr>
      <w:rFonts w:ascii="Times New Roman" w:hAnsi="Times New Roman" w:eastAsia="宋体" w:cs="Times New Roman"/>
      <w:sz w:val="21"/>
      <w:lang w:val="en-US" w:eastAsia="zh-CN" w:bidi="ar-SA"/>
    </w:rPr>
  </w:style>
  <w:style w:type="paragraph" w:customStyle="1" w:styleId="1206">
    <w:name w:val="正文_1_1_0"/>
    <w:autoRedefine/>
    <w:qFormat/>
    <w:uiPriority w:val="0"/>
    <w:rPr>
      <w:rFonts w:ascii="Times New Roman" w:hAnsi="Times New Roman" w:eastAsia="宋体" w:cs="Times New Roman"/>
      <w:sz w:val="21"/>
      <w:lang w:val="en-US" w:eastAsia="zh-CN" w:bidi="ar-SA"/>
    </w:rPr>
  </w:style>
  <w:style w:type="character" w:customStyle="1" w:styleId="1207">
    <w:name w:val="纯文本 Char4"/>
    <w:autoRedefine/>
    <w:qFormat/>
    <w:uiPriority w:val="0"/>
    <w:rPr>
      <w:rFonts w:ascii="Century Gothic" w:hAnsi="楷体_GB2312" w:eastAsia="Century Gothic" w:cs="楷体_GB2312"/>
      <w:kern w:val="2"/>
      <w:sz w:val="21"/>
      <w:szCs w:val="21"/>
      <w:lang w:val="en-US" w:eastAsia="zh-CN" w:bidi="ar-SA"/>
    </w:rPr>
  </w:style>
  <w:style w:type="paragraph" w:customStyle="1" w:styleId="1208">
    <w:name w:val="列出段落11"/>
    <w:basedOn w:val="1"/>
    <w:autoRedefine/>
    <w:qFormat/>
    <w:uiPriority w:val="34"/>
    <w:pPr>
      <w:adjustRightInd/>
      <w:spacing w:line="360" w:lineRule="auto"/>
      <w:ind w:firstLine="420" w:firstLineChars="200"/>
    </w:pPr>
    <w:rPr>
      <w:rFonts w:ascii="Calibri" w:hAnsi="Calibri"/>
      <w:sz w:val="24"/>
      <w:szCs w:val="22"/>
    </w:rPr>
  </w:style>
  <w:style w:type="paragraph" w:customStyle="1" w:styleId="1209">
    <w:name w:val="正文_1_0_0"/>
    <w:autoRedefine/>
    <w:qFormat/>
    <w:uiPriority w:val="0"/>
    <w:rPr>
      <w:rFonts w:ascii="Times New Roman" w:hAnsi="Times New Roman" w:eastAsia="宋体" w:cs="Times New Roman"/>
      <w:sz w:val="21"/>
      <w:lang w:val="en-US" w:eastAsia="zh-CN" w:bidi="ar-SA"/>
    </w:rPr>
  </w:style>
  <w:style w:type="paragraph" w:customStyle="1" w:styleId="1210">
    <w:name w:val="正文_3"/>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211">
    <w:name w:val="Char Char Char Char Char Char1 Char3"/>
    <w:basedOn w:val="1"/>
    <w:autoRedefine/>
    <w:qFormat/>
    <w:uiPriority w:val="0"/>
    <w:pPr>
      <w:widowControl/>
      <w:spacing w:after="160" w:line="240" w:lineRule="exact"/>
      <w:jc w:val="left"/>
    </w:pPr>
    <w:rPr>
      <w:rFonts w:ascii="Verdana" w:hAnsi="Verdana"/>
      <w:kern w:val="0"/>
      <w:szCs w:val="20"/>
      <w:lang w:eastAsia="en-US"/>
    </w:rPr>
  </w:style>
  <w:style w:type="paragraph" w:customStyle="1" w:styleId="1212">
    <w:name w:val="Revision"/>
    <w:autoRedefine/>
    <w:unhideWhenUsed/>
    <w:qFormat/>
    <w:uiPriority w:val="99"/>
    <w:rPr>
      <w:rFonts w:ascii="等线" w:hAnsi="等线" w:eastAsia="宋体" w:cs="Times New Roman"/>
      <w:kern w:val="2"/>
      <w:sz w:val="21"/>
      <w:szCs w:val="24"/>
      <w:lang w:val="en-US" w:eastAsia="zh-CN" w:bidi="ar-SA"/>
    </w:rPr>
  </w:style>
  <w:style w:type="paragraph" w:customStyle="1" w:styleId="1213">
    <w:name w:val="表格字体"/>
    <w:basedOn w:val="6"/>
    <w:qFormat/>
    <w:uiPriority w:val="0"/>
    <w:pPr>
      <w:ind w:firstLine="0"/>
      <w:jc w:val="center"/>
    </w:pPr>
    <w:rPr>
      <w:rFonts w:ascii="Times New Roman" w:eastAsia="仿宋" w:cs="宋体"/>
      <w:sz w:val="21"/>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9100F5C-791E-4169-8EF0-697330BC8A45}">
  <ds:schemaRefs/>
</ds:datastoreItem>
</file>

<file path=docProps/app.xml><?xml version="1.0" encoding="utf-8"?>
<Properties xmlns="http://schemas.openxmlformats.org/officeDocument/2006/extended-properties" xmlns:vt="http://schemas.openxmlformats.org/officeDocument/2006/docPropsVTypes">
  <Template>Normal</Template>
  <Company>杭州市国内经济合作办公室</Company>
  <Pages>91</Pages>
  <Words>3895</Words>
  <Characters>4383</Characters>
  <Lines>65</Lines>
  <Paragraphs>121</Paragraphs>
  <TotalTime>136</TotalTime>
  <ScaleCrop>false</ScaleCrop>
  <LinksUpToDate>false</LinksUpToDate>
  <CharactersWithSpaces>4666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2021-07-30T00:22:00Z</dcterms:created>
  <dc:creator>玥</dc:creator>
  <cp:lastModifiedBy>ZZ</cp:lastModifiedBy>
  <cp:lastPrinted>2025-04-10T01:48:00Z</cp:lastPrinted>
  <dcterms:modified xsi:type="dcterms:W3CDTF">2025-07-02T06:29:20Z</dcterms:modified>
  <dc:title>杭州市市民卡扩大发卡工程</dc:title>
  <cp:revision>358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GSEDS_HWMT_d46a6755">
    <vt:lpwstr>f2457d6f_mFV3wj85ICk2PcpOlXv8qsw06JI=_8QYrr2VhfDcyPdtMkXn/ruCF9SbXjqsuRT1EWYdN+PaXKs34pWlbGrclnUJln8EcEDduLncMnr6reYXMNrvy9pkjJg==_920deeff</vt:lpwstr>
  </property>
  <property fmtid="{D5CDD505-2E9C-101B-9397-08002B2CF9AE}" pid="4" name="ICV">
    <vt:lpwstr>CE3A9648C6C64C2BBA1A91A82CA6CAA7_13</vt:lpwstr>
  </property>
  <property fmtid="{D5CDD505-2E9C-101B-9397-08002B2CF9AE}" pid="5" name="KSOTemplateDocerSaveRecord">
    <vt:lpwstr>eyJoZGlkIjoiZGQyMDUwY2MxMWViYTM5MDQ2MmIzOTM1YmJlNjBjZDIiLCJ1c2VySWQiOiI1ODc2Mzk3MDAifQ==</vt:lpwstr>
  </property>
</Properties>
</file>