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4FCDF">
      <w:pPr>
        <w:adjustRightInd/>
        <w:spacing w:line="360" w:lineRule="auto"/>
        <w:jc w:val="center"/>
        <w:rPr>
          <w:rFonts w:ascii="宋体" w:hAnsi="宋体" w:cs="宋体"/>
          <w:b/>
          <w:color w:val="auto"/>
          <w:sz w:val="48"/>
          <w:szCs w:val="48"/>
          <w:highlight w:val="none"/>
        </w:rPr>
      </w:pPr>
    </w:p>
    <w:p w14:paraId="786CA733">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48"/>
          <w:szCs w:val="48"/>
          <w:highlight w:val="none"/>
          <w:lang w:eastAsia="zh-CN"/>
        </w:rPr>
        <w:t>2025年上城区道路增亮工程</w:t>
      </w:r>
    </w:p>
    <w:p w14:paraId="67A6D7D7">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（电子交易）</w:t>
      </w:r>
    </w:p>
    <w:p w14:paraId="3A8DF15D">
      <w:pPr>
        <w:adjustRightInd/>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编号:</w:t>
      </w:r>
      <w:r>
        <w:rPr>
          <w:rFonts w:hint="eastAsia" w:ascii="宋体" w:hAnsi="宋体" w:cs="宋体"/>
          <w:color w:val="auto"/>
          <w:sz w:val="40"/>
          <w:szCs w:val="40"/>
          <w:highlight w:val="none"/>
          <w:lang w:eastAsia="zh-CN"/>
        </w:rPr>
        <w:t>JGZX-HZGS-2025002</w:t>
      </w:r>
      <w:r>
        <w:rPr>
          <w:rFonts w:hint="eastAsia" w:ascii="宋体" w:hAnsi="宋体" w:cs="宋体"/>
          <w:color w:val="auto"/>
          <w:sz w:val="40"/>
          <w:szCs w:val="40"/>
          <w:highlight w:val="none"/>
        </w:rPr>
        <w:t xml:space="preserve"> </w:t>
      </w:r>
    </w:p>
    <w:p w14:paraId="29E72BDE">
      <w:pPr>
        <w:adjustRightInd/>
        <w:spacing w:line="360" w:lineRule="auto"/>
        <w:jc w:val="center"/>
        <w:rPr>
          <w:rFonts w:hint="eastAsia" w:ascii="宋体" w:hAnsi="宋体" w:cs="宋体"/>
          <w:color w:val="auto"/>
          <w:sz w:val="48"/>
          <w:szCs w:val="48"/>
          <w:highlight w:val="none"/>
        </w:rPr>
      </w:pPr>
    </w:p>
    <w:p w14:paraId="421F0DB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w:t>
      </w:r>
    </w:p>
    <w:p w14:paraId="29BDDA0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争</w:t>
      </w:r>
    </w:p>
    <w:p w14:paraId="2166582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性</w:t>
      </w:r>
    </w:p>
    <w:p w14:paraId="0B29E04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磋</w:t>
      </w:r>
    </w:p>
    <w:p w14:paraId="084CD3A8">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商</w:t>
      </w:r>
    </w:p>
    <w:p w14:paraId="15ED442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文</w:t>
      </w:r>
    </w:p>
    <w:p w14:paraId="6A9A237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件</w:t>
      </w:r>
    </w:p>
    <w:p w14:paraId="09B27099">
      <w:pPr>
        <w:pStyle w:val="79"/>
        <w:rPr>
          <w:rFonts w:hint="eastAsia" w:ascii="宋体" w:hAnsi="宋体" w:cs="宋体"/>
          <w:color w:val="auto"/>
          <w:sz w:val="48"/>
          <w:szCs w:val="48"/>
          <w:highlight w:val="none"/>
        </w:rPr>
      </w:pPr>
    </w:p>
    <w:p w14:paraId="0AE284FD">
      <w:pPr>
        <w:pStyle w:val="79"/>
        <w:rPr>
          <w:rFonts w:hint="eastAsia" w:ascii="宋体" w:hAnsi="宋体" w:cs="宋体"/>
          <w:color w:val="auto"/>
          <w:sz w:val="48"/>
          <w:szCs w:val="48"/>
          <w:highlight w:val="none"/>
        </w:rPr>
      </w:pPr>
    </w:p>
    <w:p w14:paraId="13DC20DE">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杭州市上城区基础设施改善中心</w:t>
      </w:r>
    </w:p>
    <w:p w14:paraId="5D364495">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杭州广厦建筑咨询有限公司</w:t>
      </w:r>
    </w:p>
    <w:p w14:paraId="1F168A1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04</w:t>
      </w:r>
      <w:r>
        <w:rPr>
          <w:rFonts w:hint="eastAsia" w:ascii="宋体" w:hAnsi="宋体" w:cs="宋体"/>
          <w:bCs/>
          <w:color w:val="auto"/>
          <w:sz w:val="32"/>
          <w:szCs w:val="32"/>
          <w:highlight w:val="none"/>
        </w:rPr>
        <w:t>日</w:t>
      </w:r>
    </w:p>
    <w:p w14:paraId="5ECABD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2BFCFA2">
      <w:pPr>
        <w:spacing w:line="360" w:lineRule="auto"/>
        <w:jc w:val="center"/>
        <w:rPr>
          <w:rFonts w:ascii="宋体" w:hAnsi="宋体" w:cs="宋体"/>
          <w:color w:val="auto"/>
          <w:sz w:val="24"/>
          <w:highlight w:val="none"/>
        </w:rPr>
      </w:pPr>
    </w:p>
    <w:p w14:paraId="270BE8D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12E6C9">
      <w:pPr>
        <w:spacing w:line="360" w:lineRule="auto"/>
        <w:rPr>
          <w:rFonts w:ascii="宋体" w:hAnsi="宋体" w:cs="宋体"/>
          <w:color w:val="auto"/>
          <w:sz w:val="32"/>
          <w:szCs w:val="32"/>
          <w:highlight w:val="none"/>
        </w:rPr>
      </w:pPr>
    </w:p>
    <w:p w14:paraId="6FD2A23D">
      <w:pPr>
        <w:spacing w:line="360" w:lineRule="auto"/>
        <w:rPr>
          <w:rFonts w:ascii="宋体" w:hAnsi="宋体" w:cs="宋体"/>
          <w:color w:val="auto"/>
          <w:sz w:val="32"/>
          <w:szCs w:val="32"/>
          <w:highlight w:val="none"/>
        </w:rPr>
      </w:pPr>
    </w:p>
    <w:p w14:paraId="184DE0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8FC6C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EAEC0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07F04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F19F9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1AAC5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2D7BC2">
      <w:pPr>
        <w:spacing w:line="360" w:lineRule="auto"/>
        <w:ind w:firstLine="1280" w:firstLineChars="400"/>
        <w:rPr>
          <w:rFonts w:ascii="宋体" w:hAnsi="宋体" w:cs="宋体"/>
          <w:color w:val="auto"/>
          <w:sz w:val="32"/>
          <w:szCs w:val="32"/>
          <w:highlight w:val="none"/>
        </w:rPr>
      </w:pPr>
    </w:p>
    <w:p w14:paraId="60248D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D48B2AE">
      <w:pPr>
        <w:spacing w:line="360" w:lineRule="auto"/>
        <w:ind w:firstLine="549" w:firstLineChars="229"/>
        <w:rPr>
          <w:rFonts w:ascii="宋体" w:hAnsi="宋体" w:cs="宋体"/>
          <w:color w:val="auto"/>
          <w:sz w:val="24"/>
          <w:highlight w:val="none"/>
        </w:rPr>
      </w:pPr>
    </w:p>
    <w:p w14:paraId="17287B1B">
      <w:pPr>
        <w:spacing w:line="360" w:lineRule="auto"/>
        <w:ind w:firstLine="549" w:firstLineChars="229"/>
        <w:rPr>
          <w:rFonts w:ascii="宋体" w:hAnsi="宋体" w:cs="宋体"/>
          <w:color w:val="auto"/>
          <w:sz w:val="24"/>
          <w:highlight w:val="none"/>
        </w:rPr>
      </w:pPr>
    </w:p>
    <w:p w14:paraId="7709953B">
      <w:pPr>
        <w:spacing w:line="360" w:lineRule="auto"/>
        <w:ind w:firstLine="549" w:firstLineChars="229"/>
        <w:rPr>
          <w:rFonts w:ascii="宋体" w:hAnsi="宋体" w:cs="宋体"/>
          <w:color w:val="auto"/>
          <w:sz w:val="24"/>
          <w:highlight w:val="none"/>
        </w:rPr>
      </w:pPr>
    </w:p>
    <w:p w14:paraId="359E8868">
      <w:pPr>
        <w:spacing w:line="360" w:lineRule="auto"/>
        <w:ind w:firstLine="549" w:firstLineChars="229"/>
        <w:rPr>
          <w:rFonts w:ascii="宋体" w:hAnsi="宋体" w:cs="宋体"/>
          <w:color w:val="auto"/>
          <w:sz w:val="24"/>
          <w:highlight w:val="none"/>
        </w:rPr>
      </w:pPr>
    </w:p>
    <w:p w14:paraId="533E329D">
      <w:pPr>
        <w:spacing w:line="360" w:lineRule="auto"/>
        <w:ind w:firstLine="549" w:firstLineChars="229"/>
        <w:rPr>
          <w:rFonts w:ascii="宋体" w:hAnsi="宋体" w:cs="宋体"/>
          <w:color w:val="auto"/>
          <w:sz w:val="24"/>
          <w:highlight w:val="none"/>
        </w:rPr>
      </w:pPr>
    </w:p>
    <w:p w14:paraId="6496833E">
      <w:pPr>
        <w:spacing w:line="360" w:lineRule="auto"/>
        <w:ind w:firstLine="549" w:firstLineChars="229"/>
        <w:rPr>
          <w:rFonts w:ascii="宋体" w:hAnsi="宋体" w:cs="宋体"/>
          <w:color w:val="auto"/>
          <w:sz w:val="24"/>
          <w:highlight w:val="none"/>
        </w:rPr>
      </w:pPr>
    </w:p>
    <w:p w14:paraId="36A86AC8">
      <w:pPr>
        <w:spacing w:line="360" w:lineRule="auto"/>
        <w:ind w:firstLine="549" w:firstLineChars="229"/>
        <w:rPr>
          <w:rFonts w:ascii="宋体" w:hAnsi="宋体" w:cs="宋体"/>
          <w:color w:val="auto"/>
          <w:sz w:val="24"/>
          <w:highlight w:val="none"/>
        </w:rPr>
      </w:pPr>
    </w:p>
    <w:p w14:paraId="35765EEC">
      <w:pPr>
        <w:spacing w:line="360" w:lineRule="auto"/>
        <w:ind w:firstLine="549" w:firstLineChars="229"/>
        <w:rPr>
          <w:rFonts w:ascii="宋体" w:hAnsi="宋体" w:cs="宋体"/>
          <w:color w:val="auto"/>
          <w:sz w:val="24"/>
          <w:highlight w:val="none"/>
        </w:rPr>
      </w:pPr>
    </w:p>
    <w:p w14:paraId="61A98383">
      <w:pPr>
        <w:spacing w:line="360" w:lineRule="auto"/>
        <w:ind w:firstLine="549" w:firstLineChars="229"/>
        <w:rPr>
          <w:rFonts w:ascii="宋体" w:hAnsi="宋体" w:cs="宋体"/>
          <w:color w:val="auto"/>
          <w:sz w:val="24"/>
          <w:highlight w:val="none"/>
        </w:rPr>
      </w:pPr>
    </w:p>
    <w:p w14:paraId="55C2A440">
      <w:pPr>
        <w:spacing w:line="360" w:lineRule="auto"/>
        <w:ind w:firstLine="549" w:firstLineChars="229"/>
        <w:rPr>
          <w:rFonts w:ascii="宋体" w:hAnsi="宋体" w:cs="宋体"/>
          <w:color w:val="auto"/>
          <w:sz w:val="24"/>
          <w:highlight w:val="none"/>
        </w:rPr>
      </w:pPr>
    </w:p>
    <w:p w14:paraId="7F55AB17">
      <w:pPr>
        <w:spacing w:line="360" w:lineRule="auto"/>
        <w:ind w:firstLine="549" w:firstLineChars="229"/>
        <w:rPr>
          <w:rFonts w:ascii="宋体" w:hAnsi="宋体" w:cs="宋体"/>
          <w:color w:val="auto"/>
          <w:sz w:val="24"/>
          <w:highlight w:val="none"/>
        </w:rPr>
      </w:pPr>
    </w:p>
    <w:p w14:paraId="4FB2B87E">
      <w:pPr>
        <w:spacing w:line="360" w:lineRule="auto"/>
        <w:ind w:firstLine="549" w:firstLineChars="229"/>
        <w:rPr>
          <w:rFonts w:ascii="宋体" w:hAnsi="宋体" w:cs="宋体"/>
          <w:color w:val="auto"/>
          <w:sz w:val="24"/>
          <w:highlight w:val="none"/>
        </w:rPr>
      </w:pPr>
    </w:p>
    <w:p w14:paraId="38EEBCD0">
      <w:pPr>
        <w:spacing w:line="360" w:lineRule="auto"/>
        <w:rPr>
          <w:rFonts w:ascii="宋体" w:hAnsi="宋体" w:cs="宋体"/>
          <w:color w:val="auto"/>
          <w:sz w:val="24"/>
          <w:highlight w:val="none"/>
        </w:rPr>
      </w:pPr>
    </w:p>
    <w:p w14:paraId="15318D0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715F769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5D241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2025年上城区道路增亮工程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BBB04B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155077E">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JGZX-HZGS-2025002</w:t>
      </w:r>
    </w:p>
    <w:p w14:paraId="359FB5DC">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2025年上城区道路增亮工程</w:t>
      </w:r>
    </w:p>
    <w:p w14:paraId="607837EC">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预算金额（元）：1609159</w:t>
      </w:r>
      <w:r>
        <w:rPr>
          <w:rFonts w:hint="eastAsia" w:ascii="宋体" w:hAnsi="宋体" w:cs="宋体"/>
          <w:color w:val="auto"/>
          <w:sz w:val="24"/>
          <w:highlight w:val="none"/>
        </w:rPr>
        <w:t xml:space="preserve">  </w:t>
      </w:r>
    </w:p>
    <w:p w14:paraId="54FD283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最高限价（元）：1609159</w:t>
      </w:r>
      <w:r>
        <w:rPr>
          <w:rFonts w:hint="eastAsia" w:ascii="宋体" w:hAnsi="宋体" w:cs="宋体"/>
          <w:color w:val="auto"/>
          <w:sz w:val="24"/>
          <w:highlight w:val="none"/>
        </w:rPr>
        <w:t xml:space="preserve">  </w:t>
      </w:r>
    </w:p>
    <w:p w14:paraId="522C78CC">
      <w:pPr>
        <w:pStyle w:val="15"/>
        <w:spacing w:line="360" w:lineRule="auto"/>
        <w:ind w:firstLine="482" w:firstLineChars="200"/>
        <w:rPr>
          <w:rFonts w:hAnsi="宋体" w:cs="宋体"/>
          <w:b w:val="0"/>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2025年上城区道路增亮工程</w:t>
      </w:r>
      <w:r>
        <w:rPr>
          <w:rFonts w:hint="eastAsia" w:hAnsi="宋体" w:cs="宋体"/>
          <w:b w:val="0"/>
          <w:bCs/>
          <w:snapToGrid/>
          <w:color w:val="auto"/>
          <w:kern w:val="2"/>
          <w:sz w:val="24"/>
          <w:szCs w:val="24"/>
          <w:highlight w:val="none"/>
        </w:rPr>
        <w:t>主要内容</w:t>
      </w:r>
      <w:r>
        <w:rPr>
          <w:rFonts w:hint="eastAsia" w:hAnsi="宋体" w:cs="宋体"/>
          <w:b w:val="0"/>
          <w:bCs/>
          <w:snapToGrid/>
          <w:color w:val="auto"/>
          <w:kern w:val="2"/>
          <w:sz w:val="24"/>
          <w:szCs w:val="24"/>
          <w:highlight w:val="none"/>
          <w:lang w:val="en-US" w:eastAsia="zh-CN"/>
        </w:rPr>
        <w:t>为市政道路新建庭院灯杆、原有灯具拆除及更换，具体详见</w:t>
      </w:r>
      <w:r>
        <w:rPr>
          <w:rFonts w:hint="eastAsia" w:ascii="宋体" w:hAnsi="宋体" w:eastAsia="宋体" w:cs="宋体"/>
          <w:color w:val="auto"/>
          <w:spacing w:val="0"/>
          <w:sz w:val="24"/>
          <w:szCs w:val="24"/>
          <w:highlight w:val="none"/>
          <w:lang w:val="en-US" w:eastAsia="zh-CN"/>
        </w:rPr>
        <w:t>施工图纸及工程量清单</w:t>
      </w:r>
      <w:r>
        <w:rPr>
          <w:rFonts w:hint="eastAsia" w:hAnsi="宋体" w:cs="宋体"/>
          <w:color w:val="auto"/>
          <w:spacing w:val="0"/>
          <w:sz w:val="24"/>
          <w:szCs w:val="24"/>
          <w:highlight w:val="none"/>
          <w:lang w:val="en-US" w:eastAsia="zh-CN"/>
        </w:rPr>
        <w:t>，</w:t>
      </w:r>
      <w:r>
        <w:rPr>
          <w:rFonts w:hint="eastAsia" w:hAnsi="宋体" w:cs="宋体"/>
          <w:b w:val="0"/>
          <w:bCs/>
          <w:snapToGrid/>
          <w:color w:val="auto"/>
          <w:kern w:val="2"/>
          <w:sz w:val="24"/>
          <w:szCs w:val="24"/>
          <w:highlight w:val="none"/>
        </w:rPr>
        <w:t>详见采购文件第三部分采购需求。</w:t>
      </w:r>
    </w:p>
    <w:p w14:paraId="4EE5157F">
      <w:pPr>
        <w:pStyle w:val="131"/>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工期为90日历天。</w:t>
      </w:r>
    </w:p>
    <w:p w14:paraId="074B3BCE">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72647262">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0DD25233">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A167C2C">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8BF2CC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8028AD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B70DF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E6B353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95D8B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4794DD">
      <w:pPr>
        <w:rPr>
          <w:rFonts w:ascii="宋体" w:hAnsi="宋体" w:cs="宋体"/>
          <w:color w:val="auto"/>
          <w:sz w:val="24"/>
          <w:highlight w:val="non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14:paraId="7B636D68">
      <w:pPr>
        <w:rPr>
          <w:rFonts w:ascii="宋体" w:hAnsi="宋体" w:cs="宋体"/>
          <w:color w:val="auto"/>
          <w:sz w:val="24"/>
          <w:highlight w:val="none"/>
        </w:rPr>
      </w:pPr>
      <w:r>
        <w:rPr>
          <w:rFonts w:ascii="宋体" w:hAnsi="宋体" w:cs="宋体"/>
          <w:color w:val="auto"/>
          <w:sz w:val="24"/>
          <w:highlight w:val="none"/>
        </w:rPr>
        <w:br w:type="page"/>
      </w:r>
    </w:p>
    <w:p w14:paraId="372F4C7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86AC0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具有城市及道路照明工程专业承包三级及以上施工资质</w:t>
      </w:r>
      <w:r>
        <w:rPr>
          <w:rFonts w:hint="eastAsia" w:ascii="宋体" w:hAnsi="宋体" w:cs="宋体"/>
          <w:color w:val="auto"/>
          <w:sz w:val="24"/>
          <w:highlight w:val="none"/>
        </w:rPr>
        <w:t>；</w:t>
      </w:r>
    </w:p>
    <w:p w14:paraId="0F87EF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）具有有效期内的《安全生产许可证》；</w:t>
      </w:r>
    </w:p>
    <w:p w14:paraId="5203C4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）项目负责人具有注册在投标单位的市政工程</w:t>
      </w:r>
      <w:r>
        <w:rPr>
          <w:rFonts w:hint="eastAsia" w:ascii="宋体" w:hAnsi="宋体" w:cs="宋体"/>
          <w:color w:val="auto"/>
          <w:sz w:val="24"/>
          <w:highlight w:val="none"/>
          <w:lang w:val="en-US" w:eastAsia="zh-CN"/>
        </w:rPr>
        <w:t>或机电工程</w:t>
      </w:r>
      <w:r>
        <w:rPr>
          <w:rFonts w:hint="eastAsia" w:ascii="宋体" w:hAnsi="宋体" w:cs="宋体"/>
          <w:color w:val="auto"/>
          <w:sz w:val="24"/>
          <w:highlight w:val="none"/>
        </w:rPr>
        <w:t>贰级及以上建造师注册证书；</w:t>
      </w:r>
    </w:p>
    <w:p w14:paraId="2B8C90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）拟派现场安全生产专职管理人员具有“三类人员”有效C类证书；</w:t>
      </w:r>
    </w:p>
    <w:p w14:paraId="5FE596E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BA4F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65C7B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8BC51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FCF3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73F4C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55E926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88E93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AC97B7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75D872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B97E74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bookmarkStart w:id="1504" w:name="_GoBack"/>
      <w:bookmarkEnd w:id="1504"/>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A2FD1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AD0690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7F6A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6A12C4B">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2BBEA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2C7E14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0390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751C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E23253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574A7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FF25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杭州市上城区基础设施改善中心</w:t>
      </w:r>
      <w:r>
        <w:rPr>
          <w:rFonts w:hint="eastAsia" w:ascii="宋体" w:hAnsi="宋体" w:cs="宋体"/>
          <w:color w:val="auto"/>
          <w:sz w:val="24"/>
          <w:highlight w:val="none"/>
        </w:rPr>
        <w:t xml:space="preserve"> </w:t>
      </w:r>
    </w:p>
    <w:p w14:paraId="67336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杭州市上城区环站东路358号邻居中心B座603</w:t>
      </w:r>
      <w:r>
        <w:rPr>
          <w:rFonts w:hint="eastAsia" w:ascii="宋体" w:hAnsi="宋体" w:cs="宋体"/>
          <w:color w:val="auto"/>
          <w:sz w:val="24"/>
          <w:highlight w:val="none"/>
        </w:rPr>
        <w:t xml:space="preserve">      </w:t>
      </w:r>
    </w:p>
    <w:p w14:paraId="0C17B7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14B9EC5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郦工</w:t>
      </w:r>
    </w:p>
    <w:p w14:paraId="437AD64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56560095</w:t>
      </w:r>
    </w:p>
    <w:p w14:paraId="3F3E24E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陈工</w:t>
      </w:r>
      <w:r>
        <w:rPr>
          <w:rFonts w:hint="eastAsia" w:ascii="宋体" w:hAnsi="宋体" w:cs="宋体"/>
          <w:color w:val="auto"/>
          <w:sz w:val="24"/>
          <w:highlight w:val="none"/>
        </w:rPr>
        <w:t xml:space="preserve"> </w:t>
      </w:r>
    </w:p>
    <w:p w14:paraId="73D634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56560095</w:t>
      </w:r>
    </w:p>
    <w:p w14:paraId="73CC20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43077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称：杭州广厦建筑咨询有限公司</w:t>
      </w:r>
    </w:p>
    <w:p w14:paraId="655162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址：杭州市秋涛北路332号佰富时代中心2幢10楼      </w:t>
      </w:r>
    </w:p>
    <w:p w14:paraId="6D6E85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何懿冉</w:t>
      </w:r>
      <w:r>
        <w:rPr>
          <w:rFonts w:hint="eastAsia" w:ascii="宋体" w:hAnsi="宋体" w:cs="宋体"/>
          <w:color w:val="auto"/>
          <w:sz w:val="24"/>
          <w:highlight w:val="none"/>
        </w:rPr>
        <w:t xml:space="preserve">       </w:t>
      </w:r>
    </w:p>
    <w:p w14:paraId="71E1AF35">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18329196300</w:t>
      </w:r>
    </w:p>
    <w:p w14:paraId="5053DE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蒋炜玮</w:t>
      </w:r>
      <w:r>
        <w:rPr>
          <w:rFonts w:hint="eastAsia" w:ascii="宋体" w:hAnsi="宋体" w:cs="宋体"/>
          <w:color w:val="auto"/>
          <w:sz w:val="24"/>
          <w:highlight w:val="none"/>
        </w:rPr>
        <w:t xml:space="preserve">              </w:t>
      </w:r>
    </w:p>
    <w:p w14:paraId="67F4DF0B">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15706871603</w:t>
      </w:r>
    </w:p>
    <w:p w14:paraId="0BFBD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754F9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53066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EC35D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77B54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7F0F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28635E1E">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start="1"/>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AA6B702">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5856C22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63"/>
        <w:gridCol w:w="6957"/>
      </w:tblGrid>
      <w:tr w14:paraId="1DB4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DB42B5">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063" w:type="dxa"/>
            <w:vAlign w:val="center"/>
          </w:tcPr>
          <w:p w14:paraId="225E6C8C">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957" w:type="dxa"/>
            <w:vAlign w:val="center"/>
          </w:tcPr>
          <w:p w14:paraId="0BCF9A98">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B1E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77515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063" w:type="dxa"/>
            <w:vAlign w:val="center"/>
          </w:tcPr>
          <w:p w14:paraId="4650F80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957" w:type="dxa"/>
            <w:vAlign w:val="center"/>
          </w:tcPr>
          <w:p w14:paraId="61E55B9C">
            <w:pPr>
              <w:spacing w:line="360" w:lineRule="auto"/>
              <w:jc w:val="left"/>
              <w:rPr>
                <w:rFonts w:ascii="宋体" w:hAnsi="宋体" w:cs="宋体"/>
                <w:color w:val="auto"/>
                <w:sz w:val="21"/>
                <w:szCs w:val="21"/>
                <w:highlight w:val="none"/>
              </w:rPr>
            </w:pPr>
            <w:r>
              <w:rPr>
                <w:rFonts w:hint="eastAsia" w:ascii="宋体" w:hAnsi="宋体" w:cs="宋体"/>
                <w:color w:val="auto"/>
                <w:kern w:val="0"/>
                <w:sz w:val="21"/>
                <w:szCs w:val="21"/>
                <w:highlight w:val="none"/>
              </w:rPr>
              <w:t>工程</w:t>
            </w:r>
            <w:r>
              <w:rPr>
                <w:rFonts w:hint="eastAsia" w:ascii="宋体" w:hAnsi="宋体" w:cs="宋体"/>
                <w:color w:val="auto"/>
                <w:sz w:val="21"/>
                <w:szCs w:val="21"/>
                <w:highlight w:val="none"/>
              </w:rPr>
              <w:t>类</w:t>
            </w:r>
          </w:p>
        </w:tc>
      </w:tr>
      <w:tr w14:paraId="5F6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DA7C1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063" w:type="dxa"/>
            <w:vAlign w:val="center"/>
          </w:tcPr>
          <w:p w14:paraId="7C0CE91D">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957" w:type="dxa"/>
            <w:vAlign w:val="center"/>
          </w:tcPr>
          <w:p w14:paraId="7E26DF40">
            <w:pPr>
              <w:pStyle w:val="3"/>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lang w:eastAsia="zh-CN"/>
              </w:rPr>
              <w:t>2025年上城区道路增亮工程</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建筑业 </w:t>
            </w:r>
            <w:r>
              <w:rPr>
                <w:rFonts w:hint="eastAsia" w:ascii="宋体" w:hAnsi="宋体" w:cs="宋体"/>
                <w:color w:val="auto"/>
                <w:kern w:val="0"/>
                <w:sz w:val="21"/>
                <w:szCs w:val="21"/>
                <w:highlight w:val="none"/>
              </w:rPr>
              <w:t>行业；</w:t>
            </w:r>
          </w:p>
          <w:p w14:paraId="3E7DC437">
            <w:pPr>
              <w:pStyle w:val="3"/>
              <w:ind w:left="0" w:firstLine="0"/>
              <w:jc w:val="left"/>
              <w:rPr>
                <w:rFonts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65D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D38230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063" w:type="dxa"/>
            <w:vAlign w:val="center"/>
          </w:tcPr>
          <w:p w14:paraId="46885E3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957" w:type="dxa"/>
            <w:vAlign w:val="center"/>
          </w:tcPr>
          <w:p w14:paraId="68F2BFFE">
            <w:pPr>
              <w:spacing w:line="360" w:lineRule="auto"/>
              <w:jc w:val="lef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tc>
      </w:tr>
      <w:tr w14:paraId="03C6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F09CF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063" w:type="dxa"/>
            <w:vAlign w:val="center"/>
          </w:tcPr>
          <w:p w14:paraId="162CEF1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957" w:type="dxa"/>
            <w:vAlign w:val="center"/>
          </w:tcPr>
          <w:p w14:paraId="42918C40">
            <w:pPr>
              <w:spacing w:line="360" w:lineRule="auto"/>
              <w:jc w:val="lef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tc>
      </w:tr>
      <w:tr w14:paraId="458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824D45">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063" w:type="dxa"/>
            <w:vAlign w:val="center"/>
          </w:tcPr>
          <w:p w14:paraId="7E09678C">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磋商前答疑会或现场考察</w:t>
            </w:r>
          </w:p>
        </w:tc>
        <w:tc>
          <w:tcPr>
            <w:tcW w:w="6957" w:type="dxa"/>
            <w:vAlign w:val="center"/>
          </w:tcPr>
          <w:p w14:paraId="06354B0E">
            <w:pPr>
              <w:pStyle w:val="79"/>
              <w:ind w:firstLine="0" w:firstLineChars="0"/>
              <w:jc w:val="left"/>
              <w:rPr>
                <w:color w:val="auto"/>
                <w:sz w:val="21"/>
                <w:szCs w:val="21"/>
                <w:highlight w:val="none"/>
              </w:rPr>
            </w:pPr>
            <w:sdt>
              <w:sdtPr>
                <w:rPr>
                  <w:rFonts w:hint="eastAsia" w:ascii="宋体" w:hAnsi="宋体" w:cs="宋体"/>
                  <w:color w:val="auto"/>
                  <w:kern w:val="0"/>
                  <w:sz w:val="21"/>
                  <w:szCs w:val="21"/>
                  <w:highlight w:val="none"/>
                </w:rPr>
                <w:id w:val="68869213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tc>
      </w:tr>
      <w:tr w14:paraId="5568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1177C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063" w:type="dxa"/>
            <w:vAlign w:val="center"/>
          </w:tcPr>
          <w:p w14:paraId="7CF949AD">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957" w:type="dxa"/>
            <w:vAlign w:val="center"/>
          </w:tcPr>
          <w:p w14:paraId="27D40D3E">
            <w:pPr>
              <w:spacing w:line="360" w:lineRule="auto"/>
              <w:jc w:val="left"/>
              <w:rPr>
                <w:rFonts w:ascii="宋体" w:hAnsi="宋体" w:cs="宋体"/>
                <w:b/>
                <w:color w:val="auto"/>
                <w:sz w:val="21"/>
                <w:szCs w:val="21"/>
                <w:highlight w:val="none"/>
              </w:rPr>
            </w:pPr>
            <w:sdt>
              <w:sdtPr>
                <w:rPr>
                  <w:rFonts w:hint="eastAsia" w:ascii="宋体" w:hAnsi="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不</w:t>
            </w:r>
            <w:r>
              <w:rPr>
                <w:rFonts w:hint="eastAsia" w:ascii="宋体" w:hAnsi="宋体" w:cs="宋体"/>
                <w:color w:val="auto"/>
                <w:kern w:val="0"/>
                <w:sz w:val="21"/>
                <w:szCs w:val="21"/>
                <w:highlight w:val="none"/>
              </w:rPr>
              <w:t>要求提供</w:t>
            </w:r>
          </w:p>
        </w:tc>
      </w:tr>
      <w:tr w14:paraId="4830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AD365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063" w:type="dxa"/>
            <w:vAlign w:val="center"/>
          </w:tcPr>
          <w:p w14:paraId="372151BB">
            <w:pPr>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957" w:type="dxa"/>
            <w:vAlign w:val="center"/>
          </w:tcPr>
          <w:p w14:paraId="76701BC5">
            <w:pPr>
              <w:snapToGrid w:val="0"/>
              <w:spacing w:line="360" w:lineRule="auto"/>
              <w:jc w:val="left"/>
              <w:rPr>
                <w:rFonts w:ascii="宋体" w:hAnsi="宋体" w:cs="宋体"/>
                <w:b/>
                <w:color w:val="auto"/>
                <w:kern w:val="0"/>
                <w:sz w:val="21"/>
                <w:szCs w:val="21"/>
                <w:highlight w:val="none"/>
                <w:lang w:val="zh-CN"/>
              </w:rPr>
            </w:pPr>
            <w:sdt>
              <w:sdtPr>
                <w:rPr>
                  <w:rFonts w:hint="eastAsia" w:ascii="宋体" w:hAnsi="宋体" w:cs="宋体"/>
                  <w:color w:val="auto"/>
                  <w:kern w:val="0"/>
                  <w:sz w:val="21"/>
                  <w:szCs w:val="21"/>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tc>
      </w:tr>
      <w:tr w14:paraId="396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F87CB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063" w:type="dxa"/>
            <w:vMerge w:val="restart"/>
            <w:vAlign w:val="center"/>
          </w:tcPr>
          <w:p w14:paraId="1AFE33E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供应商应当提供的资格、资信证明文件</w:t>
            </w:r>
          </w:p>
        </w:tc>
        <w:tc>
          <w:tcPr>
            <w:tcW w:w="6957" w:type="dxa"/>
            <w:vAlign w:val="center"/>
          </w:tcPr>
          <w:p w14:paraId="30E94E75">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（1）资格证明文件：见采购文件第二部分11.1。</w:t>
            </w:r>
          </w:p>
          <w:p w14:paraId="44468C70">
            <w:pPr>
              <w:spacing w:line="360" w:lineRule="auto"/>
              <w:jc w:val="left"/>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供应商未提供有效的资格证明文件的，视为供应商不具备采购文件中规定的资格要求，响应文件无效。</w:t>
            </w:r>
          </w:p>
        </w:tc>
      </w:tr>
      <w:tr w14:paraId="4A2D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7ACC9DC">
            <w:pPr>
              <w:snapToGrid w:val="0"/>
              <w:spacing w:line="360" w:lineRule="auto"/>
              <w:jc w:val="center"/>
              <w:rPr>
                <w:rFonts w:ascii="宋体" w:hAnsi="宋体" w:cs="宋体"/>
                <w:color w:val="auto"/>
                <w:sz w:val="21"/>
                <w:szCs w:val="21"/>
                <w:highlight w:val="none"/>
              </w:rPr>
            </w:pPr>
          </w:p>
        </w:tc>
        <w:tc>
          <w:tcPr>
            <w:tcW w:w="2063" w:type="dxa"/>
            <w:vMerge w:val="continue"/>
            <w:vAlign w:val="center"/>
          </w:tcPr>
          <w:p w14:paraId="49085F5C">
            <w:pPr>
              <w:snapToGrid w:val="0"/>
              <w:spacing w:line="360" w:lineRule="auto"/>
              <w:jc w:val="center"/>
              <w:rPr>
                <w:rFonts w:ascii="宋体" w:hAnsi="宋体" w:cs="宋体"/>
                <w:b/>
                <w:color w:val="auto"/>
                <w:sz w:val="21"/>
                <w:szCs w:val="21"/>
                <w:highlight w:val="none"/>
              </w:rPr>
            </w:pPr>
          </w:p>
        </w:tc>
        <w:tc>
          <w:tcPr>
            <w:tcW w:w="6957" w:type="dxa"/>
            <w:vAlign w:val="center"/>
          </w:tcPr>
          <w:p w14:paraId="6B6732D9">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（2）资信证明文件：根据采购文件第四部分评审标准提供。</w:t>
            </w:r>
          </w:p>
        </w:tc>
      </w:tr>
      <w:tr w14:paraId="4716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D9E73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063" w:type="dxa"/>
            <w:vAlign w:val="center"/>
          </w:tcPr>
          <w:p w14:paraId="442A9AA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957" w:type="dxa"/>
            <w:vAlign w:val="center"/>
          </w:tcPr>
          <w:p w14:paraId="6BD7D7EC">
            <w:pPr>
              <w:snapToGrid w:val="0"/>
              <w:spacing w:line="360" w:lineRule="auto"/>
              <w:jc w:val="left"/>
              <w:rPr>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96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32158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063" w:type="dxa"/>
            <w:vAlign w:val="center"/>
          </w:tcPr>
          <w:p w14:paraId="66DE0773">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957" w:type="dxa"/>
            <w:vAlign w:val="center"/>
          </w:tcPr>
          <w:p w14:paraId="59FA7C5C">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color w:val="auto"/>
                <w:sz w:val="21"/>
                <w:szCs w:val="21"/>
                <w:highlight w:val="none"/>
              </w:rPr>
              <w:t>报价单是报价的唯一载体</w:t>
            </w:r>
            <w:r>
              <w:rPr>
                <w:rFonts w:hint="eastAsia" w:ascii="宋体" w:hAnsi="宋体" w:cs="宋体"/>
                <w:color w:val="auto"/>
                <w:kern w:val="0"/>
                <w:sz w:val="21"/>
                <w:szCs w:val="21"/>
                <w:highlight w:val="none"/>
                <w:lang w:val="zh-CN"/>
              </w:rPr>
              <w:t>。响应文件中价格全部采用人民币报价。采购文件未列明，而供应商认为必需的费用也需列入报价。</w:t>
            </w:r>
            <w:r>
              <w:rPr>
                <w:rFonts w:hint="eastAsia" w:ascii="宋体" w:hAnsi="宋体" w:cs="宋体"/>
                <w:b/>
                <w:color w:val="auto"/>
                <w:kern w:val="0"/>
                <w:sz w:val="21"/>
                <w:szCs w:val="21"/>
                <w:highlight w:val="none"/>
                <w:lang w:val="zh-CN"/>
              </w:rPr>
              <w:t>提醒：验收时检测费用由采购人承担，不包含在总价中。</w:t>
            </w:r>
          </w:p>
          <w:p w14:paraId="358681B3">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最后报价出现下列情形的，响应文件无效：</w:t>
            </w:r>
          </w:p>
          <w:p w14:paraId="4FF56D82">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响应文件出现不是唯一的、有选择性最后报价的；</w:t>
            </w:r>
          </w:p>
          <w:p w14:paraId="6FEA3063">
            <w:pPr>
              <w:snapToGrid w:val="0"/>
              <w:spacing w:line="360" w:lineRule="auto"/>
              <w:jc w:val="left"/>
              <w:rPr>
                <w:color w:val="auto"/>
                <w:sz w:val="21"/>
                <w:szCs w:val="21"/>
                <w:highlight w:val="none"/>
              </w:rPr>
            </w:pPr>
            <w:r>
              <w:rPr>
                <w:rFonts w:hint="eastAsia" w:ascii="宋体" w:hAnsi="宋体" w:cs="宋体"/>
                <w:b/>
                <w:color w:val="auto"/>
                <w:kern w:val="0"/>
                <w:sz w:val="21"/>
                <w:szCs w:val="21"/>
                <w:highlight w:val="none"/>
                <w:lang w:val="zh-CN"/>
              </w:rPr>
              <w:t>最后报价超过采购文件中规定的预算金额或者最高限价的;</w:t>
            </w:r>
          </w:p>
          <w:p w14:paraId="3FC344AC">
            <w:pPr>
              <w:spacing w:line="360" w:lineRule="auto"/>
              <w:jc w:val="left"/>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2A9DC326">
            <w:pPr>
              <w:spacing w:line="360" w:lineRule="auto"/>
              <w:jc w:val="left"/>
              <w:rPr>
                <w:rFonts w:ascii="宋体" w:hAnsi="宋体" w:cs="宋体"/>
                <w:color w:val="auto"/>
                <w:sz w:val="21"/>
                <w:szCs w:val="21"/>
                <w:highlight w:val="none"/>
              </w:rPr>
            </w:pPr>
            <w:r>
              <w:rPr>
                <w:rFonts w:hint="eastAsia" w:ascii="宋体" w:hAnsi="宋体" w:cs="宋体"/>
                <w:b/>
                <w:color w:val="auto"/>
                <w:kern w:val="0"/>
                <w:sz w:val="21"/>
                <w:szCs w:val="21"/>
                <w:highlight w:val="none"/>
              </w:rPr>
              <w:t>供应商对根据修正原则修正后的报价不确认的</w:t>
            </w:r>
            <w:r>
              <w:rPr>
                <w:rFonts w:hint="eastAsia" w:ascii="宋体" w:hAnsi="宋体" w:cs="宋体"/>
                <w:b/>
                <w:color w:val="auto"/>
                <w:sz w:val="21"/>
                <w:szCs w:val="21"/>
                <w:highlight w:val="none"/>
              </w:rPr>
              <w:t>。</w:t>
            </w:r>
          </w:p>
        </w:tc>
      </w:tr>
      <w:tr w14:paraId="58C8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F2D3AE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063" w:type="dxa"/>
            <w:vAlign w:val="center"/>
          </w:tcPr>
          <w:p w14:paraId="77AC72CC">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957" w:type="dxa"/>
            <w:vAlign w:val="center"/>
          </w:tcPr>
          <w:p w14:paraId="60430914">
            <w:pPr>
              <w:spacing w:line="360" w:lineRule="auto"/>
              <w:ind w:firstLine="420" w:firstLineChars="200"/>
              <w:jc w:val="left"/>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88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FF37FC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063" w:type="dxa"/>
            <w:vAlign w:val="center"/>
          </w:tcPr>
          <w:p w14:paraId="3A505775">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备份响应文件送达地点和签收人员</w:t>
            </w:r>
          </w:p>
        </w:tc>
        <w:tc>
          <w:tcPr>
            <w:tcW w:w="6957" w:type="dxa"/>
            <w:vAlign w:val="center"/>
          </w:tcPr>
          <w:p w14:paraId="2185003B">
            <w:pPr>
              <w:pStyle w:val="32"/>
              <w:spacing w:line="360" w:lineRule="auto"/>
              <w:jc w:val="left"/>
              <w:rPr>
                <w:rFonts w:hAnsi="宋体" w:cs="宋体"/>
                <w:color w:val="auto"/>
                <w:kern w:val="28"/>
                <w:sz w:val="21"/>
                <w:szCs w:val="21"/>
                <w:highlight w:val="none"/>
              </w:rPr>
            </w:pPr>
            <w:r>
              <w:rPr>
                <w:rFonts w:hint="eastAsia" w:hAnsi="宋体" w:cs="宋体"/>
                <w:color w:val="auto"/>
                <w:kern w:val="28"/>
                <w:sz w:val="21"/>
                <w:szCs w:val="21"/>
                <w:highlight w:val="none"/>
              </w:rPr>
              <w:t>备份响应文件送达地点：</w:t>
            </w:r>
            <w:r>
              <w:rPr>
                <w:rFonts w:hint="eastAsia" w:hAnsi="宋体" w:cs="宋体"/>
                <w:color w:val="auto"/>
                <w:kern w:val="28"/>
                <w:sz w:val="21"/>
                <w:szCs w:val="21"/>
                <w:highlight w:val="none"/>
                <w:u w:val="single"/>
              </w:rPr>
              <w:t>杭州市秋涛北路332号佰富时代中心2幢10楼</w:t>
            </w:r>
            <w:r>
              <w:rPr>
                <w:rFonts w:hint="eastAsia" w:hAnsi="宋体" w:cs="宋体"/>
                <w:color w:val="auto"/>
                <w:kern w:val="28"/>
                <w:sz w:val="21"/>
                <w:szCs w:val="21"/>
                <w:highlight w:val="none"/>
                <w:u w:val="single"/>
                <w:lang w:val="en-US" w:eastAsia="zh-CN"/>
              </w:rPr>
              <w:t>1010</w:t>
            </w:r>
            <w:r>
              <w:rPr>
                <w:rFonts w:hint="eastAsia" w:hAnsi="宋体" w:cs="宋体"/>
                <w:color w:val="auto"/>
                <w:kern w:val="28"/>
                <w:sz w:val="21"/>
                <w:szCs w:val="21"/>
                <w:highlight w:val="none"/>
              </w:rPr>
              <w:t>；</w:t>
            </w:r>
          </w:p>
          <w:p w14:paraId="3AE8A002">
            <w:pPr>
              <w:pStyle w:val="32"/>
              <w:spacing w:line="360" w:lineRule="auto"/>
              <w:jc w:val="left"/>
              <w:rPr>
                <w:rFonts w:hAnsi="宋体" w:cs="宋体"/>
                <w:color w:val="auto"/>
                <w:sz w:val="21"/>
                <w:szCs w:val="21"/>
                <w:highlight w:val="none"/>
              </w:rPr>
            </w:pPr>
            <w:r>
              <w:rPr>
                <w:rFonts w:hint="eastAsia" w:hAnsi="宋体" w:cs="宋体"/>
                <w:color w:val="auto"/>
                <w:kern w:val="28"/>
                <w:sz w:val="21"/>
                <w:szCs w:val="21"/>
                <w:highlight w:val="none"/>
              </w:rPr>
              <w:t>备份响应文件签收人员联系电话：</w:t>
            </w:r>
            <w:r>
              <w:rPr>
                <w:rFonts w:hint="eastAsia" w:ascii="宋体" w:hAnsi="宋体" w:cs="Arial"/>
                <w:color w:val="auto"/>
                <w:sz w:val="21"/>
                <w:szCs w:val="21"/>
                <w:highlight w:val="none"/>
                <w:u w:val="single"/>
                <w:lang w:val="en-US" w:eastAsia="zh-CN"/>
              </w:rPr>
              <w:t>18329196300</w:t>
            </w:r>
            <w:r>
              <w:rPr>
                <w:rFonts w:hint="eastAsia" w:hAnsi="宋体" w:cs="宋体"/>
                <w:color w:val="auto"/>
                <w:sz w:val="21"/>
                <w:szCs w:val="21"/>
                <w:highlight w:val="none"/>
              </w:rPr>
              <w:t>。</w:t>
            </w:r>
          </w:p>
          <w:p w14:paraId="4A2A0633">
            <w:pPr>
              <w:pStyle w:val="32"/>
              <w:spacing w:line="360" w:lineRule="auto"/>
              <w:jc w:val="left"/>
              <w:rPr>
                <w:rFonts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tc>
      </w:tr>
      <w:tr w14:paraId="59B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5421D3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063" w:type="dxa"/>
            <w:vAlign w:val="center"/>
          </w:tcPr>
          <w:p w14:paraId="2AE0455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其它说明</w:t>
            </w:r>
          </w:p>
        </w:tc>
        <w:tc>
          <w:tcPr>
            <w:tcW w:w="6957" w:type="dxa"/>
            <w:vAlign w:val="center"/>
          </w:tcPr>
          <w:p w14:paraId="6C0BADA3">
            <w:pPr>
              <w:spacing w:line="360" w:lineRule="auto"/>
              <w:jc w:val="left"/>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5ABD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702D6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14</w:t>
            </w:r>
          </w:p>
        </w:tc>
        <w:tc>
          <w:tcPr>
            <w:tcW w:w="2063" w:type="dxa"/>
            <w:vAlign w:val="center"/>
          </w:tcPr>
          <w:p w14:paraId="4C0DAEF7">
            <w:pPr>
              <w:snapToGrid w:val="0"/>
              <w:spacing w:line="360" w:lineRule="auto"/>
              <w:jc w:val="center"/>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lang w:val="en" w:eastAsia="zh-CN"/>
              </w:rPr>
              <w:t>成交候选人数量</w:t>
            </w:r>
          </w:p>
        </w:tc>
        <w:tc>
          <w:tcPr>
            <w:tcW w:w="6957" w:type="dxa"/>
            <w:vAlign w:val="center"/>
          </w:tcPr>
          <w:p w14:paraId="2A84253F">
            <w:pPr>
              <w:spacing w:line="360" w:lineRule="auto"/>
              <w:jc w:val="left"/>
              <w:rPr>
                <w:rFonts w:ascii="宋体" w:hAnsi="宋体" w:cs="宋体"/>
                <w:snapToGrid w:val="0"/>
                <w:color w:val="auto"/>
                <w:kern w:val="28"/>
                <w:sz w:val="21"/>
                <w:szCs w:val="21"/>
                <w:highlight w:val="none"/>
              </w:rPr>
            </w:pPr>
            <w:r>
              <w:rPr>
                <w:rFonts w:hint="eastAsia" w:ascii="宋体" w:hAnsi="宋体" w:cs="宋体"/>
                <w:color w:val="auto"/>
                <w:kern w:val="0"/>
                <w:sz w:val="21"/>
                <w:szCs w:val="21"/>
                <w:highlight w:val="none"/>
                <w:lang w:val="en" w:eastAsia="zh-CN"/>
              </w:rPr>
              <w:t>本项目推荐的成交候选人数量：</w:t>
            </w:r>
            <w:r>
              <w:rPr>
                <w:rFonts w:hint="eastAsia" w:ascii="宋体" w:hAnsi="宋体" w:cs="宋体"/>
                <w:color w:val="auto"/>
                <w:kern w:val="0"/>
                <w:sz w:val="21"/>
                <w:szCs w:val="21"/>
                <w:highlight w:val="none"/>
                <w:u w:val="single"/>
                <w:lang w:val="en-US" w:eastAsia="zh-CN"/>
              </w:rPr>
              <w:t>3个</w:t>
            </w:r>
            <w:r>
              <w:rPr>
                <w:rFonts w:hint="eastAsia" w:ascii="宋体" w:hAnsi="宋体" w:cs="宋体"/>
                <w:color w:val="auto"/>
                <w:kern w:val="0"/>
                <w:sz w:val="21"/>
                <w:szCs w:val="21"/>
                <w:highlight w:val="none"/>
                <w:lang w:val="en" w:eastAsia="zh-CN"/>
              </w:rPr>
              <w:t>。</w:t>
            </w:r>
          </w:p>
        </w:tc>
      </w:tr>
      <w:tr w14:paraId="34C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EEC915A">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p>
        </w:tc>
        <w:tc>
          <w:tcPr>
            <w:tcW w:w="2063" w:type="dxa"/>
            <w:vAlign w:val="center"/>
          </w:tcPr>
          <w:p w14:paraId="2120E75B">
            <w:pPr>
              <w:snapToGrid w:val="0"/>
              <w:spacing w:line="360" w:lineRule="auto"/>
              <w:jc w:val="center"/>
              <w:rPr>
                <w:rFonts w:hint="eastAsia"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lang w:val="en" w:eastAsia="zh-CN"/>
              </w:rPr>
              <w:t>代理费用收取方式及标准</w:t>
            </w:r>
          </w:p>
        </w:tc>
        <w:tc>
          <w:tcPr>
            <w:tcW w:w="6957" w:type="dxa"/>
            <w:vAlign w:val="center"/>
          </w:tcPr>
          <w:p w14:paraId="652E6DCD">
            <w:pPr>
              <w:spacing w:line="360" w:lineRule="auto"/>
              <w:jc w:val="left"/>
              <w:rPr>
                <w:rFonts w:hint="eastAsia" w:ascii="宋体" w:hAnsi="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本项目代理费用由采购人支付：</w:t>
            </w:r>
          </w:p>
          <w:p w14:paraId="0DD80300">
            <w:pPr>
              <w:spacing w:line="360" w:lineRule="auto"/>
              <w:jc w:val="left"/>
              <w:rPr>
                <w:rFonts w:hint="eastAsia"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招标代理服务费根据双方友好协商决定，收费参照如下标准计取收费：代理的单个标段中标价作为收费基数乘以折扣率计算，若实际结算价低于6000元的，按6000元计取。</w:t>
            </w:r>
          </w:p>
          <w:p w14:paraId="18A80792">
            <w:pPr>
              <w:spacing w:line="360" w:lineRule="auto"/>
              <w:jc w:val="left"/>
              <w:rPr>
                <w:rFonts w:hint="default"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工程造价咨询费（工程量清单、招标控制价的编制）以代理的单个标段控制价作为收费基数的收费标准乘以折扣率计算，若实际结算价低于2000元的，按2000元计取。</w:t>
            </w:r>
          </w:p>
        </w:tc>
      </w:tr>
      <w:bookmarkEnd w:id="10"/>
    </w:tbl>
    <w:p w14:paraId="4DD54132">
      <w:pPr>
        <w:widowControl/>
        <w:adjustRightInd/>
        <w:jc w:val="left"/>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62AB9DE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2518671">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7C6C7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0A8A34D">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3D7984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D3825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313F5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1396B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F3A6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C37CA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47C80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3007570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7A0C1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FADB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341DDA7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A2745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7750A6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E2C5B2">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9BFF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183E9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4EB8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CEB6AD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5EEDBA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A691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1CEC0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9494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F447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154151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0F25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A1960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814063F">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39C33ED">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8CF6981">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626179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58C4CA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A1601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8CA85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882F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954B3E5">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C4CEF5A">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FDE92D6">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0CA574EA">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10B43F6">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408D4CF3">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E19F0C3">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FD9AA9C">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0B1A531">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0B2F722">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49D5352">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30C347D">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ED7BE3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F490A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73FB4B2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769B883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F6F152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094C93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098E763">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24FA88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662FA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867908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4BA958C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06E33A1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AEFD4AB">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223AC04">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color w:val="auto"/>
          <w:sz w:val="18"/>
          <w:szCs w:val="18"/>
          <w:highlight w:val="none"/>
        </w:rPr>
      </w:pPr>
      <w:r>
        <w:rPr>
          <w:rFonts w:hint="eastAsia"/>
          <w:color w:val="auto"/>
          <w:highlight w:val="none"/>
        </w:rPr>
        <w:t>投诉书范本及制作说明详见附件3。</w:t>
      </w:r>
    </w:p>
    <w:p w14:paraId="0375B53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F66AA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35D72DF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F10085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38FC0B0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7542EC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1B019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72EADA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C2DA0A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BF16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188897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4F77BDB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8909332">
      <w:pPr>
        <w:pStyle w:val="131"/>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348B4E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6959B3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3CC85EE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4990050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445059F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1C0E4B0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1D8BB5B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6A598C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0CC359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09BCE9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28E953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6D2B4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76437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B2ABE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91D7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48440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5A264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683559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1D2595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756D3C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E1108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1E8F3A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B2655E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36EEE0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23166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0077D7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242C1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AEDF11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72CE23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4B24B95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2F9F8FD9">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B7B8E2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C6AFB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8FEEB8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F43B0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1E5425C">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1F62B0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09053A7">
      <w:pPr>
        <w:pStyle w:val="131"/>
        <w:snapToGrid w:val="0"/>
        <w:spacing w:before="0"/>
        <w:ind w:firstLine="480"/>
        <w:rPr>
          <w:rFonts w:ascii="宋体" w:hAnsi="宋体" w:cs="宋体"/>
          <w:b/>
          <w:color w:val="auto"/>
          <w:szCs w:val="24"/>
          <w:highlight w:val="none"/>
        </w:rPr>
      </w:pPr>
      <w:r>
        <w:rPr>
          <w:rFonts w:hint="eastAsia" w:ascii="宋体" w:hAnsi="宋体" w:cs="宋体"/>
          <w:color w:val="auto"/>
          <w:highlight w:val="none"/>
        </w:rPr>
        <w:t>13.3采购文件对响应文件签署、盖章的要求适用于电子签名。</w:t>
      </w:r>
    </w:p>
    <w:p w14:paraId="69D0BA2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87FCF84">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AAEF234">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212041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09FE0692">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2E1B4B8">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086F9397">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4935872">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3C00FB46">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651631A1">
      <w:pPr>
        <w:pStyle w:val="32"/>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D57F5B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E26AB6F">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7649A4A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A2B9C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0DC95B7">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BC49C05">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51F8FC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6EC176A1">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ACFF96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32877BB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49989C9B">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7E75818C">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A684D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2227A53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16428D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5E0C767">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227699E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FA851A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49C20F3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039EAD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E2CAF8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519918C">
      <w:pPr>
        <w:pStyle w:val="131"/>
        <w:spacing w:before="0"/>
        <w:ind w:firstLine="0" w:firstLineChars="0"/>
        <w:rPr>
          <w:rFonts w:ascii="宋体" w:hAnsi="宋体" w:cs="宋体"/>
          <w:color w:val="auto"/>
          <w:kern w:val="0"/>
          <w:szCs w:val="24"/>
          <w:highlight w:val="none"/>
        </w:rPr>
      </w:pPr>
    </w:p>
    <w:p w14:paraId="22B84B0D">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B6FB89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05E41A9">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73FE154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50455D4A">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024D9EB">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FFD3D21">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91A561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89E59A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F1E57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53E52D2">
      <w:pPr>
        <w:widowControl/>
        <w:shd w:val="clear" w:color="auto" w:fill="FFFFFF"/>
        <w:spacing w:line="360" w:lineRule="auto"/>
        <w:ind w:firstLine="480"/>
        <w:rPr>
          <w:rFonts w:ascii="宋体" w:hAnsi="宋体" w:cs="宋体"/>
          <w:b/>
          <w:color w:val="auto"/>
          <w:sz w:val="32"/>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2A06BAA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DA57CD6">
      <w:pPr>
        <w:pStyle w:val="24"/>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5C0941C">
      <w:pPr>
        <w:pStyle w:val="24"/>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39CA0C4">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72DB64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07149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4A1C0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53B5B7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D46913F">
      <w:pPr>
        <w:pStyle w:val="24"/>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4EE362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AF76A4C">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6A19A4C">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2A949041">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E2D7D2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8FB010F">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BE51A0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53831A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CD996E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3D098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AD5A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9A05CD">
      <w:pPr>
        <w:pStyle w:val="131"/>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B6BC1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EE14BD3">
      <w:pPr>
        <w:pStyle w:val="24"/>
        <w:spacing w:line="360" w:lineRule="auto"/>
        <w:ind w:firstLine="0" w:firstLineChars="0"/>
        <w:rPr>
          <w:rFonts w:cs="宋体"/>
          <w:b/>
          <w:color w:val="auto"/>
          <w:highlight w:val="none"/>
        </w:rPr>
      </w:pPr>
      <w:r>
        <w:rPr>
          <w:rFonts w:hint="eastAsia" w:cs="宋体"/>
          <w:b/>
          <w:color w:val="auto"/>
          <w:highlight w:val="none"/>
        </w:rPr>
        <w:t>30.验收</w:t>
      </w:r>
    </w:p>
    <w:p w14:paraId="334FFF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BD35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5D7964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495FE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47FE2A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5236290"/>
      <w:bookmarkEnd w:id="18"/>
      <w:bookmarkStart w:id="19" w:name="_Hlt68057669"/>
      <w:bookmarkEnd w:id="19"/>
      <w:bookmarkStart w:id="20" w:name="_Hlt74707468"/>
      <w:bookmarkEnd w:id="20"/>
      <w:bookmarkStart w:id="21" w:name="_Hlt68073093"/>
      <w:bookmarkEnd w:id="21"/>
      <w:bookmarkStart w:id="22" w:name="_Hlt75236011"/>
      <w:bookmarkEnd w:id="22"/>
      <w:bookmarkStart w:id="23" w:name="_Hlt68403820"/>
      <w:bookmarkEnd w:id="23"/>
      <w:bookmarkStart w:id="24" w:name="_Hlt74729768"/>
      <w:bookmarkEnd w:id="24"/>
      <w:bookmarkStart w:id="25" w:name="_Hlt74714665"/>
      <w:bookmarkEnd w:id="25"/>
      <w:bookmarkStart w:id="26" w:name="_Hlt74730295"/>
      <w:bookmarkEnd w:id="26"/>
      <w:bookmarkStart w:id="27" w:name="_Hlt68072998"/>
      <w:bookmarkEnd w:id="27"/>
      <w:bookmarkStart w:id="28" w:name="_Hlt68072990"/>
      <w:bookmarkEnd w:id="28"/>
      <w:bookmarkStart w:id="29" w:name="_Hlt75236101"/>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20D2F88">
      <w:pPr>
        <w:pStyle w:val="80"/>
        <w:rPr>
          <w:color w:val="auto"/>
          <w:highlight w:val="none"/>
        </w:rPr>
        <w:sectPr>
          <w:pgSz w:w="11906" w:h="16838"/>
          <w:pgMar w:top="1440" w:right="1080" w:bottom="1440" w:left="1080" w:header="851" w:footer="992" w:gutter="0"/>
          <w:pgNumType w:fmt="decimal"/>
          <w:cols w:space="720" w:num="1"/>
          <w:titlePg/>
          <w:docGrid w:linePitch="312" w:charSpace="0"/>
        </w:sectPr>
      </w:pPr>
    </w:p>
    <w:bookmarkEnd w:id="12"/>
    <w:bookmarkEnd w:id="13"/>
    <w:p w14:paraId="0C65EC3B">
      <w:pPr>
        <w:pStyle w:val="32"/>
        <w:spacing w:line="360" w:lineRule="auto"/>
        <w:jc w:val="center"/>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14:paraId="17BED69A">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500DEB8A">
      <w:pPr>
        <w:pStyle w:val="24"/>
        <w:spacing w:before="120" w:beforeLines="50" w:after="120" w:afterLines="50" w:line="360" w:lineRule="auto"/>
        <w:ind w:firstLine="480" w:firstLineChars="200"/>
        <w:rPr>
          <w:rFonts w:hint="eastAsia" w:hAnsi="宋体" w:eastAsia="宋体"/>
          <w:bCs/>
          <w:color w:val="auto"/>
          <w:sz w:val="24"/>
          <w:szCs w:val="24"/>
          <w:highlight w:val="none"/>
          <w:lang w:eastAsia="zh-CN"/>
        </w:rPr>
      </w:pPr>
      <w:r>
        <w:rPr>
          <w:rFonts w:hint="eastAsia" w:hAnsi="宋体"/>
          <w:bCs/>
          <w:color w:val="auto"/>
          <w:sz w:val="24"/>
          <w:szCs w:val="24"/>
          <w:highlight w:val="none"/>
          <w:lang w:val="en-US" w:eastAsia="zh-CN"/>
        </w:rPr>
        <w:t>项目</w:t>
      </w:r>
      <w:r>
        <w:rPr>
          <w:rFonts w:hint="eastAsia" w:hAnsi="宋体"/>
          <w:bCs/>
          <w:color w:val="auto"/>
          <w:sz w:val="24"/>
          <w:szCs w:val="24"/>
          <w:highlight w:val="none"/>
        </w:rPr>
        <w:t>名称：</w:t>
      </w:r>
      <w:r>
        <w:rPr>
          <w:rFonts w:hint="eastAsia"/>
          <w:bCs/>
          <w:color w:val="auto"/>
          <w:sz w:val="24"/>
          <w:szCs w:val="24"/>
          <w:highlight w:val="none"/>
          <w:lang w:eastAsia="zh-CN"/>
        </w:rPr>
        <w:t>2025年上城区道路增亮工程</w:t>
      </w:r>
    </w:p>
    <w:p w14:paraId="71E31FDC">
      <w:pPr>
        <w:pStyle w:val="24"/>
        <w:spacing w:before="120" w:beforeLines="50" w:after="120" w:afterLines="50" w:line="360" w:lineRule="auto"/>
        <w:ind w:firstLine="480" w:firstLineChars="200"/>
        <w:rPr>
          <w:rFonts w:hint="eastAsia" w:hAnsi="宋体"/>
          <w:bCs/>
          <w:color w:val="auto"/>
          <w:sz w:val="24"/>
          <w:szCs w:val="24"/>
          <w:highlight w:val="none"/>
          <w:lang w:val="en-US" w:eastAsia="zh-CN"/>
        </w:rPr>
      </w:pPr>
      <w:r>
        <w:rPr>
          <w:rFonts w:hint="eastAsia"/>
          <w:bCs/>
          <w:color w:val="auto"/>
          <w:sz w:val="24"/>
          <w:szCs w:val="24"/>
          <w:highlight w:val="none"/>
          <w:lang w:val="en-US" w:eastAsia="zh-CN"/>
        </w:rPr>
        <w:t>采购内容</w:t>
      </w:r>
      <w:r>
        <w:rPr>
          <w:rFonts w:hint="eastAsia" w:hAnsi="宋体"/>
          <w:bCs/>
          <w:color w:val="auto"/>
          <w:sz w:val="24"/>
          <w:szCs w:val="24"/>
          <w:highlight w:val="none"/>
          <w:lang w:val="en-US" w:eastAsia="zh-CN"/>
        </w:rPr>
        <w:t>:</w:t>
      </w:r>
      <w:r>
        <w:rPr>
          <w:rFonts w:hint="eastAsia"/>
          <w:bCs/>
          <w:color w:val="auto"/>
          <w:sz w:val="24"/>
          <w:szCs w:val="24"/>
          <w:highlight w:val="none"/>
          <w:lang w:val="en-US" w:eastAsia="zh-CN"/>
        </w:rPr>
        <w:t>2025年上城区道路增亮工程</w:t>
      </w:r>
      <w:r>
        <w:rPr>
          <w:rFonts w:hint="eastAsia" w:hAnsi="宋体"/>
          <w:bCs/>
          <w:color w:val="auto"/>
          <w:sz w:val="24"/>
          <w:szCs w:val="24"/>
          <w:highlight w:val="none"/>
          <w:lang w:val="en-US" w:eastAsia="zh-CN"/>
        </w:rPr>
        <w:t> </w:t>
      </w:r>
    </w:p>
    <w:p w14:paraId="3388D3A1">
      <w:pPr>
        <w:pStyle w:val="24"/>
        <w:spacing w:before="120" w:beforeLines="50" w:after="120" w:afterLines="50" w:line="360" w:lineRule="auto"/>
        <w:ind w:firstLine="480" w:firstLineChars="200"/>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 xml:space="preserve">预算金额（元）：1609159 </w:t>
      </w:r>
      <w:r>
        <w:rPr>
          <w:rFonts w:hint="eastAsia"/>
          <w:bCs/>
          <w:color w:val="auto"/>
          <w:sz w:val="24"/>
          <w:szCs w:val="24"/>
          <w:highlight w:val="none"/>
          <w:lang w:val="en-US" w:eastAsia="zh-CN"/>
        </w:rPr>
        <w:t xml:space="preserve"> </w:t>
      </w:r>
    </w:p>
    <w:p w14:paraId="284EAC98">
      <w:pPr>
        <w:pStyle w:val="24"/>
        <w:spacing w:before="120" w:beforeLines="50" w:after="120" w:afterLines="50" w:line="360" w:lineRule="auto"/>
        <w:ind w:firstLine="480" w:firstLineChars="200"/>
        <w:rPr>
          <w:rFonts w:ascii="宋体" w:hAnsi="宋体"/>
          <w:color w:val="auto"/>
          <w:sz w:val="24"/>
          <w:highlight w:val="none"/>
          <w:u w:val="none"/>
        </w:rPr>
      </w:pPr>
      <w:r>
        <w:rPr>
          <w:rFonts w:hint="eastAsia" w:hAnsi="宋体" w:cs="宋体"/>
          <w:b w:val="0"/>
          <w:bCs/>
          <w:color w:val="auto"/>
          <w:sz w:val="24"/>
          <w:highlight w:val="none"/>
          <w:lang w:eastAsia="zh-CN"/>
        </w:rPr>
        <w:t>2025年上城区道路增亮工程</w:t>
      </w:r>
      <w:r>
        <w:rPr>
          <w:rFonts w:hint="eastAsia" w:hAnsi="宋体" w:cs="宋体"/>
          <w:b w:val="0"/>
          <w:bCs/>
          <w:snapToGrid/>
          <w:color w:val="auto"/>
          <w:kern w:val="2"/>
          <w:sz w:val="24"/>
          <w:szCs w:val="24"/>
          <w:highlight w:val="none"/>
        </w:rPr>
        <w:t>主要内容</w:t>
      </w:r>
      <w:r>
        <w:rPr>
          <w:rFonts w:hint="eastAsia" w:hAnsi="宋体" w:cs="宋体"/>
          <w:b w:val="0"/>
          <w:bCs/>
          <w:snapToGrid/>
          <w:color w:val="auto"/>
          <w:kern w:val="2"/>
          <w:sz w:val="24"/>
          <w:szCs w:val="24"/>
          <w:highlight w:val="none"/>
          <w:lang w:val="en-US" w:eastAsia="zh-CN"/>
        </w:rPr>
        <w:t>为市政道路新建庭院灯杆、原有灯具拆除及更换，具体详见</w:t>
      </w:r>
      <w:r>
        <w:rPr>
          <w:rFonts w:hint="eastAsia" w:ascii="宋体" w:hAnsi="宋体" w:eastAsia="宋体" w:cs="宋体"/>
          <w:color w:val="auto"/>
          <w:spacing w:val="0"/>
          <w:sz w:val="24"/>
          <w:szCs w:val="24"/>
          <w:highlight w:val="none"/>
          <w:lang w:val="en-US" w:eastAsia="zh-CN"/>
        </w:rPr>
        <w:t>施工图纸及工程量清单</w:t>
      </w:r>
      <w:r>
        <w:rPr>
          <w:rFonts w:hint="eastAsia" w:hAnsi="宋体" w:cs="宋体"/>
          <w:color w:val="auto"/>
          <w:spacing w:val="0"/>
          <w:sz w:val="24"/>
          <w:szCs w:val="24"/>
          <w:highlight w:val="none"/>
          <w:lang w:val="en-US" w:eastAsia="zh-CN"/>
        </w:rPr>
        <w:t>，</w:t>
      </w:r>
      <w:r>
        <w:rPr>
          <w:rFonts w:hint="eastAsia" w:hAnsi="宋体" w:cs="宋体"/>
          <w:b w:val="0"/>
          <w:bCs/>
          <w:snapToGrid/>
          <w:color w:val="auto"/>
          <w:kern w:val="2"/>
          <w:sz w:val="24"/>
          <w:szCs w:val="24"/>
          <w:highlight w:val="none"/>
        </w:rPr>
        <w:t>详见采购文件第三部分采购需求。</w:t>
      </w:r>
    </w:p>
    <w:p w14:paraId="004B6C15">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C714772">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none"/>
          <w:lang w:eastAsia="zh-CN"/>
        </w:rPr>
        <w:t>2025年上城区道路增亮工程；</w:t>
      </w:r>
    </w:p>
    <w:p w14:paraId="6FEFA795">
      <w:pPr>
        <w:spacing w:line="360" w:lineRule="auto"/>
        <w:ind w:left="210" w:leftChars="100"/>
        <w:jc w:val="left"/>
        <w:rPr>
          <w:rFonts w:hint="default" w:ascii="宋体" w:hAnsi="宋体"/>
          <w:color w:val="auto"/>
          <w:sz w:val="24"/>
          <w:highlight w:val="none"/>
          <w:u w:val="none"/>
          <w:lang w:val="en-US" w:eastAsia="zh-CN"/>
        </w:rPr>
      </w:pPr>
      <w:r>
        <w:rPr>
          <w:rFonts w:hint="eastAsia" w:ascii="宋体" w:hAnsi="宋体" w:cs="仿宋_GB2312"/>
          <w:color w:val="auto"/>
          <w:sz w:val="24"/>
          <w:highlight w:val="none"/>
        </w:rPr>
        <w:t>2.现场条件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实</w:t>
      </w:r>
      <w:r>
        <w:rPr>
          <w:rFonts w:hint="eastAsia" w:ascii="宋体" w:hAnsi="宋体" w:cs="仿宋_GB2312"/>
          <w:color w:val="auto"/>
          <w:sz w:val="24"/>
          <w:highlight w:val="none"/>
          <w:u w:val="none"/>
          <w:lang w:val="en-US" w:eastAsia="zh-CN"/>
        </w:rPr>
        <w:t>际以</w:t>
      </w:r>
      <w:r>
        <w:rPr>
          <w:rFonts w:hint="eastAsia" w:ascii="宋体" w:hAnsi="宋体"/>
          <w:color w:val="auto"/>
          <w:sz w:val="24"/>
          <w:highlight w:val="none"/>
          <w:u w:val="none"/>
          <w:lang w:val="en-US" w:eastAsia="zh-CN"/>
        </w:rPr>
        <w:t>现场根据为准；</w:t>
      </w:r>
    </w:p>
    <w:p w14:paraId="248D28D3">
      <w:pPr>
        <w:spacing w:line="360" w:lineRule="auto"/>
        <w:ind w:left="210" w:leftChars="100"/>
        <w:jc w:val="left"/>
        <w:rPr>
          <w:rFonts w:hint="default" w:ascii="宋体" w:hAnsi="宋体" w:eastAsia="宋体"/>
          <w:color w:val="auto"/>
          <w:sz w:val="24"/>
          <w:highlight w:val="none"/>
          <w:u w:val="single"/>
          <w:lang w:val="en-US" w:eastAsia="zh-CN"/>
        </w:rPr>
      </w:pPr>
      <w:r>
        <w:rPr>
          <w:rFonts w:hint="eastAsia" w:ascii="宋体" w:hAnsi="宋体" w:cs="仿宋_GB2312"/>
          <w:color w:val="auto"/>
          <w:sz w:val="24"/>
          <w:highlight w:val="none"/>
        </w:rPr>
        <w:t>3.工程承包范围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以工程量清单及施工图纸为准。</w:t>
      </w:r>
    </w:p>
    <w:p w14:paraId="0B964B5D">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4.工程质量标准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符合国家验收合格标准。</w:t>
      </w:r>
    </w:p>
    <w:p w14:paraId="4F10FF81">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5.工程施工要求</w:t>
      </w:r>
      <w:r>
        <w:rPr>
          <w:rFonts w:hint="eastAsia" w:ascii="宋体" w:hAnsi="宋体" w:cs="仿宋_GB2312"/>
          <w:color w:val="auto"/>
          <w:sz w:val="24"/>
          <w:highlight w:val="none"/>
          <w:lang w:eastAsia="zh-CN"/>
        </w:rPr>
        <w:t>：</w:t>
      </w:r>
    </w:p>
    <w:p w14:paraId="3E7FE7AE">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1、本工程施工严格按照规范要求进行施工，达到各项拟定的设计指标。</w:t>
      </w:r>
    </w:p>
    <w:p w14:paraId="5CFEBA09">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2、本工程施工按《建筑工程施工质量验收统一标准》（GB50300-2013）等进行施工和验收。</w:t>
      </w:r>
    </w:p>
    <w:p w14:paraId="7A86D48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3、在免费保修期内，中标人对有缺陷的部位必须无偿地给予修理与更换，并承担一切由此引起的对招标人或第三者的直接损失，除非该缺陷是由于人为破坏或合同规定的不可抗因素造成的损坏。</w:t>
      </w:r>
    </w:p>
    <w:p w14:paraId="2646949F">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4、中标人必须对所承包的工程的质量负全部责任，其责任不因其他材料生产商提供的保证书而减轻或更改。</w:t>
      </w:r>
    </w:p>
    <w:p w14:paraId="590DE18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5、施工时注意做好必要的劳动保护工作。</w:t>
      </w:r>
    </w:p>
    <w:p w14:paraId="23B77C8F">
      <w:pPr>
        <w:spacing w:line="360" w:lineRule="auto"/>
        <w:ind w:left="210" w:leftChars="100" w:firstLine="240" w:firstLine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6.工程管理要求</w:t>
      </w:r>
      <w:r>
        <w:rPr>
          <w:rFonts w:hint="eastAsia" w:ascii="宋体" w:hAnsi="宋体" w:cs="仿宋_GB2312"/>
          <w:color w:val="auto"/>
          <w:sz w:val="24"/>
          <w:highlight w:val="none"/>
          <w:lang w:eastAsia="zh-CN"/>
        </w:rPr>
        <w:t>：</w:t>
      </w:r>
    </w:p>
    <w:p w14:paraId="716D4394">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1、依据设计施工图纸和技术文件要求，本工程项目的材料、设备、施工必须达到以下现行中华人民共和国及省、市、行业的一切有关法规、规范的要求，如下述标准及规范要求有出入则以较严格者为准。</w:t>
      </w:r>
    </w:p>
    <w:p w14:paraId="710741F4">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《建筑照明设计标准》（GB50034-2024）</w:t>
      </w:r>
      <w:r>
        <w:rPr>
          <w:rFonts w:hint="eastAsia" w:ascii="宋体" w:hAnsi="宋体" w:cs="仿宋_GB2312"/>
          <w:color w:val="auto"/>
          <w:sz w:val="24"/>
          <w:highlight w:val="none"/>
          <w:u w:val="single"/>
          <w:lang w:eastAsia="zh-CN"/>
        </w:rPr>
        <w:t>；</w:t>
      </w:r>
    </w:p>
    <w:p w14:paraId="1F7EBE55">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《城市道路照明设计标准》(CJJ45-2015)</w:t>
      </w:r>
      <w:r>
        <w:rPr>
          <w:rFonts w:hint="eastAsia" w:ascii="宋体" w:hAnsi="宋体" w:cs="仿宋_GB2312"/>
          <w:color w:val="auto"/>
          <w:sz w:val="24"/>
          <w:highlight w:val="none"/>
          <w:u w:val="single"/>
          <w:lang w:eastAsia="zh-CN"/>
        </w:rPr>
        <w:t>；</w:t>
      </w:r>
    </w:p>
    <w:p w14:paraId="6A52EDFA">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《城市道路照明工程施工及验收规程》（CJJ89-2012） </w:t>
      </w:r>
      <w:r>
        <w:rPr>
          <w:rFonts w:hint="eastAsia" w:ascii="宋体" w:hAnsi="宋体" w:cs="仿宋_GB2312"/>
          <w:color w:val="auto"/>
          <w:sz w:val="24"/>
          <w:highlight w:val="none"/>
          <w:u w:val="single"/>
          <w:lang w:eastAsia="zh-CN"/>
        </w:rPr>
        <w:t>；</w:t>
      </w:r>
    </w:p>
    <w:p w14:paraId="34237AB8">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《建筑物防雷设计规范》(GB 50057-2010)</w:t>
      </w:r>
      <w:r>
        <w:rPr>
          <w:rFonts w:hint="eastAsia" w:ascii="宋体" w:hAnsi="宋体" w:cs="仿宋_GB2312"/>
          <w:color w:val="auto"/>
          <w:sz w:val="24"/>
          <w:highlight w:val="none"/>
          <w:u w:val="single"/>
          <w:lang w:eastAsia="zh-CN"/>
        </w:rPr>
        <w:t>；</w:t>
      </w:r>
    </w:p>
    <w:p w14:paraId="24A3E735">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《公共建筑节能设计标准》(GB50189-2015)</w:t>
      </w:r>
      <w:r>
        <w:rPr>
          <w:rFonts w:hint="eastAsia" w:ascii="宋体" w:hAnsi="宋体" w:cs="仿宋_GB2312"/>
          <w:color w:val="auto"/>
          <w:sz w:val="24"/>
          <w:highlight w:val="none"/>
          <w:u w:val="single"/>
          <w:lang w:eastAsia="zh-CN"/>
        </w:rPr>
        <w:t>；</w:t>
      </w:r>
    </w:p>
    <w:p w14:paraId="1BBA4568">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《城市容貌标准》(GB50449-2008)</w:t>
      </w:r>
      <w:r>
        <w:rPr>
          <w:rFonts w:hint="eastAsia" w:ascii="宋体" w:hAnsi="宋体" w:cs="仿宋_GB2312"/>
          <w:color w:val="auto"/>
          <w:sz w:val="24"/>
          <w:highlight w:val="none"/>
          <w:u w:val="single"/>
          <w:lang w:eastAsia="zh-CN"/>
        </w:rPr>
        <w:t>；</w:t>
      </w:r>
    </w:p>
    <w:p w14:paraId="3676E6C7">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《低压配电设计规范》GB50054-2011</w:t>
      </w:r>
      <w:r>
        <w:rPr>
          <w:rFonts w:hint="eastAsia" w:ascii="宋体" w:hAnsi="宋体" w:cs="仿宋_GB2312"/>
          <w:color w:val="auto"/>
          <w:sz w:val="24"/>
          <w:highlight w:val="none"/>
          <w:u w:val="single"/>
          <w:lang w:eastAsia="zh-CN"/>
        </w:rPr>
        <w:t>；</w:t>
      </w:r>
    </w:p>
    <w:p w14:paraId="743DDCCE">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《杭州市区城市照明总体规划修编》（2019-2025年）</w:t>
      </w:r>
      <w:r>
        <w:rPr>
          <w:rFonts w:hint="eastAsia" w:ascii="宋体" w:hAnsi="宋体" w:cs="仿宋_GB2312"/>
          <w:color w:val="auto"/>
          <w:sz w:val="24"/>
          <w:highlight w:val="none"/>
          <w:u w:val="single"/>
          <w:lang w:eastAsia="zh-CN"/>
        </w:rPr>
        <w:t>；</w:t>
      </w:r>
    </w:p>
    <w:p w14:paraId="2745F67A">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《城市夜景照明设计规范》（JGJ/T163-2008）</w:t>
      </w:r>
      <w:r>
        <w:rPr>
          <w:rFonts w:hint="eastAsia" w:ascii="宋体" w:hAnsi="宋体" w:cs="仿宋_GB2312"/>
          <w:color w:val="auto"/>
          <w:sz w:val="24"/>
          <w:highlight w:val="none"/>
          <w:u w:val="single"/>
          <w:lang w:eastAsia="zh-CN"/>
        </w:rPr>
        <w:t>；</w:t>
      </w:r>
    </w:p>
    <w:p w14:paraId="1A1B852D">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《供配电系统设计规范》</w:t>
      </w:r>
      <w:r>
        <w:rPr>
          <w:rFonts w:hint="eastAsia" w:ascii="宋体" w:hAnsi="宋体" w:cs="仿宋_GB2312"/>
          <w:color w:val="auto"/>
          <w:sz w:val="24"/>
          <w:highlight w:val="none"/>
          <w:u w:val="single"/>
          <w:lang w:eastAsia="zh-CN"/>
        </w:rPr>
        <w:t>；</w:t>
      </w:r>
    </w:p>
    <w:p w14:paraId="3520F4DD">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《灯具一般安全要求与试验》（GB7000.1-2015）</w:t>
      </w:r>
      <w:r>
        <w:rPr>
          <w:rFonts w:hint="eastAsia" w:ascii="宋体" w:hAnsi="宋体" w:cs="仿宋_GB2312"/>
          <w:color w:val="auto"/>
          <w:sz w:val="24"/>
          <w:highlight w:val="none"/>
          <w:u w:val="single"/>
          <w:lang w:eastAsia="zh-CN"/>
        </w:rPr>
        <w:t>；</w:t>
      </w:r>
    </w:p>
    <w:p w14:paraId="09C97B8A">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《室外照明干扰光限制规范》（GBT 35626-2017）</w:t>
      </w:r>
      <w:r>
        <w:rPr>
          <w:rFonts w:hint="eastAsia" w:ascii="宋体" w:hAnsi="宋体" w:cs="仿宋_GB2312"/>
          <w:color w:val="auto"/>
          <w:sz w:val="24"/>
          <w:highlight w:val="none"/>
          <w:u w:val="single"/>
          <w:lang w:eastAsia="zh-CN"/>
        </w:rPr>
        <w:t>；</w:t>
      </w:r>
    </w:p>
    <w:p w14:paraId="10C2C8B2">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《浙江省环境照明工程设计规范》（DB33T 1055-2018）</w:t>
      </w:r>
      <w:r>
        <w:rPr>
          <w:rFonts w:hint="eastAsia" w:ascii="宋体" w:hAnsi="宋体" w:cs="仿宋_GB2312"/>
          <w:color w:val="auto"/>
          <w:sz w:val="24"/>
          <w:highlight w:val="none"/>
          <w:u w:val="single"/>
          <w:lang w:eastAsia="zh-CN"/>
        </w:rPr>
        <w:t>；</w:t>
      </w:r>
    </w:p>
    <w:p w14:paraId="007B8D4D">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《城市容貌标准》</w:t>
      </w:r>
      <w:r>
        <w:rPr>
          <w:rFonts w:hint="eastAsia" w:ascii="宋体" w:hAnsi="宋体" w:cs="仿宋_GB2312"/>
          <w:color w:val="auto"/>
          <w:sz w:val="24"/>
          <w:highlight w:val="none"/>
          <w:u w:val="single"/>
          <w:lang w:eastAsia="zh-CN"/>
        </w:rPr>
        <w:t>；</w:t>
      </w:r>
    </w:p>
    <w:p w14:paraId="5EDDCE49">
      <w:pPr>
        <w:numPr>
          <w:ilvl w:val="0"/>
          <w:numId w:val="1"/>
        </w:numPr>
        <w:spacing w:line="360" w:lineRule="auto"/>
        <w:ind w:left="425" w:leftChars="0" w:hanging="425" w:firstLineChars="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《道路与街路照明灯具安全要求》</w:t>
      </w:r>
      <w:r>
        <w:rPr>
          <w:rFonts w:hint="eastAsia" w:ascii="宋体" w:hAnsi="宋体" w:cs="仿宋_GB2312"/>
          <w:color w:val="auto"/>
          <w:sz w:val="24"/>
          <w:highlight w:val="none"/>
          <w:u w:val="single"/>
          <w:lang w:eastAsia="zh-CN"/>
        </w:rPr>
        <w:t>。</w:t>
      </w:r>
    </w:p>
    <w:p w14:paraId="6AED8ADC">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以及不限于上述罗列的其它的相关规范。</w:t>
      </w:r>
    </w:p>
    <w:p w14:paraId="4B4020DE">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 以上技术规范由</w:t>
      </w:r>
      <w:r>
        <w:rPr>
          <w:rFonts w:hint="eastAsia" w:ascii="宋体" w:hAnsi="宋体" w:cs="仿宋_GB2312"/>
          <w:color w:val="auto"/>
          <w:sz w:val="24"/>
          <w:highlight w:val="none"/>
          <w:u w:val="single"/>
          <w:lang w:val="en-US" w:eastAsia="zh-CN"/>
        </w:rPr>
        <w:t>供应商</w:t>
      </w:r>
      <w:r>
        <w:rPr>
          <w:rFonts w:hint="eastAsia" w:ascii="宋体" w:hAnsi="宋体" w:cs="仿宋_GB2312"/>
          <w:color w:val="auto"/>
          <w:sz w:val="24"/>
          <w:highlight w:val="none"/>
          <w:u w:val="single"/>
        </w:rPr>
        <w:t>自备，如有不足之处或未能达到国家最新标准时，</w:t>
      </w:r>
      <w:r>
        <w:rPr>
          <w:rFonts w:hint="eastAsia" w:ascii="宋体" w:hAnsi="宋体" w:cs="仿宋_GB2312"/>
          <w:color w:val="auto"/>
          <w:sz w:val="24"/>
          <w:highlight w:val="none"/>
          <w:u w:val="single"/>
          <w:lang w:val="en-US" w:eastAsia="zh-CN"/>
        </w:rPr>
        <w:t>供应商</w:t>
      </w:r>
      <w:r>
        <w:rPr>
          <w:rFonts w:hint="eastAsia" w:ascii="宋体" w:hAnsi="宋体" w:cs="仿宋_GB2312"/>
          <w:color w:val="auto"/>
          <w:sz w:val="24"/>
          <w:highlight w:val="none"/>
          <w:u w:val="single"/>
        </w:rPr>
        <w:t>应使施工及选用的设备和材料符合最新版本的国家标准、规范。</w:t>
      </w:r>
    </w:p>
    <w:p w14:paraId="1213A36F">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2、对施工工艺的特殊要求：详见施工图纸及有关规范。</w:t>
      </w:r>
    </w:p>
    <w:p w14:paraId="27B4C3E5">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3、成交单位应在合同签订时提供施工组织设计；</w:t>
      </w:r>
    </w:p>
    <w:p w14:paraId="2C9B3743">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4、</w:t>
      </w:r>
      <w:r>
        <w:rPr>
          <w:rFonts w:hint="eastAsia" w:ascii="宋体" w:hAnsi="宋体" w:cs="仿宋_GB2312"/>
          <w:color w:val="auto"/>
          <w:sz w:val="24"/>
          <w:highlight w:val="none"/>
          <w:u w:val="single"/>
        </w:rPr>
        <w:t>本工程发包范围内的工程项目，未经采购人同意一律不得分包。一经发现立即取消承包资格，作违约处理，并承担由此引起的一切经济损失。</w:t>
      </w:r>
    </w:p>
    <w:p w14:paraId="3E8F0EA0">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5、</w:t>
      </w:r>
      <w:r>
        <w:rPr>
          <w:rFonts w:hint="eastAsia" w:ascii="宋体" w:hAnsi="宋体" w:cs="仿宋_GB2312"/>
          <w:color w:val="auto"/>
          <w:sz w:val="24"/>
          <w:highlight w:val="none"/>
          <w:u w:val="single"/>
        </w:rPr>
        <w:t>中标人应严格按已确认施工技术方案组织施工，并无条件地接受采购人代表对施工质量的监督和管理。</w:t>
      </w:r>
    </w:p>
    <w:p w14:paraId="6C85A249">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6、</w:t>
      </w:r>
      <w:r>
        <w:rPr>
          <w:rFonts w:hint="eastAsia" w:ascii="宋体" w:hAnsi="宋体" w:cs="仿宋_GB2312"/>
          <w:color w:val="auto"/>
          <w:sz w:val="24"/>
          <w:highlight w:val="none"/>
          <w:u w:val="single"/>
        </w:rPr>
        <w:t>中标人在工程施工全过程中要认真做好产品保护。因失窃或失火造成的损失均由承包方负责，凡由此而损及采购人利益时，采购人将向中标施工单位索赔。</w:t>
      </w:r>
    </w:p>
    <w:p w14:paraId="34E747B6">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7</w:t>
      </w:r>
      <w:r>
        <w:rPr>
          <w:rFonts w:hint="eastAsia" w:ascii="宋体" w:hAnsi="宋体" w:cs="仿宋_GB2312"/>
          <w:color w:val="auto"/>
          <w:sz w:val="24"/>
          <w:highlight w:val="none"/>
          <w:u w:val="single"/>
        </w:rPr>
        <w:t>、本工程改造过程中非施工区域施工人员不得入内，改造过程中需树立警示牌，并对施工区域进行封闭维护，施工期间一切的安全责任由供应商自行承担，相关费用考虑在投标报价中。</w:t>
      </w:r>
    </w:p>
    <w:p w14:paraId="16320971">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3E693355">
      <w:pPr>
        <w:spacing w:line="360" w:lineRule="auto"/>
        <w:ind w:firstLine="424" w:firstLineChars="177"/>
        <w:jc w:val="left"/>
        <w:rPr>
          <w:rFonts w:ascii="宋体" w:hAnsi="宋体"/>
          <w:sz w:val="24"/>
          <w:highlight w:val="none"/>
        </w:rPr>
      </w:pPr>
      <w:r>
        <w:rPr>
          <w:rFonts w:hint="eastAsia" w:ascii="宋体" w:hAnsi="宋体"/>
          <w:sz w:val="24"/>
          <w:highlight w:val="none"/>
        </w:rPr>
        <w:t>7.1材料选择</w:t>
      </w:r>
    </w:p>
    <w:p w14:paraId="4D8024CF">
      <w:pPr>
        <w:spacing w:line="360" w:lineRule="auto"/>
        <w:ind w:firstLine="424" w:firstLineChars="177"/>
        <w:jc w:val="left"/>
        <w:rPr>
          <w:rFonts w:ascii="宋体" w:hAnsi="宋体"/>
          <w:sz w:val="24"/>
          <w:highlight w:val="none"/>
        </w:rPr>
      </w:pPr>
      <w:r>
        <w:rPr>
          <w:rFonts w:hint="eastAsia" w:ascii="宋体" w:hAnsi="宋体"/>
          <w:sz w:val="24"/>
          <w:highlight w:val="none"/>
        </w:rPr>
        <w:t>（1）本项目所有的材料设备采购前均需经建设单位、设计、监理确认后方可批量采购，对于有环保要求的建材，均需达到相应的环保等级。</w:t>
      </w:r>
    </w:p>
    <w:p w14:paraId="1B73E01B">
      <w:pPr>
        <w:spacing w:line="360" w:lineRule="auto"/>
        <w:ind w:firstLine="424" w:firstLineChars="177"/>
        <w:jc w:val="left"/>
        <w:rPr>
          <w:rFonts w:ascii="宋体" w:hAnsi="宋体"/>
          <w:sz w:val="24"/>
          <w:highlight w:val="none"/>
        </w:rPr>
      </w:pPr>
      <w:r>
        <w:rPr>
          <w:rFonts w:hint="eastAsia" w:ascii="宋体" w:hAnsi="宋体"/>
          <w:sz w:val="24"/>
          <w:highlight w:val="none"/>
        </w:rPr>
        <w:t>（2）凡招标文件中未写明材料品牌的，招标价均按该材料品牌（价格）中等档次以上国标产品考虑。</w:t>
      </w:r>
    </w:p>
    <w:p w14:paraId="07B0CA2F">
      <w:pPr>
        <w:spacing w:line="360" w:lineRule="auto"/>
        <w:ind w:firstLine="424" w:firstLineChars="177"/>
        <w:jc w:val="left"/>
        <w:rPr>
          <w:rFonts w:ascii="宋体" w:hAnsi="宋体"/>
          <w:sz w:val="24"/>
          <w:highlight w:val="none"/>
        </w:rPr>
      </w:pPr>
      <w:r>
        <w:rPr>
          <w:rFonts w:hint="eastAsia" w:ascii="宋体" w:hAnsi="宋体"/>
          <w:sz w:val="24"/>
          <w:highlight w:val="none"/>
        </w:rPr>
        <w:t>（3）所有材料必须符合图纸说明及采购人要求</w:t>
      </w:r>
      <w:r>
        <w:rPr>
          <w:rFonts w:hint="eastAsia" w:hAnsi="宋体"/>
          <w:sz w:val="24"/>
          <w:highlight w:val="none"/>
        </w:rPr>
        <w:t>，</w:t>
      </w:r>
      <w:r>
        <w:rPr>
          <w:rFonts w:hint="eastAsia" w:ascii="宋体" w:hAnsi="宋体"/>
          <w:sz w:val="24"/>
          <w:highlight w:val="none"/>
        </w:rPr>
        <w:t>由供应商根据磋商文件及图纸说明的要求进行报价。</w:t>
      </w:r>
    </w:p>
    <w:p w14:paraId="3E5F0245">
      <w:pPr>
        <w:spacing w:line="360" w:lineRule="auto"/>
        <w:ind w:firstLine="424" w:firstLineChars="177"/>
        <w:jc w:val="left"/>
        <w:rPr>
          <w:rFonts w:ascii="宋体" w:hAnsi="宋体"/>
          <w:sz w:val="24"/>
          <w:highlight w:val="none"/>
        </w:rPr>
      </w:pPr>
      <w:r>
        <w:rPr>
          <w:rFonts w:hint="eastAsia" w:ascii="宋体" w:hAnsi="宋体"/>
          <w:sz w:val="24"/>
          <w:highlight w:val="none"/>
        </w:rPr>
        <w:t>（4）欢迎采购人推荐品牌同档次及以上品牌参与投标，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14:paraId="6CBC566C">
      <w:pPr>
        <w:spacing w:line="360" w:lineRule="auto"/>
        <w:ind w:firstLine="424" w:firstLineChars="177"/>
        <w:jc w:val="left"/>
        <w:rPr>
          <w:rFonts w:ascii="宋体" w:hAnsi="宋体"/>
          <w:sz w:val="24"/>
          <w:highlight w:val="none"/>
        </w:rPr>
      </w:pPr>
      <w:r>
        <w:rPr>
          <w:rFonts w:hint="eastAsia" w:ascii="宋体" w:hAnsi="宋体"/>
          <w:sz w:val="24"/>
          <w:highlight w:val="none"/>
        </w:rPr>
        <w:t>（5）响应时需在分部分项报价表中注明选用材料（设备）品牌，采购人对材料设备无推荐品牌要求的，供应商也应在主要材料（设备）价格表中标明选择的品牌，未标明的，一旦成交，采购人有权根据需求指定任意品牌，且最终磋商报价不予调整。</w:t>
      </w:r>
    </w:p>
    <w:p w14:paraId="21EBAF62">
      <w:pPr>
        <w:spacing w:line="360" w:lineRule="auto"/>
        <w:ind w:firstLine="424" w:firstLineChars="177"/>
        <w:jc w:val="left"/>
        <w:rPr>
          <w:rFonts w:ascii="宋体" w:hAnsi="宋体"/>
          <w:sz w:val="24"/>
          <w:highlight w:val="none"/>
        </w:rPr>
      </w:pPr>
      <w:r>
        <w:rPr>
          <w:rFonts w:hint="eastAsia" w:ascii="宋体" w:hAnsi="宋体"/>
          <w:sz w:val="24"/>
          <w:highlight w:val="none"/>
        </w:rPr>
        <w:t>（6）详细情况见图纸说明及清单。各响应单位在进行综合单价报价时必须结合图纸说明、磋商文件中的相关条款及清单描述进行报价，组价时应结合供应商现场勘察情况包括完成所有工序工作内容的全部费用。清单子目中未能对各节点详图进行完全性描述的必须结合现场情况进行报价，清单描述中未及的施工工艺必须结合图纸说明及现场情况进行报价，否则视为已计入相应项目综合单价中，成交后将不调整综合单价。</w:t>
      </w:r>
    </w:p>
    <w:p w14:paraId="2D0F1133">
      <w:pPr>
        <w:spacing w:line="360" w:lineRule="auto"/>
        <w:ind w:firstLine="424" w:firstLineChars="177"/>
        <w:jc w:val="left"/>
        <w:rPr>
          <w:rFonts w:ascii="宋体" w:hAnsi="宋体"/>
          <w:sz w:val="24"/>
          <w:highlight w:val="none"/>
        </w:rPr>
      </w:pPr>
      <w:r>
        <w:rPr>
          <w:rFonts w:hint="eastAsia" w:ascii="宋体" w:hAnsi="宋体"/>
          <w:sz w:val="24"/>
          <w:highlight w:val="none"/>
        </w:rPr>
        <w:t>7.2材料的质量要求：</w:t>
      </w:r>
    </w:p>
    <w:p w14:paraId="02702169">
      <w:pPr>
        <w:spacing w:line="360" w:lineRule="auto"/>
        <w:ind w:firstLine="424" w:firstLineChars="177"/>
        <w:jc w:val="left"/>
        <w:rPr>
          <w:rFonts w:ascii="宋体" w:hAnsi="宋体"/>
          <w:sz w:val="24"/>
          <w:highlight w:val="none"/>
        </w:rPr>
      </w:pPr>
      <w:r>
        <w:rPr>
          <w:rFonts w:hint="eastAsia" w:ascii="宋体" w:hAnsi="宋体"/>
          <w:sz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70118B68">
      <w:pPr>
        <w:spacing w:line="360" w:lineRule="auto"/>
        <w:ind w:firstLine="424" w:firstLineChars="177"/>
        <w:jc w:val="left"/>
        <w:rPr>
          <w:rFonts w:ascii="宋体" w:hAnsi="宋体"/>
          <w:sz w:val="24"/>
          <w:highlight w:val="none"/>
        </w:rPr>
      </w:pPr>
      <w:r>
        <w:rPr>
          <w:rFonts w:hint="eastAsia" w:ascii="宋体" w:hAnsi="宋体"/>
          <w:sz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F75B39E">
      <w:pPr>
        <w:spacing w:line="360" w:lineRule="auto"/>
        <w:ind w:firstLine="482" w:firstLineChars="200"/>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747C6909">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90日历天</w:t>
      </w:r>
    </w:p>
    <w:p w14:paraId="640478B5">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仿宋_GB2312"/>
          <w:color w:val="auto"/>
          <w:sz w:val="24"/>
          <w:highlight w:val="none"/>
          <w:u w:val="single"/>
        </w:rPr>
        <w:t>上城区</w:t>
      </w:r>
    </w:p>
    <w:p w14:paraId="2429613F">
      <w:pPr>
        <w:spacing w:line="360" w:lineRule="auto"/>
        <w:ind w:left="210" w:leftChars="100"/>
        <w:jc w:val="left"/>
        <w:rPr>
          <w:rFonts w:hint="default" w:eastAsia="宋体"/>
          <w:color w:val="auto"/>
          <w:highlight w:val="none"/>
          <w:lang w:val="en-US" w:eastAsia="zh-CN"/>
        </w:rPr>
      </w:pPr>
      <w:r>
        <w:rPr>
          <w:rFonts w:hint="eastAsia" w:ascii="宋体" w:hAnsi="宋体" w:cs="仿宋_GB2312"/>
          <w:color w:val="auto"/>
          <w:sz w:val="24"/>
          <w:highlight w:val="none"/>
        </w:rPr>
        <w:t>3.付款条件（进度和方式）</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详见施工合同要求。</w:t>
      </w:r>
    </w:p>
    <w:p w14:paraId="750A2449">
      <w:pPr>
        <w:spacing w:line="360" w:lineRule="auto"/>
        <w:jc w:val="left"/>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、其他要求</w:t>
      </w:r>
      <w:r>
        <w:rPr>
          <w:rFonts w:hint="eastAsia" w:ascii="宋体" w:hAnsi="宋体" w:cs="仿宋_GB2312"/>
          <w:b/>
          <w:bCs/>
          <w:color w:val="auto"/>
          <w:sz w:val="24"/>
          <w:highlight w:val="none"/>
          <w:lang w:eastAsia="zh-CN"/>
        </w:rPr>
        <w:t>：</w:t>
      </w:r>
    </w:p>
    <w:p w14:paraId="0170F1F3">
      <w:pPr>
        <w:widowControl/>
        <w:jc w:val="left"/>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1</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本工程建设凡涉及设施设备部分，均需在完工通过验收后，移交至杭州市市容景观发展中心，灯具和控制等设施接入现有市级照明控制平台进行统一管理，供应商需做好相关配套移交工作。</w:t>
      </w:r>
    </w:p>
    <w:p w14:paraId="633C8247">
      <w:pPr>
        <w:widowControl/>
        <w:jc w:val="left"/>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（2）本项目涉及原灯具拆除，须由供应商负责，统一运送至浙江省杭州市萧山区宁围街道弘慧路9号。</w:t>
      </w:r>
    </w:p>
    <w:p w14:paraId="6795AEBA">
      <w:pPr>
        <w:widowControl/>
        <w:jc w:val="left"/>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（3）本项目所涉及灯具设备，须由供应商提供第三方检测机构出具的样品检测报告，证明符合采购需求。</w:t>
      </w:r>
    </w:p>
    <w:p w14:paraId="6F495EF3">
      <w:pPr>
        <w:widowControl/>
        <w:jc w:val="left"/>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（4）依据杭容景﹝2023﹞9 号《关于印发《照明工程质保管理办法》的通知》附件第九条规定，本项目竣工验收后，移交至杭州市市容景观发展中心时，供应商须提供灯具总数 2%或不少于 50 套的备品备件共同移交。相关费用不另外计算，包含在合同总价中。供应商在报价时需根据上述情况综合考虑。</w:t>
      </w:r>
    </w:p>
    <w:p w14:paraId="3A84CC84">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1" w:name="_Toc184313241"/>
      <w:bookmarkEnd w:id="31"/>
      <w:bookmarkStart w:id="32" w:name="_Toc184313244"/>
      <w:bookmarkEnd w:id="32"/>
      <w:bookmarkStart w:id="33" w:name="_Toc184312119"/>
      <w:bookmarkEnd w:id="33"/>
      <w:bookmarkStart w:id="34" w:name="_Toc184312071"/>
      <w:bookmarkEnd w:id="34"/>
      <w:bookmarkStart w:id="35" w:name="_Toc184314453"/>
      <w:bookmarkEnd w:id="35"/>
      <w:bookmarkStart w:id="36" w:name="_Toc184314439"/>
      <w:bookmarkEnd w:id="36"/>
      <w:bookmarkStart w:id="37" w:name="_Toc184312118"/>
      <w:bookmarkEnd w:id="37"/>
      <w:bookmarkStart w:id="38" w:name="_Toc184312085"/>
      <w:bookmarkEnd w:id="38"/>
      <w:bookmarkStart w:id="39" w:name="_Toc184310306"/>
      <w:bookmarkEnd w:id="39"/>
      <w:bookmarkStart w:id="40" w:name="_Toc184312113"/>
      <w:bookmarkEnd w:id="40"/>
      <w:bookmarkStart w:id="41" w:name="_Toc184310310"/>
      <w:bookmarkEnd w:id="41"/>
      <w:bookmarkStart w:id="42" w:name="_Toc184312108"/>
      <w:bookmarkEnd w:id="42"/>
      <w:bookmarkStart w:id="43" w:name="_Toc184312082"/>
      <w:bookmarkEnd w:id="43"/>
      <w:bookmarkStart w:id="44" w:name="_Toc184312095"/>
      <w:bookmarkEnd w:id="44"/>
      <w:bookmarkStart w:id="45" w:name="_Toc184314468"/>
      <w:bookmarkEnd w:id="45"/>
      <w:bookmarkStart w:id="46" w:name="_Toc184308041"/>
      <w:bookmarkEnd w:id="46"/>
      <w:bookmarkStart w:id="47" w:name="_Toc184313299"/>
      <w:bookmarkEnd w:id="47"/>
      <w:bookmarkStart w:id="48" w:name="_Toc184314428"/>
      <w:bookmarkEnd w:id="48"/>
      <w:bookmarkStart w:id="49" w:name="_Toc184308106"/>
      <w:bookmarkEnd w:id="49"/>
      <w:bookmarkStart w:id="50" w:name="_Toc184312080"/>
      <w:bookmarkEnd w:id="50"/>
      <w:bookmarkStart w:id="51" w:name="_Toc184310321"/>
      <w:bookmarkEnd w:id="51"/>
      <w:bookmarkStart w:id="52" w:name="_Toc184313287"/>
      <w:bookmarkEnd w:id="52"/>
      <w:bookmarkStart w:id="53" w:name="_Toc184313284"/>
      <w:bookmarkEnd w:id="53"/>
      <w:bookmarkStart w:id="54" w:name="_Toc184312072"/>
      <w:bookmarkEnd w:id="54"/>
      <w:bookmarkStart w:id="55" w:name="_Toc184312135"/>
      <w:bookmarkEnd w:id="55"/>
      <w:bookmarkStart w:id="56" w:name="_Toc184310342"/>
      <w:bookmarkEnd w:id="56"/>
      <w:bookmarkStart w:id="57" w:name="_Toc184314423"/>
      <w:bookmarkEnd w:id="57"/>
      <w:bookmarkStart w:id="58" w:name="_Toc184310343"/>
      <w:bookmarkEnd w:id="58"/>
      <w:bookmarkStart w:id="59" w:name="_Toc184313269"/>
      <w:bookmarkEnd w:id="59"/>
      <w:bookmarkStart w:id="60" w:name="_Toc184313297"/>
      <w:bookmarkEnd w:id="60"/>
      <w:bookmarkStart w:id="61" w:name="_Toc184310301"/>
      <w:bookmarkEnd w:id="61"/>
      <w:bookmarkStart w:id="62" w:name="_Toc184308054"/>
      <w:bookmarkEnd w:id="62"/>
      <w:bookmarkStart w:id="63" w:name="_Toc184312098"/>
      <w:bookmarkEnd w:id="63"/>
      <w:bookmarkStart w:id="64" w:name="_Toc184314476"/>
      <w:bookmarkEnd w:id="64"/>
      <w:bookmarkStart w:id="65" w:name="_Toc184308079"/>
      <w:bookmarkEnd w:id="65"/>
      <w:bookmarkStart w:id="66" w:name="_Toc184314456"/>
      <w:bookmarkEnd w:id="66"/>
      <w:bookmarkStart w:id="67" w:name="_Toc184310325"/>
      <w:bookmarkEnd w:id="67"/>
      <w:bookmarkStart w:id="68" w:name="_Toc184310303"/>
      <w:bookmarkEnd w:id="68"/>
      <w:bookmarkStart w:id="69" w:name="_Toc184308072"/>
      <w:bookmarkEnd w:id="69"/>
      <w:bookmarkStart w:id="70" w:name="_Toc184310305"/>
      <w:bookmarkEnd w:id="70"/>
      <w:bookmarkStart w:id="71" w:name="_Toc184312067"/>
      <w:bookmarkEnd w:id="71"/>
      <w:bookmarkStart w:id="72" w:name="_Toc184314426"/>
      <w:bookmarkEnd w:id="72"/>
      <w:bookmarkStart w:id="73" w:name="_Toc184310300"/>
      <w:bookmarkEnd w:id="73"/>
      <w:bookmarkStart w:id="74" w:name="_Toc184314469"/>
      <w:bookmarkEnd w:id="74"/>
      <w:bookmarkStart w:id="75" w:name="_Toc184308050"/>
      <w:bookmarkEnd w:id="75"/>
      <w:bookmarkStart w:id="76" w:name="_Toc184313253"/>
      <w:bookmarkEnd w:id="76"/>
      <w:bookmarkStart w:id="77" w:name="_Toc184313305"/>
      <w:bookmarkEnd w:id="77"/>
      <w:bookmarkStart w:id="78" w:name="_Toc184308102"/>
      <w:bookmarkEnd w:id="78"/>
      <w:bookmarkStart w:id="79" w:name="_Toc184310309"/>
      <w:bookmarkEnd w:id="79"/>
      <w:bookmarkStart w:id="80" w:name="_Toc184314435"/>
      <w:bookmarkEnd w:id="80"/>
      <w:bookmarkStart w:id="81" w:name="_Toc184314411"/>
      <w:bookmarkEnd w:id="81"/>
      <w:bookmarkStart w:id="82" w:name="_Toc184314431"/>
      <w:bookmarkEnd w:id="82"/>
      <w:bookmarkStart w:id="83" w:name="_Toc184312128"/>
      <w:bookmarkEnd w:id="83"/>
      <w:bookmarkStart w:id="84" w:name="_Toc184314472"/>
      <w:bookmarkEnd w:id="84"/>
      <w:bookmarkStart w:id="85" w:name="_Toc184312105"/>
      <w:bookmarkEnd w:id="85"/>
      <w:bookmarkStart w:id="86" w:name="_Toc184312123"/>
      <w:bookmarkEnd w:id="86"/>
      <w:bookmarkStart w:id="87" w:name="_Toc184308053"/>
      <w:bookmarkEnd w:id="87"/>
      <w:bookmarkStart w:id="88" w:name="_Toc184312104"/>
      <w:bookmarkEnd w:id="88"/>
      <w:bookmarkStart w:id="89" w:name="_Toc184310290"/>
      <w:bookmarkEnd w:id="89"/>
      <w:bookmarkStart w:id="90" w:name="_Toc184310334"/>
      <w:bookmarkEnd w:id="90"/>
      <w:bookmarkStart w:id="91" w:name="_Toc184308078"/>
      <w:bookmarkEnd w:id="91"/>
      <w:bookmarkStart w:id="92" w:name="_Toc184313268"/>
      <w:bookmarkEnd w:id="92"/>
      <w:bookmarkStart w:id="93" w:name="_Toc184310317"/>
      <w:bookmarkEnd w:id="93"/>
      <w:bookmarkStart w:id="94" w:name="_Toc184314473"/>
      <w:bookmarkEnd w:id="94"/>
      <w:bookmarkStart w:id="95" w:name="_Toc184308069"/>
      <w:bookmarkEnd w:id="95"/>
      <w:bookmarkStart w:id="96" w:name="_Toc184314474"/>
      <w:bookmarkEnd w:id="96"/>
      <w:bookmarkStart w:id="97" w:name="_Toc184313267"/>
      <w:bookmarkEnd w:id="97"/>
      <w:bookmarkStart w:id="98" w:name="_Toc184313272"/>
      <w:bookmarkEnd w:id="98"/>
      <w:bookmarkStart w:id="99" w:name="_Toc184314434"/>
      <w:bookmarkEnd w:id="99"/>
      <w:bookmarkStart w:id="100" w:name="_Toc184312121"/>
      <w:bookmarkEnd w:id="100"/>
      <w:bookmarkStart w:id="101" w:name="_Toc184310292"/>
      <w:bookmarkEnd w:id="101"/>
      <w:bookmarkStart w:id="102" w:name="_Toc184314449"/>
      <w:bookmarkEnd w:id="102"/>
      <w:bookmarkStart w:id="103" w:name="_Toc184310341"/>
      <w:bookmarkEnd w:id="103"/>
      <w:bookmarkStart w:id="104" w:name="_Toc184312068"/>
      <w:bookmarkEnd w:id="104"/>
      <w:bookmarkStart w:id="105" w:name="_Toc184310280"/>
      <w:bookmarkEnd w:id="105"/>
      <w:bookmarkStart w:id="106" w:name="_Toc184314480"/>
      <w:bookmarkEnd w:id="106"/>
      <w:bookmarkStart w:id="107" w:name="_Toc184310285"/>
      <w:bookmarkEnd w:id="107"/>
      <w:bookmarkStart w:id="108" w:name="_Toc184312107"/>
      <w:bookmarkEnd w:id="108"/>
      <w:bookmarkStart w:id="109" w:name="_Toc184314457"/>
      <w:bookmarkEnd w:id="109"/>
      <w:bookmarkStart w:id="110" w:name="_Toc184313296"/>
      <w:bookmarkEnd w:id="110"/>
      <w:bookmarkStart w:id="111" w:name="_Toc184313292"/>
      <w:bookmarkEnd w:id="111"/>
      <w:bookmarkStart w:id="112" w:name="_Toc184313283"/>
      <w:bookmarkEnd w:id="112"/>
      <w:bookmarkStart w:id="113" w:name="_Toc184310274"/>
      <w:bookmarkEnd w:id="113"/>
      <w:bookmarkStart w:id="114" w:name="_Toc184308103"/>
      <w:bookmarkEnd w:id="114"/>
      <w:bookmarkStart w:id="115" w:name="_Toc184313294"/>
      <w:bookmarkEnd w:id="115"/>
      <w:bookmarkStart w:id="116" w:name="_Toc184312074"/>
      <w:bookmarkEnd w:id="116"/>
      <w:bookmarkStart w:id="117" w:name="_Toc184308100"/>
      <w:bookmarkEnd w:id="117"/>
      <w:bookmarkStart w:id="118" w:name="_Toc184310288"/>
      <w:bookmarkEnd w:id="118"/>
      <w:bookmarkStart w:id="119" w:name="_Toc184314451"/>
      <w:bookmarkEnd w:id="119"/>
      <w:bookmarkStart w:id="120" w:name="_Toc184313277"/>
      <w:bookmarkEnd w:id="120"/>
      <w:bookmarkStart w:id="121" w:name="_Toc184310338"/>
      <w:bookmarkEnd w:id="121"/>
      <w:bookmarkStart w:id="122" w:name="_Toc184308090"/>
      <w:bookmarkEnd w:id="122"/>
      <w:bookmarkStart w:id="123" w:name="_Toc184314448"/>
      <w:bookmarkEnd w:id="123"/>
      <w:bookmarkStart w:id="124" w:name="_Toc184308076"/>
      <w:bookmarkEnd w:id="124"/>
      <w:bookmarkStart w:id="125" w:name="_Toc184313301"/>
      <w:bookmarkEnd w:id="125"/>
      <w:bookmarkStart w:id="126" w:name="_Toc184308067"/>
      <w:bookmarkEnd w:id="126"/>
      <w:bookmarkStart w:id="127" w:name="_Toc184308074"/>
      <w:bookmarkEnd w:id="127"/>
      <w:bookmarkStart w:id="128" w:name="_Toc184310277"/>
      <w:bookmarkEnd w:id="128"/>
      <w:bookmarkStart w:id="129" w:name="_Toc184314418"/>
      <w:bookmarkEnd w:id="129"/>
      <w:bookmarkStart w:id="130" w:name="_Toc184312079"/>
      <w:bookmarkEnd w:id="130"/>
      <w:bookmarkStart w:id="131" w:name="_Toc184313281"/>
      <w:bookmarkEnd w:id="131"/>
      <w:bookmarkStart w:id="132" w:name="_Toc184313238"/>
      <w:bookmarkEnd w:id="132"/>
      <w:bookmarkStart w:id="133" w:name="_Toc184313271"/>
      <w:bookmarkEnd w:id="133"/>
      <w:bookmarkStart w:id="134" w:name="_Toc184313246"/>
      <w:bookmarkEnd w:id="134"/>
      <w:bookmarkStart w:id="135" w:name="_Toc184308094"/>
      <w:bookmarkEnd w:id="135"/>
      <w:bookmarkStart w:id="136" w:name="_Toc184314481"/>
      <w:bookmarkEnd w:id="136"/>
      <w:bookmarkStart w:id="137" w:name="_Toc184314464"/>
      <w:bookmarkEnd w:id="137"/>
      <w:bookmarkStart w:id="138" w:name="_Toc184310304"/>
      <w:bookmarkEnd w:id="138"/>
      <w:bookmarkStart w:id="139" w:name="_Toc184310289"/>
      <w:bookmarkEnd w:id="139"/>
      <w:bookmarkStart w:id="140" w:name="_Toc184310320"/>
      <w:bookmarkEnd w:id="140"/>
      <w:bookmarkStart w:id="141" w:name="_Toc184310295"/>
      <w:bookmarkEnd w:id="141"/>
      <w:bookmarkStart w:id="142" w:name="_Toc184314420"/>
      <w:bookmarkEnd w:id="142"/>
      <w:bookmarkStart w:id="143" w:name="_Toc184308098"/>
      <w:bookmarkEnd w:id="143"/>
      <w:bookmarkStart w:id="144" w:name="_Toc184314410"/>
      <w:bookmarkEnd w:id="144"/>
      <w:bookmarkStart w:id="145" w:name="_Toc184312081"/>
      <w:bookmarkEnd w:id="145"/>
      <w:bookmarkStart w:id="146" w:name="_Toc184308095"/>
      <w:bookmarkEnd w:id="146"/>
      <w:bookmarkStart w:id="147" w:name="_Toc184313295"/>
      <w:bookmarkEnd w:id="147"/>
      <w:bookmarkStart w:id="148" w:name="_Toc184312115"/>
      <w:bookmarkEnd w:id="148"/>
      <w:bookmarkStart w:id="149" w:name="_Toc184312112"/>
      <w:bookmarkEnd w:id="149"/>
      <w:bookmarkStart w:id="150" w:name="_Toc184310281"/>
      <w:bookmarkEnd w:id="150"/>
      <w:bookmarkStart w:id="151" w:name="_Toc184313276"/>
      <w:bookmarkEnd w:id="151"/>
      <w:bookmarkStart w:id="152" w:name="_Toc184314479"/>
      <w:bookmarkEnd w:id="152"/>
      <w:bookmarkStart w:id="153" w:name="_Toc184312083"/>
      <w:bookmarkEnd w:id="153"/>
      <w:bookmarkStart w:id="154" w:name="_Toc184312124"/>
      <w:bookmarkEnd w:id="154"/>
      <w:bookmarkStart w:id="155" w:name="_Toc184313302"/>
      <w:bookmarkEnd w:id="155"/>
      <w:bookmarkStart w:id="156" w:name="_Toc184310273"/>
      <w:bookmarkEnd w:id="156"/>
      <w:bookmarkStart w:id="157" w:name="_Toc184310284"/>
      <w:bookmarkEnd w:id="157"/>
      <w:bookmarkStart w:id="158" w:name="_Toc184308082"/>
      <w:bookmarkEnd w:id="158"/>
      <w:bookmarkStart w:id="159" w:name="_Toc184313303"/>
      <w:bookmarkEnd w:id="159"/>
      <w:bookmarkStart w:id="160" w:name="_Toc184308057"/>
      <w:bookmarkEnd w:id="160"/>
      <w:bookmarkStart w:id="161" w:name="_Toc184310291"/>
      <w:bookmarkEnd w:id="161"/>
      <w:bookmarkStart w:id="162" w:name="_Toc184312130"/>
      <w:bookmarkEnd w:id="162"/>
      <w:bookmarkStart w:id="163" w:name="_Toc184312100"/>
      <w:bookmarkEnd w:id="163"/>
      <w:bookmarkStart w:id="164" w:name="_Toc184313278"/>
      <w:bookmarkEnd w:id="164"/>
      <w:bookmarkStart w:id="165" w:name="_Toc184313252"/>
      <w:bookmarkEnd w:id="165"/>
      <w:bookmarkStart w:id="166" w:name="_Toc184312109"/>
      <w:bookmarkEnd w:id="166"/>
      <w:bookmarkStart w:id="167" w:name="_Toc184308065"/>
      <w:bookmarkEnd w:id="167"/>
      <w:bookmarkStart w:id="168" w:name="_Toc184313256"/>
      <w:bookmarkEnd w:id="168"/>
      <w:bookmarkStart w:id="169" w:name="_Toc184310299"/>
      <w:bookmarkEnd w:id="169"/>
      <w:bookmarkStart w:id="170" w:name="_Toc184314477"/>
      <w:bookmarkEnd w:id="170"/>
      <w:bookmarkStart w:id="171" w:name="_Toc184308087"/>
      <w:bookmarkEnd w:id="171"/>
      <w:bookmarkStart w:id="172" w:name="_Toc184313308"/>
      <w:bookmarkEnd w:id="172"/>
      <w:bookmarkStart w:id="173" w:name="_Toc184310318"/>
      <w:bookmarkEnd w:id="173"/>
      <w:bookmarkStart w:id="174" w:name="_Toc184313251"/>
      <w:bookmarkEnd w:id="174"/>
      <w:bookmarkStart w:id="175" w:name="_Toc184314440"/>
      <w:bookmarkEnd w:id="175"/>
      <w:bookmarkStart w:id="176" w:name="_Toc184310327"/>
      <w:bookmarkEnd w:id="176"/>
      <w:bookmarkStart w:id="177" w:name="_Toc184312103"/>
      <w:bookmarkEnd w:id="177"/>
      <w:bookmarkStart w:id="178" w:name="_Toc184310293"/>
      <w:bookmarkEnd w:id="178"/>
      <w:bookmarkStart w:id="179" w:name="_Toc184312122"/>
      <w:bookmarkEnd w:id="179"/>
      <w:bookmarkStart w:id="180" w:name="_Toc184314463"/>
      <w:bookmarkEnd w:id="180"/>
      <w:bookmarkStart w:id="181" w:name="_Toc184313285"/>
      <w:bookmarkEnd w:id="181"/>
      <w:bookmarkStart w:id="182" w:name="_Toc184310329"/>
      <w:bookmarkEnd w:id="182"/>
      <w:bookmarkStart w:id="183" w:name="_Toc184314465"/>
      <w:bookmarkEnd w:id="183"/>
      <w:bookmarkStart w:id="184" w:name="_Toc184308059"/>
      <w:bookmarkEnd w:id="184"/>
      <w:bookmarkStart w:id="185" w:name="_Toc184314424"/>
      <w:bookmarkEnd w:id="185"/>
      <w:bookmarkStart w:id="186" w:name="_Toc184314452"/>
      <w:bookmarkEnd w:id="186"/>
      <w:bookmarkStart w:id="187" w:name="_Toc184313247"/>
      <w:bookmarkEnd w:id="187"/>
      <w:bookmarkStart w:id="188" w:name="_Toc184308093"/>
      <w:bookmarkEnd w:id="188"/>
      <w:bookmarkStart w:id="189" w:name="_Toc184310308"/>
      <w:bookmarkEnd w:id="189"/>
      <w:bookmarkStart w:id="190" w:name="_Toc184310330"/>
      <w:bookmarkEnd w:id="190"/>
      <w:bookmarkStart w:id="191" w:name="_Toc184308060"/>
      <w:bookmarkEnd w:id="191"/>
      <w:bookmarkStart w:id="192" w:name="_Toc184312076"/>
      <w:bookmarkEnd w:id="192"/>
      <w:bookmarkStart w:id="193" w:name="_Toc184313254"/>
      <w:bookmarkEnd w:id="193"/>
      <w:bookmarkStart w:id="194" w:name="_Toc184313260"/>
      <w:bookmarkEnd w:id="194"/>
      <w:bookmarkStart w:id="195" w:name="_Toc184308036"/>
      <w:bookmarkEnd w:id="195"/>
      <w:bookmarkStart w:id="196" w:name="_Toc184312087"/>
      <w:bookmarkEnd w:id="196"/>
      <w:bookmarkStart w:id="197" w:name="_Toc184310311"/>
      <w:bookmarkEnd w:id="197"/>
      <w:bookmarkStart w:id="198" w:name="_Toc184313265"/>
      <w:bookmarkEnd w:id="198"/>
      <w:bookmarkStart w:id="199" w:name="_Toc184308104"/>
      <w:bookmarkEnd w:id="199"/>
      <w:bookmarkStart w:id="200" w:name="_Toc184314461"/>
      <w:bookmarkEnd w:id="200"/>
      <w:bookmarkStart w:id="201" w:name="_Toc184314414"/>
      <w:bookmarkEnd w:id="201"/>
      <w:bookmarkStart w:id="202" w:name="_Toc184310326"/>
      <w:bookmarkEnd w:id="202"/>
      <w:bookmarkStart w:id="203" w:name="_Toc184312131"/>
      <w:bookmarkEnd w:id="203"/>
      <w:bookmarkStart w:id="204" w:name="_Toc184314467"/>
      <w:bookmarkEnd w:id="204"/>
      <w:bookmarkStart w:id="205" w:name="_Toc184310302"/>
      <w:bookmarkEnd w:id="205"/>
      <w:bookmarkStart w:id="206" w:name="_Toc184312069"/>
      <w:bookmarkEnd w:id="206"/>
      <w:bookmarkStart w:id="207" w:name="_Toc184313270"/>
      <w:bookmarkEnd w:id="207"/>
      <w:bookmarkStart w:id="208" w:name="_Toc184308085"/>
      <w:bookmarkEnd w:id="208"/>
      <w:bookmarkStart w:id="209" w:name="_Toc184312093"/>
      <w:bookmarkEnd w:id="209"/>
      <w:bookmarkStart w:id="210" w:name="_Toc184312132"/>
      <w:bookmarkEnd w:id="210"/>
      <w:bookmarkStart w:id="211" w:name="_Toc184314438"/>
      <w:bookmarkEnd w:id="211"/>
      <w:bookmarkStart w:id="212" w:name="_Toc184314433"/>
      <w:bookmarkEnd w:id="212"/>
      <w:bookmarkStart w:id="213" w:name="_Toc184308107"/>
      <w:bookmarkEnd w:id="213"/>
      <w:bookmarkStart w:id="214" w:name="_Toc184308075"/>
      <w:bookmarkEnd w:id="214"/>
      <w:bookmarkStart w:id="215" w:name="_Toc184312127"/>
      <w:bookmarkEnd w:id="215"/>
      <w:bookmarkStart w:id="216" w:name="_Toc184314413"/>
      <w:bookmarkEnd w:id="216"/>
      <w:bookmarkStart w:id="217" w:name="_Toc184310298"/>
      <w:bookmarkEnd w:id="217"/>
      <w:bookmarkStart w:id="218" w:name="_Toc184312078"/>
      <w:bookmarkEnd w:id="218"/>
      <w:bookmarkStart w:id="219" w:name="_Toc184314422"/>
      <w:bookmarkEnd w:id="219"/>
      <w:bookmarkStart w:id="220" w:name="_Toc184308088"/>
      <w:bookmarkEnd w:id="220"/>
      <w:bookmarkStart w:id="221" w:name="_Toc184308070"/>
      <w:bookmarkEnd w:id="221"/>
      <w:bookmarkStart w:id="222" w:name="_Toc184312139"/>
      <w:bookmarkEnd w:id="222"/>
      <w:bookmarkStart w:id="223" w:name="_Toc184314444"/>
      <w:bookmarkEnd w:id="223"/>
      <w:bookmarkStart w:id="224" w:name="_Toc184313262"/>
      <w:bookmarkEnd w:id="224"/>
      <w:bookmarkStart w:id="225" w:name="_Toc184308101"/>
      <w:bookmarkEnd w:id="225"/>
      <w:bookmarkStart w:id="226" w:name="_Toc184314471"/>
      <w:bookmarkEnd w:id="226"/>
      <w:bookmarkStart w:id="227" w:name="_Toc184313275"/>
      <w:bookmarkEnd w:id="227"/>
      <w:bookmarkStart w:id="228" w:name="_Toc184308080"/>
      <w:bookmarkEnd w:id="228"/>
      <w:bookmarkStart w:id="229" w:name="_Toc184313279"/>
      <w:bookmarkEnd w:id="229"/>
      <w:bookmarkStart w:id="230" w:name="_Toc184312094"/>
      <w:bookmarkEnd w:id="230"/>
      <w:bookmarkStart w:id="231" w:name="_Toc184314436"/>
      <w:bookmarkEnd w:id="231"/>
      <w:bookmarkStart w:id="232" w:name="_Toc184312101"/>
      <w:bookmarkEnd w:id="232"/>
      <w:bookmarkStart w:id="233" w:name="_Toc184314482"/>
      <w:bookmarkEnd w:id="233"/>
      <w:bookmarkStart w:id="234" w:name="_Toc184310313"/>
      <w:bookmarkEnd w:id="234"/>
      <w:bookmarkStart w:id="235" w:name="_Toc184314450"/>
      <w:bookmarkEnd w:id="235"/>
      <w:bookmarkStart w:id="236" w:name="_Toc184314425"/>
      <w:bookmarkEnd w:id="236"/>
      <w:bookmarkStart w:id="237" w:name="_Toc184312114"/>
      <w:bookmarkEnd w:id="237"/>
      <w:bookmarkStart w:id="238" w:name="_Toc184314460"/>
      <w:bookmarkEnd w:id="238"/>
      <w:bookmarkStart w:id="239" w:name="_Toc184308092"/>
      <w:bookmarkEnd w:id="239"/>
      <w:bookmarkStart w:id="240" w:name="_Toc184308064"/>
      <w:bookmarkEnd w:id="240"/>
      <w:bookmarkStart w:id="241" w:name="_Toc184310272"/>
      <w:bookmarkEnd w:id="241"/>
      <w:bookmarkStart w:id="242" w:name="_Toc184312111"/>
      <w:bookmarkEnd w:id="242"/>
      <w:bookmarkStart w:id="243" w:name="_Toc184308061"/>
      <w:bookmarkEnd w:id="243"/>
      <w:bookmarkStart w:id="244" w:name="_Toc184310324"/>
      <w:bookmarkEnd w:id="244"/>
      <w:bookmarkStart w:id="245" w:name="_Toc184310323"/>
      <w:bookmarkEnd w:id="245"/>
      <w:bookmarkStart w:id="246" w:name="_Toc184308077"/>
      <w:bookmarkEnd w:id="246"/>
      <w:bookmarkStart w:id="247" w:name="_Toc184312086"/>
      <w:bookmarkEnd w:id="247"/>
      <w:bookmarkStart w:id="248" w:name="_Toc184310287"/>
      <w:bookmarkEnd w:id="248"/>
      <w:bookmarkStart w:id="249" w:name="_Toc184313261"/>
      <w:bookmarkEnd w:id="249"/>
      <w:bookmarkStart w:id="250" w:name="_Toc184313289"/>
      <w:bookmarkEnd w:id="250"/>
      <w:bookmarkStart w:id="251" w:name="_Toc184308108"/>
      <w:bookmarkEnd w:id="251"/>
      <w:bookmarkStart w:id="252" w:name="_Toc184308044"/>
      <w:bookmarkEnd w:id="252"/>
      <w:bookmarkStart w:id="253" w:name="_Toc184314442"/>
      <w:bookmarkEnd w:id="253"/>
      <w:bookmarkStart w:id="254" w:name="_Toc184310279"/>
      <w:bookmarkEnd w:id="254"/>
      <w:bookmarkStart w:id="255" w:name="_Toc184312099"/>
      <w:bookmarkEnd w:id="255"/>
      <w:bookmarkStart w:id="256" w:name="_Toc184313307"/>
      <w:bookmarkEnd w:id="256"/>
      <w:bookmarkStart w:id="257" w:name="_Toc184310296"/>
      <w:bookmarkEnd w:id="257"/>
      <w:bookmarkStart w:id="258" w:name="_Toc184312138"/>
      <w:bookmarkEnd w:id="258"/>
      <w:bookmarkStart w:id="259" w:name="_Toc184312102"/>
      <w:bookmarkEnd w:id="259"/>
      <w:bookmarkStart w:id="260" w:name="_Toc184308099"/>
      <w:bookmarkEnd w:id="260"/>
      <w:bookmarkStart w:id="261" w:name="_Toc184314441"/>
      <w:bookmarkEnd w:id="261"/>
      <w:bookmarkStart w:id="262" w:name="_Toc184313242"/>
      <w:bookmarkEnd w:id="262"/>
      <w:bookmarkStart w:id="263" w:name="_Toc184308042"/>
      <w:bookmarkEnd w:id="263"/>
      <w:bookmarkStart w:id="264" w:name="_Toc184313288"/>
      <w:bookmarkEnd w:id="264"/>
      <w:bookmarkStart w:id="265" w:name="_Toc184314455"/>
      <w:bookmarkEnd w:id="265"/>
      <w:bookmarkStart w:id="266" w:name="_Toc184314430"/>
      <w:bookmarkEnd w:id="266"/>
      <w:bookmarkStart w:id="267" w:name="_Toc184310319"/>
      <w:bookmarkEnd w:id="267"/>
      <w:bookmarkStart w:id="268" w:name="_Toc184308096"/>
      <w:bookmarkEnd w:id="268"/>
      <w:bookmarkStart w:id="269" w:name="_Toc184312136"/>
      <w:bookmarkEnd w:id="269"/>
      <w:bookmarkStart w:id="270" w:name="_Toc184310307"/>
      <w:bookmarkEnd w:id="270"/>
      <w:bookmarkStart w:id="271" w:name="_Toc184308105"/>
      <w:bookmarkEnd w:id="271"/>
      <w:bookmarkStart w:id="272" w:name="_Toc184314470"/>
      <w:bookmarkEnd w:id="272"/>
      <w:bookmarkStart w:id="273" w:name="_Toc184310297"/>
      <w:bookmarkEnd w:id="273"/>
      <w:bookmarkStart w:id="274" w:name="_Toc184312088"/>
      <w:bookmarkEnd w:id="274"/>
      <w:bookmarkStart w:id="275" w:name="_Toc184314419"/>
      <w:bookmarkEnd w:id="275"/>
      <w:bookmarkStart w:id="276" w:name="_Toc184308037"/>
      <w:bookmarkEnd w:id="276"/>
      <w:bookmarkStart w:id="277" w:name="_Toc184308068"/>
      <w:bookmarkEnd w:id="277"/>
      <w:bookmarkStart w:id="278" w:name="_Toc184310336"/>
      <w:bookmarkEnd w:id="278"/>
      <w:bookmarkStart w:id="279" w:name="_Toc184308084"/>
      <w:bookmarkEnd w:id="279"/>
      <w:bookmarkStart w:id="280" w:name="_Toc184313280"/>
      <w:bookmarkEnd w:id="280"/>
      <w:bookmarkStart w:id="281" w:name="_Toc184310282"/>
      <w:bookmarkEnd w:id="281"/>
      <w:bookmarkStart w:id="282" w:name="_Toc184312096"/>
      <w:bookmarkEnd w:id="282"/>
      <w:bookmarkStart w:id="283" w:name="_Toc184308051"/>
      <w:bookmarkEnd w:id="283"/>
      <w:bookmarkStart w:id="284" w:name="_Toc184308056"/>
      <w:bookmarkEnd w:id="284"/>
      <w:bookmarkStart w:id="285" w:name="_Toc184313255"/>
      <w:bookmarkEnd w:id="285"/>
      <w:bookmarkStart w:id="286" w:name="_Toc184308058"/>
      <w:bookmarkEnd w:id="286"/>
      <w:bookmarkStart w:id="287" w:name="_Toc184310294"/>
      <w:bookmarkEnd w:id="287"/>
      <w:bookmarkStart w:id="288" w:name="_Toc184310335"/>
      <w:bookmarkEnd w:id="288"/>
      <w:bookmarkStart w:id="289" w:name="_Toc184308045"/>
      <w:bookmarkEnd w:id="289"/>
      <w:bookmarkStart w:id="290" w:name="_Toc184313258"/>
      <w:bookmarkEnd w:id="290"/>
      <w:bookmarkStart w:id="291" w:name="_Toc184314432"/>
      <w:bookmarkEnd w:id="291"/>
      <w:bookmarkStart w:id="292" w:name="_Toc184312090"/>
      <w:bookmarkEnd w:id="292"/>
      <w:bookmarkStart w:id="293" w:name="_Toc184308048"/>
      <w:bookmarkEnd w:id="293"/>
      <w:bookmarkStart w:id="294" w:name="_Toc184308047"/>
      <w:bookmarkEnd w:id="294"/>
      <w:bookmarkStart w:id="295" w:name="_Toc184312073"/>
      <w:bookmarkEnd w:id="295"/>
      <w:bookmarkStart w:id="296" w:name="_Toc184308062"/>
      <w:bookmarkEnd w:id="296"/>
      <w:bookmarkStart w:id="297" w:name="_Toc184310331"/>
      <w:bookmarkEnd w:id="297"/>
      <w:bookmarkStart w:id="298" w:name="_Toc184312125"/>
      <w:bookmarkEnd w:id="298"/>
      <w:bookmarkStart w:id="299" w:name="_Toc184314417"/>
      <w:bookmarkEnd w:id="299"/>
      <w:bookmarkStart w:id="300" w:name="_Toc184310276"/>
      <w:bookmarkEnd w:id="300"/>
      <w:bookmarkStart w:id="301" w:name="_Toc184313293"/>
      <w:bookmarkEnd w:id="301"/>
      <w:bookmarkStart w:id="302" w:name="_Toc184314412"/>
      <w:bookmarkEnd w:id="302"/>
      <w:bookmarkStart w:id="303" w:name="_Toc184313274"/>
      <w:bookmarkEnd w:id="303"/>
      <w:bookmarkStart w:id="304" w:name="_Toc184313243"/>
      <w:bookmarkEnd w:id="304"/>
      <w:bookmarkStart w:id="305" w:name="_Toc184313290"/>
      <w:bookmarkEnd w:id="305"/>
      <w:bookmarkStart w:id="306" w:name="_Toc184312117"/>
      <w:bookmarkEnd w:id="306"/>
      <w:bookmarkStart w:id="307" w:name="_Toc184314421"/>
      <w:bookmarkEnd w:id="307"/>
      <w:bookmarkStart w:id="308" w:name="_Toc184313309"/>
      <w:bookmarkEnd w:id="308"/>
      <w:bookmarkStart w:id="309" w:name="_Toc184313239"/>
      <w:bookmarkEnd w:id="309"/>
      <w:bookmarkStart w:id="310" w:name="_Toc184308091"/>
      <w:bookmarkEnd w:id="310"/>
      <w:bookmarkStart w:id="311" w:name="_Toc184310337"/>
      <w:bookmarkEnd w:id="311"/>
      <w:bookmarkStart w:id="312" w:name="_Toc184313282"/>
      <w:bookmarkEnd w:id="312"/>
      <w:bookmarkStart w:id="313" w:name="_Toc184314429"/>
      <w:bookmarkEnd w:id="313"/>
      <w:bookmarkStart w:id="314" w:name="_Toc184310315"/>
      <w:bookmarkEnd w:id="314"/>
      <w:bookmarkStart w:id="315" w:name="_Toc184312075"/>
      <w:bookmarkEnd w:id="315"/>
      <w:bookmarkStart w:id="316" w:name="_Toc184310283"/>
      <w:bookmarkEnd w:id="316"/>
      <w:bookmarkStart w:id="317" w:name="_Toc184308097"/>
      <w:bookmarkEnd w:id="317"/>
      <w:bookmarkStart w:id="318" w:name="_Toc184308071"/>
      <w:bookmarkEnd w:id="318"/>
      <w:bookmarkStart w:id="319" w:name="_Toc184310332"/>
      <w:bookmarkEnd w:id="319"/>
      <w:bookmarkStart w:id="320" w:name="_Toc184310312"/>
      <w:bookmarkEnd w:id="320"/>
      <w:bookmarkStart w:id="321" w:name="_Toc184313273"/>
      <w:bookmarkEnd w:id="321"/>
      <w:bookmarkStart w:id="322" w:name="_Toc184308066"/>
      <w:bookmarkEnd w:id="322"/>
      <w:bookmarkStart w:id="323" w:name="_Toc184310286"/>
      <w:bookmarkEnd w:id="323"/>
      <w:bookmarkStart w:id="324" w:name="_Toc184308052"/>
      <w:bookmarkEnd w:id="324"/>
      <w:bookmarkStart w:id="325" w:name="_Toc184313250"/>
      <w:bookmarkEnd w:id="325"/>
      <w:bookmarkStart w:id="326" w:name="_Toc184314466"/>
      <w:bookmarkEnd w:id="326"/>
      <w:bookmarkStart w:id="327" w:name="_Toc184310344"/>
      <w:bookmarkEnd w:id="327"/>
      <w:bookmarkStart w:id="328" w:name="_Toc184313240"/>
      <w:bookmarkEnd w:id="328"/>
      <w:bookmarkStart w:id="329" w:name="_Toc184308063"/>
      <w:bookmarkEnd w:id="329"/>
      <w:bookmarkStart w:id="330" w:name="_Toc184312089"/>
      <w:bookmarkEnd w:id="330"/>
      <w:bookmarkStart w:id="331" w:name="_Toc184310322"/>
      <w:bookmarkEnd w:id="331"/>
      <w:bookmarkStart w:id="332" w:name="_Toc184308049"/>
      <w:bookmarkEnd w:id="332"/>
      <w:bookmarkStart w:id="333" w:name="_Toc184314459"/>
      <w:bookmarkEnd w:id="333"/>
      <w:bookmarkStart w:id="334" w:name="_Toc184308089"/>
      <w:bookmarkEnd w:id="334"/>
      <w:bookmarkStart w:id="335" w:name="_Toc184314437"/>
      <w:bookmarkEnd w:id="335"/>
      <w:bookmarkStart w:id="336" w:name="_Toc184308039"/>
      <w:bookmarkEnd w:id="336"/>
      <w:bookmarkStart w:id="337" w:name="_Toc184314415"/>
      <w:bookmarkEnd w:id="337"/>
      <w:bookmarkStart w:id="338" w:name="_Toc184314454"/>
      <w:bookmarkEnd w:id="338"/>
      <w:bookmarkStart w:id="339" w:name="_Toc184312129"/>
      <w:bookmarkEnd w:id="339"/>
      <w:bookmarkStart w:id="340" w:name="_Toc184312070"/>
      <w:bookmarkEnd w:id="340"/>
      <w:bookmarkStart w:id="341" w:name="_Toc184313304"/>
      <w:bookmarkEnd w:id="341"/>
      <w:bookmarkStart w:id="342" w:name="_Toc184313291"/>
      <w:bookmarkEnd w:id="342"/>
      <w:bookmarkStart w:id="343" w:name="_Toc184310340"/>
      <w:bookmarkEnd w:id="343"/>
      <w:bookmarkStart w:id="344" w:name="_Toc184313259"/>
      <w:bookmarkEnd w:id="344"/>
      <w:bookmarkStart w:id="345" w:name="_Toc184313266"/>
      <w:bookmarkEnd w:id="345"/>
      <w:bookmarkStart w:id="346" w:name="_Toc184312106"/>
      <w:bookmarkEnd w:id="346"/>
      <w:bookmarkStart w:id="347" w:name="_Toc184312133"/>
      <w:bookmarkEnd w:id="347"/>
      <w:bookmarkStart w:id="348" w:name="_Toc184313300"/>
      <w:bookmarkEnd w:id="348"/>
      <w:bookmarkStart w:id="349" w:name="_Toc184313249"/>
      <w:bookmarkEnd w:id="349"/>
      <w:bookmarkStart w:id="350" w:name="_Toc184308040"/>
      <w:bookmarkEnd w:id="350"/>
      <w:bookmarkStart w:id="351" w:name="_Toc184314443"/>
      <w:bookmarkEnd w:id="351"/>
      <w:bookmarkStart w:id="352" w:name="_Toc184313286"/>
      <w:bookmarkEnd w:id="352"/>
      <w:bookmarkStart w:id="353" w:name="_Toc184312110"/>
      <w:bookmarkEnd w:id="353"/>
      <w:bookmarkStart w:id="354" w:name="_Toc184313310"/>
      <w:bookmarkEnd w:id="354"/>
      <w:bookmarkStart w:id="355" w:name="_Toc184314478"/>
      <w:bookmarkEnd w:id="355"/>
      <w:bookmarkStart w:id="356" w:name="_Toc184312116"/>
      <w:bookmarkEnd w:id="356"/>
      <w:bookmarkStart w:id="357" w:name="_Toc184312097"/>
      <w:bookmarkEnd w:id="357"/>
      <w:bookmarkStart w:id="358" w:name="_Toc184313263"/>
      <w:bookmarkEnd w:id="358"/>
      <w:bookmarkStart w:id="359" w:name="_Toc184310314"/>
      <w:bookmarkEnd w:id="359"/>
      <w:bookmarkStart w:id="360" w:name="_Toc184313257"/>
      <w:bookmarkEnd w:id="360"/>
      <w:bookmarkStart w:id="361" w:name="_Toc184314462"/>
      <w:bookmarkEnd w:id="361"/>
      <w:bookmarkStart w:id="362" w:name="_Toc184314445"/>
      <w:bookmarkEnd w:id="362"/>
      <w:bookmarkStart w:id="363" w:name="_Toc184308046"/>
      <w:bookmarkEnd w:id="363"/>
      <w:bookmarkStart w:id="364" w:name="_Toc184312126"/>
      <w:bookmarkEnd w:id="364"/>
      <w:bookmarkStart w:id="365" w:name="_Toc184313306"/>
      <w:bookmarkEnd w:id="365"/>
      <w:bookmarkStart w:id="366" w:name="_Toc184312084"/>
      <w:bookmarkEnd w:id="366"/>
      <w:bookmarkStart w:id="367" w:name="_Toc184310333"/>
      <w:bookmarkEnd w:id="367"/>
      <w:bookmarkStart w:id="368" w:name="_Toc184313245"/>
      <w:bookmarkEnd w:id="368"/>
      <w:bookmarkStart w:id="369" w:name="_Toc184314446"/>
      <w:bookmarkEnd w:id="369"/>
      <w:bookmarkStart w:id="370" w:name="_Toc184314458"/>
      <w:bookmarkEnd w:id="370"/>
      <w:bookmarkStart w:id="371" w:name="_Toc184312137"/>
      <w:bookmarkEnd w:id="371"/>
      <w:bookmarkStart w:id="372" w:name="_Toc184308081"/>
      <w:bookmarkEnd w:id="372"/>
      <w:bookmarkStart w:id="373" w:name="_Toc184312077"/>
      <w:bookmarkEnd w:id="373"/>
      <w:bookmarkStart w:id="374" w:name="_Toc184308073"/>
      <w:bookmarkEnd w:id="374"/>
      <w:bookmarkStart w:id="375" w:name="_Toc184308055"/>
      <w:bookmarkEnd w:id="375"/>
      <w:bookmarkStart w:id="376" w:name="_Toc184310275"/>
      <w:bookmarkEnd w:id="376"/>
      <w:bookmarkStart w:id="377" w:name="_Toc184313264"/>
      <w:bookmarkEnd w:id="377"/>
      <w:bookmarkStart w:id="378" w:name="_Toc184312134"/>
      <w:bookmarkEnd w:id="378"/>
      <w:bookmarkStart w:id="379" w:name="_Toc184308043"/>
      <w:bookmarkEnd w:id="379"/>
      <w:bookmarkStart w:id="380" w:name="_Toc184310316"/>
      <w:bookmarkEnd w:id="380"/>
      <w:bookmarkStart w:id="381" w:name="_Toc184308086"/>
      <w:bookmarkEnd w:id="381"/>
      <w:bookmarkStart w:id="382" w:name="_Toc184314427"/>
      <w:bookmarkEnd w:id="382"/>
      <w:bookmarkStart w:id="383" w:name="_Toc184314475"/>
      <w:bookmarkEnd w:id="383"/>
      <w:bookmarkStart w:id="384" w:name="_Toc184314447"/>
      <w:bookmarkEnd w:id="384"/>
      <w:bookmarkStart w:id="385" w:name="_Toc184314416"/>
      <w:bookmarkEnd w:id="385"/>
      <w:bookmarkStart w:id="386" w:name="_Toc184312092"/>
      <w:bookmarkEnd w:id="386"/>
      <w:bookmarkStart w:id="387" w:name="_Toc184308083"/>
      <w:bookmarkEnd w:id="387"/>
      <w:bookmarkStart w:id="388" w:name="_Toc184312091"/>
      <w:bookmarkEnd w:id="388"/>
      <w:bookmarkStart w:id="389" w:name="_Toc184313298"/>
      <w:bookmarkEnd w:id="389"/>
      <w:bookmarkStart w:id="390" w:name="_Toc184313248"/>
      <w:bookmarkEnd w:id="390"/>
      <w:bookmarkStart w:id="391" w:name="_Toc184308038"/>
      <w:bookmarkEnd w:id="391"/>
      <w:bookmarkStart w:id="392" w:name="_Toc184310328"/>
      <w:bookmarkEnd w:id="392"/>
      <w:bookmarkStart w:id="393" w:name="_Toc184312120"/>
      <w:bookmarkEnd w:id="393"/>
      <w:bookmarkStart w:id="394" w:name="_Toc184310278"/>
      <w:bookmarkEnd w:id="394"/>
      <w:bookmarkStart w:id="395" w:name="_Toc184310339"/>
      <w:bookmarkEnd w:id="395"/>
      <w:r>
        <w:rPr>
          <w:rFonts w:hint="eastAsia" w:ascii="宋体" w:hAnsi="宋体" w:cs="宋体"/>
          <w:b/>
          <w:color w:val="auto"/>
          <w:sz w:val="36"/>
          <w:szCs w:val="20"/>
          <w:highlight w:val="none"/>
        </w:rPr>
        <w:t xml:space="preserve"> 评审办法</w:t>
      </w:r>
    </w:p>
    <w:p w14:paraId="69C56D3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51BB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99A5F96">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6D593B32">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33B942F2">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44CD6A32">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2A5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10" w:type="dxa"/>
            <w:vAlign w:val="center"/>
          </w:tcPr>
          <w:p w14:paraId="6B704CCE">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3FA13666">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自2022年01月01日以来</w:t>
            </w:r>
            <w:r>
              <w:rPr>
                <w:rFonts w:hint="eastAsia" w:ascii="宋体" w:hAnsi="宋体" w:cs="宋体"/>
                <w:color w:val="auto"/>
                <w:sz w:val="24"/>
                <w:highlight w:val="none"/>
              </w:rPr>
              <w:t>（以竣工验收合格时间为准）</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同类项目业绩（</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提供中标通知书、合同扫描件、竣工验收记录（或竣工验收证书）</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以上证明材料，</w:t>
            </w:r>
            <w:r>
              <w:rPr>
                <w:rFonts w:hint="eastAsia" w:ascii="宋体" w:hAnsi="宋体" w:cs="宋体"/>
                <w:color w:val="auto"/>
                <w:sz w:val="24"/>
                <w:highlight w:val="none"/>
              </w:rPr>
              <w:t>缺一</w:t>
            </w:r>
            <w:r>
              <w:rPr>
                <w:rFonts w:hint="eastAsia" w:ascii="宋体" w:hAnsi="宋体" w:cs="宋体"/>
                <w:color w:val="auto"/>
                <w:sz w:val="24"/>
                <w:highlight w:val="none"/>
                <w:lang w:val="en-US" w:eastAsia="zh-CN"/>
              </w:rPr>
              <w:t>项则</w:t>
            </w:r>
            <w:r>
              <w:rPr>
                <w:rFonts w:hint="eastAsia" w:ascii="宋体" w:hAnsi="宋体" w:cs="宋体"/>
                <w:color w:val="auto"/>
                <w:sz w:val="24"/>
                <w:highlight w:val="none"/>
              </w:rPr>
              <w:t>不得分），每提供1</w:t>
            </w:r>
            <w:r>
              <w:rPr>
                <w:rFonts w:hint="eastAsia" w:ascii="宋体" w:hAnsi="宋体" w:cs="宋体"/>
                <w:color w:val="auto"/>
                <w:sz w:val="24"/>
                <w:highlight w:val="none"/>
                <w:lang w:val="en-US" w:eastAsia="zh-CN"/>
              </w:rPr>
              <w:t>个，则得1分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分（同类项目业绩指</w:t>
            </w:r>
            <w:r>
              <w:rPr>
                <w:rFonts w:hint="eastAsia" w:ascii="宋体" w:hAnsi="宋体" w:cs="宋体"/>
                <w:color w:val="auto"/>
                <w:sz w:val="24"/>
                <w:highlight w:val="none"/>
                <w:lang w:val="en-US" w:eastAsia="zh-CN"/>
              </w:rPr>
              <w:t>道路增亮提升改造工程</w:t>
            </w:r>
            <w:r>
              <w:rPr>
                <w:rFonts w:hint="eastAsia" w:ascii="宋体" w:hAnsi="宋体" w:cs="宋体"/>
                <w:color w:val="auto"/>
                <w:sz w:val="24"/>
                <w:highlight w:val="none"/>
              </w:rPr>
              <w:t>）。</w:t>
            </w:r>
          </w:p>
        </w:tc>
        <w:tc>
          <w:tcPr>
            <w:tcW w:w="793" w:type="dxa"/>
            <w:vAlign w:val="center"/>
          </w:tcPr>
          <w:p w14:paraId="6B1DC796">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60D498B2">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3CBA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10" w:type="dxa"/>
            <w:vAlign w:val="center"/>
          </w:tcPr>
          <w:p w14:paraId="4F82977E">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0C26BE7A">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拟派项目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中级及以上</w:t>
            </w:r>
            <w:r>
              <w:rPr>
                <w:rFonts w:hint="eastAsia" w:ascii="宋体" w:hAnsi="宋体" w:cs="宋体"/>
                <w:color w:val="auto"/>
                <w:sz w:val="24"/>
                <w:highlight w:val="none"/>
              </w:rPr>
              <w:t>工程师职称的得1分。注：提供202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月三个月的项目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社保证明（复印件加盖公章），否则此项不得分。</w:t>
            </w:r>
          </w:p>
        </w:tc>
        <w:tc>
          <w:tcPr>
            <w:tcW w:w="793" w:type="dxa"/>
            <w:vAlign w:val="center"/>
          </w:tcPr>
          <w:p w14:paraId="650A1838">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2B322FAF">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710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10" w:type="dxa"/>
            <w:vAlign w:val="center"/>
          </w:tcPr>
          <w:p w14:paraId="404FA8DE">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33922B71">
            <w:pPr>
              <w:snapToGrid w:val="0"/>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项目人员要求：项目管理班子其他人员配置：技术负责人、安全员、施工员、质量员、测量员配置齐全的，得5分，每缺一项扣1分，本项分值扣完为止；</w:t>
            </w:r>
          </w:p>
          <w:p w14:paraId="63D00279">
            <w:pPr>
              <w:snapToGrid w:val="0"/>
              <w:outlineLvl w:val="0"/>
              <w:rPr>
                <w:rFonts w:ascii="宋体" w:hAnsi="宋体" w:cs="宋体"/>
                <w:color w:val="auto"/>
                <w:sz w:val="24"/>
                <w:highlight w:val="none"/>
              </w:rPr>
            </w:pPr>
            <w:r>
              <w:rPr>
                <w:rFonts w:hint="eastAsia" w:ascii="宋体" w:hAnsi="宋体" w:cs="宋体"/>
                <w:color w:val="auto"/>
                <w:sz w:val="24"/>
                <w:highlight w:val="none"/>
              </w:rPr>
              <w:t>注：以上人员均须提供202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月三个月的社保证明（复印件加盖公章），否则此项不得分。</w:t>
            </w:r>
          </w:p>
        </w:tc>
        <w:tc>
          <w:tcPr>
            <w:tcW w:w="793" w:type="dxa"/>
            <w:vAlign w:val="center"/>
          </w:tcPr>
          <w:p w14:paraId="7938CD23">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shd w:val="clear" w:color="auto" w:fill="auto"/>
            <w:vAlign w:val="center"/>
          </w:tcPr>
          <w:p w14:paraId="255F68CE">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7837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10091395">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97" w:type="dxa"/>
            <w:vAlign w:val="center"/>
          </w:tcPr>
          <w:p w14:paraId="252A59A7">
            <w:pPr>
              <w:snapToGrid w:val="0"/>
              <w:ind w:left="0" w:leftChars="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整体施工方案是否全面、科学、合理</w:t>
            </w:r>
            <w:r>
              <w:rPr>
                <w:rFonts w:hint="eastAsia" w:ascii="宋体" w:hAnsi="宋体" w:eastAsia="宋体" w:cs="宋体"/>
                <w:color w:val="auto"/>
                <w:sz w:val="24"/>
                <w:highlight w:val="none"/>
                <w:lang w:eastAsia="zh-CN"/>
              </w:rPr>
              <w:t>：</w:t>
            </w:r>
          </w:p>
          <w:p w14:paraId="197D9FF5">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1）施工方案全面、合理，具有明确的针对性及可操作性的得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14:paraId="5C6C8D0D">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2）施工方案全面性及合理性较好，针对性及可操作性满足要求，各项施工措施可保障项目实施的得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14:paraId="7E99D734">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3）施工方案全面性及合理性一般，针对性及可操作性基本满足要求，各项施工措施基本保障项目实施的得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14:paraId="316A45BC">
            <w:pPr>
              <w:snapToGrid w:val="0"/>
              <w:jc w:val="left"/>
              <w:outlineLvl w:val="0"/>
              <w:rPr>
                <w:rFonts w:hint="eastAsia" w:ascii="宋体" w:hAnsi="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未提供的不得分。</w:t>
            </w:r>
          </w:p>
        </w:tc>
        <w:tc>
          <w:tcPr>
            <w:tcW w:w="793" w:type="dxa"/>
            <w:vAlign w:val="center"/>
          </w:tcPr>
          <w:p w14:paraId="0E077821">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2133" w:type="dxa"/>
            <w:vAlign w:val="center"/>
          </w:tcPr>
          <w:p w14:paraId="4E7ECD6A">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r>
      <w:tr w14:paraId="18EB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502DBD79">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897" w:type="dxa"/>
            <w:vAlign w:val="center"/>
          </w:tcPr>
          <w:p w14:paraId="017204B7">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评委根据投标人提供的施工质量方案措施的完整性、科学性、严谨性进行综合评审：</w:t>
            </w:r>
          </w:p>
          <w:p w14:paraId="538500D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1.施工质量方案科学、完整、详细，具有针对本项目的有效质量保障措施得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477CD26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2.施工质量方案内容完整，具有一定有效的一定保障措施得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46898F6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3.施工质量方案缺少实质内容，与项目有偏差，质量保障措施效果一般</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02207CD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4.未提供不得分</w:t>
            </w:r>
          </w:p>
        </w:tc>
        <w:tc>
          <w:tcPr>
            <w:tcW w:w="793" w:type="dxa"/>
            <w:shd w:val="clear" w:color="auto" w:fill="auto"/>
            <w:vAlign w:val="center"/>
          </w:tcPr>
          <w:p w14:paraId="6F786C7C">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4A470C28">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FB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637D228">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97" w:type="dxa"/>
            <w:vAlign w:val="center"/>
          </w:tcPr>
          <w:p w14:paraId="6A6E73F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磋商供应商安全文明施工措施的完整性、合理性评价,包括对施工现场的材料堆场、施工通道的安排，对消防安全的保证措施等。</w:t>
            </w:r>
          </w:p>
          <w:p w14:paraId="34EBD437">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54865CF9">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3F6A21F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6B882FC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13E2436">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23102FD4">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21B2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DEAEDB5">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97" w:type="dxa"/>
            <w:vAlign w:val="center"/>
          </w:tcPr>
          <w:p w14:paraId="763FF2F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供应商对针对非施工区域的保护及安全防护措施等。</w:t>
            </w:r>
          </w:p>
          <w:p w14:paraId="62A8EAF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3827B43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5C1BDEF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7FDCB30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36F4E635">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5945293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6D3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2ABDBC2C">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97" w:type="dxa"/>
            <w:vAlign w:val="center"/>
          </w:tcPr>
          <w:p w14:paraId="6BA3E2D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磋商供应商工期承诺和进度控制措施方案的评价，评价因素包括工期以及进度计划满足程度、合理性及保证措施的可行性。</w:t>
            </w:r>
          </w:p>
          <w:p w14:paraId="3CD2DBD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460B936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68F856B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444981A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3699CC8">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608B1D9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3F1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205A5E73">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97" w:type="dxa"/>
            <w:vAlign w:val="center"/>
          </w:tcPr>
          <w:p w14:paraId="7C13EE5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关键工序、复杂环节的相应技术措施，措施是否周全、有针对性、可实施性。</w:t>
            </w:r>
          </w:p>
          <w:p w14:paraId="0C34DE8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p w14:paraId="1945978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1DEB8B07">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49AB6B2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27132191">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10</w:t>
            </w:r>
          </w:p>
        </w:tc>
        <w:tc>
          <w:tcPr>
            <w:tcW w:w="2133" w:type="dxa"/>
            <w:shd w:val="clear" w:color="auto" w:fill="auto"/>
            <w:vAlign w:val="center"/>
          </w:tcPr>
          <w:p w14:paraId="152F9D75">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6DC0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023BBEAB">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97" w:type="dxa"/>
            <w:vAlign w:val="center"/>
          </w:tcPr>
          <w:p w14:paraId="6F64289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磋商供应商对施工过程中突发事件的处理预案及承诺的紧急响应时间的评价。评价因素包括响应时间、措施、投入人员力量。</w:t>
            </w:r>
          </w:p>
          <w:p w14:paraId="1A0CBF3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5B11CCF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21A2210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6F6DE7B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D0721D8">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8</w:t>
            </w:r>
          </w:p>
        </w:tc>
        <w:tc>
          <w:tcPr>
            <w:tcW w:w="2133" w:type="dxa"/>
            <w:shd w:val="clear" w:color="auto" w:fill="auto"/>
            <w:vAlign w:val="center"/>
          </w:tcPr>
          <w:p w14:paraId="0A8E1CCC">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643C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1B8FCDF2">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5897" w:type="dxa"/>
            <w:vAlign w:val="center"/>
          </w:tcPr>
          <w:p w14:paraId="401376F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售后服务承诺的范围和完善程度的评价，包括保修范围、保修内容、人员配备、故障响应修复时间方式及保障措施。</w:t>
            </w:r>
          </w:p>
          <w:p w14:paraId="0590086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w:t>
            </w:r>
          </w:p>
          <w:p w14:paraId="708585D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p w14:paraId="7571C79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14:paraId="7FE6C0C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0AA0824">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7</w:t>
            </w:r>
          </w:p>
        </w:tc>
        <w:tc>
          <w:tcPr>
            <w:tcW w:w="2133" w:type="dxa"/>
            <w:shd w:val="clear" w:color="auto" w:fill="auto"/>
            <w:vAlign w:val="center"/>
          </w:tcPr>
          <w:p w14:paraId="7748B0E9">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09C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47C38D40">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5897" w:type="dxa"/>
            <w:shd w:val="clear" w:color="auto" w:fill="auto"/>
            <w:vAlign w:val="center"/>
          </w:tcPr>
          <w:p w14:paraId="5FBE0F44">
            <w:pPr>
              <w:rPr>
                <w:rFonts w:hint="eastAsia" w:ascii="新宋体" w:hAnsi="新宋体" w:eastAsia="新宋体" w:cs="新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项目经理到位率承诺95%及以上的得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分（须在商务技术文件中以单独承诺书的形式体现，承诺书格式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，否则此项不得分）</w:t>
            </w:r>
          </w:p>
        </w:tc>
        <w:tc>
          <w:tcPr>
            <w:tcW w:w="793" w:type="dxa"/>
            <w:shd w:val="clear" w:color="auto" w:fill="auto"/>
            <w:vAlign w:val="center"/>
          </w:tcPr>
          <w:p w14:paraId="28D03B9C">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60E41066">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客观分</w:t>
            </w:r>
          </w:p>
        </w:tc>
      </w:tr>
      <w:tr w14:paraId="47B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50F8FF5">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897" w:type="dxa"/>
          </w:tcPr>
          <w:p w14:paraId="481570DD">
            <w:pPr>
              <w:snapToGrid w:val="0"/>
              <w:outlineLvl w:val="0"/>
              <w:rPr>
                <w:rFonts w:ascii="宋体" w:hAnsi="宋体" w:cs="宋体"/>
                <w:color w:val="auto"/>
                <w:sz w:val="24"/>
                <w:highlight w:val="none"/>
              </w:rPr>
            </w:pPr>
            <w:r>
              <w:rPr>
                <w:rFonts w:hint="eastAsia" w:ascii="宋体" w:hAnsi="宋体" w:cs="宋体"/>
                <w:color w:val="auto"/>
                <w:sz w:val="24"/>
                <w:highlight w:val="none"/>
                <w:lang w:val="en-US" w:eastAsia="zh-CN"/>
              </w:rPr>
              <w:t>报价分：</w:t>
            </w: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］的计算公式计算。</w:t>
            </w:r>
          </w:p>
          <w:p w14:paraId="5378378D">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25CCC4C4">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793" w:type="dxa"/>
            <w:vAlign w:val="center"/>
          </w:tcPr>
          <w:p w14:paraId="2FF8E50D">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w:t>
            </w:r>
          </w:p>
        </w:tc>
        <w:tc>
          <w:tcPr>
            <w:tcW w:w="2133" w:type="dxa"/>
            <w:vAlign w:val="center"/>
          </w:tcPr>
          <w:p w14:paraId="1D5E9CFC">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14:paraId="3ADF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0" w:type="dxa"/>
            <w:vAlign w:val="center"/>
          </w:tcPr>
          <w:p w14:paraId="2FDF002D">
            <w:pPr>
              <w:snapToGrid w:val="0"/>
              <w:ind w:firstLine="240" w:firstLineChars="100"/>
              <w:outlineLvl w:val="0"/>
              <w:rPr>
                <w:rFonts w:ascii="宋体" w:hAnsi="宋体" w:cs="宋体"/>
                <w:color w:val="auto"/>
                <w:sz w:val="24"/>
                <w:highlight w:val="none"/>
              </w:rPr>
            </w:pPr>
          </w:p>
        </w:tc>
        <w:tc>
          <w:tcPr>
            <w:tcW w:w="5897" w:type="dxa"/>
            <w:vAlign w:val="center"/>
          </w:tcPr>
          <w:p w14:paraId="0EB20E9A">
            <w:pPr>
              <w:widowControl/>
              <w:shd w:val="clear" w:color="auto" w:fill="FFFFFF"/>
              <w:adjustRightInd/>
              <w:snapToGrid w:val="0"/>
              <w:jc w:val="both"/>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3" w:type="dxa"/>
            <w:vAlign w:val="center"/>
          </w:tcPr>
          <w:p w14:paraId="7D5D26BA">
            <w:pPr>
              <w:snapToGrid w:val="0"/>
              <w:ind w:firstLine="120" w:firstLineChars="50"/>
              <w:outlineLvl w:val="0"/>
              <w:rPr>
                <w:rFonts w:ascii="宋体" w:hAnsi="宋体" w:cs="宋体"/>
                <w:color w:val="auto"/>
                <w:sz w:val="24"/>
                <w:highlight w:val="none"/>
              </w:rPr>
            </w:pPr>
          </w:p>
        </w:tc>
        <w:tc>
          <w:tcPr>
            <w:tcW w:w="2133" w:type="dxa"/>
            <w:vAlign w:val="center"/>
          </w:tcPr>
          <w:p w14:paraId="6E242F4C">
            <w:pPr>
              <w:snapToGrid w:val="0"/>
              <w:jc w:val="center"/>
              <w:outlineLvl w:val="0"/>
              <w:rPr>
                <w:rFonts w:ascii="宋体" w:hAnsi="宋体" w:cs="宋体"/>
                <w:color w:val="auto"/>
                <w:sz w:val="24"/>
                <w:highlight w:val="none"/>
              </w:rPr>
            </w:pPr>
          </w:p>
        </w:tc>
      </w:tr>
    </w:tbl>
    <w:p w14:paraId="300BF23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9E901D8">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45F3B242">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1BB7C26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668A00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60DA5C5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7252DCD1">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95080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596AF45">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154E595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7BF28518">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D865E36">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B021A21">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81B886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06B812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3D541C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1C85F8D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1A619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5FF8338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43D75B8">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021A80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28B9500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E239FC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840DF8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07775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24964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7BBFEE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7A09EB5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C9D724A">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p w14:paraId="3B4DF09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21C7071">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663764D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4AECC72">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670A09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255860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378565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9DC7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E8112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0537F7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E7823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677182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0E2BE1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73A298A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2DDBDD01">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5CB0DB">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6953EF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4A6F94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EB3F5B8">
      <w:pPr>
        <w:pStyle w:val="24"/>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0F2559BA">
      <w:pPr>
        <w:pStyle w:val="24"/>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DB91E9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FED1CF4">
      <w:pPr>
        <w:pStyle w:val="24"/>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680AD82E">
      <w:pPr>
        <w:pStyle w:val="24"/>
        <w:snapToGrid w:val="0"/>
        <w:spacing w:line="360" w:lineRule="auto"/>
        <w:ind w:left="0" w:leftChars="0" w:firstLine="0" w:firstLineChars="0"/>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2A05072">
      <w:pPr>
        <w:pStyle w:val="24"/>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58F0BB86">
      <w:pPr>
        <w:pStyle w:val="24"/>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BDDA982">
      <w:pPr>
        <w:pStyle w:val="24"/>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7822E1B1">
      <w:pPr>
        <w:pStyle w:val="24"/>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72CBF0C6">
      <w:pPr>
        <w:pStyle w:val="24"/>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52F3E7FD">
      <w:pPr>
        <w:pStyle w:val="24"/>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7F9FDAA">
      <w:pPr>
        <w:pStyle w:val="24"/>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30"/>
    <w:p w14:paraId="3AB3A5C8">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23DE4883">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7AF85B52">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8" w:name="_Toc32130"/>
      <w:bookmarkStart w:id="399" w:name="_Toc97299497"/>
      <w:r>
        <w:rPr>
          <w:rFonts w:hint="eastAsia" w:ascii="宋体" w:hAnsi="宋体" w:cs="宋体"/>
          <w:snapToGrid w:val="0"/>
          <w:color w:val="auto"/>
          <w:kern w:val="44"/>
          <w:sz w:val="28"/>
          <w:szCs w:val="20"/>
          <w:highlight w:val="none"/>
        </w:rPr>
        <w:t>第一部分  合同协议书</w:t>
      </w:r>
      <w:bookmarkEnd w:id="398"/>
      <w:bookmarkEnd w:id="399"/>
    </w:p>
    <w:p w14:paraId="07A395F5">
      <w:pPr>
        <w:pStyle w:val="969"/>
        <w:ind w:left="0" w:leftChars="0"/>
        <w:rPr>
          <w:rFonts w:ascii="仿宋" w:hAnsi="仿宋" w:eastAsia="仿宋" w:cs="仿宋"/>
          <w:highlight w:val="none"/>
        </w:rPr>
      </w:pPr>
    </w:p>
    <w:p w14:paraId="7A3EE144">
      <w:pPr>
        <w:rPr>
          <w:highlight w:val="none"/>
        </w:rPr>
      </w:pPr>
    </w:p>
    <w:p w14:paraId="3F736056">
      <w:pPr>
        <w:pStyle w:val="969"/>
        <w:ind w:left="0" w:leftChars="0"/>
        <w:rPr>
          <w:rFonts w:ascii="仿宋" w:hAnsi="仿宋" w:eastAsia="仿宋" w:cs="仿宋"/>
          <w:highlight w:val="none"/>
        </w:rPr>
      </w:pPr>
    </w:p>
    <w:p w14:paraId="0C240708">
      <w:pPr>
        <w:rPr>
          <w:highlight w:val="none"/>
        </w:rPr>
      </w:pPr>
    </w:p>
    <w:p w14:paraId="001298A4">
      <w:pPr>
        <w:jc w:val="left"/>
        <w:rPr>
          <w:rFonts w:ascii="仿宋" w:hAnsi="仿宋" w:eastAsia="仿宋" w:cs="仿宋"/>
          <w:bCs/>
          <w:color w:val="000000"/>
          <w:sz w:val="32"/>
          <w:szCs w:val="32"/>
          <w:highlight w:val="none"/>
        </w:rPr>
      </w:pPr>
      <w:bookmarkStart w:id="400" w:name="_Toc351203480"/>
      <w:bookmarkStart w:id="401" w:name="_Toc296503025"/>
      <w:bookmarkStart w:id="402" w:name="_Toc296890982"/>
      <w:r>
        <w:rPr>
          <w:rFonts w:hint="eastAsia" w:ascii="仿宋" w:hAnsi="仿宋" w:eastAsia="仿宋" w:cs="仿宋"/>
          <w:bCs/>
          <w:color w:val="000000"/>
          <w:sz w:val="32"/>
          <w:szCs w:val="32"/>
          <w:highlight w:val="none"/>
        </w:rPr>
        <w:t>（GF—2017—0201）</w:t>
      </w:r>
    </w:p>
    <w:p w14:paraId="55D0AF3B">
      <w:pPr>
        <w:jc w:val="center"/>
        <w:rPr>
          <w:rFonts w:ascii="仿宋" w:hAnsi="仿宋" w:eastAsia="仿宋" w:cs="仿宋"/>
          <w:color w:val="000000"/>
          <w:sz w:val="52"/>
          <w:szCs w:val="52"/>
          <w:highlight w:val="none"/>
        </w:rPr>
      </w:pPr>
      <w:r>
        <w:rPr>
          <w:rFonts w:hint="eastAsia" w:ascii="仿宋" w:hAnsi="仿宋" w:eastAsia="仿宋" w:cs="仿宋"/>
          <w:b/>
          <w:sz w:val="52"/>
          <w:szCs w:val="52"/>
          <w:highlight w:val="none"/>
        </w:rPr>
        <w:t xml:space="preserve">　                      </w:t>
      </w:r>
    </w:p>
    <w:p w14:paraId="7675DB13">
      <w:pPr>
        <w:rPr>
          <w:rFonts w:ascii="仿宋" w:hAnsi="仿宋" w:eastAsia="仿宋" w:cs="仿宋"/>
          <w:b/>
          <w:color w:val="000000"/>
          <w:sz w:val="52"/>
          <w:szCs w:val="52"/>
          <w:highlight w:val="none"/>
        </w:rPr>
      </w:pPr>
    </w:p>
    <w:p w14:paraId="371B42F1">
      <w:pPr>
        <w:jc w:val="center"/>
        <w:rPr>
          <w:rFonts w:ascii="仿宋" w:hAnsi="仿宋" w:eastAsia="仿宋" w:cs="仿宋"/>
          <w:b/>
          <w:color w:val="000000"/>
          <w:sz w:val="52"/>
          <w:szCs w:val="52"/>
          <w:highlight w:val="none"/>
        </w:rPr>
      </w:pPr>
    </w:p>
    <w:p w14:paraId="76314866">
      <w:pPr>
        <w:jc w:val="center"/>
        <w:rPr>
          <w:rFonts w:ascii="仿宋" w:hAnsi="仿宋" w:eastAsia="仿宋" w:cs="仿宋"/>
          <w:b/>
          <w:color w:val="000000"/>
          <w:sz w:val="72"/>
          <w:szCs w:val="52"/>
          <w:highlight w:val="none"/>
        </w:rPr>
      </w:pPr>
      <w:r>
        <w:rPr>
          <w:rFonts w:hint="eastAsia" w:ascii="仿宋" w:hAnsi="仿宋" w:eastAsia="仿宋" w:cs="仿宋"/>
          <w:b/>
          <w:color w:val="000000"/>
          <w:sz w:val="72"/>
          <w:szCs w:val="52"/>
          <w:highlight w:val="none"/>
        </w:rPr>
        <w:t>建设工程施工合同</w:t>
      </w:r>
    </w:p>
    <w:p w14:paraId="0D894B64">
      <w:pPr>
        <w:pStyle w:val="42"/>
        <w:rPr>
          <w:highlight w:val="none"/>
        </w:rPr>
      </w:pPr>
    </w:p>
    <w:p w14:paraId="4EA14641">
      <w:pPr>
        <w:widowControl/>
        <w:jc w:val="left"/>
        <w:rPr>
          <w:rFonts w:ascii="仿宋" w:hAnsi="仿宋" w:eastAsia="仿宋" w:cs="仿宋"/>
          <w:b/>
          <w:color w:val="000000"/>
          <w:sz w:val="28"/>
          <w:szCs w:val="30"/>
          <w:highlight w:val="none"/>
        </w:rPr>
      </w:pPr>
    </w:p>
    <w:p w14:paraId="274A64BE">
      <w:pPr>
        <w:widowControl/>
        <w:jc w:val="left"/>
        <w:rPr>
          <w:rFonts w:hint="default" w:ascii="仿宋" w:hAnsi="仿宋" w:eastAsia="仿宋" w:cs="仿宋"/>
          <w:b/>
          <w:color w:val="000000"/>
          <w:sz w:val="28"/>
          <w:szCs w:val="30"/>
          <w:highlight w:val="none"/>
          <w:lang w:val="en-US" w:eastAsia="zh-CN"/>
        </w:rPr>
      </w:pPr>
      <w:r>
        <w:rPr>
          <w:rFonts w:hint="eastAsia" w:ascii="仿宋" w:hAnsi="仿宋" w:eastAsia="仿宋" w:cs="仿宋"/>
          <w:b/>
          <w:color w:val="000000"/>
          <w:sz w:val="28"/>
          <w:szCs w:val="30"/>
          <w:highlight w:val="none"/>
        </w:rPr>
        <w:t>工程名称：</w:t>
      </w:r>
      <w:r>
        <w:rPr>
          <w:rFonts w:hint="eastAsia" w:ascii="仿宋" w:hAnsi="仿宋" w:eastAsia="仿宋" w:cs="仿宋"/>
          <w:b/>
          <w:color w:val="000000"/>
          <w:sz w:val="28"/>
          <w:szCs w:val="30"/>
          <w:highlight w:val="none"/>
          <w:u w:val="single"/>
          <w:lang w:val="en-US" w:eastAsia="zh-CN"/>
        </w:rPr>
        <w:t xml:space="preserve">                       </w:t>
      </w:r>
    </w:p>
    <w:p w14:paraId="24FD3C47">
      <w:pPr>
        <w:widowControl/>
        <w:jc w:val="left"/>
        <w:rPr>
          <w:rFonts w:hint="default" w:ascii="仿宋" w:hAnsi="仿宋" w:eastAsia="仿宋" w:cs="仿宋"/>
          <w:b/>
          <w:color w:val="000000"/>
          <w:sz w:val="28"/>
          <w:szCs w:val="30"/>
          <w:highlight w:val="none"/>
          <w:u w:val="single"/>
          <w:lang w:val="en-US" w:eastAsia="zh-CN"/>
        </w:rPr>
      </w:pPr>
      <w:r>
        <w:rPr>
          <w:rFonts w:hint="eastAsia" w:ascii="仿宋" w:hAnsi="仿宋" w:eastAsia="仿宋" w:cs="仿宋"/>
          <w:b/>
          <w:color w:val="000000"/>
          <w:sz w:val="28"/>
          <w:szCs w:val="30"/>
          <w:highlight w:val="none"/>
        </w:rPr>
        <w:t>发包人（全称）：</w:t>
      </w:r>
      <w:r>
        <w:rPr>
          <w:rFonts w:hint="eastAsia" w:ascii="仿宋" w:hAnsi="仿宋" w:eastAsia="仿宋" w:cs="仿宋"/>
          <w:b/>
          <w:color w:val="000000"/>
          <w:sz w:val="28"/>
          <w:szCs w:val="30"/>
          <w:highlight w:val="none"/>
          <w:u w:val="single"/>
          <w:lang w:val="en-US" w:eastAsia="zh-CN"/>
        </w:rPr>
        <w:t xml:space="preserve">                                    </w:t>
      </w:r>
    </w:p>
    <w:p w14:paraId="12CA8BA1">
      <w:pPr>
        <w:spacing w:line="360" w:lineRule="auto"/>
        <w:rPr>
          <w:rFonts w:hint="default" w:ascii="仿宋" w:hAnsi="仿宋" w:eastAsia="仿宋" w:cs="仿宋"/>
          <w:b/>
          <w:color w:val="000000"/>
          <w:sz w:val="28"/>
          <w:szCs w:val="30"/>
          <w:highlight w:val="none"/>
          <w:u w:val="single"/>
          <w:lang w:val="en-US" w:eastAsia="zh-CN"/>
        </w:rPr>
      </w:pPr>
      <w:r>
        <w:rPr>
          <w:rFonts w:hint="eastAsia" w:ascii="仿宋" w:hAnsi="仿宋" w:eastAsia="仿宋" w:cs="仿宋"/>
          <w:b/>
          <w:color w:val="000000"/>
          <w:sz w:val="28"/>
          <w:szCs w:val="30"/>
          <w:highlight w:val="none"/>
        </w:rPr>
        <w:t>承包人（全称）：</w:t>
      </w:r>
      <w:r>
        <w:rPr>
          <w:rFonts w:hint="eastAsia" w:ascii="仿宋" w:hAnsi="仿宋" w:eastAsia="仿宋" w:cs="仿宋"/>
          <w:b/>
          <w:color w:val="000000"/>
          <w:sz w:val="28"/>
          <w:szCs w:val="30"/>
          <w:highlight w:val="none"/>
          <w:u w:val="single"/>
          <w:lang w:val="en-US" w:eastAsia="zh-CN"/>
        </w:rPr>
        <w:t xml:space="preserve">                                    </w:t>
      </w:r>
    </w:p>
    <w:p w14:paraId="2760787A">
      <w:pPr>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签订日期：  20   年    月</w:t>
      </w:r>
    </w:p>
    <w:p w14:paraId="1A833D1C">
      <w:pPr>
        <w:rPr>
          <w:rFonts w:ascii="仿宋" w:hAnsi="仿宋" w:eastAsia="仿宋" w:cs="仿宋"/>
          <w:b/>
          <w:color w:val="000000"/>
          <w:sz w:val="28"/>
          <w:szCs w:val="28"/>
          <w:highlight w:val="none"/>
        </w:rPr>
      </w:pPr>
    </w:p>
    <w:p w14:paraId="28CEEF16">
      <w:pPr>
        <w:rPr>
          <w:rFonts w:ascii="仿宋" w:hAnsi="仿宋" w:eastAsia="仿宋" w:cs="仿宋"/>
          <w:b/>
          <w:color w:val="000000"/>
          <w:sz w:val="28"/>
          <w:szCs w:val="28"/>
          <w:highlight w:val="none"/>
        </w:rPr>
      </w:pPr>
    </w:p>
    <w:p w14:paraId="1F1BD7D1">
      <w:pPr>
        <w:rPr>
          <w:rFonts w:ascii="仿宋" w:hAnsi="仿宋" w:eastAsia="仿宋" w:cs="仿宋"/>
          <w:b/>
          <w:color w:val="000000"/>
          <w:sz w:val="28"/>
          <w:szCs w:val="28"/>
          <w:highlight w:val="none"/>
        </w:rPr>
      </w:pPr>
    </w:p>
    <w:p w14:paraId="58D7838A">
      <w:pPr>
        <w:rPr>
          <w:rFonts w:ascii="仿宋" w:hAnsi="仿宋" w:eastAsia="仿宋" w:cs="仿宋"/>
          <w:b/>
          <w:color w:val="000000"/>
          <w:sz w:val="28"/>
          <w:szCs w:val="28"/>
          <w:highlight w:val="none"/>
        </w:rPr>
      </w:pPr>
    </w:p>
    <w:p w14:paraId="3EE84641">
      <w:pPr>
        <w:rPr>
          <w:rFonts w:ascii="仿宋" w:hAnsi="仿宋" w:eastAsia="仿宋" w:cs="仿宋"/>
          <w:b/>
          <w:color w:val="000000"/>
          <w:sz w:val="28"/>
          <w:szCs w:val="28"/>
          <w:highlight w:val="none"/>
        </w:rPr>
      </w:pPr>
    </w:p>
    <w:p w14:paraId="12674FC4">
      <w:pPr>
        <w:ind w:right="2719" w:rightChars="1295" w:firstLine="2738" w:firstLineChars="1304"/>
        <w:jc w:val="distribute"/>
        <w:rPr>
          <w:rFonts w:ascii="仿宋" w:hAnsi="仿宋" w:eastAsia="仿宋" w:cs="仿宋"/>
          <w:b/>
          <w:color w:val="000000"/>
          <w:sz w:val="32"/>
          <w:szCs w:val="28"/>
          <w:highlight w:val="none"/>
        </w:rPr>
      </w:pPr>
      <w:r>
        <w:rPr>
          <w:rFonts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0DC5BA9">
                            <w:pPr>
                              <w:rPr>
                                <w:b/>
                                <w:bCs/>
                                <w:sz w:val="32"/>
                              </w:rPr>
                            </w:pPr>
                            <w:r>
                              <w:rPr>
                                <w:rFonts w:hint="eastAsia"/>
                                <w:b/>
                                <w:bCs/>
                                <w:sz w:val="32"/>
                              </w:rPr>
                              <w:t>制定</w:t>
                            </w:r>
                          </w:p>
                        </w:txbxContent>
                      </wps:txbx>
                      <wps:bodyPr upright="1"/>
                    </wps:wsp>
                  </a:graphicData>
                </a:graphic>
              </wp:anchor>
            </w:drawing>
          </mc:Choice>
          <mc:Fallback>
            <w:pict>
              <v:shape id="文本框 2"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h+mK1AkCAAAaBAAADgAAAAAAAAABACAA&#10;AAAnAQAAZHJzL2Uyb0RvYy54bWxQSwUGAAAAAAYABgBZAQAAogUAAAAA&#10;">
                <v:fill on="f" focussize="0,0"/>
                <v:stroke color="#FFFFFF" joinstyle="miter"/>
                <v:imagedata o:title=""/>
                <o:lock v:ext="edit" aspectratio="f"/>
                <v:textbox>
                  <w:txbxContent>
                    <w:p w14:paraId="10DC5BA9">
                      <w:pPr>
                        <w:rPr>
                          <w:b/>
                          <w:bCs/>
                          <w:sz w:val="32"/>
                        </w:rPr>
                      </w:pPr>
                      <w:r>
                        <w:rPr>
                          <w:rFonts w:hint="eastAsia"/>
                          <w:b/>
                          <w:bCs/>
                          <w:sz w:val="32"/>
                        </w:rPr>
                        <w:t>制定</w:t>
                      </w:r>
                    </w:p>
                  </w:txbxContent>
                </v:textbox>
              </v:shape>
            </w:pict>
          </mc:Fallback>
        </mc:AlternateContent>
      </w:r>
      <w:r>
        <w:rPr>
          <w:rFonts w:hint="eastAsia" w:ascii="仿宋" w:hAnsi="仿宋" w:eastAsia="仿宋" w:cs="仿宋"/>
          <w:b/>
          <w:color w:val="000000"/>
          <w:sz w:val="32"/>
          <w:szCs w:val="28"/>
          <w:highlight w:val="none"/>
        </w:rPr>
        <w:t>住房城乡建设部</w:t>
      </w:r>
    </w:p>
    <w:p w14:paraId="44C655D9">
      <w:pPr>
        <w:ind w:right="2719" w:rightChars="1295" w:firstLine="2750" w:firstLineChars="856"/>
        <w:jc w:val="distribute"/>
        <w:rPr>
          <w:rFonts w:ascii="仿宋" w:hAnsi="仿宋" w:eastAsia="仿宋" w:cs="仿宋"/>
          <w:b/>
          <w:color w:val="000000"/>
          <w:sz w:val="32"/>
          <w:szCs w:val="28"/>
          <w:highlight w:val="none"/>
        </w:rPr>
      </w:pPr>
      <w:r>
        <w:rPr>
          <w:rFonts w:hint="eastAsia" w:ascii="仿宋" w:hAnsi="仿宋" w:eastAsia="仿宋" w:cs="仿宋"/>
          <w:b/>
          <w:color w:val="000000"/>
          <w:sz w:val="32"/>
          <w:szCs w:val="28"/>
          <w:highlight w:val="none"/>
        </w:rPr>
        <w:t>国家工商行政管理总局</w:t>
      </w:r>
    </w:p>
    <w:p w14:paraId="209AC61F">
      <w:pPr>
        <w:pStyle w:val="634"/>
        <w:jc w:val="center"/>
        <w:outlineLvl w:val="0"/>
        <w:rPr>
          <w:rFonts w:ascii="仿宋" w:hAnsi="仿宋" w:eastAsia="仿宋" w:cs="仿宋"/>
          <w:sz w:val="24"/>
          <w:szCs w:val="28"/>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pgNumType w:fmt="decimal"/>
          <w:cols w:space="720" w:num="1"/>
          <w:titlePg/>
          <w:docGrid w:type="lines" w:linePitch="312" w:charSpace="0"/>
        </w:sectPr>
      </w:pPr>
    </w:p>
    <w:p w14:paraId="454EC16F">
      <w:pPr>
        <w:pStyle w:val="4"/>
        <w:jc w:val="center"/>
        <w:rPr>
          <w:rFonts w:ascii="仿宋" w:hAnsi="仿宋" w:eastAsia="仿宋" w:cs="仿宋"/>
          <w:color w:val="000000"/>
          <w:sz w:val="40"/>
          <w:szCs w:val="44"/>
          <w:highlight w:val="none"/>
        </w:rPr>
      </w:pPr>
      <w:bookmarkStart w:id="403" w:name="_Toc23516"/>
      <w:bookmarkStart w:id="404" w:name="_Toc22980"/>
      <w:bookmarkStart w:id="405" w:name="_Toc4900"/>
      <w:bookmarkStart w:id="406" w:name="_Toc19739"/>
      <w:bookmarkStart w:id="407" w:name="_Toc25037"/>
      <w:r>
        <w:rPr>
          <w:rFonts w:hint="eastAsia" w:ascii="仿宋" w:hAnsi="仿宋" w:eastAsia="仿宋" w:cs="仿宋"/>
          <w:sz w:val="40"/>
          <w:szCs w:val="44"/>
          <w:highlight w:val="none"/>
        </w:rPr>
        <w:t>第一部分 合同协议书</w:t>
      </w:r>
      <w:bookmarkEnd w:id="400"/>
      <w:bookmarkEnd w:id="401"/>
      <w:bookmarkEnd w:id="402"/>
      <w:bookmarkEnd w:id="403"/>
      <w:bookmarkEnd w:id="404"/>
      <w:bookmarkEnd w:id="405"/>
      <w:bookmarkEnd w:id="406"/>
      <w:bookmarkEnd w:id="407"/>
    </w:p>
    <w:p w14:paraId="2CF5D899">
      <w:pPr>
        <w:widowControl/>
        <w:jc w:val="left"/>
        <w:rPr>
          <w:rFonts w:hint="default" w:ascii="仿宋" w:hAnsi="仿宋" w:eastAsia="仿宋" w:cs="仿宋"/>
          <w:b/>
          <w:color w:val="000000"/>
          <w:sz w:val="28"/>
          <w:szCs w:val="30"/>
          <w:highlight w:val="none"/>
          <w:u w:val="single"/>
          <w:lang w:val="en-US" w:eastAsia="zh-CN"/>
        </w:rPr>
      </w:pPr>
      <w:r>
        <w:rPr>
          <w:rFonts w:hint="eastAsia" w:ascii="仿宋" w:hAnsi="仿宋" w:eastAsia="仿宋" w:cs="仿宋"/>
          <w:b/>
          <w:color w:val="000000"/>
          <w:sz w:val="28"/>
          <w:szCs w:val="30"/>
          <w:highlight w:val="none"/>
        </w:rPr>
        <w:t>发包人（全称）：</w:t>
      </w:r>
      <w:r>
        <w:rPr>
          <w:rFonts w:hint="eastAsia" w:ascii="仿宋" w:hAnsi="仿宋" w:eastAsia="仿宋" w:cs="仿宋"/>
          <w:b/>
          <w:color w:val="000000"/>
          <w:sz w:val="28"/>
          <w:szCs w:val="30"/>
          <w:highlight w:val="none"/>
          <w:u w:val="single"/>
        </w:rPr>
        <w:t>杭州市上城区</w:t>
      </w:r>
      <w:r>
        <w:rPr>
          <w:rFonts w:hint="eastAsia" w:ascii="仿宋" w:hAnsi="仿宋" w:eastAsia="仿宋" w:cs="仿宋"/>
          <w:b/>
          <w:color w:val="000000"/>
          <w:sz w:val="28"/>
          <w:szCs w:val="30"/>
          <w:highlight w:val="none"/>
          <w:u w:val="single"/>
          <w:lang w:val="en-US" w:eastAsia="zh-CN"/>
        </w:rPr>
        <w:t>基础设施改善中心</w:t>
      </w:r>
    </w:p>
    <w:p w14:paraId="21EFBE37">
      <w:pPr>
        <w:spacing w:line="360" w:lineRule="auto"/>
        <w:rPr>
          <w:rFonts w:hint="default" w:ascii="仿宋" w:hAnsi="仿宋" w:eastAsia="仿宋" w:cs="仿宋"/>
          <w:b/>
          <w:color w:val="000000"/>
          <w:sz w:val="28"/>
          <w:szCs w:val="30"/>
          <w:highlight w:val="none"/>
          <w:u w:val="single"/>
          <w:lang w:val="en-US" w:eastAsia="zh-CN"/>
        </w:rPr>
      </w:pPr>
      <w:r>
        <w:rPr>
          <w:rFonts w:hint="eastAsia" w:ascii="仿宋" w:hAnsi="仿宋" w:eastAsia="仿宋" w:cs="仿宋"/>
          <w:b/>
          <w:color w:val="000000"/>
          <w:sz w:val="28"/>
          <w:szCs w:val="30"/>
          <w:highlight w:val="none"/>
        </w:rPr>
        <w:t>承包人（全称）：</w:t>
      </w:r>
      <w:r>
        <w:rPr>
          <w:rFonts w:hint="eastAsia" w:ascii="仿宋" w:hAnsi="仿宋" w:eastAsia="仿宋" w:cs="仿宋"/>
          <w:b/>
          <w:color w:val="000000"/>
          <w:sz w:val="28"/>
          <w:szCs w:val="30"/>
          <w:highlight w:val="none"/>
          <w:u w:val="single"/>
          <w:lang w:val="en-US" w:eastAsia="zh-CN"/>
        </w:rPr>
        <w:t xml:space="preserve">                                        </w:t>
      </w:r>
    </w:p>
    <w:p w14:paraId="39038C31">
      <w:pPr>
        <w:wordWrap w:val="0"/>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根据《中华人民共和国</w:t>
      </w:r>
      <w:r>
        <w:rPr>
          <w:rFonts w:hint="eastAsia" w:ascii="仿宋" w:hAnsi="仿宋" w:eastAsia="仿宋" w:cs="仿宋"/>
          <w:color w:val="000000"/>
          <w:sz w:val="28"/>
          <w:szCs w:val="30"/>
          <w:highlight w:val="none"/>
          <w:lang w:val="en-US" w:eastAsia="zh-CN"/>
        </w:rPr>
        <w:t>民法典</w:t>
      </w:r>
      <w:r>
        <w:rPr>
          <w:rFonts w:hint="eastAsia" w:ascii="仿宋" w:hAnsi="仿宋" w:eastAsia="仿宋" w:cs="仿宋"/>
          <w:color w:val="000000"/>
          <w:sz w:val="28"/>
          <w:szCs w:val="30"/>
          <w:highlight w:val="none"/>
        </w:rPr>
        <w:t>》、《中华人民共和国建筑法》及有关法律规定，遵循平等、自愿、公平和诚实信用的原则，双方就</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工程施工及有关事项协商一致，共同达成如下协议：</w:t>
      </w:r>
    </w:p>
    <w:p w14:paraId="5589E32F">
      <w:pPr>
        <w:pStyle w:val="5"/>
        <w:spacing w:before="120" w:after="120" w:line="360" w:lineRule="auto"/>
        <w:ind w:firstLine="560" w:firstLineChars="200"/>
        <w:rPr>
          <w:rFonts w:ascii="仿宋" w:hAnsi="仿宋" w:eastAsia="仿宋" w:cs="仿宋"/>
          <w:bCs w:val="0"/>
          <w:color w:val="000000"/>
          <w:szCs w:val="32"/>
          <w:highlight w:val="none"/>
        </w:rPr>
      </w:pPr>
      <w:bookmarkStart w:id="408" w:name="_Toc351203481"/>
      <w:r>
        <w:rPr>
          <w:rFonts w:hint="eastAsia" w:ascii="仿宋" w:hAnsi="仿宋" w:eastAsia="仿宋" w:cs="仿宋"/>
          <w:b w:val="0"/>
          <w:color w:val="000000"/>
          <w:szCs w:val="32"/>
          <w:highlight w:val="none"/>
        </w:rPr>
        <w:t>一、工程概况</w:t>
      </w:r>
      <w:bookmarkEnd w:id="408"/>
    </w:p>
    <w:p w14:paraId="62BE8CAA">
      <w:pPr>
        <w:spacing w:line="360" w:lineRule="auto"/>
        <w:ind w:firstLine="588" w:firstLineChars="196"/>
        <w:rPr>
          <w:rFonts w:ascii="仿宋" w:hAnsi="仿宋" w:eastAsia="仿宋" w:cs="仿宋"/>
          <w:color w:val="000000"/>
          <w:sz w:val="30"/>
          <w:szCs w:val="30"/>
          <w:highlight w:val="none"/>
          <w:u w:val="single"/>
        </w:rPr>
      </w:pPr>
      <w:r>
        <w:rPr>
          <w:rFonts w:hint="eastAsia" w:ascii="仿宋" w:hAnsi="仿宋" w:eastAsia="仿宋" w:cs="仿宋"/>
          <w:bCs/>
          <w:color w:val="000000"/>
          <w:sz w:val="30"/>
          <w:szCs w:val="30"/>
          <w:highlight w:val="none"/>
        </w:rPr>
        <w:t>1.工程名称</w:t>
      </w:r>
      <w:r>
        <w:rPr>
          <w:rFonts w:hint="eastAsia" w:ascii="仿宋" w:hAnsi="仿宋" w:eastAsia="仿宋" w:cs="仿宋"/>
          <w:color w:val="000000"/>
          <w:sz w:val="30"/>
          <w:szCs w:val="30"/>
          <w:highlight w:val="non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30"/>
          <w:szCs w:val="30"/>
          <w:highlight w:val="none"/>
        </w:rPr>
        <w:t>。</w:t>
      </w:r>
    </w:p>
    <w:p w14:paraId="476A6210">
      <w:pPr>
        <w:spacing w:line="360" w:lineRule="auto"/>
        <w:ind w:firstLine="588" w:firstLineChars="196"/>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2.工程地点：</w:t>
      </w:r>
      <w:r>
        <w:rPr>
          <w:rFonts w:hint="eastAsia" w:ascii="仿宋" w:hAnsi="仿宋" w:eastAsia="仿宋" w:cs="仿宋"/>
          <w:color w:val="000000"/>
          <w:sz w:val="30"/>
          <w:szCs w:val="30"/>
          <w:highlight w:val="none"/>
          <w:u w:val="single"/>
        </w:rPr>
        <w:t>杭州市上城区</w:t>
      </w:r>
      <w:r>
        <w:rPr>
          <w:rFonts w:hint="eastAsia" w:ascii="仿宋" w:hAnsi="仿宋" w:eastAsia="仿宋" w:cs="仿宋"/>
          <w:color w:val="000000"/>
          <w:sz w:val="30"/>
          <w:szCs w:val="30"/>
          <w:highlight w:val="none"/>
        </w:rPr>
        <w:t>。</w:t>
      </w:r>
    </w:p>
    <w:p w14:paraId="2894BEA1">
      <w:pPr>
        <w:widowControl/>
        <w:ind w:firstLine="600" w:firstLineChars="200"/>
        <w:jc w:val="left"/>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3.工程立项批准文号：</w:t>
      </w:r>
      <w:r>
        <w:rPr>
          <w:rFonts w:hint="eastAsia" w:ascii="仿宋" w:hAnsi="仿宋" w:eastAsia="仿宋" w:cs="仿宋"/>
          <w:bCs/>
          <w:color w:val="000000"/>
          <w:sz w:val="30"/>
          <w:szCs w:val="30"/>
          <w:highlight w:val="none"/>
          <w:u w:val="single"/>
        </w:rPr>
        <w:t xml:space="preserve">   /   </w:t>
      </w:r>
      <w:r>
        <w:rPr>
          <w:rFonts w:hint="eastAsia" w:ascii="仿宋" w:hAnsi="仿宋" w:eastAsia="仿宋" w:cs="仿宋"/>
          <w:bCs/>
          <w:color w:val="000000"/>
          <w:sz w:val="30"/>
          <w:szCs w:val="30"/>
          <w:highlight w:val="none"/>
        </w:rPr>
        <w:t>。</w:t>
      </w:r>
    </w:p>
    <w:p w14:paraId="3BC4FA97">
      <w:pPr>
        <w:spacing w:line="360" w:lineRule="auto"/>
        <w:ind w:firstLine="588" w:firstLineChars="196"/>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4.资金来源：</w:t>
      </w:r>
      <w:r>
        <w:rPr>
          <w:rFonts w:hint="eastAsia" w:ascii="仿宋" w:hAnsi="仿宋" w:eastAsia="仿宋" w:cs="仿宋"/>
          <w:color w:val="000000"/>
          <w:sz w:val="30"/>
          <w:szCs w:val="30"/>
          <w:highlight w:val="none"/>
          <w:u w:val="single"/>
        </w:rPr>
        <w:t>财政</w:t>
      </w:r>
      <w:r>
        <w:rPr>
          <w:rFonts w:hint="eastAsia" w:ascii="仿宋" w:hAnsi="仿宋" w:eastAsia="仿宋" w:cs="仿宋"/>
          <w:color w:val="000000"/>
          <w:sz w:val="30"/>
          <w:szCs w:val="30"/>
          <w:highlight w:val="none"/>
          <w:u w:val="single"/>
          <w:lang w:val="en-US" w:eastAsia="zh-CN"/>
        </w:rPr>
        <w:t xml:space="preserve">资金 </w:t>
      </w:r>
      <w:r>
        <w:rPr>
          <w:rFonts w:hint="eastAsia" w:ascii="仿宋" w:hAnsi="仿宋" w:eastAsia="仿宋" w:cs="仿宋"/>
          <w:bCs/>
          <w:color w:val="000000"/>
          <w:sz w:val="30"/>
          <w:szCs w:val="30"/>
          <w:highlight w:val="none"/>
        </w:rPr>
        <w:t>。</w:t>
      </w:r>
    </w:p>
    <w:p w14:paraId="3D67A923">
      <w:pPr>
        <w:spacing w:line="360" w:lineRule="auto"/>
        <w:ind w:firstLine="588" w:firstLineChars="196"/>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 xml:space="preserve">5. 工程投资总额（ </w:t>
      </w:r>
      <w:r>
        <w:rPr>
          <w:rFonts w:hint="eastAsia" w:ascii="仿宋" w:hAnsi="仿宋" w:eastAsia="仿宋" w:cs="仿宋"/>
          <w:bCs/>
          <w:color w:val="000000"/>
          <w:sz w:val="30"/>
          <w:szCs w:val="30"/>
          <w:highlight w:val="none"/>
        </w:rPr>
        <w:sym w:font="Wingdings 2" w:char="0052"/>
      </w:r>
      <w:r>
        <w:rPr>
          <w:rFonts w:hint="eastAsia" w:ascii="仿宋" w:hAnsi="仿宋" w:eastAsia="仿宋" w:cs="仿宋"/>
          <w:bCs/>
          <w:color w:val="000000"/>
          <w:sz w:val="30"/>
          <w:szCs w:val="30"/>
          <w:highlight w:val="none"/>
        </w:rPr>
        <w:t>立项价□其他）：</w:t>
      </w:r>
      <w:r>
        <w:rPr>
          <w:rFonts w:hint="eastAsia" w:ascii="仿宋" w:hAnsi="仿宋" w:eastAsia="仿宋" w:cs="仿宋"/>
          <w:bCs/>
          <w:color w:val="000000"/>
          <w:sz w:val="30"/>
          <w:szCs w:val="30"/>
          <w:highlight w:val="none"/>
          <w:lang w:val="en-US" w:eastAsia="zh-CN"/>
        </w:rPr>
        <w:t>人民币</w:t>
      </w:r>
      <w:r>
        <w:rPr>
          <w:rFonts w:hint="eastAsia" w:ascii="仿宋" w:hAnsi="仿宋" w:eastAsia="仿宋" w:cs="仿宋"/>
          <w:bCs/>
          <w:color w:val="000000"/>
          <w:sz w:val="30"/>
          <w:szCs w:val="30"/>
          <w:highlight w:val="none"/>
          <w:u w:val="single"/>
          <w:lang w:val="en-US" w:eastAsia="zh-CN"/>
        </w:rPr>
        <w:t xml:space="preserve">         </w:t>
      </w:r>
      <w:r>
        <w:rPr>
          <w:rFonts w:hint="eastAsia" w:ascii="仿宋" w:hAnsi="仿宋" w:eastAsia="仿宋" w:cs="仿宋"/>
          <w:bCs/>
          <w:color w:val="000000"/>
          <w:sz w:val="30"/>
          <w:szCs w:val="30"/>
          <w:highlight w:val="none"/>
        </w:rPr>
        <w:t>万元。</w:t>
      </w:r>
    </w:p>
    <w:p w14:paraId="6FFE2BB7">
      <w:pPr>
        <w:widowControl/>
        <w:ind w:firstLine="600" w:firstLineChars="200"/>
        <w:jc w:val="left"/>
        <w:rPr>
          <w:rFonts w:hint="eastAsia" w:ascii="仿宋" w:hAnsi="仿宋" w:eastAsia="仿宋" w:cs="仿宋"/>
          <w:bCs/>
          <w:color w:val="000000"/>
          <w:sz w:val="30"/>
          <w:szCs w:val="30"/>
          <w:highlight w:val="none"/>
          <w:lang w:eastAsia="zh-CN"/>
        </w:rPr>
      </w:pPr>
      <w:r>
        <w:rPr>
          <w:rFonts w:hint="eastAsia" w:ascii="仿宋" w:hAnsi="仿宋" w:eastAsia="仿宋" w:cs="仿宋"/>
          <w:bCs/>
          <w:color w:val="000000"/>
          <w:sz w:val="30"/>
          <w:szCs w:val="30"/>
          <w:highlight w:val="none"/>
        </w:rPr>
        <w:t>6.工程内容：</w:t>
      </w:r>
      <w:r>
        <w:rPr>
          <w:rFonts w:hint="eastAsia" w:ascii="仿宋" w:hAnsi="仿宋" w:eastAsia="仿宋" w:cs="仿宋"/>
          <w:bCs/>
          <w:color w:val="000000"/>
          <w:sz w:val="30"/>
          <w:szCs w:val="30"/>
          <w:highlight w:val="none"/>
          <w:u w:val="single"/>
        </w:rPr>
        <w:tab/>
      </w:r>
      <w:r>
        <w:rPr>
          <w:rFonts w:hint="eastAsia" w:ascii="仿宋" w:hAnsi="仿宋" w:eastAsia="仿宋" w:cs="仿宋"/>
          <w:bCs/>
          <w:color w:val="000000"/>
          <w:sz w:val="30"/>
          <w:szCs w:val="30"/>
          <w:highlight w:val="none"/>
          <w:u w:val="single"/>
          <w:lang w:val="en-US" w:eastAsia="zh-CN"/>
        </w:rPr>
        <w:t xml:space="preserve">                         </w:t>
      </w:r>
      <w:r>
        <w:rPr>
          <w:rFonts w:hint="eastAsia" w:ascii="仿宋" w:hAnsi="仿宋" w:eastAsia="仿宋"/>
          <w:sz w:val="30"/>
          <w:szCs w:val="30"/>
          <w:highlight w:val="none"/>
          <w:lang w:val="en-US" w:eastAsia="zh-CN"/>
        </w:rPr>
        <w:t xml:space="preserve"> </w:t>
      </w:r>
    </w:p>
    <w:p w14:paraId="5E41254D">
      <w:pPr>
        <w:spacing w:line="360" w:lineRule="auto"/>
        <w:ind w:firstLine="588" w:firstLineChars="196"/>
        <w:rPr>
          <w:rFonts w:ascii="仿宋" w:hAnsi="仿宋" w:eastAsia="仿宋" w:cs="仿宋"/>
          <w:bCs/>
          <w:color w:val="000000"/>
          <w:sz w:val="30"/>
          <w:szCs w:val="30"/>
          <w:highlight w:val="none"/>
        </w:rPr>
      </w:pPr>
      <w:r>
        <w:rPr>
          <w:rFonts w:hint="eastAsia" w:ascii="仿宋" w:hAnsi="仿宋" w:eastAsia="仿宋" w:cs="仿宋"/>
          <w:bCs/>
          <w:color w:val="000000"/>
          <w:sz w:val="30"/>
          <w:szCs w:val="30"/>
          <w:highlight w:val="none"/>
        </w:rPr>
        <w:t>7.工程承包范围：</w:t>
      </w:r>
    </w:p>
    <w:p w14:paraId="3DD7922C">
      <w:pPr>
        <w:spacing w:line="360" w:lineRule="auto"/>
        <w:ind w:firstLine="579" w:firstLineChars="193"/>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u w:val="single"/>
        </w:rPr>
        <w:t>/   </w:t>
      </w:r>
      <w:r>
        <w:rPr>
          <w:rFonts w:hint="eastAsia" w:ascii="仿宋" w:hAnsi="仿宋" w:eastAsia="仿宋" w:cs="仿宋"/>
          <w:color w:val="000000"/>
          <w:sz w:val="30"/>
          <w:szCs w:val="30"/>
          <w:highlight w:val="none"/>
        </w:rPr>
        <w:t>。</w:t>
      </w:r>
    </w:p>
    <w:p w14:paraId="32DD84E2">
      <w:pPr>
        <w:pStyle w:val="5"/>
        <w:spacing w:before="120" w:after="120" w:line="360" w:lineRule="auto"/>
        <w:ind w:firstLine="560" w:firstLineChars="200"/>
        <w:rPr>
          <w:rFonts w:ascii="仿宋" w:hAnsi="仿宋" w:eastAsia="仿宋" w:cs="仿宋"/>
          <w:b w:val="0"/>
          <w:color w:val="000000"/>
          <w:szCs w:val="32"/>
          <w:highlight w:val="none"/>
        </w:rPr>
      </w:pPr>
      <w:bookmarkStart w:id="409" w:name="_Toc351203482"/>
      <w:r>
        <w:rPr>
          <w:rFonts w:hint="eastAsia" w:ascii="仿宋" w:hAnsi="仿宋" w:eastAsia="仿宋" w:cs="仿宋"/>
          <w:b w:val="0"/>
          <w:color w:val="000000"/>
          <w:szCs w:val="32"/>
          <w:highlight w:val="none"/>
        </w:rPr>
        <w:t>二、合同工期</w:t>
      </w:r>
      <w:bookmarkEnd w:id="409"/>
    </w:p>
    <w:p w14:paraId="49CB9971">
      <w:pPr>
        <w:spacing w:line="360" w:lineRule="auto"/>
        <w:ind w:firstLine="459"/>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计划开工日期：</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年</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月</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日。或以经批准的开工报告为准。</w:t>
      </w:r>
    </w:p>
    <w:p w14:paraId="1DF7639B">
      <w:pPr>
        <w:snapToGrid w:val="0"/>
        <w:spacing w:line="580" w:lineRule="exact"/>
        <w:ind w:firstLine="459"/>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计划竣工日期：</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年</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月</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日。或从开工之日起按合同工期顺延</w:t>
      </w:r>
      <w:r>
        <w:rPr>
          <w:rFonts w:hint="eastAsia" w:ascii="仿宋" w:hAnsi="仿宋" w:eastAsia="仿宋" w:cs="仿宋"/>
          <w:color w:val="000000"/>
          <w:sz w:val="28"/>
          <w:szCs w:val="30"/>
          <w:highlight w:val="none"/>
          <w:lang w:eastAsia="zh-CN"/>
        </w:rPr>
        <w:t>，</w:t>
      </w:r>
      <w:r>
        <w:rPr>
          <w:rFonts w:hint="eastAsia" w:ascii="仿宋" w:hAnsi="仿宋" w:eastAsia="仿宋" w:cs="仿宋"/>
          <w:color w:val="000000"/>
          <w:sz w:val="28"/>
          <w:szCs w:val="30"/>
          <w:highlight w:val="none"/>
          <w:lang w:val="en-US" w:eastAsia="zh-CN"/>
        </w:rPr>
        <w:t>以竣工报告为准</w:t>
      </w:r>
      <w:r>
        <w:rPr>
          <w:rFonts w:hint="eastAsia" w:ascii="仿宋" w:hAnsi="仿宋" w:eastAsia="仿宋" w:cs="仿宋"/>
          <w:color w:val="000000"/>
          <w:sz w:val="28"/>
          <w:szCs w:val="30"/>
          <w:highlight w:val="none"/>
        </w:rPr>
        <w:t>。</w:t>
      </w:r>
    </w:p>
    <w:p w14:paraId="6FC1B680">
      <w:pPr>
        <w:spacing w:line="360" w:lineRule="auto"/>
        <w:ind w:firstLine="459"/>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工期总日历天数：</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天。工期总日历天数与根据前述计划开竣工日期计算的工期天数不一致的，以工期总日历天数为准。</w:t>
      </w:r>
    </w:p>
    <w:p w14:paraId="0CE2C152">
      <w:pPr>
        <w:pStyle w:val="5"/>
        <w:spacing w:before="120" w:after="120" w:line="360" w:lineRule="auto"/>
        <w:ind w:firstLine="560" w:firstLineChars="200"/>
        <w:rPr>
          <w:rFonts w:ascii="仿宋" w:hAnsi="仿宋" w:eastAsia="仿宋" w:cs="仿宋"/>
          <w:bCs w:val="0"/>
          <w:color w:val="000000"/>
          <w:szCs w:val="32"/>
          <w:highlight w:val="none"/>
        </w:rPr>
      </w:pPr>
      <w:bookmarkStart w:id="410" w:name="_Toc351203483"/>
      <w:r>
        <w:rPr>
          <w:rFonts w:hint="eastAsia" w:ascii="仿宋" w:hAnsi="仿宋" w:eastAsia="仿宋" w:cs="仿宋"/>
          <w:b w:val="0"/>
          <w:color w:val="000000"/>
          <w:szCs w:val="32"/>
          <w:highlight w:val="none"/>
        </w:rPr>
        <w:t>三、质量标准</w:t>
      </w:r>
      <w:bookmarkEnd w:id="410"/>
    </w:p>
    <w:p w14:paraId="5FE0CC17">
      <w:pPr>
        <w:spacing w:line="360" w:lineRule="auto"/>
        <w:ind w:firstLine="459"/>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工程质量符合</w:t>
      </w:r>
      <w:r>
        <w:rPr>
          <w:rFonts w:hint="eastAsia" w:ascii="仿宋" w:hAnsi="仿宋" w:eastAsia="仿宋" w:cs="仿宋"/>
          <w:color w:val="000000"/>
          <w:sz w:val="28"/>
          <w:szCs w:val="30"/>
          <w:highlight w:val="none"/>
          <w:u w:val="single"/>
        </w:rPr>
        <w:t>国家对各种类工程制定的相应</w:t>
      </w:r>
      <w:r>
        <w:rPr>
          <w:rFonts w:hint="eastAsia" w:ascii="仿宋" w:hAnsi="仿宋" w:eastAsia="仿宋" w:cs="仿宋"/>
          <w:color w:val="000000"/>
          <w:sz w:val="28"/>
          <w:szCs w:val="30"/>
          <w:highlight w:val="none"/>
          <w:u w:val="single"/>
          <w:lang w:eastAsia="zh-CN"/>
        </w:rPr>
        <w:t>《</w:t>
      </w:r>
      <w:r>
        <w:rPr>
          <w:rFonts w:hint="eastAsia" w:ascii="仿宋" w:hAnsi="仿宋" w:eastAsia="仿宋" w:cs="仿宋"/>
          <w:color w:val="000000"/>
          <w:sz w:val="28"/>
          <w:szCs w:val="30"/>
          <w:highlight w:val="none"/>
          <w:u w:val="single"/>
        </w:rPr>
        <w:t>工程施工质量验收规范</w:t>
      </w:r>
      <w:r>
        <w:rPr>
          <w:rFonts w:hint="eastAsia" w:ascii="仿宋" w:hAnsi="仿宋" w:eastAsia="仿宋" w:cs="仿宋"/>
          <w:color w:val="000000"/>
          <w:sz w:val="28"/>
          <w:szCs w:val="30"/>
          <w:highlight w:val="none"/>
          <w:u w:val="single"/>
          <w:lang w:eastAsia="zh-CN"/>
        </w:rPr>
        <w:t>》</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none"/>
        </w:rPr>
        <w:t>合格</w:t>
      </w:r>
      <w:r>
        <w:rPr>
          <w:rFonts w:hint="eastAsia" w:ascii="仿宋" w:hAnsi="仿宋" w:eastAsia="仿宋" w:cs="仿宋"/>
          <w:color w:val="000000"/>
          <w:sz w:val="28"/>
          <w:szCs w:val="30"/>
          <w:highlight w:val="none"/>
        </w:rPr>
        <w:t>标准。</w:t>
      </w:r>
    </w:p>
    <w:p w14:paraId="5E064334">
      <w:pPr>
        <w:pStyle w:val="5"/>
        <w:spacing w:before="120" w:after="120" w:line="360" w:lineRule="auto"/>
        <w:rPr>
          <w:rFonts w:ascii="仿宋" w:hAnsi="仿宋" w:eastAsia="仿宋" w:cs="仿宋"/>
          <w:bCs w:val="0"/>
          <w:color w:val="000000"/>
          <w:szCs w:val="32"/>
          <w:highlight w:val="none"/>
        </w:rPr>
      </w:pPr>
      <w:bookmarkStart w:id="411" w:name="_Toc351203484"/>
      <w:r>
        <w:rPr>
          <w:rFonts w:hint="eastAsia" w:ascii="仿宋" w:hAnsi="仿宋" w:eastAsia="仿宋" w:cs="仿宋"/>
          <w:b w:val="0"/>
          <w:color w:val="000000"/>
          <w:szCs w:val="32"/>
          <w:highlight w:val="none"/>
        </w:rPr>
        <w:t>四、签约合同价与合同价格形式</w:t>
      </w:r>
      <w:bookmarkEnd w:id="411"/>
      <w:r>
        <w:rPr>
          <w:rFonts w:hint="eastAsia" w:ascii="仿宋" w:hAnsi="仿宋" w:eastAsia="仿宋" w:cs="仿宋"/>
          <w:b w:val="0"/>
          <w:color w:val="000000"/>
          <w:szCs w:val="32"/>
          <w:highlight w:val="none"/>
        </w:rPr>
        <w:tab/>
      </w:r>
    </w:p>
    <w:p w14:paraId="28FDB3C3">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1.签约合同价为：</w:t>
      </w:r>
    </w:p>
    <w:p w14:paraId="305AB3FE">
      <w:pPr>
        <w:spacing w:line="360" w:lineRule="auto"/>
        <w:ind w:firstLine="700" w:firstLineChars="25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人民币（大写）</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元)；</w:t>
      </w:r>
    </w:p>
    <w:p w14:paraId="2A6F759D">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其中：</w:t>
      </w:r>
    </w:p>
    <w:p w14:paraId="5B29F99E">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（1）安全文明施工费：</w:t>
      </w:r>
    </w:p>
    <w:p w14:paraId="1FBF34D9">
      <w:pPr>
        <w:spacing w:line="360" w:lineRule="auto"/>
        <w:ind w:firstLine="1260" w:firstLineChars="45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人民币（大写）</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元</w:t>
      </w:r>
      <w:r>
        <w:rPr>
          <w:rFonts w:hint="eastAsia" w:ascii="仿宋" w:hAnsi="仿宋" w:eastAsia="仿宋" w:cs="仿宋"/>
          <w:color w:val="000000"/>
          <w:sz w:val="28"/>
          <w:szCs w:val="30"/>
          <w:highlight w:val="non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元)（</w:t>
      </w:r>
      <w:r>
        <w:rPr>
          <w:rFonts w:hint="eastAsia" w:ascii="仿宋" w:hAnsi="仿宋" w:eastAsia="仿宋" w:cs="仿宋"/>
          <w:color w:val="FF0000"/>
          <w:sz w:val="28"/>
          <w:szCs w:val="30"/>
          <w:highlight w:val="none"/>
        </w:rPr>
        <w:t>含税价）</w:t>
      </w:r>
      <w:r>
        <w:rPr>
          <w:rFonts w:hint="eastAsia" w:ascii="仿宋" w:hAnsi="仿宋" w:eastAsia="仿宋" w:cs="仿宋"/>
          <w:color w:val="000000"/>
          <w:sz w:val="28"/>
          <w:szCs w:val="30"/>
          <w:highlight w:val="none"/>
        </w:rPr>
        <w:t>；</w:t>
      </w:r>
    </w:p>
    <w:p w14:paraId="0430788A">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（2）材料和工程设备暂估价金额：</w:t>
      </w:r>
    </w:p>
    <w:p w14:paraId="5E4055B2">
      <w:pPr>
        <w:spacing w:line="360" w:lineRule="auto"/>
        <w:ind w:firstLine="1260" w:firstLineChars="45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人民币（大写）</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 xml:space="preserve"> (¥元)；</w:t>
      </w:r>
    </w:p>
    <w:p w14:paraId="5D314FE8">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（3）专业工程暂估价金额：</w:t>
      </w:r>
    </w:p>
    <w:p w14:paraId="19DD711A">
      <w:pPr>
        <w:spacing w:line="360" w:lineRule="auto"/>
        <w:ind w:firstLine="1260" w:firstLineChars="45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人民币（大写）</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 xml:space="preserve"> (¥元)；</w:t>
      </w:r>
    </w:p>
    <w:p w14:paraId="2253ECA3">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（4）暂列金额：</w:t>
      </w:r>
    </w:p>
    <w:p w14:paraId="7E48FFC0">
      <w:pPr>
        <w:spacing w:line="360" w:lineRule="auto"/>
        <w:ind w:firstLine="1260" w:firstLineChars="45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人民币（大写）</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rPr>
        <w:t xml:space="preserve"> (¥元)。</w:t>
      </w:r>
    </w:p>
    <w:p w14:paraId="06DB51AE">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2.合同价格形式：</w:t>
      </w:r>
      <w:r>
        <w:rPr>
          <w:rFonts w:hint="eastAsia" w:ascii="仿宋" w:hAnsi="仿宋" w:eastAsia="仿宋" w:cs="仿宋"/>
          <w:color w:val="000000"/>
          <w:sz w:val="28"/>
          <w:szCs w:val="30"/>
          <w:highlight w:val="none"/>
          <w:u w:val="single"/>
        </w:rPr>
        <w:t>固定单价合同       </w:t>
      </w:r>
      <w:r>
        <w:rPr>
          <w:rFonts w:hint="eastAsia" w:ascii="仿宋" w:hAnsi="仿宋" w:eastAsia="仿宋" w:cs="仿宋"/>
          <w:color w:val="000000"/>
          <w:sz w:val="28"/>
          <w:szCs w:val="30"/>
          <w:highlight w:val="none"/>
        </w:rPr>
        <w:t>。</w:t>
      </w:r>
    </w:p>
    <w:p w14:paraId="1D667C24">
      <w:pPr>
        <w:pStyle w:val="5"/>
        <w:spacing w:before="120" w:after="120" w:line="360" w:lineRule="auto"/>
        <w:rPr>
          <w:rFonts w:ascii="仿宋" w:hAnsi="仿宋" w:eastAsia="仿宋" w:cs="仿宋"/>
          <w:b w:val="0"/>
          <w:color w:val="000000"/>
          <w:szCs w:val="32"/>
          <w:highlight w:val="none"/>
        </w:rPr>
      </w:pPr>
      <w:bookmarkStart w:id="412" w:name="_Toc351203485"/>
      <w:r>
        <w:rPr>
          <w:rFonts w:hint="eastAsia" w:ascii="仿宋" w:hAnsi="仿宋" w:eastAsia="仿宋" w:cs="仿宋"/>
          <w:b w:val="0"/>
          <w:color w:val="000000"/>
          <w:szCs w:val="32"/>
          <w:highlight w:val="none"/>
        </w:rPr>
        <w:t>五、</w:t>
      </w:r>
      <w:bookmarkEnd w:id="412"/>
      <w:r>
        <w:rPr>
          <w:rFonts w:hint="eastAsia" w:ascii="仿宋" w:hAnsi="仿宋" w:eastAsia="仿宋" w:cs="仿宋"/>
          <w:b w:val="0"/>
          <w:color w:val="000000"/>
          <w:szCs w:val="32"/>
          <w:highlight w:val="none"/>
        </w:rPr>
        <w:t>项目经理</w:t>
      </w:r>
    </w:p>
    <w:p w14:paraId="2DC0AA43">
      <w:pPr>
        <w:spacing w:line="360" w:lineRule="auto"/>
        <w:ind w:firstLine="560" w:firstLineChars="200"/>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承包人项目经理：</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w:t>
      </w:r>
    </w:p>
    <w:p w14:paraId="31784A79">
      <w:pPr>
        <w:pStyle w:val="5"/>
        <w:spacing w:before="120" w:after="120" w:line="360" w:lineRule="auto"/>
        <w:rPr>
          <w:rFonts w:ascii="仿宋" w:hAnsi="仿宋" w:eastAsia="仿宋" w:cs="仿宋"/>
          <w:bCs w:val="0"/>
          <w:color w:val="000000"/>
          <w:szCs w:val="32"/>
          <w:highlight w:val="none"/>
        </w:rPr>
      </w:pPr>
      <w:bookmarkStart w:id="413" w:name="_Toc351203486"/>
      <w:r>
        <w:rPr>
          <w:rFonts w:hint="eastAsia" w:ascii="仿宋" w:hAnsi="仿宋" w:eastAsia="仿宋" w:cs="仿宋"/>
          <w:b w:val="0"/>
          <w:color w:val="000000"/>
          <w:szCs w:val="32"/>
          <w:highlight w:val="none"/>
        </w:rPr>
        <w:t>六、合同文件构成</w:t>
      </w:r>
      <w:bookmarkEnd w:id="413"/>
    </w:p>
    <w:p w14:paraId="4B82CCE5">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本协议书与下列文件一起构成合同文件：</w:t>
      </w:r>
    </w:p>
    <w:p w14:paraId="7418C56F">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（1）中标通知书（如果有）；</w:t>
      </w:r>
    </w:p>
    <w:p w14:paraId="3C933B80">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 xml:space="preserve">（2）投标函及其附录（如果有）； </w:t>
      </w:r>
    </w:p>
    <w:p w14:paraId="3BB27197">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（3）专用合同条款及其附件；</w:t>
      </w:r>
    </w:p>
    <w:p w14:paraId="680C27C0">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（4）通用合同条款；</w:t>
      </w:r>
    </w:p>
    <w:p w14:paraId="5A3C5304">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（5）技术标准和要求；</w:t>
      </w:r>
    </w:p>
    <w:p w14:paraId="604F1831">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（6）图纸；</w:t>
      </w:r>
    </w:p>
    <w:p w14:paraId="1E81F3B7">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（7）已标价工程量清单或预算书；</w:t>
      </w:r>
    </w:p>
    <w:p w14:paraId="6914B7C9">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（8）其他合同文件。</w:t>
      </w:r>
    </w:p>
    <w:p w14:paraId="6AFA07FE">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在合同订立及履行过程中形成的与合同有关的文件均构成合同文件组成部分。</w:t>
      </w:r>
    </w:p>
    <w:p w14:paraId="4BA3CDE3">
      <w:pPr>
        <w:autoSpaceDE w:val="0"/>
        <w:autoSpaceDN w:val="0"/>
        <w:adjustRightInd w:val="0"/>
        <w:spacing w:line="360" w:lineRule="auto"/>
        <w:ind w:firstLine="560" w:firstLineChars="200"/>
        <w:jc w:val="lef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上述各项合同文件包括合同当事人就该项合同文件所作出的补充和修改，属于同一类内容的文件，应以最新签署的为准。专用合同条款及其附件须经合同</w:t>
      </w:r>
      <w:r>
        <w:rPr>
          <w:rFonts w:hint="eastAsia" w:ascii="仿宋" w:hAnsi="仿宋" w:eastAsia="仿宋" w:cs="仿宋"/>
          <w:color w:val="000000"/>
          <w:sz w:val="28"/>
          <w:szCs w:val="30"/>
          <w:highlight w:val="none"/>
          <w:lang w:val="en-US" w:eastAsia="zh-CN"/>
        </w:rPr>
        <w:t>双方</w:t>
      </w:r>
      <w:r>
        <w:rPr>
          <w:rFonts w:hint="eastAsia" w:ascii="仿宋" w:hAnsi="仿宋" w:eastAsia="仿宋" w:cs="仿宋"/>
          <w:color w:val="000000"/>
          <w:sz w:val="28"/>
          <w:szCs w:val="30"/>
          <w:highlight w:val="none"/>
        </w:rPr>
        <w:t>签字或盖章。</w:t>
      </w:r>
    </w:p>
    <w:p w14:paraId="579CF497">
      <w:pPr>
        <w:pStyle w:val="5"/>
        <w:spacing w:before="120" w:after="120" w:line="360" w:lineRule="auto"/>
        <w:rPr>
          <w:rFonts w:ascii="仿宋" w:hAnsi="仿宋" w:eastAsia="仿宋" w:cs="仿宋"/>
          <w:b w:val="0"/>
          <w:bCs w:val="0"/>
          <w:color w:val="000000"/>
          <w:szCs w:val="32"/>
          <w:highlight w:val="none"/>
        </w:rPr>
      </w:pPr>
      <w:bookmarkStart w:id="414" w:name="_Toc351203487"/>
      <w:r>
        <w:rPr>
          <w:rFonts w:hint="eastAsia" w:ascii="仿宋" w:hAnsi="仿宋" w:eastAsia="仿宋" w:cs="仿宋"/>
          <w:b w:val="0"/>
          <w:color w:val="000000"/>
          <w:szCs w:val="32"/>
          <w:highlight w:val="none"/>
        </w:rPr>
        <w:t>七、承诺</w:t>
      </w:r>
      <w:bookmarkEnd w:id="414"/>
    </w:p>
    <w:p w14:paraId="36A2C9EB">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1.发包人承诺按照法律规定履行项目审批手续、筹集工程建设资金并按照合同约定的期限和方式支付合同价款。</w:t>
      </w:r>
    </w:p>
    <w:p w14:paraId="663CC2B3">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2.承包人承诺按照法律规定及合同约定组织完成工程施工，确保工程质量和安全，不进行转包及违法分包，并在缺陷责任期及保修期内承担相应的工程维修责任。</w:t>
      </w:r>
    </w:p>
    <w:p w14:paraId="5162827C">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3.发包人和承包人通过招投标形式签订合同的，双方理解并承诺不再就同一工程另行签订与合同实质性内容相背离的协议。</w:t>
      </w:r>
    </w:p>
    <w:p w14:paraId="6143D577">
      <w:pPr>
        <w:spacing w:line="360" w:lineRule="auto"/>
        <w:rPr>
          <w:rFonts w:ascii="仿宋" w:hAnsi="仿宋" w:eastAsia="仿宋" w:cs="仿宋"/>
          <w:bCs/>
          <w:color w:val="000000"/>
          <w:sz w:val="28"/>
          <w:szCs w:val="32"/>
          <w:highlight w:val="none"/>
        </w:rPr>
      </w:pPr>
      <w:bookmarkStart w:id="415" w:name="_Toc351203488"/>
      <w:r>
        <w:rPr>
          <w:rFonts w:hint="eastAsia" w:ascii="仿宋" w:hAnsi="仿宋" w:eastAsia="仿宋" w:cs="仿宋"/>
          <w:b/>
          <w:color w:val="000000"/>
          <w:sz w:val="28"/>
          <w:szCs w:val="32"/>
          <w:highlight w:val="none"/>
        </w:rPr>
        <w:t xml:space="preserve">    八、词语含义</w:t>
      </w:r>
      <w:bookmarkEnd w:id="415"/>
    </w:p>
    <w:p w14:paraId="4E2CC1AE">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本协议书中词语含义与第二部分通用合同条款中赋予的含义相同。</w:t>
      </w:r>
    </w:p>
    <w:p w14:paraId="3F3A6CDC">
      <w:pPr>
        <w:pStyle w:val="5"/>
        <w:spacing w:before="120" w:after="120" w:line="360" w:lineRule="auto"/>
        <w:rPr>
          <w:rFonts w:ascii="仿宋" w:hAnsi="仿宋" w:eastAsia="仿宋" w:cs="仿宋"/>
          <w:bCs w:val="0"/>
          <w:color w:val="000000"/>
          <w:szCs w:val="32"/>
          <w:highlight w:val="none"/>
        </w:rPr>
      </w:pPr>
      <w:bookmarkStart w:id="416" w:name="_Toc351203489"/>
      <w:r>
        <w:rPr>
          <w:rFonts w:hint="eastAsia" w:ascii="仿宋" w:hAnsi="仿宋" w:eastAsia="仿宋" w:cs="仿宋"/>
          <w:b w:val="0"/>
          <w:color w:val="000000"/>
          <w:szCs w:val="32"/>
          <w:highlight w:val="none"/>
        </w:rPr>
        <w:t>九、签订时间</w:t>
      </w:r>
      <w:bookmarkEnd w:id="416"/>
    </w:p>
    <w:p w14:paraId="4E11244E">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本合同于</w:t>
      </w:r>
      <w:r>
        <w:rPr>
          <w:rFonts w:hint="eastAsia" w:ascii="仿宋" w:hAnsi="仿宋" w:eastAsia="仿宋" w:cs="仿宋"/>
          <w:bCs/>
          <w:color w:val="000000"/>
          <w:sz w:val="28"/>
          <w:szCs w:val="30"/>
          <w:highlight w:val="none"/>
          <w:u w:val="single"/>
          <w:lang w:val="en-US" w:eastAsia="zh-CN"/>
        </w:rPr>
        <w:t xml:space="preserve">   </w:t>
      </w:r>
      <w:r>
        <w:rPr>
          <w:rFonts w:hint="eastAsia" w:ascii="仿宋" w:hAnsi="仿宋" w:eastAsia="仿宋" w:cs="仿宋"/>
          <w:bCs/>
          <w:color w:val="000000"/>
          <w:sz w:val="28"/>
          <w:szCs w:val="30"/>
          <w:highlight w:val="none"/>
        </w:rPr>
        <w:t>年</w:t>
      </w:r>
      <w:r>
        <w:rPr>
          <w:rFonts w:hint="eastAsia" w:ascii="仿宋" w:hAnsi="仿宋" w:eastAsia="仿宋" w:cs="仿宋"/>
          <w:bCs/>
          <w:color w:val="000000"/>
          <w:sz w:val="28"/>
          <w:szCs w:val="30"/>
          <w:highlight w:val="none"/>
          <w:u w:val="single"/>
          <w:lang w:val="en-US" w:eastAsia="zh-CN"/>
        </w:rPr>
        <w:t xml:space="preserve">    </w:t>
      </w:r>
      <w:r>
        <w:rPr>
          <w:rFonts w:hint="eastAsia" w:ascii="仿宋" w:hAnsi="仿宋" w:eastAsia="仿宋" w:cs="仿宋"/>
          <w:bCs/>
          <w:color w:val="000000"/>
          <w:sz w:val="28"/>
          <w:szCs w:val="30"/>
          <w:highlight w:val="none"/>
        </w:rPr>
        <w:t>月</w:t>
      </w:r>
      <w:r>
        <w:rPr>
          <w:rFonts w:hint="eastAsia" w:ascii="仿宋" w:hAnsi="仿宋" w:eastAsia="仿宋" w:cs="仿宋"/>
          <w:bCs/>
          <w:color w:val="000000"/>
          <w:sz w:val="28"/>
          <w:szCs w:val="30"/>
          <w:highlight w:val="none"/>
          <w:u w:val="single"/>
          <w:lang w:val="en-US" w:eastAsia="zh-CN"/>
        </w:rPr>
        <w:t xml:space="preserve">   </w:t>
      </w:r>
      <w:r>
        <w:rPr>
          <w:rFonts w:hint="eastAsia" w:ascii="仿宋" w:hAnsi="仿宋" w:eastAsia="仿宋" w:cs="仿宋"/>
          <w:bCs/>
          <w:color w:val="000000"/>
          <w:sz w:val="28"/>
          <w:szCs w:val="30"/>
          <w:highlight w:val="none"/>
        </w:rPr>
        <w:t>日签订。</w:t>
      </w:r>
    </w:p>
    <w:p w14:paraId="2A6CEE9C">
      <w:pPr>
        <w:pStyle w:val="5"/>
        <w:spacing w:before="120" w:after="120" w:line="360" w:lineRule="auto"/>
        <w:rPr>
          <w:rFonts w:ascii="仿宋" w:hAnsi="仿宋" w:eastAsia="仿宋" w:cs="仿宋"/>
          <w:bCs w:val="0"/>
          <w:color w:val="000000"/>
          <w:szCs w:val="32"/>
          <w:highlight w:val="none"/>
        </w:rPr>
      </w:pPr>
      <w:bookmarkStart w:id="417" w:name="_Toc351203490"/>
      <w:r>
        <w:rPr>
          <w:rFonts w:hint="eastAsia" w:ascii="仿宋" w:hAnsi="仿宋" w:eastAsia="仿宋" w:cs="仿宋"/>
          <w:b w:val="0"/>
          <w:color w:val="000000"/>
          <w:szCs w:val="32"/>
          <w:highlight w:val="none"/>
        </w:rPr>
        <w:t>十、签订地点</w:t>
      </w:r>
      <w:bookmarkEnd w:id="417"/>
    </w:p>
    <w:p w14:paraId="0650A78C">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本合同在</w:t>
      </w:r>
      <w:r>
        <w:rPr>
          <w:rFonts w:hint="eastAsia" w:ascii="仿宋" w:hAnsi="仿宋" w:eastAsia="仿宋" w:cs="仿宋"/>
          <w:bCs/>
          <w:color w:val="000000"/>
          <w:sz w:val="28"/>
          <w:szCs w:val="30"/>
          <w:highlight w:val="none"/>
          <w:u w:val="single"/>
          <w:lang w:val="en-US" w:eastAsia="zh-CN"/>
        </w:rPr>
        <w:t xml:space="preserve">          </w:t>
      </w:r>
      <w:r>
        <w:rPr>
          <w:rFonts w:hint="eastAsia" w:ascii="仿宋" w:hAnsi="仿宋" w:eastAsia="仿宋" w:cs="仿宋"/>
          <w:bCs/>
          <w:color w:val="000000"/>
          <w:sz w:val="28"/>
          <w:szCs w:val="30"/>
          <w:highlight w:val="none"/>
        </w:rPr>
        <w:t>签订。</w:t>
      </w:r>
    </w:p>
    <w:p w14:paraId="24991728">
      <w:pPr>
        <w:pStyle w:val="5"/>
        <w:spacing w:before="120" w:after="120" w:line="360" w:lineRule="auto"/>
        <w:rPr>
          <w:rFonts w:ascii="仿宋" w:hAnsi="仿宋" w:eastAsia="仿宋" w:cs="仿宋"/>
          <w:bCs w:val="0"/>
          <w:color w:val="000000"/>
          <w:szCs w:val="32"/>
          <w:highlight w:val="none"/>
        </w:rPr>
      </w:pPr>
      <w:bookmarkStart w:id="418" w:name="_Toc351203491"/>
      <w:r>
        <w:rPr>
          <w:rFonts w:hint="eastAsia" w:ascii="仿宋" w:hAnsi="仿宋" w:eastAsia="仿宋" w:cs="仿宋"/>
          <w:b w:val="0"/>
          <w:color w:val="000000"/>
          <w:szCs w:val="32"/>
          <w:highlight w:val="none"/>
        </w:rPr>
        <w:t>十一、补充协议</w:t>
      </w:r>
      <w:bookmarkEnd w:id="418"/>
    </w:p>
    <w:p w14:paraId="77359691">
      <w:pPr>
        <w:spacing w:line="360" w:lineRule="auto"/>
        <w:ind w:firstLine="560" w:firstLineChars="200"/>
        <w:rPr>
          <w:rFonts w:ascii="仿宋" w:hAnsi="仿宋" w:eastAsia="仿宋" w:cs="仿宋"/>
          <w:b/>
          <w:bCs/>
          <w:color w:val="000000"/>
          <w:sz w:val="28"/>
          <w:szCs w:val="30"/>
          <w:highlight w:val="none"/>
        </w:rPr>
      </w:pPr>
      <w:r>
        <w:rPr>
          <w:rFonts w:hint="eastAsia" w:ascii="仿宋" w:hAnsi="仿宋" w:eastAsia="仿宋" w:cs="仿宋"/>
          <w:bCs/>
          <w:color w:val="000000"/>
          <w:sz w:val="28"/>
          <w:szCs w:val="30"/>
          <w:highlight w:val="none"/>
        </w:rPr>
        <w:t>合同未尽事宜，</w:t>
      </w:r>
      <w:r>
        <w:rPr>
          <w:rFonts w:hint="eastAsia" w:ascii="仿宋" w:hAnsi="仿宋" w:eastAsia="仿宋" w:cs="仿宋"/>
          <w:bCs/>
          <w:color w:val="000000"/>
          <w:sz w:val="28"/>
          <w:szCs w:val="30"/>
          <w:highlight w:val="none"/>
          <w:lang w:val="en-US" w:eastAsia="zh-CN"/>
        </w:rPr>
        <w:t>由</w:t>
      </w:r>
      <w:r>
        <w:rPr>
          <w:rFonts w:hint="eastAsia" w:ascii="仿宋" w:hAnsi="仿宋" w:eastAsia="仿宋" w:cs="仿宋"/>
          <w:bCs/>
          <w:color w:val="000000"/>
          <w:sz w:val="28"/>
          <w:szCs w:val="30"/>
          <w:highlight w:val="none"/>
        </w:rPr>
        <w:t>合同</w:t>
      </w:r>
      <w:r>
        <w:rPr>
          <w:rFonts w:hint="eastAsia" w:ascii="仿宋" w:hAnsi="仿宋" w:eastAsia="仿宋" w:cs="仿宋"/>
          <w:bCs/>
          <w:color w:val="000000"/>
          <w:sz w:val="28"/>
          <w:szCs w:val="30"/>
          <w:highlight w:val="none"/>
          <w:lang w:val="en-US" w:eastAsia="zh-CN"/>
        </w:rPr>
        <w:t>双方</w:t>
      </w:r>
      <w:r>
        <w:rPr>
          <w:rFonts w:hint="eastAsia" w:ascii="仿宋" w:hAnsi="仿宋" w:eastAsia="仿宋" w:cs="仿宋"/>
          <w:bCs/>
          <w:color w:val="000000"/>
          <w:sz w:val="28"/>
          <w:szCs w:val="30"/>
          <w:highlight w:val="none"/>
        </w:rPr>
        <w:t>另行签订补充协议，补充协议是合同的组成部分</w:t>
      </w:r>
      <w:r>
        <w:rPr>
          <w:rFonts w:hint="eastAsia" w:ascii="仿宋" w:hAnsi="仿宋" w:eastAsia="仿宋" w:cs="仿宋"/>
          <w:bCs/>
          <w:color w:val="000000"/>
          <w:sz w:val="28"/>
          <w:szCs w:val="30"/>
          <w:highlight w:val="none"/>
          <w:lang w:eastAsia="zh-CN"/>
        </w:rPr>
        <w:t>，</w:t>
      </w:r>
      <w:r>
        <w:rPr>
          <w:rFonts w:hint="eastAsia" w:ascii="仿宋" w:hAnsi="仿宋" w:eastAsia="仿宋" w:cs="仿宋"/>
          <w:bCs/>
          <w:color w:val="000000"/>
          <w:sz w:val="28"/>
          <w:szCs w:val="30"/>
          <w:highlight w:val="none"/>
          <w:lang w:val="en-US" w:eastAsia="zh-CN"/>
        </w:rPr>
        <w:t>与本合同具有同等法律效力</w:t>
      </w:r>
      <w:r>
        <w:rPr>
          <w:rFonts w:hint="eastAsia" w:ascii="仿宋" w:hAnsi="仿宋" w:eastAsia="仿宋" w:cs="仿宋"/>
          <w:bCs/>
          <w:color w:val="000000"/>
          <w:sz w:val="28"/>
          <w:szCs w:val="30"/>
          <w:highlight w:val="none"/>
        </w:rPr>
        <w:t>。</w:t>
      </w:r>
    </w:p>
    <w:p w14:paraId="7F3F24F3">
      <w:pPr>
        <w:pStyle w:val="5"/>
        <w:spacing w:before="120" w:after="120" w:line="580" w:lineRule="exact"/>
        <w:rPr>
          <w:rFonts w:ascii="仿宋" w:hAnsi="仿宋" w:eastAsia="仿宋" w:cs="仿宋"/>
          <w:b w:val="0"/>
          <w:color w:val="000000"/>
          <w:szCs w:val="32"/>
          <w:highlight w:val="none"/>
        </w:rPr>
      </w:pPr>
      <w:bookmarkStart w:id="419" w:name="_Toc351203492"/>
      <w:r>
        <w:rPr>
          <w:rFonts w:hint="eastAsia" w:ascii="仿宋" w:hAnsi="仿宋" w:eastAsia="仿宋" w:cs="仿宋"/>
          <w:b w:val="0"/>
          <w:color w:val="000000"/>
          <w:szCs w:val="32"/>
          <w:highlight w:val="none"/>
        </w:rPr>
        <w:t>十二、违约责任</w:t>
      </w:r>
    </w:p>
    <w:p w14:paraId="5E2134C4">
      <w:pPr>
        <w:spacing w:line="580" w:lineRule="exact"/>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合同双方按照本合同“第二部分 通用合同条款”与“第三部分 专用合同条款”约定的内容承担违约责任。</w:t>
      </w:r>
    </w:p>
    <w:p w14:paraId="08F89E49">
      <w:pPr>
        <w:pStyle w:val="5"/>
        <w:spacing w:before="120" w:after="120" w:line="580" w:lineRule="exact"/>
        <w:rPr>
          <w:rFonts w:ascii="仿宋" w:hAnsi="仿宋" w:eastAsia="仿宋" w:cs="仿宋"/>
          <w:b w:val="0"/>
          <w:color w:val="000000"/>
          <w:szCs w:val="32"/>
          <w:highlight w:val="none"/>
        </w:rPr>
      </w:pPr>
      <w:r>
        <w:rPr>
          <w:rFonts w:hint="eastAsia" w:ascii="仿宋" w:hAnsi="仿宋" w:eastAsia="仿宋" w:cs="仿宋"/>
          <w:b w:val="0"/>
          <w:color w:val="000000"/>
          <w:szCs w:val="32"/>
          <w:highlight w:val="none"/>
        </w:rPr>
        <w:t>十三、争议解决</w:t>
      </w:r>
    </w:p>
    <w:p w14:paraId="79A3E62E">
      <w:pPr>
        <w:spacing w:before="120" w:after="120" w:line="580" w:lineRule="exact"/>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本建设工程施工合同发生争议，发包人与承包人应及时协商解决。协商不成的，任何一方均可向杭州市上城区人民法院提起诉讼。</w:t>
      </w:r>
    </w:p>
    <w:p w14:paraId="0B5A7032">
      <w:pPr>
        <w:pStyle w:val="5"/>
        <w:spacing w:before="120" w:after="120" w:line="360" w:lineRule="auto"/>
        <w:rPr>
          <w:rFonts w:ascii="仿宋" w:hAnsi="仿宋" w:eastAsia="仿宋" w:cs="仿宋"/>
          <w:bCs w:val="0"/>
          <w:color w:val="000000"/>
          <w:szCs w:val="32"/>
          <w:highlight w:val="none"/>
        </w:rPr>
      </w:pPr>
      <w:r>
        <w:rPr>
          <w:rFonts w:hint="eastAsia" w:ascii="仿宋" w:hAnsi="仿宋" w:eastAsia="仿宋" w:cs="仿宋"/>
          <w:b w:val="0"/>
          <w:color w:val="000000"/>
          <w:szCs w:val="32"/>
          <w:highlight w:val="none"/>
        </w:rPr>
        <w:t>十</w:t>
      </w:r>
      <w:r>
        <w:rPr>
          <w:rFonts w:hint="eastAsia" w:ascii="仿宋" w:hAnsi="仿宋" w:eastAsia="仿宋" w:cs="仿宋"/>
          <w:b w:val="0"/>
          <w:color w:val="000000"/>
          <w:szCs w:val="32"/>
          <w:highlight w:val="none"/>
          <w:lang w:val="en-US" w:eastAsia="zh-CN"/>
        </w:rPr>
        <w:t>三</w:t>
      </w:r>
      <w:r>
        <w:rPr>
          <w:rFonts w:hint="eastAsia" w:ascii="仿宋" w:hAnsi="仿宋" w:eastAsia="仿宋" w:cs="仿宋"/>
          <w:b w:val="0"/>
          <w:color w:val="000000"/>
          <w:szCs w:val="32"/>
          <w:highlight w:val="none"/>
        </w:rPr>
        <w:t>、合同生效</w:t>
      </w:r>
      <w:bookmarkEnd w:id="419"/>
    </w:p>
    <w:p w14:paraId="12AE92A8">
      <w:pPr>
        <w:spacing w:line="360" w:lineRule="auto"/>
        <w:ind w:firstLine="560" w:firstLineChars="200"/>
        <w:rPr>
          <w:rFonts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本合同自</w:t>
      </w:r>
      <w:r>
        <w:rPr>
          <w:rFonts w:hint="eastAsia" w:ascii="仿宋" w:hAnsi="仿宋" w:eastAsia="仿宋" w:cs="仿宋"/>
          <w:bCs/>
          <w:color w:val="000000"/>
          <w:sz w:val="28"/>
          <w:szCs w:val="30"/>
          <w:highlight w:val="none"/>
          <w:u w:val="single"/>
        </w:rPr>
        <w:t xml:space="preserve">     双方签字盖章后   </w:t>
      </w:r>
      <w:r>
        <w:rPr>
          <w:rFonts w:hint="eastAsia" w:ascii="仿宋" w:hAnsi="仿宋" w:eastAsia="仿宋" w:cs="仿宋"/>
          <w:bCs/>
          <w:color w:val="000000"/>
          <w:sz w:val="28"/>
          <w:szCs w:val="30"/>
          <w:highlight w:val="none"/>
        </w:rPr>
        <w:t>生效。</w:t>
      </w:r>
    </w:p>
    <w:p w14:paraId="32E228CB">
      <w:pPr>
        <w:pStyle w:val="5"/>
        <w:spacing w:before="120" w:after="120" w:line="360" w:lineRule="auto"/>
        <w:rPr>
          <w:rFonts w:ascii="仿宋" w:hAnsi="仿宋" w:eastAsia="仿宋" w:cs="仿宋"/>
          <w:bCs w:val="0"/>
          <w:color w:val="000000"/>
          <w:szCs w:val="32"/>
          <w:highlight w:val="none"/>
        </w:rPr>
      </w:pPr>
      <w:bookmarkStart w:id="420" w:name="_Toc351203493"/>
      <w:r>
        <w:rPr>
          <w:rFonts w:hint="eastAsia" w:ascii="仿宋" w:hAnsi="仿宋" w:eastAsia="仿宋" w:cs="仿宋"/>
          <w:b w:val="0"/>
          <w:color w:val="000000"/>
          <w:szCs w:val="32"/>
          <w:highlight w:val="none"/>
        </w:rPr>
        <w:t>十</w:t>
      </w:r>
      <w:r>
        <w:rPr>
          <w:rFonts w:hint="eastAsia" w:ascii="仿宋" w:hAnsi="仿宋" w:eastAsia="仿宋" w:cs="仿宋"/>
          <w:b w:val="0"/>
          <w:color w:val="000000"/>
          <w:szCs w:val="32"/>
          <w:highlight w:val="none"/>
          <w:lang w:val="en-US" w:eastAsia="zh-CN"/>
        </w:rPr>
        <w:t>四</w:t>
      </w:r>
      <w:r>
        <w:rPr>
          <w:rFonts w:hint="eastAsia" w:ascii="仿宋" w:hAnsi="仿宋" w:eastAsia="仿宋" w:cs="仿宋"/>
          <w:b w:val="0"/>
          <w:color w:val="000000"/>
          <w:szCs w:val="32"/>
          <w:highlight w:val="none"/>
        </w:rPr>
        <w:t>、合同份数</w:t>
      </w:r>
      <w:bookmarkEnd w:id="420"/>
    </w:p>
    <w:p w14:paraId="3644CDE2">
      <w:pPr>
        <w:spacing w:line="360" w:lineRule="auto"/>
        <w:ind w:firstLine="560" w:firstLineChars="200"/>
        <w:rPr>
          <w:rFonts w:hint="eastAsia" w:ascii="仿宋" w:hAnsi="仿宋" w:eastAsia="仿宋" w:cs="仿宋"/>
          <w:bCs/>
          <w:color w:val="000000"/>
          <w:sz w:val="28"/>
          <w:szCs w:val="30"/>
          <w:highlight w:val="none"/>
        </w:rPr>
      </w:pPr>
      <w:r>
        <w:rPr>
          <w:rFonts w:hint="eastAsia" w:ascii="仿宋" w:hAnsi="仿宋" w:eastAsia="仿宋" w:cs="仿宋"/>
          <w:bCs/>
          <w:color w:val="000000"/>
          <w:sz w:val="28"/>
          <w:szCs w:val="30"/>
          <w:highlight w:val="none"/>
        </w:rPr>
        <w:t>本合同一式</w:t>
      </w:r>
      <w:r>
        <w:rPr>
          <w:rFonts w:hint="eastAsia" w:ascii="仿宋" w:hAnsi="仿宋" w:eastAsia="仿宋" w:cs="仿宋"/>
          <w:bCs/>
          <w:color w:val="000000"/>
          <w:sz w:val="28"/>
          <w:szCs w:val="30"/>
          <w:highlight w:val="none"/>
          <w:u w:val="single"/>
          <w:lang w:val="en-US" w:eastAsia="zh-CN"/>
        </w:rPr>
        <w:t>捌</w:t>
      </w:r>
      <w:r>
        <w:rPr>
          <w:rFonts w:hint="eastAsia" w:ascii="仿宋" w:hAnsi="仿宋" w:eastAsia="仿宋" w:cs="仿宋"/>
          <w:bCs/>
          <w:color w:val="000000"/>
          <w:sz w:val="28"/>
          <w:szCs w:val="30"/>
          <w:highlight w:val="none"/>
        </w:rPr>
        <w:t>份，均具有同等法律效力，发包人执</w:t>
      </w:r>
      <w:r>
        <w:rPr>
          <w:rFonts w:hint="eastAsia" w:ascii="仿宋" w:hAnsi="仿宋" w:eastAsia="仿宋" w:cs="仿宋"/>
          <w:bCs/>
          <w:color w:val="000000"/>
          <w:sz w:val="28"/>
          <w:szCs w:val="30"/>
          <w:highlight w:val="none"/>
          <w:u w:val="single"/>
          <w:lang w:val="en-US" w:eastAsia="zh-CN"/>
        </w:rPr>
        <w:t>肆</w:t>
      </w:r>
      <w:r>
        <w:rPr>
          <w:rFonts w:hint="eastAsia" w:ascii="仿宋" w:hAnsi="仿宋" w:eastAsia="仿宋" w:cs="仿宋"/>
          <w:bCs/>
          <w:color w:val="000000"/>
          <w:sz w:val="28"/>
          <w:szCs w:val="30"/>
          <w:highlight w:val="none"/>
        </w:rPr>
        <w:t>份，承包人执</w:t>
      </w:r>
      <w:r>
        <w:rPr>
          <w:rFonts w:hint="eastAsia" w:ascii="仿宋" w:hAnsi="仿宋" w:eastAsia="仿宋" w:cs="仿宋"/>
          <w:bCs/>
          <w:color w:val="000000"/>
          <w:sz w:val="28"/>
          <w:szCs w:val="30"/>
          <w:highlight w:val="none"/>
          <w:u w:val="single"/>
          <w:lang w:val="en-US" w:eastAsia="zh-CN"/>
        </w:rPr>
        <w:t>肆</w:t>
      </w:r>
      <w:r>
        <w:rPr>
          <w:rFonts w:hint="eastAsia" w:ascii="仿宋" w:hAnsi="仿宋" w:eastAsia="仿宋" w:cs="仿宋"/>
          <w:bCs/>
          <w:color w:val="000000"/>
          <w:sz w:val="28"/>
          <w:szCs w:val="30"/>
          <w:highlight w:val="none"/>
        </w:rPr>
        <w:t>份。</w:t>
      </w:r>
    </w:p>
    <w:p w14:paraId="7758F718">
      <w:pPr>
        <w:pStyle w:val="42"/>
        <w:spacing w:line="580" w:lineRule="exact"/>
        <w:ind w:firstLine="560" w:firstLineChars="200"/>
        <w:rPr>
          <w:highlight w:val="none"/>
        </w:rPr>
      </w:pPr>
      <w:r>
        <w:rPr>
          <w:rFonts w:hint="eastAsia" w:ascii="仿宋" w:hAnsi="仿宋" w:eastAsia="仿宋" w:cs="仿宋"/>
          <w:color w:val="000000"/>
          <w:sz w:val="28"/>
          <w:szCs w:val="30"/>
          <w:highlight w:val="none"/>
        </w:rPr>
        <w:t>（以下为签字页）</w:t>
      </w:r>
    </w:p>
    <w:p w14:paraId="47282A3F">
      <w:pPr>
        <w:pStyle w:val="42"/>
        <w:rPr>
          <w:highlight w:val="none"/>
        </w:rPr>
      </w:pPr>
    </w:p>
    <w:p w14:paraId="7C0541AF">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br w:type="page"/>
      </w:r>
    </w:p>
    <w:p w14:paraId="7DE0CA95">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发包人：  (公章)             承包人：  (公章)</w:t>
      </w:r>
    </w:p>
    <w:p w14:paraId="3AA7E3C6">
      <w:pPr>
        <w:spacing w:line="360" w:lineRule="auto"/>
        <w:rPr>
          <w:rFonts w:ascii="仿宋" w:hAnsi="仿宋" w:eastAsia="仿宋" w:cs="仿宋"/>
          <w:color w:val="000000"/>
          <w:sz w:val="28"/>
          <w:szCs w:val="30"/>
          <w:highlight w:val="none"/>
          <w:u w:val="single"/>
        </w:rPr>
      </w:pPr>
    </w:p>
    <w:p w14:paraId="29F7E25D">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法定代表人或其委托代理人：  法定代表人或其委托代理人：</w:t>
      </w:r>
    </w:p>
    <w:p w14:paraId="5B37790A">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（签字）                    （签字）</w:t>
      </w:r>
    </w:p>
    <w:p w14:paraId="11C5BEE7">
      <w:pPr>
        <w:spacing w:line="360" w:lineRule="auto"/>
        <w:rPr>
          <w:rFonts w:ascii="仿宋" w:hAnsi="仿宋" w:eastAsia="仿宋" w:cs="仿宋"/>
          <w:color w:val="000000"/>
          <w:sz w:val="28"/>
          <w:szCs w:val="30"/>
          <w:highlight w:val="none"/>
          <w:u w:val="single"/>
        </w:rPr>
      </w:pPr>
    </w:p>
    <w:p w14:paraId="081D89BF">
      <w:pPr>
        <w:tabs>
          <w:tab w:val="left" w:pos="4410"/>
        </w:tabs>
        <w:spacing w:line="360" w:lineRule="auto"/>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组织机构代码：</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组织机构代码：</w:t>
      </w:r>
      <w:r>
        <w:rPr>
          <w:rFonts w:hint="eastAsia" w:eastAsia="仿宋"/>
          <w:sz w:val="28"/>
          <w:szCs w:val="28"/>
          <w:highlight w:val="none"/>
          <w:u w:val="single"/>
          <w:lang w:val="en-US" w:eastAsia="zh-CN"/>
        </w:rPr>
        <w:t xml:space="preserve">          </w:t>
      </w:r>
    </w:p>
    <w:p w14:paraId="69FDBB00">
      <w:pPr>
        <w:spacing w:line="360" w:lineRule="auto"/>
        <w:ind w:left="5460" w:hanging="5460" w:hangingChars="1950"/>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地  址：</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地  址：</w:t>
      </w:r>
      <w:r>
        <w:rPr>
          <w:rFonts w:hint="eastAsia" w:ascii="仿宋" w:hAnsi="仿宋" w:eastAsia="仿宋" w:cs="仿宋"/>
          <w:color w:val="000000"/>
          <w:sz w:val="28"/>
          <w:szCs w:val="30"/>
          <w:highlight w:val="none"/>
          <w:u w:val="single"/>
          <w:lang w:val="en-US" w:eastAsia="zh-CN"/>
        </w:rPr>
        <w:t xml:space="preserve">                  </w:t>
      </w:r>
    </w:p>
    <w:p w14:paraId="3AC79CA1">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邮政编码：</w:t>
      </w:r>
      <w:r>
        <w:rPr>
          <w:rFonts w:hint="eastAsia" w:ascii="仿宋" w:hAnsi="仿宋" w:eastAsia="仿宋" w:cs="仿宋"/>
          <w:color w:val="000000"/>
          <w:sz w:val="28"/>
          <w:szCs w:val="30"/>
          <w:highlight w:val="none"/>
          <w:u w:val="single"/>
        </w:rPr>
        <w:t xml:space="preserve">  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邮政编码：</w:t>
      </w:r>
      <w:r>
        <w:rPr>
          <w:rFonts w:hint="eastAsia" w:ascii="仿宋" w:hAnsi="仿宋" w:eastAsia="仿宋" w:cs="仿宋"/>
          <w:color w:val="000000"/>
          <w:sz w:val="28"/>
          <w:szCs w:val="30"/>
          <w:highlight w:val="none"/>
          <w:u w:val="single"/>
        </w:rPr>
        <w:t xml:space="preserve">   </w:t>
      </w:r>
    </w:p>
    <w:p w14:paraId="2A750996">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法定代表人：</w:t>
      </w:r>
      <w:r>
        <w:rPr>
          <w:rFonts w:hint="eastAsia" w:ascii="仿宋" w:hAnsi="仿宋" w:eastAsia="仿宋" w:cs="仿宋"/>
          <w:color w:val="000000"/>
          <w:sz w:val="28"/>
          <w:szCs w:val="30"/>
          <w:highlight w:val="none"/>
          <w:u w:val="single"/>
        </w:rPr>
        <w:t xml:space="preserve">     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法定代表人：</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p>
    <w:p w14:paraId="729A6327">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委托代理人：</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rPr>
        <w:t>委托代理人：</w:t>
      </w:r>
      <w:r>
        <w:rPr>
          <w:rFonts w:hint="eastAsia" w:ascii="仿宋" w:hAnsi="仿宋" w:eastAsia="仿宋" w:cs="仿宋"/>
          <w:color w:val="000000"/>
          <w:sz w:val="28"/>
          <w:szCs w:val="30"/>
          <w:highlight w:val="none"/>
          <w:u w:val="single"/>
        </w:rPr>
        <w:t></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p>
    <w:p w14:paraId="4FAE2D46">
      <w:pPr>
        <w:spacing w:line="360" w:lineRule="auto"/>
        <w:rPr>
          <w:rFonts w:hint="default" w:ascii="仿宋" w:hAnsi="仿宋" w:eastAsia="仿宋" w:cs="仿宋"/>
          <w:color w:val="000000"/>
          <w:sz w:val="28"/>
          <w:szCs w:val="30"/>
          <w:highlight w:val="none"/>
          <w:lang w:val="en-US" w:eastAsia="zh-CN"/>
        </w:rPr>
      </w:pPr>
      <w:r>
        <w:rPr>
          <w:rFonts w:hint="eastAsia" w:ascii="仿宋" w:hAnsi="仿宋" w:eastAsia="仿宋" w:cs="仿宋"/>
          <w:color w:val="000000"/>
          <w:sz w:val="28"/>
          <w:szCs w:val="30"/>
          <w:highlight w:val="none"/>
        </w:rPr>
        <w:t>电  话：</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电  话：</w:t>
      </w:r>
      <w:r>
        <w:rPr>
          <w:rFonts w:hint="eastAsia" w:ascii="仿宋" w:hAnsi="仿宋" w:eastAsia="仿宋" w:cs="仿宋"/>
          <w:color w:val="000000"/>
          <w:sz w:val="28"/>
          <w:szCs w:val="30"/>
          <w:highlight w:val="none"/>
          <w:u w:val="single"/>
          <w:lang w:val="en-US" w:eastAsia="zh-CN"/>
        </w:rPr>
        <w:t xml:space="preserve">                  </w:t>
      </w:r>
    </w:p>
    <w:p w14:paraId="33BA0191">
      <w:pPr>
        <w:spacing w:line="360" w:lineRule="auto"/>
        <w:rPr>
          <w:rFonts w:hint="default" w:ascii="仿宋" w:hAnsi="仿宋" w:eastAsia="仿宋" w:cs="仿宋"/>
          <w:color w:val="000000"/>
          <w:sz w:val="28"/>
          <w:szCs w:val="30"/>
          <w:highlight w:val="none"/>
          <w:lang w:val="en-US" w:eastAsia="zh-CN"/>
        </w:rPr>
      </w:pPr>
      <w:r>
        <w:rPr>
          <w:rFonts w:hint="eastAsia" w:ascii="仿宋" w:hAnsi="仿宋" w:eastAsia="仿宋" w:cs="仿宋"/>
          <w:color w:val="000000"/>
          <w:sz w:val="28"/>
          <w:szCs w:val="30"/>
          <w:highlight w:val="none"/>
        </w:rPr>
        <w:t>传  真：</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传  真：</w:t>
      </w:r>
      <w:r>
        <w:rPr>
          <w:rFonts w:hint="eastAsia" w:ascii="仿宋" w:hAnsi="仿宋" w:eastAsia="仿宋" w:cs="仿宋"/>
          <w:color w:val="000000"/>
          <w:sz w:val="28"/>
          <w:szCs w:val="30"/>
          <w:highlight w:val="none"/>
          <w:u w:val="single"/>
          <w:lang w:val="en-US" w:eastAsia="zh-CN"/>
        </w:rPr>
        <w:t xml:space="preserve">                    </w:t>
      </w:r>
    </w:p>
    <w:p w14:paraId="3ABA0124">
      <w:pPr>
        <w:spacing w:line="360" w:lineRule="auto"/>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电子信箱：</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电子信箱：</w:t>
      </w:r>
      <w:r>
        <w:rPr>
          <w:rFonts w:hint="eastAsia" w:ascii="仿宋" w:hAnsi="仿宋" w:eastAsia="仿宋" w:cs="仿宋"/>
          <w:color w:val="000000"/>
          <w:sz w:val="28"/>
          <w:szCs w:val="30"/>
          <w:highlight w:val="none"/>
          <w:u w:val="single"/>
        </w:rPr>
        <w:t xml:space="preserve">   </w:t>
      </w:r>
    </w:p>
    <w:p w14:paraId="7D8006BB">
      <w:pPr>
        <w:spacing w:line="360" w:lineRule="auto"/>
        <w:ind w:left="3780" w:hanging="3780" w:hangingChars="1350"/>
        <w:rPr>
          <w:rFonts w:hint="default" w:ascii="仿宋" w:hAnsi="仿宋" w:eastAsia="仿宋" w:cs="仿宋"/>
          <w:color w:val="000000"/>
          <w:sz w:val="28"/>
          <w:szCs w:val="30"/>
          <w:highlight w:val="none"/>
          <w:u w:val="single"/>
          <w:lang w:val="en-US" w:eastAsia="zh-CN"/>
        </w:rPr>
      </w:pPr>
      <w:r>
        <w:rPr>
          <w:rFonts w:hint="eastAsia" w:ascii="仿宋" w:hAnsi="仿宋" w:eastAsia="仿宋" w:cs="仿宋"/>
          <w:color w:val="000000"/>
          <w:sz w:val="28"/>
          <w:szCs w:val="30"/>
          <w:highlight w:val="none"/>
        </w:rPr>
        <w:t>开户银行：</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开户银行：</w:t>
      </w:r>
      <w:r>
        <w:rPr>
          <w:rFonts w:hint="eastAsia" w:ascii="仿宋" w:hAnsi="仿宋" w:eastAsia="仿宋" w:cs="仿宋"/>
          <w:color w:val="000000"/>
          <w:sz w:val="28"/>
          <w:szCs w:val="30"/>
          <w:highlight w:val="none"/>
          <w:u w:val="single"/>
          <w:lang w:val="en-US" w:eastAsia="zh-CN"/>
        </w:rPr>
        <w:t xml:space="preserve">                      </w:t>
      </w:r>
    </w:p>
    <w:p w14:paraId="3BFFCA28">
      <w:pPr>
        <w:spacing w:line="360" w:lineRule="auto"/>
        <w:rPr>
          <w:rFonts w:hint="eastAsia" w:ascii="仿宋" w:hAnsi="仿宋" w:eastAsia="仿宋" w:cs="仿宋"/>
          <w:color w:val="000000"/>
          <w:sz w:val="28"/>
          <w:szCs w:val="30"/>
          <w:highlight w:val="none"/>
          <w:lang w:val="en-US" w:eastAsia="zh-CN"/>
        </w:rPr>
      </w:pPr>
      <w:r>
        <w:rPr>
          <w:rFonts w:hint="eastAsia" w:ascii="仿宋" w:hAnsi="仿宋" w:eastAsia="仿宋" w:cs="仿宋"/>
          <w:color w:val="000000"/>
          <w:sz w:val="28"/>
          <w:szCs w:val="30"/>
          <w:highlight w:val="none"/>
        </w:rPr>
        <w:t>账  号：</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rPr>
        <w:t>账  号：</w:t>
      </w:r>
      <w:r>
        <w:rPr>
          <w:rFonts w:hint="eastAsia" w:ascii="仿宋" w:hAnsi="仿宋" w:eastAsia="仿宋" w:cs="仿宋"/>
          <w:color w:val="000000"/>
          <w:sz w:val="28"/>
          <w:szCs w:val="30"/>
          <w:highlight w:val="none"/>
          <w:u w:val="single"/>
          <w:lang w:val="en-US" w:eastAsia="zh-CN"/>
        </w:rPr>
        <w:t xml:space="preserve">                      </w:t>
      </w:r>
      <w:r>
        <w:rPr>
          <w:rFonts w:hint="eastAsia" w:ascii="仿宋" w:hAnsi="仿宋" w:eastAsia="仿宋" w:cs="仿宋"/>
          <w:color w:val="000000"/>
          <w:sz w:val="28"/>
          <w:szCs w:val="30"/>
          <w:highlight w:val="none"/>
          <w:u w:val="single"/>
        </w:rPr>
        <w:t xml:space="preserve"> </w:t>
      </w:r>
      <w:r>
        <w:rPr>
          <w:rFonts w:hint="eastAsia" w:ascii="仿宋" w:hAnsi="仿宋" w:eastAsia="仿宋" w:cs="仿宋"/>
          <w:color w:val="000000"/>
          <w:sz w:val="28"/>
          <w:szCs w:val="30"/>
          <w:highlight w:val="none"/>
          <w:u w:val="single"/>
          <w:lang w:val="en-US" w:eastAsia="zh-CN"/>
        </w:rPr>
        <w:t xml:space="preserve"> </w:t>
      </w:r>
    </w:p>
    <w:p w14:paraId="225B37F2">
      <w:pPr>
        <w:pStyle w:val="4"/>
        <w:jc w:val="center"/>
        <w:rPr>
          <w:rFonts w:ascii="仿宋" w:hAnsi="仿宋" w:eastAsia="仿宋" w:cs="仿宋"/>
          <w:sz w:val="28"/>
          <w:szCs w:val="28"/>
          <w:highlight w:val="none"/>
        </w:rPr>
      </w:pPr>
      <w:r>
        <w:rPr>
          <w:rFonts w:hint="eastAsia" w:ascii="仿宋" w:hAnsi="仿宋" w:eastAsia="仿宋" w:cs="仿宋"/>
          <w:sz w:val="28"/>
          <w:highlight w:val="none"/>
        </w:rPr>
        <w:br w:type="page"/>
      </w:r>
      <w:bookmarkStart w:id="421" w:name="_Toc12649"/>
      <w:bookmarkStart w:id="422" w:name="_Toc14853"/>
      <w:bookmarkStart w:id="423" w:name="_Toc32686"/>
      <w:bookmarkStart w:id="424" w:name="_Toc25623"/>
      <w:bookmarkStart w:id="425" w:name="_Toc351203632"/>
      <w:bookmarkStart w:id="426" w:name="_Toc18385"/>
      <w:r>
        <w:rPr>
          <w:rFonts w:hint="eastAsia" w:ascii="仿宋" w:hAnsi="仿宋" w:eastAsia="仿宋" w:cs="仿宋"/>
          <w:sz w:val="40"/>
          <w:szCs w:val="44"/>
          <w:highlight w:val="none"/>
        </w:rPr>
        <w:t>第二部分 通用合同条款</w:t>
      </w:r>
      <w:bookmarkEnd w:id="421"/>
      <w:bookmarkEnd w:id="422"/>
    </w:p>
    <w:bookmarkEnd w:id="423"/>
    <w:bookmarkEnd w:id="424"/>
    <w:bookmarkEnd w:id="425"/>
    <w:bookmarkEnd w:id="426"/>
    <w:p w14:paraId="28CD7C99">
      <w:pPr>
        <w:pStyle w:val="5"/>
        <w:spacing w:before="120" w:after="120" w:line="240" w:lineRule="auto"/>
        <w:rPr>
          <w:rFonts w:ascii="仿宋_GB2312" w:hAnsi="仿宋_GB2312" w:eastAsia="仿宋_GB2312" w:cs="仿宋_GB2312"/>
          <w:b w:val="0"/>
          <w:color w:val="000000"/>
          <w:sz w:val="18"/>
          <w:szCs w:val="18"/>
          <w:highlight w:val="none"/>
        </w:rPr>
      </w:pPr>
      <w:bookmarkStart w:id="427" w:name="_Toc337558727"/>
      <w:bookmarkStart w:id="428" w:name="_Toc351203495"/>
      <w:r>
        <w:rPr>
          <w:rFonts w:hint="eastAsia" w:ascii="仿宋_GB2312" w:hAnsi="仿宋_GB2312" w:eastAsia="仿宋_GB2312" w:cs="仿宋_GB2312"/>
          <w:b w:val="0"/>
          <w:color w:val="000000"/>
          <w:sz w:val="18"/>
          <w:szCs w:val="18"/>
          <w:highlight w:val="none"/>
        </w:rPr>
        <w:t>1.</w:t>
      </w:r>
      <w:bookmarkStart w:id="429" w:name="_Toc303538974"/>
      <w:bookmarkEnd w:id="429"/>
      <w:bookmarkStart w:id="430" w:name="_Toc303538973"/>
      <w:bookmarkEnd w:id="430"/>
      <w:bookmarkStart w:id="431" w:name="_Toc303538976"/>
      <w:bookmarkEnd w:id="431"/>
      <w:bookmarkStart w:id="432" w:name="_Toc303538972"/>
      <w:bookmarkEnd w:id="432"/>
      <w:bookmarkStart w:id="433" w:name="_Toc303538975"/>
      <w:bookmarkEnd w:id="433"/>
      <w:bookmarkStart w:id="434" w:name="_Toc296503027"/>
      <w:bookmarkStart w:id="435" w:name="_Toc296346528"/>
      <w:r>
        <w:rPr>
          <w:rFonts w:hint="eastAsia" w:ascii="仿宋_GB2312" w:hAnsi="仿宋_GB2312" w:eastAsia="仿宋_GB2312" w:cs="仿宋_GB2312"/>
          <w:b w:val="0"/>
          <w:color w:val="000000"/>
          <w:sz w:val="18"/>
          <w:szCs w:val="18"/>
          <w:highlight w:val="none"/>
        </w:rPr>
        <w:t xml:space="preserve"> 一般约定</w:t>
      </w:r>
      <w:bookmarkEnd w:id="427"/>
      <w:bookmarkEnd w:id="428"/>
      <w:bookmarkEnd w:id="434"/>
      <w:bookmarkEnd w:id="435"/>
    </w:p>
    <w:p w14:paraId="3FFC999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36" w:name="_Toc296346529"/>
      <w:bookmarkStart w:id="437" w:name="_Toc296503028"/>
      <w:bookmarkStart w:id="438" w:name="_Toc337558728"/>
      <w:bookmarkStart w:id="439" w:name="_Toc351203496"/>
      <w:r>
        <w:rPr>
          <w:rFonts w:hint="eastAsia" w:ascii="仿宋_GB2312" w:hAnsi="仿宋_GB2312" w:eastAsia="仿宋_GB2312" w:cs="仿宋_GB2312"/>
          <w:b w:val="0"/>
          <w:color w:val="000000"/>
          <w:sz w:val="18"/>
          <w:szCs w:val="18"/>
          <w:highlight w:val="none"/>
        </w:rPr>
        <w:t>1.1词语定义</w:t>
      </w:r>
      <w:bookmarkEnd w:id="436"/>
      <w:bookmarkEnd w:id="437"/>
      <w:bookmarkEnd w:id="438"/>
      <w:r>
        <w:rPr>
          <w:rFonts w:hint="eastAsia" w:ascii="仿宋_GB2312" w:hAnsi="仿宋_GB2312" w:eastAsia="仿宋_GB2312" w:cs="仿宋_GB2312"/>
          <w:b w:val="0"/>
          <w:color w:val="000000"/>
          <w:sz w:val="18"/>
          <w:szCs w:val="18"/>
          <w:highlight w:val="none"/>
        </w:rPr>
        <w:t>与解释</w:t>
      </w:r>
      <w:bookmarkEnd w:id="439"/>
    </w:p>
    <w:p w14:paraId="3D4FC2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合同协议书、通用合同条款、专用合同条款中的下列词语具有本款所赋予的含义：</w:t>
      </w:r>
    </w:p>
    <w:p w14:paraId="452107F8">
      <w:pPr>
        <w:autoSpaceDE w:val="0"/>
        <w:autoSpaceDN w:val="0"/>
        <w:adjustRightInd w:val="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1.1.1 合同</w:t>
      </w:r>
    </w:p>
    <w:p w14:paraId="7276DE2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1.1.1.1 合同：是指根据法律规定和合同当事人约定具有约束力的文件，构成合同的文件包括合同协议书、中标通知书（如果有）、投标函及其附录（如果有）、专用合同条款</w:t>
      </w:r>
      <w:r>
        <w:rPr>
          <w:rFonts w:hint="eastAsia" w:ascii="仿宋_GB2312" w:hAnsi="仿宋_GB2312" w:eastAsia="仿宋_GB2312" w:cs="仿宋_GB2312"/>
          <w:color w:val="000000"/>
          <w:sz w:val="18"/>
          <w:szCs w:val="18"/>
          <w:highlight w:val="none"/>
        </w:rPr>
        <w:t>及其附件</w:t>
      </w:r>
      <w:r>
        <w:rPr>
          <w:rFonts w:hint="eastAsia" w:ascii="仿宋_GB2312" w:hAnsi="仿宋_GB2312" w:eastAsia="仿宋_GB2312" w:cs="仿宋_GB2312"/>
          <w:color w:val="000000"/>
          <w:kern w:val="0"/>
          <w:sz w:val="18"/>
          <w:szCs w:val="18"/>
          <w:highlight w:val="none"/>
        </w:rPr>
        <w:t>、通用合同条款、技术标准和要求、图纸、已标价工程量清单或预算书以及其他合同文件。</w:t>
      </w:r>
    </w:p>
    <w:p w14:paraId="3E90F56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1.1.1.2 合同协议书：是指构成合同的由发包人和承包人共同签署的称为“合同协议书”的书面文件。</w:t>
      </w:r>
    </w:p>
    <w:p w14:paraId="08DD6C6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1.1.1.3 中标通知书：是指构成合同的由发包人通知承包人中标的书面文件。</w:t>
      </w:r>
    </w:p>
    <w:p w14:paraId="6816390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1.1.1.4 投标函：是指构成合同的由承包人填写并签署的用于投标的称为“投标函”的文件。</w:t>
      </w:r>
    </w:p>
    <w:p w14:paraId="73BB0E7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1.1.1.5 投标函附录：是指构成合同的附在投标函后的称为“投标函附录”的文件。</w:t>
      </w:r>
    </w:p>
    <w:p w14:paraId="350402A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1.1.1.6 技术标准和要求：是指构成合同的施工应当遵守的或指导施工的国家、行业或地方的技术标准和要求，以及合同约定的技术标准和要求。</w:t>
      </w:r>
    </w:p>
    <w:p w14:paraId="16F25AF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31344B0F">
      <w:pPr>
        <w:autoSpaceDE w:val="0"/>
        <w:autoSpaceDN w:val="0"/>
        <w:adjustRightInd w:val="0"/>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1.1.1.8 已标价工程量清单：是指构成合同的由承包人按照规定的格式和要求填写并标明价格的工程量清单，包括说明和表格。</w:t>
      </w:r>
    </w:p>
    <w:p w14:paraId="06846912">
      <w:pPr>
        <w:autoSpaceDE w:val="0"/>
        <w:autoSpaceDN w:val="0"/>
        <w:adjustRightInd w:val="0"/>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1.1.1.9 预算书：是指构成合同的由承包人按照发包人规定的格式和要求编制的工程预算文件。</w:t>
      </w:r>
    </w:p>
    <w:p w14:paraId="4C8B6A7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1.1.1.10 其他合同文件：是指经合同当事人约定的与工程施工有关的具有合同约束力的文件或书面协议。合同当事人可以在专用合同条款中进行约定。</w:t>
      </w:r>
    </w:p>
    <w:p w14:paraId="67C393C4">
      <w:pPr>
        <w:autoSpaceDE w:val="0"/>
        <w:autoSpaceDN w:val="0"/>
        <w:adjustRightInd w:val="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1.1.2 合同当事人及其他相关方</w:t>
      </w:r>
    </w:p>
    <w:p w14:paraId="05C88B9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1.1.2.1 合同当事人：是指发包人和（或）承包人。</w:t>
      </w:r>
    </w:p>
    <w:p w14:paraId="35FFE07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1.1.2.2 发包人：是指与承包人签订合同协议书的当事人及取得该当事人资格的合法继承人。</w:t>
      </w:r>
    </w:p>
    <w:p w14:paraId="0A21CFE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1.1.2.3 承包人：是指与发包人签订合同协议书的，具有相应工程施工承包资质的当事人及取得该当事人资格的合法继承人。</w:t>
      </w:r>
    </w:p>
    <w:p w14:paraId="3F88176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1.1.2.4 监理人：是指在专用合同条款中指明的，受发包人委托按照法律规定进行工程监督管理的法人或其他组织。</w:t>
      </w:r>
    </w:p>
    <w:p w14:paraId="1325BCF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1.1.2.5 设计人：是指在专用合同条款中指明的，受发包人委托负责工程设计并具备相应工程设计资质的法人或其他组织。</w:t>
      </w:r>
    </w:p>
    <w:p w14:paraId="7FD4D591">
      <w:pPr>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1.1.2.6 分包人：</w:t>
      </w:r>
      <w:bookmarkStart w:id="440" w:name="#go5"/>
      <w:bookmarkEnd w:id="440"/>
      <w:r>
        <w:rPr>
          <w:rFonts w:hint="eastAsia" w:ascii="仿宋_GB2312" w:hAnsi="仿宋_GB2312" w:eastAsia="仿宋_GB2312" w:cs="仿宋_GB2312"/>
          <w:color w:val="000000"/>
          <w:kern w:val="0"/>
          <w:sz w:val="18"/>
          <w:szCs w:val="18"/>
          <w:highlight w:val="none"/>
        </w:rPr>
        <w:t>是指按照法律规定和合同约定，分包部分工程或工作，并与承包人签订分包合同的具有相应资质的法人。</w:t>
      </w:r>
    </w:p>
    <w:p w14:paraId="1CD147D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1.1.2.7 发包人代表：是指由发包人任命并派驻施工现场在发包人授权范围内行使发包人权利的人。</w:t>
      </w:r>
    </w:p>
    <w:p w14:paraId="3507C23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1.1.2.8 项目经理：是指由承包人任命并派驻施工现场，在承包人授权范围内负责合同履行，且按照法律规定具有相应资格的项目负责人。</w:t>
      </w:r>
    </w:p>
    <w:p w14:paraId="1B60EE7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1.1.2.9 总监理工程师：是指由监理人任命并派驻施工现场进行工程监理的总负责人。</w:t>
      </w:r>
    </w:p>
    <w:p w14:paraId="6B725A2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 工程和设备</w:t>
      </w:r>
    </w:p>
    <w:p w14:paraId="39ED986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1.1.3.1 工程：是指与合同协议书中工程承包范围对应的永久工程和（或）临时工程。</w:t>
      </w:r>
    </w:p>
    <w:p w14:paraId="53634E9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1.1.3.2 永久工程：是指按合同约定建造并移交给发包人的工程，包括工程设备。</w:t>
      </w:r>
    </w:p>
    <w:p w14:paraId="736F9B9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1.1.3.3 临时工程：是指为完成合同约定的永久工程所修建的各类临时性工程，不包括施工设备。</w:t>
      </w:r>
    </w:p>
    <w:p w14:paraId="2695E72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1.1.3.4 单位工程：是指在合同协议书中指明的，具备独立施工条件并能形成独立使用功能的永久工程。</w:t>
      </w:r>
    </w:p>
    <w:p w14:paraId="38B503E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1.1.3.5 工程设备：是指构成永久工程的机电设备、金属结构设备、仪器及其他类似的设备和装置。</w:t>
      </w:r>
    </w:p>
    <w:p w14:paraId="6AC97CA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1.1.3.6 施工设备：是指为完成合同约定的各项工作所需的设备、器具和其他物品，但不包括工程设备、临时工程和材料。</w:t>
      </w:r>
    </w:p>
    <w:p w14:paraId="0E62D4F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1.1.3.7 施工现场：是指用于工程施工的场所，以及在专用合同条款中指明作为施工场所组成部分的其他场所，包括永久占地和临时占地。</w:t>
      </w:r>
    </w:p>
    <w:p w14:paraId="4B56A54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1.1.3.8临时设施：是指为完成合同约定的各项工作所服务的临时性生产和生活设施。</w:t>
      </w:r>
    </w:p>
    <w:p w14:paraId="5773767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1.1.3.9 永久占地：是指专用合同条款中指明为实施工程需永久占用的土地。</w:t>
      </w:r>
    </w:p>
    <w:p w14:paraId="36E9F93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1.1.3.10 临时占地：是指专用合同条款中指明为实施工程需要临时占用的土地。</w:t>
      </w:r>
    </w:p>
    <w:p w14:paraId="3AD1DFF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 日期和期限</w:t>
      </w:r>
    </w:p>
    <w:p w14:paraId="270FBDA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22CD8A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1.1.4.2 竣工日期：包括计划竣工日期和实际竣工日期。计划竣工日期是指合同协议书约定的竣工日期；实际竣工日期按照第13.2.3项〔竣工日期〕的约定确定。 </w:t>
      </w:r>
    </w:p>
    <w:p w14:paraId="0D82BADD">
      <w:pPr>
        <w:ind w:firstLine="365" w:firstLineChars="203"/>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1.1.4.3 工期：是指在合同协议书约定的承包人完成工程所需的期限，包括按照合同约定所作的期限变更。</w:t>
      </w:r>
    </w:p>
    <w:p w14:paraId="40F3762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1.1.4.4 缺陷责任期：是指承包人按照合同约定承担缺陷修复义务，且发包人预留质量保证金（已缴纳履约保证金的除外）的期限，自工程实际竣工日期起计算。</w:t>
      </w:r>
    </w:p>
    <w:p w14:paraId="38484B4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1.1.4.5 保修期：是指承包人按照合同约定对工程承担保修责任的期限，从工程竣工验收合格之日起计算。</w:t>
      </w:r>
    </w:p>
    <w:p w14:paraId="66C52ED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1.1.4.6 基准日期：招标发包的工程以投标截止日前28天的日期为基准日期，直接发包的工程以合同签订日前28天的日期为基准日期。</w:t>
      </w:r>
    </w:p>
    <w:p w14:paraId="739D354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1.1.4.7 天：除特别指明外，均指日历天。合同中按天计算时间的，开始当天不计入，从次日开始计算，期限最后一天的截止时间为当天24:00时。</w:t>
      </w:r>
    </w:p>
    <w:p w14:paraId="095E7AF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 合同价格和费用</w:t>
      </w:r>
    </w:p>
    <w:p w14:paraId="122FB10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1.1.5.1 签约合同价：是指</w:t>
      </w:r>
      <w:r>
        <w:rPr>
          <w:rFonts w:hint="eastAsia" w:ascii="仿宋_GB2312" w:hAnsi="仿宋_GB2312" w:eastAsia="仿宋_GB2312" w:cs="仿宋_GB2312"/>
          <w:color w:val="000000"/>
          <w:sz w:val="18"/>
          <w:szCs w:val="18"/>
          <w:highlight w:val="none"/>
        </w:rPr>
        <w:t>发包人和承包人在合同协议书中确定的总金额，包括安全文明施工费、暂估价及暂列金额等。</w:t>
      </w:r>
    </w:p>
    <w:p w14:paraId="7D1228D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1.1.5.2 合同价格：是指发包人用于支付承包人按照合同约定完成承包范围内全部工作的金额，包括合同履行过程中按合同约定发生的价格变化。</w:t>
      </w:r>
    </w:p>
    <w:p w14:paraId="151561F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1.1.5.3 费用：是指为履行合同所发生的或将要发生的所有必需的开支，包括管理费和应分摊的其他费用，但不包括利润。</w:t>
      </w:r>
    </w:p>
    <w:p w14:paraId="37BB32C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1.1.5.4 暂估价：是指发包人在工程量清单或预算书中提供的用于支付必然发生但暂时不能确定价格的材料、工程设备的单价、专业工程以及服务工作的金额。</w:t>
      </w:r>
    </w:p>
    <w:p w14:paraId="63E2BCB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D45E30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1.1.5.6 计日工：是指合同履行过程中，承包人完成发包人提出的零星工作或需要采用计日工计价的变更工作时，按合同中约定的单价计价的一种方式。</w:t>
      </w:r>
    </w:p>
    <w:p w14:paraId="67B403E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1.1.5.7 质量保证金</w:t>
      </w:r>
      <w:bookmarkStart w:id="441" w:name="#go2"/>
      <w:bookmarkEnd w:id="441"/>
      <w:r>
        <w:rPr>
          <w:rFonts w:hint="eastAsia" w:ascii="仿宋_GB2312" w:hAnsi="仿宋_GB2312" w:eastAsia="仿宋_GB2312" w:cs="仿宋_GB2312"/>
          <w:color w:val="000000"/>
          <w:kern w:val="0"/>
          <w:sz w:val="18"/>
          <w:szCs w:val="18"/>
          <w:highlight w:val="none"/>
        </w:rPr>
        <w:t>：是指按照第15.3款〔质量保证金〕约定承包人用于保证其在缺陷责任期内履行缺陷修补义务的担保</w:t>
      </w:r>
      <w:r>
        <w:rPr>
          <w:rFonts w:hint="eastAsia" w:ascii="仿宋_GB2312" w:hAnsi="仿宋_GB2312" w:eastAsia="仿宋_GB2312" w:cs="仿宋_GB2312"/>
          <w:color w:val="000000"/>
          <w:sz w:val="18"/>
          <w:szCs w:val="18"/>
          <w:highlight w:val="none"/>
        </w:rPr>
        <w:t>。</w:t>
      </w:r>
    </w:p>
    <w:p w14:paraId="7F306A1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1.1.5.8 总价项目：是指在现行国家、行业以及地方的计量规则中无工程量计算规则，在已标价工程量清单或预算书中以总价或以费率形式计算的项目。</w:t>
      </w:r>
    </w:p>
    <w:p w14:paraId="71D7444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1.1.6 其他</w:t>
      </w:r>
    </w:p>
    <w:p w14:paraId="5B6D7A2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1.1.6.1 书面形式：是指合同文件、信函、电报、传真等可以有形地表现所载内容的形式。</w:t>
      </w:r>
    </w:p>
    <w:p w14:paraId="2B24304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42" w:name="_Toc296346530"/>
      <w:bookmarkStart w:id="443" w:name="_Toc337558729"/>
      <w:bookmarkStart w:id="444" w:name="_Toc296503029"/>
      <w:bookmarkStart w:id="445" w:name="_Toc351203497"/>
      <w:r>
        <w:rPr>
          <w:rFonts w:hint="eastAsia" w:ascii="仿宋_GB2312" w:hAnsi="仿宋_GB2312" w:eastAsia="仿宋_GB2312" w:cs="仿宋_GB2312"/>
          <w:b w:val="0"/>
          <w:color w:val="000000"/>
          <w:sz w:val="18"/>
          <w:szCs w:val="18"/>
          <w:highlight w:val="none"/>
        </w:rPr>
        <w:t>1.2语言文字</w:t>
      </w:r>
      <w:bookmarkEnd w:id="442"/>
      <w:bookmarkEnd w:id="443"/>
      <w:bookmarkEnd w:id="444"/>
      <w:bookmarkEnd w:id="445"/>
    </w:p>
    <w:p w14:paraId="01CBF70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合同以中国的汉语简体文字编写、解释和说明。合同当事人在专用合同条款中约定使用两种以上语言时，汉语为优先解释和说明合同的语言。</w:t>
      </w:r>
    </w:p>
    <w:p w14:paraId="0F8C415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46" w:name="_Toc337558730"/>
      <w:bookmarkStart w:id="447" w:name="_Toc296346531"/>
      <w:bookmarkStart w:id="448" w:name="_Toc351203498"/>
      <w:bookmarkStart w:id="449" w:name="_Toc296503030"/>
      <w:r>
        <w:rPr>
          <w:rFonts w:hint="eastAsia" w:ascii="仿宋_GB2312" w:hAnsi="仿宋_GB2312" w:eastAsia="仿宋_GB2312" w:cs="仿宋_GB2312"/>
          <w:b w:val="0"/>
          <w:color w:val="000000"/>
          <w:sz w:val="18"/>
          <w:szCs w:val="18"/>
          <w:highlight w:val="none"/>
        </w:rPr>
        <w:t>1.3法律</w:t>
      </w:r>
      <w:bookmarkEnd w:id="446"/>
      <w:bookmarkEnd w:id="447"/>
      <w:bookmarkEnd w:id="448"/>
      <w:bookmarkEnd w:id="449"/>
    </w:p>
    <w:p w14:paraId="49EF9EC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合同所称法律是指中华人民共和国法律、行政法规、部门规章，以及工程所在地的地方性法规、自治条例、单行条例和地方政府规章等。</w:t>
      </w:r>
    </w:p>
    <w:p w14:paraId="26718B2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合同当事人可以在专用合同条款中约定合同适用的其他规范性文件。</w:t>
      </w:r>
    </w:p>
    <w:p w14:paraId="7AD2058D">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50" w:name="_Toc351203499"/>
      <w:r>
        <w:rPr>
          <w:rFonts w:hint="eastAsia" w:ascii="仿宋_GB2312" w:hAnsi="仿宋_GB2312" w:eastAsia="仿宋_GB2312" w:cs="仿宋_GB2312"/>
          <w:b w:val="0"/>
          <w:color w:val="000000"/>
          <w:sz w:val="18"/>
          <w:szCs w:val="18"/>
          <w:highlight w:val="none"/>
        </w:rPr>
        <w:t>1.4 标准和规范</w:t>
      </w:r>
      <w:bookmarkEnd w:id="450"/>
    </w:p>
    <w:p w14:paraId="15E1A86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1.4.1 适用于工程的国家标准、行业标准、工程所在地的地方性标准，以及相应的规范、规程等，合同当事人有特别要求的，应在专用合同条款中约定。</w:t>
      </w:r>
    </w:p>
    <w:p w14:paraId="7D9E2FF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1.4.2 发包人要求使用国外标准、规范的，发包人负责提供原文版本和中文译本，并在专用合同条款中约定提供标准规范的名称、份数和时间。</w:t>
      </w:r>
    </w:p>
    <w:p w14:paraId="37E3E00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3A2D182">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51" w:name="_Toc351203500"/>
      <w:r>
        <w:rPr>
          <w:rFonts w:hint="eastAsia" w:ascii="仿宋_GB2312" w:hAnsi="仿宋_GB2312" w:eastAsia="仿宋_GB2312" w:cs="仿宋_GB2312"/>
          <w:b w:val="0"/>
          <w:color w:val="000000"/>
          <w:sz w:val="18"/>
          <w:szCs w:val="18"/>
          <w:highlight w:val="none"/>
        </w:rPr>
        <w:t>1</w:t>
      </w:r>
      <w:bookmarkStart w:id="452" w:name="_Toc337558731"/>
      <w:bookmarkStart w:id="453" w:name="_Toc296346532"/>
      <w:bookmarkStart w:id="454" w:name="_Toc296503031"/>
      <w:r>
        <w:rPr>
          <w:rFonts w:hint="eastAsia" w:ascii="仿宋_GB2312" w:hAnsi="仿宋_GB2312" w:eastAsia="仿宋_GB2312" w:cs="仿宋_GB2312"/>
          <w:b w:val="0"/>
          <w:color w:val="000000"/>
          <w:sz w:val="18"/>
          <w:szCs w:val="18"/>
          <w:highlight w:val="none"/>
        </w:rPr>
        <w:t>.5 合同文件的优先顺序</w:t>
      </w:r>
      <w:bookmarkEnd w:id="451"/>
    </w:p>
    <w:bookmarkEnd w:id="452"/>
    <w:bookmarkEnd w:id="453"/>
    <w:bookmarkEnd w:id="454"/>
    <w:p w14:paraId="34D275F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组成合同的各项文件应互相解释，互为说明。除专用合同条款另有约定外，解释合同文件的优先顺序如下：</w:t>
      </w:r>
    </w:p>
    <w:p w14:paraId="5433D33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（1）合同协议书；</w:t>
      </w:r>
    </w:p>
    <w:p w14:paraId="6534111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（2）中标通知书（如果有）；</w:t>
      </w:r>
    </w:p>
    <w:p w14:paraId="494482C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（3）投标函及其附录（如果有）；</w:t>
      </w:r>
    </w:p>
    <w:p w14:paraId="12CBBE5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（4）专用合同条款</w:t>
      </w:r>
      <w:r>
        <w:rPr>
          <w:rFonts w:hint="eastAsia" w:ascii="仿宋_GB2312" w:hAnsi="仿宋_GB2312" w:eastAsia="仿宋_GB2312" w:cs="仿宋_GB2312"/>
          <w:color w:val="000000"/>
          <w:sz w:val="18"/>
          <w:szCs w:val="18"/>
          <w:highlight w:val="none"/>
        </w:rPr>
        <w:t>及其附件</w:t>
      </w:r>
      <w:r>
        <w:rPr>
          <w:rFonts w:hint="eastAsia" w:ascii="仿宋_GB2312" w:hAnsi="仿宋_GB2312" w:eastAsia="仿宋_GB2312" w:cs="仿宋_GB2312"/>
          <w:color w:val="000000"/>
          <w:kern w:val="0"/>
          <w:sz w:val="18"/>
          <w:szCs w:val="18"/>
          <w:highlight w:val="none"/>
        </w:rPr>
        <w:t>；</w:t>
      </w:r>
    </w:p>
    <w:p w14:paraId="7917237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（5）通用合同条款；</w:t>
      </w:r>
    </w:p>
    <w:p w14:paraId="4F18E6A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（6）技术标准和要求；</w:t>
      </w:r>
    </w:p>
    <w:p w14:paraId="41310DF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（7）图纸；</w:t>
      </w:r>
    </w:p>
    <w:p w14:paraId="1C2B1BD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（8）已标价工程量清单或预算书；</w:t>
      </w:r>
    </w:p>
    <w:p w14:paraId="55E47D11">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（9）其他合同文件。</w:t>
      </w:r>
    </w:p>
    <w:p w14:paraId="0C65078D">
      <w:pPr>
        <w:ind w:firstLine="383" w:firstLineChars="213"/>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上述各项合同文件包括合同当事人就该项合同文件所作出的补充和修改，属于同一类内容的文件，应以最新签署的为准。</w:t>
      </w:r>
    </w:p>
    <w:p w14:paraId="16AE784D">
      <w:pPr>
        <w:ind w:firstLine="383" w:firstLineChars="213"/>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在合同订立及履行过程中形成的与合同有关的文件均构成合同文件组成部分，并根据其性质确定优先解释顺序。</w:t>
      </w:r>
    </w:p>
    <w:p w14:paraId="7DC1791A">
      <w:pPr>
        <w:spacing w:before="120" w:after="120"/>
        <w:ind w:firstLine="383" w:firstLineChars="213"/>
        <w:rPr>
          <w:rFonts w:ascii="仿宋_GB2312" w:hAnsi="仿宋_GB2312" w:eastAsia="仿宋_GB2312" w:cs="仿宋_GB2312"/>
          <w:b w:val="0"/>
          <w:color w:val="000000"/>
          <w:sz w:val="18"/>
          <w:szCs w:val="18"/>
          <w:highlight w:val="none"/>
        </w:rPr>
      </w:pPr>
      <w:bookmarkStart w:id="455" w:name="_Toc351203501"/>
      <w:r>
        <w:rPr>
          <w:rFonts w:hint="eastAsia" w:ascii="仿宋_GB2312" w:hAnsi="仿宋_GB2312" w:eastAsia="仿宋_GB2312" w:cs="仿宋_GB2312"/>
          <w:b w:val="0"/>
          <w:color w:val="000000"/>
          <w:sz w:val="18"/>
          <w:szCs w:val="18"/>
          <w:highlight w:val="none"/>
        </w:rPr>
        <w:t>1</w:t>
      </w:r>
      <w:bookmarkStart w:id="456" w:name="_Toc296346533"/>
      <w:bookmarkStart w:id="457" w:name="_Toc337558732"/>
      <w:bookmarkStart w:id="458" w:name="_Toc296503032"/>
      <w:r>
        <w:rPr>
          <w:rFonts w:hint="eastAsia" w:ascii="仿宋_GB2312" w:hAnsi="仿宋_GB2312" w:eastAsia="仿宋_GB2312" w:cs="仿宋_GB2312"/>
          <w:b w:val="0"/>
          <w:color w:val="000000"/>
          <w:sz w:val="18"/>
          <w:szCs w:val="18"/>
          <w:highlight w:val="none"/>
        </w:rPr>
        <w:t>.6图纸和承包人文件</w:t>
      </w:r>
      <w:bookmarkEnd w:id="455"/>
    </w:p>
    <w:bookmarkEnd w:id="456"/>
    <w:bookmarkEnd w:id="457"/>
    <w:bookmarkEnd w:id="458"/>
    <w:p w14:paraId="07C5B45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1.6.1 图纸的提供和交底</w:t>
      </w:r>
    </w:p>
    <w:p w14:paraId="0859A30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92B390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因发包人未按合同约定提供图纸导致承包人费用增加和（或）工期延误的，按照第7.5.1项〔因发包人原因导致工期延误〕约定办理。</w:t>
      </w:r>
    </w:p>
    <w:p w14:paraId="0EFB963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 图纸的错误</w:t>
      </w:r>
    </w:p>
    <w:p w14:paraId="4C0C44C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219A16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1.6.3 图纸的修改和补充</w:t>
      </w:r>
    </w:p>
    <w:p w14:paraId="3327FF5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376380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1.6.4 承包人文件</w:t>
      </w:r>
    </w:p>
    <w:p w14:paraId="6145827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承包人应按照专用合同条款的约定提供应当由其编制的与工程施工有关的文件，并按照专用合同条款约定的期限、数量和形式提交监理人，并由监理人报送发包人。</w:t>
      </w:r>
    </w:p>
    <w:p w14:paraId="7D5C882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7F67F0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1.6.5 图纸和承包人文件的保管</w:t>
      </w:r>
    </w:p>
    <w:p w14:paraId="2D354D0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除专用合同条款另有约定外，承包人应在施工现场另外保存一套完整的图纸和承包人文件，供发包人、监理人及有关人员进行工程检查时使用。</w:t>
      </w:r>
    </w:p>
    <w:p w14:paraId="5B6FA77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59" w:name="_Toc351203502"/>
      <w:r>
        <w:rPr>
          <w:rFonts w:hint="eastAsia" w:ascii="仿宋_GB2312" w:hAnsi="仿宋_GB2312" w:eastAsia="仿宋_GB2312" w:cs="仿宋_GB2312"/>
          <w:b w:val="0"/>
          <w:color w:val="000000"/>
          <w:sz w:val="18"/>
          <w:szCs w:val="18"/>
          <w:highlight w:val="none"/>
        </w:rPr>
        <w:t>1</w:t>
      </w:r>
      <w:bookmarkStart w:id="460" w:name="_Toc296503033"/>
      <w:bookmarkStart w:id="461" w:name="_Toc296346534"/>
      <w:bookmarkStart w:id="462" w:name="_Toc337558733"/>
      <w:r>
        <w:rPr>
          <w:rFonts w:hint="eastAsia" w:ascii="仿宋_GB2312" w:hAnsi="仿宋_GB2312" w:eastAsia="仿宋_GB2312" w:cs="仿宋_GB2312"/>
          <w:b w:val="0"/>
          <w:color w:val="000000"/>
          <w:sz w:val="18"/>
          <w:szCs w:val="18"/>
          <w:highlight w:val="none"/>
        </w:rPr>
        <w:t>.7联络</w:t>
      </w:r>
      <w:bookmarkEnd w:id="459"/>
    </w:p>
    <w:bookmarkEnd w:id="460"/>
    <w:bookmarkEnd w:id="461"/>
    <w:bookmarkEnd w:id="462"/>
    <w:p w14:paraId="263C3D3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1.7.1 与合同有关的通知、批准、证明、证书、指示、指令、要求、请求、同意、意见、确定和决定等，均应采用书面形式，并应在合同约定的期限内送达接收人和送达地点。</w:t>
      </w:r>
    </w:p>
    <w:p w14:paraId="583785F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1.7.2 发包人和承包人应在专用合同条款中约定各自的送达接收人和送达地点。任何一方合同当事人指定的接收人或送达地点发生变动的，应提前3天以书面形式通知对方。</w:t>
      </w:r>
    </w:p>
    <w:p w14:paraId="4ED5048F">
      <w:pPr>
        <w:autoSpaceDE w:val="0"/>
        <w:autoSpaceDN w:val="0"/>
        <w:adjustRightInd w:val="0"/>
        <w:ind w:firstLine="360" w:firstLineChars="200"/>
        <w:jc w:val="left"/>
        <w:rPr>
          <w:rFonts w:ascii="仿宋_GB2312" w:hAnsi="仿宋_GB2312" w:eastAsia="仿宋_GB2312" w:cs="仿宋_GB2312"/>
          <w:color w:val="FF0000"/>
          <w:kern w:val="0"/>
          <w:sz w:val="18"/>
          <w:szCs w:val="18"/>
          <w:highlight w:val="none"/>
        </w:rPr>
      </w:pPr>
      <w:r>
        <w:rPr>
          <w:rFonts w:hint="eastAsia" w:ascii="仿宋_GB2312" w:hAnsi="仿宋_GB2312" w:eastAsia="仿宋_GB2312" w:cs="仿宋_GB2312"/>
          <w:color w:val="000000"/>
          <w:kern w:val="0"/>
          <w:sz w:val="18"/>
          <w:szCs w:val="18"/>
          <w:highlight w:val="none"/>
        </w:rPr>
        <w:t>1.7.3 发包人和承包人应当及时签收另一方送达至送达地点和指定接收人的来往信函。拒不签收的，由此增加的费用和（或）延误的工期由拒绝接收一方承担。</w:t>
      </w:r>
    </w:p>
    <w:p w14:paraId="35C0EEC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63" w:name="_Toc351203503"/>
      <w:r>
        <w:rPr>
          <w:rFonts w:hint="eastAsia" w:ascii="仿宋_GB2312" w:hAnsi="仿宋_GB2312" w:eastAsia="仿宋_GB2312" w:cs="仿宋_GB2312"/>
          <w:b w:val="0"/>
          <w:color w:val="000000"/>
          <w:sz w:val="18"/>
          <w:szCs w:val="18"/>
          <w:highlight w:val="none"/>
        </w:rPr>
        <w:t>1</w:t>
      </w:r>
      <w:bookmarkStart w:id="464" w:name="_Toc337558734"/>
      <w:bookmarkStart w:id="465" w:name="_Toc296346536"/>
      <w:bookmarkStart w:id="466" w:name="_Toc296503035"/>
      <w:r>
        <w:rPr>
          <w:rFonts w:hint="eastAsia" w:ascii="仿宋_GB2312" w:hAnsi="仿宋_GB2312" w:eastAsia="仿宋_GB2312" w:cs="仿宋_GB2312"/>
          <w:b w:val="0"/>
          <w:color w:val="000000"/>
          <w:sz w:val="18"/>
          <w:szCs w:val="18"/>
          <w:highlight w:val="none"/>
        </w:rPr>
        <w:t>.8严禁贿赂</w:t>
      </w:r>
      <w:bookmarkEnd w:id="463"/>
    </w:p>
    <w:bookmarkEnd w:id="464"/>
    <w:bookmarkEnd w:id="465"/>
    <w:bookmarkEnd w:id="466"/>
    <w:p w14:paraId="71471D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合同当事人不得以贿赂或变相贿赂的方式，谋取非法利益或损害对方权益。因一方合同当事人的贿赂造成对方损失的，应赔偿损失，并承担相应的法律责任。</w:t>
      </w:r>
    </w:p>
    <w:p w14:paraId="4A7C8CE6">
      <w:pPr>
        <w:autoSpaceDE w:val="0"/>
        <w:autoSpaceDN w:val="0"/>
        <w:adjustRightInd w:val="0"/>
        <w:ind w:firstLine="360" w:firstLineChars="200"/>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A5CD6B2">
      <w:pPr>
        <w:spacing w:before="120" w:after="120"/>
        <w:ind w:firstLine="360" w:firstLineChars="200"/>
        <w:rPr>
          <w:rFonts w:ascii="仿宋_GB2312" w:hAnsi="仿宋_GB2312" w:eastAsia="仿宋_GB2312" w:cs="仿宋_GB2312"/>
          <w:b w:val="0"/>
          <w:color w:val="000000"/>
          <w:sz w:val="18"/>
          <w:szCs w:val="18"/>
          <w:highlight w:val="none"/>
        </w:rPr>
      </w:pPr>
      <w:bookmarkStart w:id="467" w:name="_Toc351203504"/>
      <w:r>
        <w:rPr>
          <w:rFonts w:hint="eastAsia" w:ascii="仿宋_GB2312" w:hAnsi="仿宋_GB2312" w:eastAsia="仿宋_GB2312" w:cs="仿宋_GB2312"/>
          <w:b w:val="0"/>
          <w:color w:val="000000"/>
          <w:sz w:val="18"/>
          <w:szCs w:val="18"/>
          <w:highlight w:val="none"/>
        </w:rPr>
        <w:t>1</w:t>
      </w:r>
      <w:bookmarkStart w:id="468" w:name="_Toc296503036"/>
      <w:bookmarkStart w:id="469" w:name="_Toc337558735"/>
      <w:bookmarkStart w:id="470" w:name="_Toc296346537"/>
      <w:r>
        <w:rPr>
          <w:rFonts w:hint="eastAsia" w:ascii="仿宋_GB2312" w:hAnsi="仿宋_GB2312" w:eastAsia="仿宋_GB2312" w:cs="仿宋_GB2312"/>
          <w:b w:val="0"/>
          <w:color w:val="000000"/>
          <w:sz w:val="18"/>
          <w:szCs w:val="18"/>
          <w:highlight w:val="none"/>
        </w:rPr>
        <w:t>.9化石、文物</w:t>
      </w:r>
      <w:bookmarkEnd w:id="467"/>
    </w:p>
    <w:bookmarkEnd w:id="468"/>
    <w:bookmarkEnd w:id="469"/>
    <w:bookmarkEnd w:id="470"/>
    <w:p w14:paraId="7134A68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E65FAB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发包人、监理人和承包人应按有关政府行政管理部门要求采取妥善的保护措施，由此增加的费用和（或）延误的工期由发包人承担。</w:t>
      </w:r>
    </w:p>
    <w:p w14:paraId="13CBE26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承包人发现文物后不及时报告或隐瞒不报，致使文物丢失或损坏的，应赔偿损失，并承担相应的法律责任。</w:t>
      </w:r>
    </w:p>
    <w:p w14:paraId="538DAC1B">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71" w:name="_Toc351203505"/>
      <w:r>
        <w:rPr>
          <w:rFonts w:hint="eastAsia" w:ascii="仿宋_GB2312" w:hAnsi="仿宋_GB2312" w:eastAsia="仿宋_GB2312" w:cs="仿宋_GB2312"/>
          <w:b w:val="0"/>
          <w:color w:val="000000"/>
          <w:sz w:val="18"/>
          <w:szCs w:val="18"/>
          <w:highlight w:val="none"/>
        </w:rPr>
        <w:t>1</w:t>
      </w:r>
      <w:bookmarkStart w:id="472" w:name="_Toc337558736"/>
      <w:r>
        <w:rPr>
          <w:rFonts w:hint="eastAsia" w:ascii="仿宋_GB2312" w:hAnsi="仿宋_GB2312" w:eastAsia="仿宋_GB2312" w:cs="仿宋_GB2312"/>
          <w:b w:val="0"/>
          <w:color w:val="000000"/>
          <w:sz w:val="18"/>
          <w:szCs w:val="18"/>
          <w:highlight w:val="none"/>
        </w:rPr>
        <w:t>.10交通运输</w:t>
      </w:r>
      <w:bookmarkEnd w:id="471"/>
    </w:p>
    <w:bookmarkEnd w:id="472"/>
    <w:p w14:paraId="6A09A7E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1.10.1 出入现场的权利</w:t>
      </w:r>
    </w:p>
    <w:p w14:paraId="0AAD68D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2ACDA4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8602B6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1.10.2 场外交通</w:t>
      </w:r>
    </w:p>
    <w:p w14:paraId="3A1F51E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0478A9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1.10.3场内交通</w:t>
      </w:r>
    </w:p>
    <w:p w14:paraId="7172086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4F5CCE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D5D59D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场外交通和场内交通的边界由合同当事人在专用合同条款中约定。</w:t>
      </w:r>
    </w:p>
    <w:p w14:paraId="185F7F5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1.10.4 超大件和超重件的运输</w:t>
      </w:r>
    </w:p>
    <w:p w14:paraId="1A24C7F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C3A763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1.10.5 道路和桥梁的损坏责任</w:t>
      </w:r>
    </w:p>
    <w:p w14:paraId="68950EF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因承包人运输造成施工场地内外公共道路和桥梁损坏的，由承包人承担修复损坏的全部费用和可能引起的赔偿。</w:t>
      </w:r>
    </w:p>
    <w:p w14:paraId="124D733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1.10.6 水路和航空运输</w:t>
      </w:r>
    </w:p>
    <w:p w14:paraId="325CAFA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本款前述各项的内容适用于水路运输和航空运输，其中“道路”一词的涵义包括河道、航线、船闸、机场、码头、堤防以及水路或航空运输中其他相似结构物；“车辆”一词的涵义包括船舶和飞机等。</w:t>
      </w:r>
    </w:p>
    <w:p w14:paraId="7DA60DF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73" w:name="_Toc351203506"/>
      <w:r>
        <w:rPr>
          <w:rFonts w:hint="eastAsia" w:ascii="仿宋_GB2312" w:hAnsi="仿宋_GB2312" w:eastAsia="仿宋_GB2312" w:cs="仿宋_GB2312"/>
          <w:b w:val="0"/>
          <w:color w:val="000000"/>
          <w:sz w:val="18"/>
          <w:szCs w:val="18"/>
          <w:highlight w:val="none"/>
        </w:rPr>
        <w:t>1</w:t>
      </w:r>
      <w:bookmarkStart w:id="474" w:name="_Toc337558737"/>
      <w:bookmarkStart w:id="475" w:name="_Toc296503037"/>
      <w:bookmarkStart w:id="476" w:name="_Toc296346538"/>
      <w:r>
        <w:rPr>
          <w:rFonts w:hint="eastAsia" w:ascii="仿宋_GB2312" w:hAnsi="仿宋_GB2312" w:eastAsia="仿宋_GB2312" w:cs="仿宋_GB2312"/>
          <w:b w:val="0"/>
          <w:color w:val="000000"/>
          <w:sz w:val="18"/>
          <w:szCs w:val="18"/>
          <w:highlight w:val="none"/>
        </w:rPr>
        <w:t>.11知识产权</w:t>
      </w:r>
      <w:bookmarkEnd w:id="473"/>
      <w:bookmarkEnd w:id="474"/>
    </w:p>
    <w:bookmarkEnd w:id="475"/>
    <w:bookmarkEnd w:id="476"/>
    <w:p w14:paraId="30C3908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7C3209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EC43F3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F23A8ED">
      <w:pPr>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1.11.4 除专用合同条款另有约定外，承包人在合同签订前和签订时已确定采用的专利、专有技术、技术秘密的使用费已包含在签约合同价中。</w:t>
      </w:r>
    </w:p>
    <w:p w14:paraId="08E775F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77" w:name="_Toc351203507"/>
      <w:r>
        <w:rPr>
          <w:rFonts w:hint="eastAsia" w:ascii="仿宋_GB2312" w:hAnsi="仿宋_GB2312" w:eastAsia="仿宋_GB2312" w:cs="仿宋_GB2312"/>
          <w:b w:val="0"/>
          <w:color w:val="000000"/>
          <w:sz w:val="18"/>
          <w:szCs w:val="18"/>
          <w:highlight w:val="none"/>
        </w:rPr>
        <w:t>1</w:t>
      </w:r>
      <w:bookmarkStart w:id="478" w:name="_Toc337558738"/>
      <w:r>
        <w:rPr>
          <w:rFonts w:hint="eastAsia" w:ascii="仿宋_GB2312" w:hAnsi="仿宋_GB2312" w:eastAsia="仿宋_GB2312" w:cs="仿宋_GB2312"/>
          <w:b w:val="0"/>
          <w:color w:val="000000"/>
          <w:sz w:val="18"/>
          <w:szCs w:val="18"/>
          <w:highlight w:val="none"/>
        </w:rPr>
        <w:t>.12保密</w:t>
      </w:r>
      <w:bookmarkEnd w:id="477"/>
    </w:p>
    <w:bookmarkEnd w:id="478"/>
    <w:p w14:paraId="04A2BDE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除法律规定或合同另有约定外，未经发包人同意，承包人不得将发包人提供的图纸、文件以及声明需要保密的资料信息等商业秘密泄露给第三方。</w:t>
      </w:r>
    </w:p>
    <w:p w14:paraId="6A6B6D3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除法律规定或合同另有约定外，未经承包人同意，发包人不得将承包人提供的技术秘密及声明需要保密的资料信息等商业秘密泄露给第三方。</w:t>
      </w:r>
    </w:p>
    <w:p w14:paraId="0FEA1AA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79" w:name="_Toc351203508"/>
      <w:r>
        <w:rPr>
          <w:rFonts w:hint="eastAsia" w:ascii="仿宋_GB2312" w:hAnsi="仿宋_GB2312" w:eastAsia="仿宋_GB2312" w:cs="仿宋_GB2312"/>
          <w:b w:val="0"/>
          <w:color w:val="000000"/>
          <w:sz w:val="18"/>
          <w:szCs w:val="18"/>
          <w:highlight w:val="none"/>
        </w:rPr>
        <w:t>1.13工程量清单错误的修正</w:t>
      </w:r>
      <w:bookmarkEnd w:id="479"/>
    </w:p>
    <w:p w14:paraId="46831DF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除专用合同条款另有约定外，发包人提供的工程量清单，应被认为是准确的和完整的。出现下列情形之一时，发包人应予以修正，并相应调整合同价格：</w:t>
      </w:r>
    </w:p>
    <w:p w14:paraId="75E9600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（1）工程量清单存在缺项、漏项的；</w:t>
      </w:r>
    </w:p>
    <w:p w14:paraId="7089607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（2）工程量清单偏差超出专用合同条款约定的工程量偏差范围的；</w:t>
      </w:r>
    </w:p>
    <w:p w14:paraId="6FFDA9B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（3）未按照国家现行计量规范强制性规定计量的。</w:t>
      </w:r>
    </w:p>
    <w:p w14:paraId="22D6540E">
      <w:pPr>
        <w:pStyle w:val="5"/>
        <w:spacing w:before="120" w:after="120" w:line="240" w:lineRule="auto"/>
        <w:rPr>
          <w:rFonts w:ascii="仿宋_GB2312" w:hAnsi="仿宋_GB2312" w:eastAsia="仿宋_GB2312" w:cs="仿宋_GB2312"/>
          <w:b w:val="0"/>
          <w:color w:val="000000"/>
          <w:sz w:val="18"/>
          <w:szCs w:val="18"/>
          <w:highlight w:val="none"/>
        </w:rPr>
      </w:pPr>
      <w:bookmarkStart w:id="480" w:name="_Toc351203509"/>
      <w:r>
        <w:rPr>
          <w:rFonts w:hint="eastAsia" w:ascii="仿宋_GB2312" w:hAnsi="仿宋_GB2312" w:eastAsia="仿宋_GB2312" w:cs="仿宋_GB2312"/>
          <w:b w:val="0"/>
          <w:color w:val="000000"/>
          <w:sz w:val="18"/>
          <w:szCs w:val="18"/>
          <w:highlight w:val="none"/>
        </w:rPr>
        <w:t>2</w:t>
      </w:r>
      <w:bookmarkStart w:id="481" w:name="_Toc296503038"/>
      <w:bookmarkStart w:id="482" w:name="_Toc337558739"/>
      <w:bookmarkStart w:id="483" w:name="_Toc296346539"/>
      <w:bookmarkStart w:id="484" w:name="OLE_LINK2"/>
      <w:bookmarkStart w:id="485" w:name="OLE_LINK1"/>
      <w:r>
        <w:rPr>
          <w:rFonts w:hint="eastAsia" w:ascii="仿宋_GB2312" w:hAnsi="仿宋_GB2312" w:eastAsia="仿宋_GB2312" w:cs="仿宋_GB2312"/>
          <w:b w:val="0"/>
          <w:color w:val="000000"/>
          <w:sz w:val="18"/>
          <w:szCs w:val="18"/>
          <w:highlight w:val="none"/>
        </w:rPr>
        <w:t>. 发包人</w:t>
      </w:r>
      <w:bookmarkEnd w:id="480"/>
    </w:p>
    <w:bookmarkEnd w:id="481"/>
    <w:bookmarkEnd w:id="482"/>
    <w:bookmarkEnd w:id="483"/>
    <w:p w14:paraId="562851B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86" w:name="_Toc351203510"/>
      <w:r>
        <w:rPr>
          <w:rFonts w:hint="eastAsia" w:ascii="仿宋_GB2312" w:hAnsi="仿宋_GB2312" w:eastAsia="仿宋_GB2312" w:cs="仿宋_GB2312"/>
          <w:b w:val="0"/>
          <w:color w:val="000000"/>
          <w:sz w:val="18"/>
          <w:szCs w:val="18"/>
          <w:highlight w:val="none"/>
        </w:rPr>
        <w:t>2</w:t>
      </w:r>
      <w:bookmarkStart w:id="487" w:name="_Toc296503039"/>
      <w:bookmarkStart w:id="488" w:name="_Toc296346540"/>
      <w:bookmarkStart w:id="489" w:name="_Toc337558740"/>
      <w:r>
        <w:rPr>
          <w:rFonts w:hint="eastAsia" w:ascii="仿宋_GB2312" w:hAnsi="仿宋_GB2312" w:eastAsia="仿宋_GB2312" w:cs="仿宋_GB2312"/>
          <w:b w:val="0"/>
          <w:color w:val="000000"/>
          <w:sz w:val="18"/>
          <w:szCs w:val="18"/>
          <w:highlight w:val="none"/>
        </w:rPr>
        <w:t>.1 许可或批准</w:t>
      </w:r>
      <w:bookmarkEnd w:id="486"/>
    </w:p>
    <w:p w14:paraId="74B89A1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D8B89E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因发包人原因未能及时办理完毕前述许可、批准或备案，由发包人承担由此增加的费用和（或）延误的工期，并支付承包人合理的利润。</w:t>
      </w:r>
    </w:p>
    <w:p w14:paraId="5059239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90" w:name="_Toc351203511"/>
      <w:r>
        <w:rPr>
          <w:rFonts w:hint="eastAsia" w:ascii="仿宋_GB2312" w:hAnsi="仿宋_GB2312" w:eastAsia="仿宋_GB2312" w:cs="仿宋_GB2312"/>
          <w:b w:val="0"/>
          <w:color w:val="000000"/>
          <w:sz w:val="18"/>
          <w:szCs w:val="18"/>
          <w:highlight w:val="none"/>
        </w:rPr>
        <w:t>2.2 发包人代表</w:t>
      </w:r>
      <w:bookmarkEnd w:id="490"/>
    </w:p>
    <w:p w14:paraId="2A8F17B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D6DA1A4">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发包人代表不能按照合同约定履行其职责及义务，并导致合同无法继续正常履行的，承包人可以要求发包人撤换发包人代表。</w:t>
      </w:r>
    </w:p>
    <w:p w14:paraId="426E478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不属于法定必须监理的工程，监理人的职权可以由发包人代表或发包人指定的其他人员行使。</w:t>
      </w:r>
    </w:p>
    <w:p w14:paraId="0A90396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91" w:name="_Toc351203512"/>
      <w:r>
        <w:rPr>
          <w:rFonts w:hint="eastAsia" w:ascii="仿宋_GB2312" w:hAnsi="仿宋_GB2312" w:eastAsia="仿宋_GB2312" w:cs="仿宋_GB2312"/>
          <w:b w:val="0"/>
          <w:color w:val="000000"/>
          <w:sz w:val="18"/>
          <w:szCs w:val="18"/>
          <w:highlight w:val="none"/>
        </w:rPr>
        <w:t>2.3 发包人人员</w:t>
      </w:r>
      <w:bookmarkEnd w:id="491"/>
    </w:p>
    <w:p w14:paraId="2674951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发包人应要求在施工现场的发包人人员遵守法律及有关安全、质量、环境保护、文明施工等规定，并保障承包人免于承受因发包人人员未遵守上述要求给承包人造成的损失和责任。</w:t>
      </w:r>
    </w:p>
    <w:p w14:paraId="4FDF73AB">
      <w:pPr>
        <w:ind w:firstLine="64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发包人人员包括发包人代表及其他由发包人派驻施工现场的人员。</w:t>
      </w:r>
      <w:bookmarkEnd w:id="487"/>
      <w:bookmarkEnd w:id="488"/>
      <w:bookmarkEnd w:id="489"/>
    </w:p>
    <w:p w14:paraId="19BDC9C6">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92" w:name="_Toc351203513"/>
      <w:r>
        <w:rPr>
          <w:rFonts w:hint="eastAsia" w:ascii="仿宋_GB2312" w:hAnsi="仿宋_GB2312" w:eastAsia="仿宋_GB2312" w:cs="仿宋_GB2312"/>
          <w:b w:val="0"/>
          <w:color w:val="000000"/>
          <w:sz w:val="18"/>
          <w:szCs w:val="18"/>
          <w:highlight w:val="none"/>
        </w:rPr>
        <w:t>2</w:t>
      </w:r>
      <w:bookmarkStart w:id="493" w:name="_Toc296503040"/>
      <w:bookmarkStart w:id="494" w:name="_Toc296346541"/>
      <w:bookmarkStart w:id="495" w:name="_Toc337558741"/>
      <w:r>
        <w:rPr>
          <w:rFonts w:hint="eastAsia" w:ascii="仿宋_GB2312" w:hAnsi="仿宋_GB2312" w:eastAsia="仿宋_GB2312" w:cs="仿宋_GB2312"/>
          <w:b w:val="0"/>
          <w:color w:val="000000"/>
          <w:sz w:val="18"/>
          <w:szCs w:val="18"/>
          <w:highlight w:val="none"/>
        </w:rPr>
        <w:t>.4 施工现场、施工条件和基础资料的提供</w:t>
      </w:r>
      <w:bookmarkEnd w:id="492"/>
      <w:bookmarkEnd w:id="493"/>
      <w:bookmarkEnd w:id="494"/>
      <w:bookmarkEnd w:id="495"/>
    </w:p>
    <w:p w14:paraId="09F98E3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2.4.1 提供施工现场</w:t>
      </w:r>
    </w:p>
    <w:p w14:paraId="34E96D1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w:t>
      </w:r>
      <w:bookmarkEnd w:id="484"/>
      <w:bookmarkEnd w:id="485"/>
      <w:r>
        <w:rPr>
          <w:rFonts w:hint="eastAsia" w:ascii="仿宋_GB2312" w:hAnsi="仿宋_GB2312" w:eastAsia="仿宋_GB2312" w:cs="仿宋_GB2312"/>
          <w:color w:val="000000"/>
          <w:kern w:val="0"/>
          <w:sz w:val="18"/>
          <w:szCs w:val="18"/>
          <w:highlight w:val="none"/>
        </w:rPr>
        <w:t>专用合同条款另有约定外，发包人应最迟于开工日期7天前向承包人移交施工现场。</w:t>
      </w:r>
    </w:p>
    <w:p w14:paraId="59F87F8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2.4.2 提供施工条件</w:t>
      </w:r>
    </w:p>
    <w:p w14:paraId="2992E47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除专用合同条款另有约定外，发包人应负责提供施工所需要的条件，包括：</w:t>
      </w:r>
    </w:p>
    <w:p w14:paraId="0CD3F34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（1）将施工用水、电力、通讯线路等施工所必需的条件接至施工现场内；</w:t>
      </w:r>
    </w:p>
    <w:p w14:paraId="2E169B6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（2）保证向承包人提供正常施工所需要的进入施工现场的交通条件；</w:t>
      </w:r>
    </w:p>
    <w:p w14:paraId="0553BE7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（3）协调处理施工现场周围地下管线和邻近建筑物、构筑物、古树名木的保护工作，并承担相关费用；</w:t>
      </w:r>
    </w:p>
    <w:p w14:paraId="500F085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（4）按照专用合同条款约定应提供的其他设施和条件。</w:t>
      </w:r>
    </w:p>
    <w:p w14:paraId="0D4B5943">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2.4.3 提供基础资料</w:t>
      </w:r>
    </w:p>
    <w:p w14:paraId="54C890A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CC5A79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按照法律规定确需在开工后方能提供的基础资料，发包人应尽其努力及时地在相应工程施工前的合理期限内提供，合理期限应以不影响承包人的正常施工为限。</w:t>
      </w:r>
    </w:p>
    <w:p w14:paraId="55B5E76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2.4.4 逾期提供的责任</w:t>
      </w:r>
    </w:p>
    <w:p w14:paraId="550F68B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因发包人原因未能按合同约定及时向承包人提供施工现场、施工条件、基础资料的，由发包人承担由此增加的费用和（或）延误的工期。</w:t>
      </w:r>
    </w:p>
    <w:p w14:paraId="043AE2B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496" w:name="_Toc351203514"/>
      <w:r>
        <w:rPr>
          <w:rFonts w:hint="eastAsia" w:ascii="仿宋_GB2312" w:hAnsi="仿宋_GB2312" w:eastAsia="仿宋_GB2312" w:cs="仿宋_GB2312"/>
          <w:b w:val="0"/>
          <w:color w:val="000000"/>
          <w:sz w:val="18"/>
          <w:szCs w:val="18"/>
          <w:highlight w:val="none"/>
        </w:rPr>
        <w:t>2</w:t>
      </w:r>
      <w:bookmarkStart w:id="497" w:name="_Toc296346543"/>
      <w:bookmarkStart w:id="498" w:name="_Toc296503042"/>
      <w:bookmarkStart w:id="499" w:name="_Toc337558745"/>
      <w:r>
        <w:rPr>
          <w:rFonts w:hint="eastAsia" w:ascii="仿宋_GB2312" w:hAnsi="仿宋_GB2312" w:eastAsia="仿宋_GB2312" w:cs="仿宋_GB2312"/>
          <w:b w:val="0"/>
          <w:color w:val="000000"/>
          <w:sz w:val="18"/>
          <w:szCs w:val="18"/>
          <w:highlight w:val="none"/>
        </w:rPr>
        <w:t>.5 资</w:t>
      </w:r>
      <w:bookmarkEnd w:id="497"/>
      <w:bookmarkEnd w:id="498"/>
      <w:bookmarkEnd w:id="499"/>
      <w:r>
        <w:rPr>
          <w:rFonts w:hint="eastAsia" w:ascii="仿宋_GB2312" w:hAnsi="仿宋_GB2312" w:eastAsia="仿宋_GB2312" w:cs="仿宋_GB2312"/>
          <w:b w:val="0"/>
          <w:color w:val="000000"/>
          <w:sz w:val="18"/>
          <w:szCs w:val="18"/>
          <w:highlight w:val="none"/>
        </w:rPr>
        <w:t>金来源证明及支付担保</w:t>
      </w:r>
      <w:bookmarkEnd w:id="496"/>
    </w:p>
    <w:p w14:paraId="79B01C2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除专用合同条款另有约定外，发包人应在收到承包人要求提供资金来源证明的书面通知后28天内，向承包人提供能够按照合同约定支付合同价款的相应资金来源证明。</w:t>
      </w:r>
    </w:p>
    <w:p w14:paraId="26CE386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371D66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00" w:name="_Toc351203515"/>
      <w:r>
        <w:rPr>
          <w:rFonts w:hint="eastAsia" w:ascii="仿宋_GB2312" w:hAnsi="仿宋_GB2312" w:eastAsia="仿宋_GB2312" w:cs="仿宋_GB2312"/>
          <w:b w:val="0"/>
          <w:color w:val="000000"/>
          <w:sz w:val="18"/>
          <w:szCs w:val="18"/>
          <w:highlight w:val="none"/>
        </w:rPr>
        <w:t>2.6 支付合同价款</w:t>
      </w:r>
      <w:bookmarkEnd w:id="500"/>
    </w:p>
    <w:p w14:paraId="1784BFB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发包人应按合同约定向承包人及时支付合同价款。</w:t>
      </w:r>
    </w:p>
    <w:p w14:paraId="7DD1684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01" w:name="_Toc351203516"/>
      <w:r>
        <w:rPr>
          <w:rFonts w:hint="eastAsia" w:ascii="仿宋_GB2312" w:hAnsi="仿宋_GB2312" w:eastAsia="仿宋_GB2312" w:cs="仿宋_GB2312"/>
          <w:b w:val="0"/>
          <w:color w:val="000000"/>
          <w:sz w:val="18"/>
          <w:szCs w:val="18"/>
          <w:highlight w:val="none"/>
        </w:rPr>
        <w:t>2.7 组织竣工验收</w:t>
      </w:r>
      <w:bookmarkEnd w:id="501"/>
    </w:p>
    <w:p w14:paraId="746C317F">
      <w:pPr>
        <w:autoSpaceDE w:val="0"/>
        <w:autoSpaceDN w:val="0"/>
        <w:adjustRightInd w:val="0"/>
        <w:ind w:firstLine="360" w:firstLineChars="200"/>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发包人应按合同约定及时组织竣工验收。</w:t>
      </w:r>
    </w:p>
    <w:p w14:paraId="63709EA2">
      <w:pPr>
        <w:spacing w:before="120" w:after="120"/>
        <w:ind w:firstLine="360" w:firstLineChars="200"/>
        <w:rPr>
          <w:rFonts w:ascii="仿宋_GB2312" w:hAnsi="仿宋_GB2312" w:eastAsia="仿宋_GB2312" w:cs="仿宋_GB2312"/>
          <w:b w:val="0"/>
          <w:color w:val="000000"/>
          <w:sz w:val="18"/>
          <w:szCs w:val="18"/>
          <w:highlight w:val="none"/>
        </w:rPr>
      </w:pPr>
      <w:bookmarkStart w:id="502" w:name="_Toc351203517"/>
      <w:r>
        <w:rPr>
          <w:rFonts w:hint="eastAsia" w:ascii="仿宋_GB2312" w:hAnsi="仿宋_GB2312" w:eastAsia="仿宋_GB2312" w:cs="仿宋_GB2312"/>
          <w:b w:val="0"/>
          <w:color w:val="000000"/>
          <w:sz w:val="18"/>
          <w:szCs w:val="18"/>
          <w:highlight w:val="none"/>
        </w:rPr>
        <w:t>2.8 现场统一管理协议</w:t>
      </w:r>
      <w:bookmarkEnd w:id="502"/>
    </w:p>
    <w:p w14:paraId="7541FC0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发包人应与承包人、由发包人直接发包的专业工程的承包人签订施工现场统一管理协议，明确各方的权利义务。施工现场统一管理协议作为专用合同条款的附件。</w:t>
      </w:r>
    </w:p>
    <w:p w14:paraId="4DFB1B59">
      <w:pPr>
        <w:pStyle w:val="5"/>
        <w:spacing w:before="120" w:after="120" w:line="240" w:lineRule="auto"/>
        <w:rPr>
          <w:rFonts w:ascii="仿宋_GB2312" w:hAnsi="仿宋_GB2312" w:eastAsia="仿宋_GB2312" w:cs="仿宋_GB2312"/>
          <w:b w:val="0"/>
          <w:color w:val="000000"/>
          <w:sz w:val="18"/>
          <w:szCs w:val="18"/>
          <w:highlight w:val="none"/>
        </w:rPr>
      </w:pPr>
      <w:bookmarkStart w:id="503" w:name="_Toc351203518"/>
      <w:r>
        <w:rPr>
          <w:rFonts w:hint="eastAsia" w:ascii="仿宋_GB2312" w:hAnsi="仿宋_GB2312" w:eastAsia="仿宋_GB2312" w:cs="仿宋_GB2312"/>
          <w:b w:val="0"/>
          <w:color w:val="000000"/>
          <w:sz w:val="18"/>
          <w:szCs w:val="18"/>
          <w:highlight w:val="none"/>
        </w:rPr>
        <w:t>3</w:t>
      </w:r>
      <w:bookmarkStart w:id="504" w:name="_Toc337558746"/>
      <w:bookmarkStart w:id="505" w:name="_Toc296346546"/>
      <w:bookmarkStart w:id="506" w:name="_Toc296503045"/>
      <w:r>
        <w:rPr>
          <w:rFonts w:hint="eastAsia" w:ascii="仿宋_GB2312" w:hAnsi="仿宋_GB2312" w:eastAsia="仿宋_GB2312" w:cs="仿宋_GB2312"/>
          <w:b w:val="0"/>
          <w:color w:val="000000"/>
          <w:sz w:val="18"/>
          <w:szCs w:val="18"/>
          <w:highlight w:val="none"/>
        </w:rPr>
        <w:t>. 承包人</w:t>
      </w:r>
      <w:bookmarkEnd w:id="503"/>
    </w:p>
    <w:bookmarkEnd w:id="504"/>
    <w:bookmarkEnd w:id="505"/>
    <w:bookmarkEnd w:id="506"/>
    <w:p w14:paraId="123D877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07" w:name="_Toc351203519"/>
      <w:r>
        <w:rPr>
          <w:rFonts w:hint="eastAsia" w:ascii="仿宋_GB2312" w:hAnsi="仿宋_GB2312" w:eastAsia="仿宋_GB2312" w:cs="仿宋_GB2312"/>
          <w:b w:val="0"/>
          <w:color w:val="000000"/>
          <w:sz w:val="18"/>
          <w:szCs w:val="18"/>
          <w:highlight w:val="none"/>
        </w:rPr>
        <w:t>3</w:t>
      </w:r>
      <w:bookmarkStart w:id="508" w:name="_Toc296346547"/>
      <w:bookmarkStart w:id="509" w:name="_Toc337558747"/>
      <w:bookmarkStart w:id="510" w:name="_Toc296503046"/>
      <w:r>
        <w:rPr>
          <w:rFonts w:hint="eastAsia" w:ascii="仿宋_GB2312" w:hAnsi="仿宋_GB2312" w:eastAsia="仿宋_GB2312" w:cs="仿宋_GB2312"/>
          <w:b w:val="0"/>
          <w:color w:val="000000"/>
          <w:sz w:val="18"/>
          <w:szCs w:val="18"/>
          <w:highlight w:val="none"/>
        </w:rPr>
        <w:t>.1 承包人的一般义务</w:t>
      </w:r>
      <w:bookmarkEnd w:id="507"/>
    </w:p>
    <w:bookmarkEnd w:id="508"/>
    <w:bookmarkEnd w:id="509"/>
    <w:bookmarkEnd w:id="510"/>
    <w:p w14:paraId="4D234B5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承包人在履行合同过程中应遵守法律和工程建设标准规范，并履行以下义务：</w:t>
      </w:r>
    </w:p>
    <w:p w14:paraId="559D28A9">
      <w:pPr>
        <w:numPr>
          <w:ilvl w:val="0"/>
          <w:numId w:val="2"/>
        </w:num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办理法律规定应由承包人办理的许可和批准，并将办理结果书面报送发包人留存；</w:t>
      </w:r>
    </w:p>
    <w:p w14:paraId="131C8D8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（2）按法律规定和合同约定完成工程，并在保修期内承担保修义务；</w:t>
      </w:r>
    </w:p>
    <w:p w14:paraId="3C8CDF8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（3）按法律规定和合同约定采取施工安全和环境保护措施，办理工伤保险，确保工程及人员、材料、设备和设施的安全；</w:t>
      </w:r>
    </w:p>
    <w:p w14:paraId="5C062B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（4）按合同约定的工作内容和施工进度要求，编制施工组织设计和施工措施计划，并对所有施工作业和施工方法的完备性和安全可靠性负责；</w:t>
      </w:r>
    </w:p>
    <w:p w14:paraId="38BC68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3AB2DC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（6）按照第6.3款〔环境保护〕约定负责施工场地及其周边环境与生态的保护工作；</w:t>
      </w:r>
    </w:p>
    <w:p w14:paraId="725124F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（7）按第6.1款〔安全文明施工〕约定采取施工安全措施，确保工程及其人员、材料、设备和设施的安全，防止因工程施工造成的人身伤害和财产损失；</w:t>
      </w:r>
    </w:p>
    <w:p w14:paraId="250113E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（8）将发包人按合同约定支付的各项价款专用于合同工程，且应及时支付其雇用人员工资，并及时向分包人支付合同价款；</w:t>
      </w:r>
    </w:p>
    <w:p w14:paraId="48214D2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（9）按照法律规定和合同约定编制竣工资料，完成竣工资料立卷及归档，并按专用合同条款约定的竣工资料的套数、内容、时间等要求移交发包人；</w:t>
      </w:r>
    </w:p>
    <w:p w14:paraId="4BE2069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（10）应履行的其他义务。</w:t>
      </w:r>
    </w:p>
    <w:p w14:paraId="4CF7F8DB">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11" w:name="_Toc351203520"/>
      <w:r>
        <w:rPr>
          <w:rFonts w:hint="eastAsia" w:ascii="仿宋_GB2312" w:hAnsi="仿宋_GB2312" w:eastAsia="仿宋_GB2312" w:cs="仿宋_GB2312"/>
          <w:b w:val="0"/>
          <w:color w:val="000000"/>
          <w:sz w:val="18"/>
          <w:szCs w:val="18"/>
          <w:highlight w:val="none"/>
        </w:rPr>
        <w:t>3</w:t>
      </w:r>
      <w:bookmarkStart w:id="512" w:name="_Toc296503047"/>
      <w:bookmarkStart w:id="513" w:name="_Toc296346548"/>
      <w:bookmarkStart w:id="514" w:name="_Toc337558748"/>
      <w:r>
        <w:rPr>
          <w:rFonts w:hint="eastAsia" w:ascii="仿宋_GB2312" w:hAnsi="仿宋_GB2312" w:eastAsia="仿宋_GB2312" w:cs="仿宋_GB2312"/>
          <w:b w:val="0"/>
          <w:color w:val="000000"/>
          <w:sz w:val="18"/>
          <w:szCs w:val="18"/>
          <w:highlight w:val="none"/>
        </w:rPr>
        <w:t xml:space="preserve">.2 </w:t>
      </w:r>
      <w:bookmarkEnd w:id="511"/>
      <w:r>
        <w:rPr>
          <w:rFonts w:hint="eastAsia" w:ascii="仿宋_GB2312" w:hAnsi="仿宋_GB2312" w:eastAsia="仿宋_GB2312" w:cs="仿宋_GB2312"/>
          <w:b w:val="0"/>
          <w:color w:val="000000"/>
          <w:sz w:val="18"/>
          <w:szCs w:val="18"/>
          <w:highlight w:val="none"/>
        </w:rPr>
        <w:t>项目经理</w:t>
      </w:r>
    </w:p>
    <w:bookmarkEnd w:id="512"/>
    <w:bookmarkEnd w:id="513"/>
    <w:bookmarkEnd w:id="514"/>
    <w:p w14:paraId="552CF56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5FE81A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77B153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承包人违反上述约定的，应按照专用合同条款的约定，承担违约责任。</w:t>
      </w:r>
    </w:p>
    <w:p w14:paraId="2948C39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B89DE8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D3F961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9A6693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1259EA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15" w:name="_Toc351203521"/>
      <w:r>
        <w:rPr>
          <w:rFonts w:hint="eastAsia" w:ascii="仿宋_GB2312" w:hAnsi="仿宋_GB2312" w:eastAsia="仿宋_GB2312" w:cs="仿宋_GB2312"/>
          <w:b w:val="0"/>
          <w:color w:val="000000"/>
          <w:sz w:val="18"/>
          <w:szCs w:val="18"/>
          <w:highlight w:val="none"/>
        </w:rPr>
        <w:t>3</w:t>
      </w:r>
      <w:bookmarkStart w:id="516" w:name="_Toc296346549"/>
      <w:bookmarkStart w:id="517" w:name="_Toc296503048"/>
      <w:bookmarkStart w:id="518" w:name="_Toc337558749"/>
      <w:r>
        <w:rPr>
          <w:rFonts w:hint="eastAsia" w:ascii="仿宋_GB2312" w:hAnsi="仿宋_GB2312" w:eastAsia="仿宋_GB2312" w:cs="仿宋_GB2312"/>
          <w:b w:val="0"/>
          <w:color w:val="000000"/>
          <w:sz w:val="18"/>
          <w:szCs w:val="18"/>
          <w:highlight w:val="none"/>
        </w:rPr>
        <w:t xml:space="preserve">.3 </w:t>
      </w:r>
      <w:bookmarkEnd w:id="516"/>
      <w:bookmarkEnd w:id="517"/>
      <w:r>
        <w:rPr>
          <w:rFonts w:hint="eastAsia" w:ascii="仿宋_GB2312" w:hAnsi="仿宋_GB2312" w:eastAsia="仿宋_GB2312" w:cs="仿宋_GB2312"/>
          <w:b w:val="0"/>
          <w:color w:val="000000"/>
          <w:sz w:val="18"/>
          <w:szCs w:val="18"/>
          <w:highlight w:val="none"/>
        </w:rPr>
        <w:t>承包人人员</w:t>
      </w:r>
      <w:bookmarkEnd w:id="515"/>
    </w:p>
    <w:bookmarkEnd w:id="518"/>
    <w:p w14:paraId="0CC2002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9E733C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7ED0A0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特殊工种作业人员均应持有相应的资格证明，监理人可以随时检查。</w:t>
      </w:r>
    </w:p>
    <w:p w14:paraId="2737DC7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DBACE7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3FB140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3.3.5 承包人擅自更换主要施工管理人员，或前述人员未经监理人或发包人同意擅自离开施工现场的，应按照专用合同条款约定承担违约责任。</w:t>
      </w:r>
    </w:p>
    <w:p w14:paraId="2B004E7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19" w:name="_Toc351203522"/>
      <w:r>
        <w:rPr>
          <w:rFonts w:hint="eastAsia" w:ascii="仿宋_GB2312" w:hAnsi="仿宋_GB2312" w:eastAsia="仿宋_GB2312" w:cs="仿宋_GB2312"/>
          <w:b w:val="0"/>
          <w:color w:val="000000"/>
          <w:sz w:val="18"/>
          <w:szCs w:val="18"/>
          <w:highlight w:val="none"/>
        </w:rPr>
        <w:t>3</w:t>
      </w:r>
      <w:bookmarkStart w:id="520" w:name="_Toc296503050"/>
      <w:bookmarkStart w:id="521" w:name="_Toc337558750"/>
      <w:bookmarkStart w:id="522" w:name="_Toc296346551"/>
      <w:r>
        <w:rPr>
          <w:rFonts w:hint="eastAsia" w:ascii="仿宋_GB2312" w:hAnsi="仿宋_GB2312" w:eastAsia="仿宋_GB2312" w:cs="仿宋_GB2312"/>
          <w:b w:val="0"/>
          <w:color w:val="000000"/>
          <w:sz w:val="18"/>
          <w:szCs w:val="18"/>
          <w:highlight w:val="none"/>
        </w:rPr>
        <w:t>.4 承包人现场查勘</w:t>
      </w:r>
      <w:bookmarkEnd w:id="519"/>
    </w:p>
    <w:bookmarkEnd w:id="520"/>
    <w:bookmarkEnd w:id="521"/>
    <w:bookmarkEnd w:id="522"/>
    <w:p w14:paraId="4531AAE7">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承包人应对基于发包人按照第2.4.3项〔提供基础资料〕提交的基础资料所做出的解释和推断负责，但因基础资料存在错误、遗漏导致承包人解释或推断失实的，由发包人承担责任。</w:t>
      </w:r>
    </w:p>
    <w:p w14:paraId="76E5A3F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02BACF6">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23" w:name="_Toc351203523"/>
      <w:r>
        <w:rPr>
          <w:rFonts w:hint="eastAsia" w:ascii="仿宋_GB2312" w:hAnsi="仿宋_GB2312" w:eastAsia="仿宋_GB2312" w:cs="仿宋_GB2312"/>
          <w:b w:val="0"/>
          <w:color w:val="000000"/>
          <w:sz w:val="18"/>
          <w:szCs w:val="18"/>
          <w:highlight w:val="none"/>
        </w:rPr>
        <w:t>3</w:t>
      </w:r>
      <w:bookmarkStart w:id="524" w:name="_Toc296346552"/>
      <w:bookmarkStart w:id="525" w:name="_Toc337558751"/>
      <w:bookmarkStart w:id="526" w:name="_Toc296503051"/>
      <w:r>
        <w:rPr>
          <w:rFonts w:hint="eastAsia" w:ascii="仿宋_GB2312" w:hAnsi="仿宋_GB2312" w:eastAsia="仿宋_GB2312" w:cs="仿宋_GB2312"/>
          <w:b w:val="0"/>
          <w:color w:val="000000"/>
          <w:sz w:val="18"/>
          <w:szCs w:val="18"/>
          <w:highlight w:val="none"/>
        </w:rPr>
        <w:t>.5 分包</w:t>
      </w:r>
      <w:bookmarkEnd w:id="523"/>
    </w:p>
    <w:bookmarkEnd w:id="524"/>
    <w:bookmarkEnd w:id="525"/>
    <w:bookmarkEnd w:id="526"/>
    <w:p w14:paraId="16619B8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3.5.1 分包的一般约定</w:t>
      </w:r>
    </w:p>
    <w:p w14:paraId="1A5F095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92795C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承包人不得以劳务分包的名义转包或违法分包工程。</w:t>
      </w:r>
    </w:p>
    <w:p w14:paraId="2E8CD94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3.5.2 分包的确定</w:t>
      </w:r>
    </w:p>
    <w:p w14:paraId="18DD7DF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FF6AF0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3.5.3 分包管理</w:t>
      </w:r>
    </w:p>
    <w:p w14:paraId="795FBF5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承包人应向监理人提交分包人的主要施工管理人员表，并对分包人的施工人员进行实名制管理，包括但不限于进出场管理、登记造册以及各种证照的办理。</w:t>
      </w:r>
    </w:p>
    <w:p w14:paraId="58E1952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3.5.4 分包合同价款</w:t>
      </w:r>
    </w:p>
    <w:p w14:paraId="191D79A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（1）除本项第（2）目约定的情况或专用合同条款另有约定外，分包合同价款由承包人与分包人结算，未经承包人同意，发包人不得向分包人支付分包工程价款；</w:t>
      </w:r>
    </w:p>
    <w:p w14:paraId="40249D1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（2）生效法律文书要求发包人向分包人支付分包合同价款的，发包人有权从应付承包人工程款中扣除该部分款项。</w:t>
      </w:r>
    </w:p>
    <w:p w14:paraId="1DA2908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3.5.5 分包合同权益的转让</w:t>
      </w:r>
    </w:p>
    <w:p w14:paraId="2899538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27" w:name="_Toc351203524"/>
    </w:p>
    <w:p w14:paraId="473EA90A">
      <w:pPr>
        <w:pStyle w:val="6"/>
        <w:spacing w:before="120" w:after="120"/>
        <w:ind w:left="0" w:firstLine="360" w:firstLineChars="200"/>
        <w:rPr>
          <w:rFonts w:ascii="仿宋_GB2312" w:hAnsi="仿宋_GB2312" w:eastAsia="仿宋_GB2312" w:cs="仿宋_GB2312"/>
          <w:b w:val="0"/>
          <w:color w:val="000000"/>
          <w:sz w:val="18"/>
          <w:szCs w:val="18"/>
          <w:highlight w:val="none"/>
        </w:rPr>
      </w:pPr>
      <w:r>
        <w:rPr>
          <w:rFonts w:hint="eastAsia" w:ascii="仿宋_GB2312" w:hAnsi="仿宋_GB2312" w:eastAsia="仿宋_GB2312" w:cs="仿宋_GB2312"/>
          <w:b w:val="0"/>
          <w:color w:val="000000"/>
          <w:sz w:val="18"/>
          <w:szCs w:val="18"/>
          <w:highlight w:val="none"/>
        </w:rPr>
        <w:t>3.6 工程照管与成品、半成品保护</w:t>
      </w:r>
      <w:bookmarkEnd w:id="527"/>
    </w:p>
    <w:p w14:paraId="54CE141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（1）除专用合同条款另有约定外，自发包人向承包人移交施工现场之日起，承包人应负责照管工程及工程相关的材料、工程设备，直到颁发工程接收证书之日止。</w:t>
      </w:r>
    </w:p>
    <w:p w14:paraId="2434E5E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（2）在承包人负责照管期间，因承包人原因造成工程、材料、工程设备损坏的，由承包人负责修复或更换，并承担由此增加的费用和（或）延误的工期。</w:t>
      </w:r>
    </w:p>
    <w:p w14:paraId="5740B76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55A6C2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28" w:name="_Toc351203525"/>
      <w:r>
        <w:rPr>
          <w:rFonts w:hint="eastAsia" w:ascii="仿宋_GB2312" w:hAnsi="仿宋_GB2312" w:eastAsia="仿宋_GB2312" w:cs="仿宋_GB2312"/>
          <w:b w:val="0"/>
          <w:color w:val="000000"/>
          <w:sz w:val="18"/>
          <w:szCs w:val="18"/>
          <w:highlight w:val="none"/>
        </w:rPr>
        <w:t>3</w:t>
      </w:r>
      <w:bookmarkStart w:id="529" w:name="_Toc296503052"/>
      <w:bookmarkStart w:id="530" w:name="_Toc296346553"/>
      <w:bookmarkStart w:id="531" w:name="_Toc337558752"/>
      <w:r>
        <w:rPr>
          <w:rFonts w:hint="eastAsia" w:ascii="仿宋_GB2312" w:hAnsi="仿宋_GB2312" w:eastAsia="仿宋_GB2312" w:cs="仿宋_GB2312"/>
          <w:b w:val="0"/>
          <w:color w:val="000000"/>
          <w:sz w:val="18"/>
          <w:szCs w:val="18"/>
          <w:highlight w:val="none"/>
        </w:rPr>
        <w:t>.7 履约担保</w:t>
      </w:r>
      <w:bookmarkEnd w:id="528"/>
    </w:p>
    <w:bookmarkEnd w:id="529"/>
    <w:bookmarkEnd w:id="530"/>
    <w:bookmarkEnd w:id="531"/>
    <w:p w14:paraId="3C68BA8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37A9C5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因承包人原因导致工期延长的，继续提供履约担保所增加的费用由承包人承担；非因承包人原因导致工期延长的，继续提供履约担保所增加的费用由发包人承担。</w:t>
      </w:r>
    </w:p>
    <w:p w14:paraId="4EBB42A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32" w:name="_Toc351203526"/>
      <w:r>
        <w:rPr>
          <w:rFonts w:hint="eastAsia" w:ascii="仿宋_GB2312" w:hAnsi="仿宋_GB2312" w:eastAsia="仿宋_GB2312" w:cs="仿宋_GB2312"/>
          <w:b w:val="0"/>
          <w:color w:val="000000"/>
          <w:sz w:val="18"/>
          <w:szCs w:val="18"/>
          <w:highlight w:val="none"/>
        </w:rPr>
        <w:t>3.8 联合体</w:t>
      </w:r>
      <w:bookmarkEnd w:id="532"/>
    </w:p>
    <w:p w14:paraId="5BC4F76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3.8.1 联合体各方应共同与发包人签订合同协议书。联合体各方应为履行合同向发包人承担连带责任。</w:t>
      </w:r>
    </w:p>
    <w:p w14:paraId="2F303D2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3.8.2 联合体协议经发包人确认后作为合同附件。在履行合同过程中，未经发包人同意，不得修改联合体协议。</w:t>
      </w:r>
    </w:p>
    <w:p w14:paraId="4A25C99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3.8.3 联合体牵头人负责与发包人和监理人联系，并接受指示，负责组织联合体各成员全面履行合同。</w:t>
      </w:r>
    </w:p>
    <w:p w14:paraId="136300A5">
      <w:pPr>
        <w:pStyle w:val="5"/>
        <w:spacing w:before="120" w:after="120" w:line="240" w:lineRule="auto"/>
        <w:rPr>
          <w:rFonts w:ascii="仿宋_GB2312" w:hAnsi="仿宋_GB2312" w:eastAsia="仿宋_GB2312" w:cs="仿宋_GB2312"/>
          <w:b w:val="0"/>
          <w:color w:val="000000"/>
          <w:sz w:val="18"/>
          <w:szCs w:val="18"/>
          <w:highlight w:val="none"/>
        </w:rPr>
      </w:pPr>
      <w:bookmarkStart w:id="533" w:name="_Toc351203527"/>
      <w:r>
        <w:rPr>
          <w:rFonts w:hint="eastAsia" w:ascii="仿宋_GB2312" w:hAnsi="仿宋_GB2312" w:eastAsia="仿宋_GB2312" w:cs="仿宋_GB2312"/>
          <w:b w:val="0"/>
          <w:color w:val="000000"/>
          <w:sz w:val="18"/>
          <w:szCs w:val="18"/>
          <w:highlight w:val="none"/>
        </w:rPr>
        <w:t>4</w:t>
      </w:r>
      <w:bookmarkStart w:id="534" w:name="_Toc296503053"/>
      <w:bookmarkStart w:id="535" w:name="_Toc296346554"/>
      <w:bookmarkStart w:id="536" w:name="_Toc337558753"/>
      <w:r>
        <w:rPr>
          <w:rFonts w:hint="eastAsia" w:ascii="仿宋_GB2312" w:hAnsi="仿宋_GB2312" w:eastAsia="仿宋_GB2312" w:cs="仿宋_GB2312"/>
          <w:b w:val="0"/>
          <w:color w:val="000000"/>
          <w:sz w:val="18"/>
          <w:szCs w:val="18"/>
          <w:highlight w:val="none"/>
        </w:rPr>
        <w:t>. 监</w:t>
      </w:r>
      <w:bookmarkEnd w:id="534"/>
      <w:bookmarkEnd w:id="535"/>
      <w:r>
        <w:rPr>
          <w:rFonts w:hint="eastAsia" w:ascii="仿宋_GB2312" w:hAnsi="仿宋_GB2312" w:eastAsia="仿宋_GB2312" w:cs="仿宋_GB2312"/>
          <w:b w:val="0"/>
          <w:color w:val="000000"/>
          <w:sz w:val="18"/>
          <w:szCs w:val="18"/>
          <w:highlight w:val="none"/>
        </w:rPr>
        <w:t>理人</w:t>
      </w:r>
      <w:bookmarkEnd w:id="533"/>
    </w:p>
    <w:bookmarkEnd w:id="536"/>
    <w:p w14:paraId="7215D37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37" w:name="_Toc351203528"/>
      <w:r>
        <w:rPr>
          <w:rFonts w:hint="eastAsia" w:ascii="仿宋_GB2312" w:hAnsi="仿宋_GB2312" w:eastAsia="仿宋_GB2312" w:cs="仿宋_GB2312"/>
          <w:b w:val="0"/>
          <w:color w:val="000000"/>
          <w:sz w:val="18"/>
          <w:szCs w:val="18"/>
          <w:highlight w:val="none"/>
        </w:rPr>
        <w:t>4</w:t>
      </w:r>
      <w:bookmarkStart w:id="538" w:name="_Toc296503054"/>
      <w:bookmarkStart w:id="539" w:name="_Toc296346555"/>
      <w:bookmarkStart w:id="540" w:name="_Toc337558754"/>
      <w:r>
        <w:rPr>
          <w:rFonts w:hint="eastAsia" w:ascii="仿宋_GB2312" w:hAnsi="仿宋_GB2312" w:eastAsia="仿宋_GB2312" w:cs="仿宋_GB2312"/>
          <w:b w:val="0"/>
          <w:color w:val="000000"/>
          <w:sz w:val="18"/>
          <w:szCs w:val="18"/>
          <w:highlight w:val="none"/>
        </w:rPr>
        <w:t>.1监理人的一般规定</w:t>
      </w:r>
      <w:bookmarkEnd w:id="537"/>
    </w:p>
    <w:bookmarkEnd w:id="538"/>
    <w:bookmarkEnd w:id="539"/>
    <w:bookmarkEnd w:id="540"/>
    <w:p w14:paraId="6EF8B1F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4F950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除专用合同条款另有约定外，监理人在施工现场的办公场所、生活场所由承包人提供，所发生的费用由发包人承担。</w:t>
      </w:r>
    </w:p>
    <w:p w14:paraId="6F899C27">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41" w:name="_Toc351203529"/>
      <w:r>
        <w:rPr>
          <w:rFonts w:hint="eastAsia" w:ascii="仿宋_GB2312" w:hAnsi="仿宋_GB2312" w:eastAsia="仿宋_GB2312" w:cs="仿宋_GB2312"/>
          <w:b w:val="0"/>
          <w:color w:val="000000"/>
          <w:sz w:val="18"/>
          <w:szCs w:val="18"/>
          <w:highlight w:val="none"/>
        </w:rPr>
        <w:t>4</w:t>
      </w:r>
      <w:bookmarkStart w:id="542" w:name="_Toc337558755"/>
      <w:r>
        <w:rPr>
          <w:rFonts w:hint="eastAsia" w:ascii="仿宋_GB2312" w:hAnsi="仿宋_GB2312" w:eastAsia="仿宋_GB2312" w:cs="仿宋_GB2312"/>
          <w:b w:val="0"/>
          <w:color w:val="000000"/>
          <w:sz w:val="18"/>
          <w:szCs w:val="18"/>
          <w:highlight w:val="none"/>
        </w:rPr>
        <w:t>.2监理人员</w:t>
      </w:r>
      <w:bookmarkEnd w:id="541"/>
    </w:p>
    <w:bookmarkEnd w:id="542"/>
    <w:p w14:paraId="6617728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38D8A1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43" w:name="_Toc351203530"/>
      <w:r>
        <w:rPr>
          <w:rFonts w:hint="eastAsia" w:ascii="仿宋_GB2312" w:hAnsi="仿宋_GB2312" w:eastAsia="仿宋_GB2312" w:cs="仿宋_GB2312"/>
          <w:b w:val="0"/>
          <w:color w:val="000000"/>
          <w:sz w:val="18"/>
          <w:szCs w:val="18"/>
          <w:highlight w:val="none"/>
        </w:rPr>
        <w:t>4</w:t>
      </w:r>
      <w:bookmarkStart w:id="544" w:name="_Toc296346556"/>
      <w:bookmarkStart w:id="545" w:name="_Toc296503055"/>
      <w:bookmarkStart w:id="546" w:name="_Toc337558756"/>
      <w:r>
        <w:rPr>
          <w:rFonts w:hint="eastAsia" w:ascii="仿宋_GB2312" w:hAnsi="仿宋_GB2312" w:eastAsia="仿宋_GB2312" w:cs="仿宋_GB2312"/>
          <w:b w:val="0"/>
          <w:color w:val="000000"/>
          <w:sz w:val="18"/>
          <w:szCs w:val="18"/>
          <w:highlight w:val="none"/>
        </w:rPr>
        <w:t>.3</w:t>
      </w:r>
      <w:bookmarkEnd w:id="544"/>
      <w:bookmarkEnd w:id="545"/>
      <w:r>
        <w:rPr>
          <w:rFonts w:hint="eastAsia" w:ascii="仿宋_GB2312" w:hAnsi="仿宋_GB2312" w:eastAsia="仿宋_GB2312" w:cs="仿宋_GB2312"/>
          <w:b w:val="0"/>
          <w:color w:val="000000"/>
          <w:sz w:val="18"/>
          <w:szCs w:val="18"/>
          <w:highlight w:val="none"/>
        </w:rPr>
        <w:t>监理人的指</w:t>
      </w:r>
      <w:bookmarkEnd w:id="546"/>
      <w:r>
        <w:rPr>
          <w:rFonts w:hint="eastAsia" w:ascii="仿宋_GB2312" w:hAnsi="仿宋_GB2312" w:eastAsia="仿宋_GB2312" w:cs="仿宋_GB2312"/>
          <w:b w:val="0"/>
          <w:color w:val="000000"/>
          <w:sz w:val="18"/>
          <w:szCs w:val="18"/>
          <w:highlight w:val="none"/>
        </w:rPr>
        <w:t>示</w:t>
      </w:r>
      <w:bookmarkEnd w:id="543"/>
    </w:p>
    <w:p w14:paraId="044B15E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50B1AD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9A82A4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承包人对监理人发出的指示有疑问的，应向监理人提出书面异议，监理人应在48小时内对该指示予以确认、更改或撤销，监理人逾期未回复的，承包人有权拒绝执行上述指示。</w:t>
      </w:r>
    </w:p>
    <w:p w14:paraId="0888A35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DD3EC7D">
      <w:pPr>
        <w:pStyle w:val="5"/>
        <w:spacing w:before="120" w:after="120" w:line="240" w:lineRule="auto"/>
        <w:ind w:firstLine="360" w:firstLineChars="200"/>
        <w:rPr>
          <w:rFonts w:ascii="仿宋_GB2312" w:hAnsi="仿宋_GB2312" w:eastAsia="仿宋_GB2312" w:cs="仿宋_GB2312"/>
          <w:b w:val="0"/>
          <w:color w:val="000000"/>
          <w:sz w:val="18"/>
          <w:szCs w:val="18"/>
          <w:highlight w:val="none"/>
        </w:rPr>
      </w:pPr>
      <w:bookmarkStart w:id="547" w:name="_Toc351203531"/>
      <w:r>
        <w:rPr>
          <w:rFonts w:hint="eastAsia" w:ascii="仿宋_GB2312" w:hAnsi="仿宋_GB2312" w:eastAsia="仿宋_GB2312" w:cs="仿宋_GB2312"/>
          <w:b w:val="0"/>
          <w:color w:val="000000"/>
          <w:sz w:val="18"/>
          <w:szCs w:val="18"/>
          <w:highlight w:val="none"/>
        </w:rPr>
        <w:t>4</w:t>
      </w:r>
      <w:bookmarkStart w:id="548" w:name="_Toc337558757"/>
      <w:bookmarkStart w:id="549" w:name="_Toc296503057"/>
      <w:bookmarkStart w:id="550" w:name="_Toc296346558"/>
      <w:r>
        <w:rPr>
          <w:rFonts w:hint="eastAsia" w:ascii="仿宋_GB2312" w:hAnsi="仿宋_GB2312" w:eastAsia="仿宋_GB2312" w:cs="仿宋_GB2312"/>
          <w:b w:val="0"/>
          <w:color w:val="000000"/>
          <w:sz w:val="18"/>
          <w:szCs w:val="18"/>
          <w:highlight w:val="none"/>
        </w:rPr>
        <w:t>.4 商定或确定</w:t>
      </w:r>
      <w:bookmarkEnd w:id="547"/>
    </w:p>
    <w:bookmarkEnd w:id="548"/>
    <w:bookmarkEnd w:id="549"/>
    <w:bookmarkEnd w:id="550"/>
    <w:p w14:paraId="2D9706F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合同当事人进行商定或确定时，总监理工程师应当会同合同当事人尽量通过协商达成一致，不能达成一致的，由总监理工程师按照合同约定审慎做出公正的确定。</w:t>
      </w:r>
    </w:p>
    <w:p w14:paraId="0060C8A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1423C19">
      <w:pPr>
        <w:pStyle w:val="5"/>
        <w:spacing w:before="120" w:after="120" w:line="240" w:lineRule="auto"/>
        <w:rPr>
          <w:rFonts w:ascii="仿宋_GB2312" w:hAnsi="仿宋_GB2312" w:eastAsia="仿宋_GB2312" w:cs="仿宋_GB2312"/>
          <w:b w:val="0"/>
          <w:color w:val="000000"/>
          <w:sz w:val="18"/>
          <w:szCs w:val="18"/>
          <w:highlight w:val="none"/>
        </w:rPr>
      </w:pPr>
      <w:bookmarkStart w:id="551" w:name="_Toc351203532"/>
      <w:r>
        <w:rPr>
          <w:rFonts w:hint="eastAsia" w:ascii="仿宋_GB2312" w:hAnsi="仿宋_GB2312" w:eastAsia="仿宋_GB2312" w:cs="仿宋_GB2312"/>
          <w:b w:val="0"/>
          <w:color w:val="000000"/>
          <w:sz w:val="18"/>
          <w:szCs w:val="18"/>
          <w:highlight w:val="none"/>
        </w:rPr>
        <w:t>5</w:t>
      </w:r>
      <w:bookmarkStart w:id="552" w:name="_Toc337558758"/>
      <w:r>
        <w:rPr>
          <w:rFonts w:hint="eastAsia" w:ascii="仿宋_GB2312" w:hAnsi="仿宋_GB2312" w:eastAsia="仿宋_GB2312" w:cs="仿宋_GB2312"/>
          <w:b w:val="0"/>
          <w:color w:val="000000"/>
          <w:sz w:val="18"/>
          <w:szCs w:val="18"/>
          <w:highlight w:val="none"/>
        </w:rPr>
        <w:t>. 工程质量</w:t>
      </w:r>
      <w:bookmarkEnd w:id="551"/>
    </w:p>
    <w:bookmarkEnd w:id="552"/>
    <w:p w14:paraId="14C5D34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53" w:name="_Toc351203533"/>
      <w:r>
        <w:rPr>
          <w:rFonts w:hint="eastAsia" w:ascii="仿宋_GB2312" w:hAnsi="仿宋_GB2312" w:eastAsia="仿宋_GB2312" w:cs="仿宋_GB2312"/>
          <w:b w:val="0"/>
          <w:color w:val="000000"/>
          <w:sz w:val="18"/>
          <w:szCs w:val="18"/>
          <w:highlight w:val="none"/>
        </w:rPr>
        <w:t>5</w:t>
      </w:r>
      <w:bookmarkStart w:id="554" w:name="_Toc337558759"/>
      <w:r>
        <w:rPr>
          <w:rFonts w:hint="eastAsia" w:ascii="仿宋_GB2312" w:hAnsi="仿宋_GB2312" w:eastAsia="仿宋_GB2312" w:cs="仿宋_GB2312"/>
          <w:b w:val="0"/>
          <w:color w:val="000000"/>
          <w:sz w:val="18"/>
          <w:szCs w:val="18"/>
          <w:highlight w:val="none"/>
        </w:rPr>
        <w:t>.1质量要求</w:t>
      </w:r>
      <w:bookmarkEnd w:id="553"/>
    </w:p>
    <w:bookmarkEnd w:id="554"/>
    <w:p w14:paraId="525DA30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5.1.1 工程质量标准必须符合现行国家有关工程施工质量验收规范和标准的要求。有关工程质量的特殊标准或要求由合同当事人在专用合同条款中约定。</w:t>
      </w:r>
    </w:p>
    <w:p w14:paraId="7D3C784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5.1.2 因发包人原因造成工程质量未达到合同约定标准的，由发包人承担由此增加的费用和（或）延误的工期，并支付承包人合理的利润。</w:t>
      </w:r>
    </w:p>
    <w:p w14:paraId="3BA3098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5.1.3 因承包人原因造成工程质量未达到合同约定标准的，发包人有权要求承包人返工直至工程质量达到合同约定的标准为止，并由承包人承担由此增加的费用和（或）延误的工期。</w:t>
      </w:r>
    </w:p>
    <w:p w14:paraId="323390E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55" w:name="_Toc351203534"/>
      <w:r>
        <w:rPr>
          <w:rFonts w:hint="eastAsia" w:ascii="仿宋_GB2312" w:hAnsi="仿宋_GB2312" w:eastAsia="仿宋_GB2312" w:cs="仿宋_GB2312"/>
          <w:b w:val="0"/>
          <w:color w:val="000000"/>
          <w:sz w:val="18"/>
          <w:szCs w:val="18"/>
          <w:highlight w:val="none"/>
        </w:rPr>
        <w:t>5</w:t>
      </w:r>
      <w:bookmarkStart w:id="556" w:name="_Toc337558760"/>
      <w:r>
        <w:rPr>
          <w:rFonts w:hint="eastAsia" w:ascii="仿宋_GB2312" w:hAnsi="仿宋_GB2312" w:eastAsia="仿宋_GB2312" w:cs="仿宋_GB2312"/>
          <w:b w:val="0"/>
          <w:color w:val="000000"/>
          <w:sz w:val="18"/>
          <w:szCs w:val="18"/>
          <w:highlight w:val="none"/>
        </w:rPr>
        <w:t>.2质量保证措施</w:t>
      </w:r>
      <w:bookmarkEnd w:id="555"/>
    </w:p>
    <w:bookmarkEnd w:id="556"/>
    <w:p w14:paraId="543714BC">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5.2.1 发包人的质量管理</w:t>
      </w:r>
    </w:p>
    <w:p w14:paraId="15DB798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发包人应按照法律规定及合同约定完成与工程质量有关的各项工作。</w:t>
      </w:r>
    </w:p>
    <w:p w14:paraId="5A6EC6B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5.2.2 承包人的质量管理</w:t>
      </w:r>
    </w:p>
    <w:p w14:paraId="04880DA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0C882B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承包人应对施工人员进行质量教育和技术培训，定期考核施工人员的劳动技能，严格执行施工规范和操作规程。</w:t>
      </w:r>
    </w:p>
    <w:p w14:paraId="2901945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50F80C5">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5.2.3 监理人的质量检查和检验</w:t>
      </w:r>
    </w:p>
    <w:p w14:paraId="07B3FBB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992C30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6CE00C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57" w:name="_Toc351203535"/>
      <w:r>
        <w:rPr>
          <w:rFonts w:hint="eastAsia" w:ascii="仿宋_GB2312" w:hAnsi="仿宋_GB2312" w:eastAsia="仿宋_GB2312" w:cs="仿宋_GB2312"/>
          <w:b w:val="0"/>
          <w:color w:val="000000"/>
          <w:sz w:val="18"/>
          <w:szCs w:val="18"/>
          <w:highlight w:val="none"/>
        </w:rPr>
        <w:t>5</w:t>
      </w:r>
      <w:bookmarkStart w:id="558" w:name="_Toc337558761"/>
      <w:r>
        <w:rPr>
          <w:rFonts w:hint="eastAsia" w:ascii="仿宋_GB2312" w:hAnsi="仿宋_GB2312" w:eastAsia="仿宋_GB2312" w:cs="仿宋_GB2312"/>
          <w:b w:val="0"/>
          <w:color w:val="000000"/>
          <w:sz w:val="18"/>
          <w:szCs w:val="18"/>
          <w:highlight w:val="none"/>
        </w:rPr>
        <w:t>.3 隐蔽工程检查</w:t>
      </w:r>
      <w:bookmarkEnd w:id="557"/>
    </w:p>
    <w:bookmarkEnd w:id="558"/>
    <w:p w14:paraId="5560FA9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5.3.1承包人自检</w:t>
      </w:r>
    </w:p>
    <w:p w14:paraId="4D50FAC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承包人应当对工程隐蔽部位进行自检，并经自检确认是否具备覆盖条件。</w:t>
      </w:r>
    </w:p>
    <w:p w14:paraId="052B6F6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5.3.2检查程序</w:t>
      </w:r>
    </w:p>
    <w:p w14:paraId="7725DE3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802159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BBBA08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5345AA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5.3.3 重新检查</w:t>
      </w:r>
    </w:p>
    <w:p w14:paraId="4ED0791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43952F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5.3.4 承包人私自覆盖</w:t>
      </w:r>
    </w:p>
    <w:p w14:paraId="402E8D8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17D39C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59" w:name="_Toc351203536"/>
      <w:r>
        <w:rPr>
          <w:rFonts w:hint="eastAsia" w:ascii="仿宋_GB2312" w:hAnsi="仿宋_GB2312" w:eastAsia="仿宋_GB2312" w:cs="仿宋_GB2312"/>
          <w:b w:val="0"/>
          <w:color w:val="000000"/>
          <w:sz w:val="18"/>
          <w:szCs w:val="18"/>
          <w:highlight w:val="none"/>
        </w:rPr>
        <w:t>5</w:t>
      </w:r>
      <w:bookmarkStart w:id="560" w:name="_Toc337558762"/>
      <w:r>
        <w:rPr>
          <w:rFonts w:hint="eastAsia" w:ascii="仿宋_GB2312" w:hAnsi="仿宋_GB2312" w:eastAsia="仿宋_GB2312" w:cs="仿宋_GB2312"/>
          <w:b w:val="0"/>
          <w:color w:val="000000"/>
          <w:sz w:val="18"/>
          <w:szCs w:val="18"/>
          <w:highlight w:val="none"/>
        </w:rPr>
        <w:t>.4不合格工程的处理</w:t>
      </w:r>
      <w:bookmarkEnd w:id="559"/>
    </w:p>
    <w:bookmarkEnd w:id="560"/>
    <w:p w14:paraId="34C5134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2268E5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5.4.2 因发包人原因造成工程不合格的，由此增加的费用和（或）延误的工期由发包人承担，并支付承包人合理的利润。</w:t>
      </w:r>
    </w:p>
    <w:p w14:paraId="075D602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61" w:name="_Toc351203537"/>
      <w:r>
        <w:rPr>
          <w:rFonts w:hint="eastAsia" w:ascii="仿宋_GB2312" w:hAnsi="仿宋_GB2312" w:eastAsia="仿宋_GB2312" w:cs="仿宋_GB2312"/>
          <w:b w:val="0"/>
          <w:color w:val="000000"/>
          <w:sz w:val="18"/>
          <w:szCs w:val="18"/>
          <w:highlight w:val="none"/>
        </w:rPr>
        <w:t>5.5 质量争议检测</w:t>
      </w:r>
      <w:bookmarkEnd w:id="561"/>
    </w:p>
    <w:p w14:paraId="5045FCE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合同当事人对工程质量有争议的，由双方协商确定的工程质量检测机构鉴定，由此产生的费用及因此造成的损失，由责任方承担。</w:t>
      </w:r>
    </w:p>
    <w:p w14:paraId="00A4E3B0">
      <w:pPr>
        <w:autoSpaceDE w:val="0"/>
        <w:autoSpaceDN w:val="0"/>
        <w:adjustRightInd w:val="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合同当事人均有责任的，由双方根据其责任分别承担。合同当事人无法达成一致的，按照第4.4款〔商定或确定〕执行。</w:t>
      </w:r>
    </w:p>
    <w:p w14:paraId="5E956003">
      <w:pPr>
        <w:pStyle w:val="5"/>
        <w:spacing w:before="120" w:after="120" w:line="240" w:lineRule="auto"/>
        <w:rPr>
          <w:rFonts w:ascii="仿宋_GB2312" w:hAnsi="仿宋_GB2312" w:eastAsia="仿宋_GB2312" w:cs="仿宋_GB2312"/>
          <w:b w:val="0"/>
          <w:color w:val="000000"/>
          <w:sz w:val="18"/>
          <w:szCs w:val="18"/>
          <w:highlight w:val="none"/>
        </w:rPr>
      </w:pPr>
      <w:bookmarkStart w:id="562" w:name="_Toc351203538"/>
      <w:r>
        <w:rPr>
          <w:rFonts w:hint="eastAsia" w:ascii="仿宋_GB2312" w:hAnsi="仿宋_GB2312" w:eastAsia="仿宋_GB2312" w:cs="仿宋_GB2312"/>
          <w:b w:val="0"/>
          <w:color w:val="000000"/>
          <w:sz w:val="18"/>
          <w:szCs w:val="18"/>
          <w:highlight w:val="none"/>
        </w:rPr>
        <w:t>6</w:t>
      </w:r>
      <w:bookmarkStart w:id="563" w:name="_Toc337558763"/>
      <w:r>
        <w:rPr>
          <w:rFonts w:hint="eastAsia" w:ascii="仿宋_GB2312" w:hAnsi="仿宋_GB2312" w:eastAsia="仿宋_GB2312" w:cs="仿宋_GB2312"/>
          <w:b w:val="0"/>
          <w:color w:val="000000"/>
          <w:sz w:val="18"/>
          <w:szCs w:val="18"/>
          <w:highlight w:val="none"/>
        </w:rPr>
        <w:t>. 安全文明施工与环境保护</w:t>
      </w:r>
      <w:bookmarkEnd w:id="562"/>
    </w:p>
    <w:bookmarkEnd w:id="563"/>
    <w:p w14:paraId="70F0593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64" w:name="_Toc351203539"/>
      <w:r>
        <w:rPr>
          <w:rFonts w:hint="eastAsia" w:ascii="仿宋_GB2312" w:hAnsi="仿宋_GB2312" w:eastAsia="仿宋_GB2312" w:cs="仿宋_GB2312"/>
          <w:b w:val="0"/>
          <w:color w:val="000000"/>
          <w:sz w:val="18"/>
          <w:szCs w:val="18"/>
          <w:highlight w:val="none"/>
        </w:rPr>
        <w:t>6</w:t>
      </w:r>
      <w:bookmarkStart w:id="565" w:name="_Toc337558764"/>
      <w:r>
        <w:rPr>
          <w:rFonts w:hint="eastAsia" w:ascii="仿宋_GB2312" w:hAnsi="仿宋_GB2312" w:eastAsia="仿宋_GB2312" w:cs="仿宋_GB2312"/>
          <w:b w:val="0"/>
          <w:color w:val="000000"/>
          <w:sz w:val="18"/>
          <w:szCs w:val="18"/>
          <w:highlight w:val="none"/>
        </w:rPr>
        <w:t>.1安全文明施工</w:t>
      </w:r>
      <w:bookmarkEnd w:id="564"/>
    </w:p>
    <w:bookmarkEnd w:id="565"/>
    <w:p w14:paraId="74F86E75">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6.1.1安全生产要求</w:t>
      </w:r>
    </w:p>
    <w:p w14:paraId="0A15406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3FD4B6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在施工过程中，如遇到突发的地质变动、事先未知的地下施工障碍等影响施工安全的紧急情况，承包人应及时报告监理人和发包人，发包人应当及时下令停工并报</w:t>
      </w:r>
      <w:r>
        <w:rPr>
          <w:rFonts w:hint="eastAsia" w:ascii="仿宋_GB2312" w:hAnsi="仿宋_GB2312" w:eastAsia="仿宋_GB2312" w:cs="仿宋_GB2312"/>
          <w:color w:val="000000"/>
          <w:kern w:val="0"/>
          <w:sz w:val="18"/>
          <w:szCs w:val="18"/>
          <w:highlight w:val="none"/>
        </w:rPr>
        <w:t>政府有关行政管理部门</w:t>
      </w:r>
      <w:r>
        <w:rPr>
          <w:rFonts w:hint="eastAsia" w:ascii="仿宋_GB2312" w:hAnsi="仿宋_GB2312" w:eastAsia="仿宋_GB2312" w:cs="仿宋_GB2312"/>
          <w:color w:val="000000"/>
          <w:sz w:val="18"/>
          <w:szCs w:val="18"/>
          <w:highlight w:val="none"/>
        </w:rPr>
        <w:t>采取应急措施。</w:t>
      </w:r>
    </w:p>
    <w:p w14:paraId="23D4E8FC">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因安全生产需要暂停施工的，按照第7.8款〔暂停施工〕的约定执行。</w:t>
      </w:r>
    </w:p>
    <w:p w14:paraId="2E71D84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6.1.2 安全生产保证措施</w:t>
      </w:r>
    </w:p>
    <w:p w14:paraId="2B8D105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承包人应当按照有关</w:t>
      </w:r>
      <w:r>
        <w:rPr>
          <w:rFonts w:hint="eastAsia" w:ascii="仿宋_GB2312" w:hAnsi="仿宋_GB2312" w:eastAsia="仿宋_GB2312" w:cs="仿宋_GB2312"/>
          <w:color w:val="000000"/>
          <w:kern w:val="0"/>
          <w:sz w:val="18"/>
          <w:szCs w:val="18"/>
          <w:highlight w:val="none"/>
        </w:rPr>
        <w:t>规定编制安全技术措施或者专项施工方案，</w:t>
      </w:r>
      <w:r>
        <w:rPr>
          <w:rFonts w:hint="eastAsia" w:ascii="仿宋_GB2312" w:hAnsi="仿宋_GB2312" w:eastAsia="仿宋_GB2312" w:cs="仿宋_GB2312"/>
          <w:color w:val="000000"/>
          <w:sz w:val="18"/>
          <w:szCs w:val="18"/>
          <w:highlight w:val="none"/>
        </w:rPr>
        <w:t>建立安全生产责任制度、治安保卫制度及安全生产教育培训制度，并</w:t>
      </w:r>
      <w:r>
        <w:rPr>
          <w:rFonts w:hint="eastAsia" w:ascii="仿宋_GB2312" w:hAnsi="仿宋_GB2312" w:eastAsia="仿宋_GB2312" w:cs="仿宋_GB2312"/>
          <w:color w:val="000000"/>
          <w:kern w:val="0"/>
          <w:sz w:val="18"/>
          <w:szCs w:val="18"/>
          <w:highlight w:val="none"/>
        </w:rPr>
        <w:t>按安全生产法律规定及合同约定履行安全职责，如实</w:t>
      </w:r>
      <w:r>
        <w:rPr>
          <w:rFonts w:hint="eastAsia" w:ascii="仿宋_GB2312" w:hAnsi="仿宋_GB2312" w:eastAsia="仿宋_GB2312" w:cs="仿宋_GB2312"/>
          <w:color w:val="000000"/>
          <w:sz w:val="18"/>
          <w:szCs w:val="18"/>
          <w:highlight w:val="none"/>
        </w:rPr>
        <w:t>编制工程安全生产的有关记录，</w:t>
      </w:r>
      <w:r>
        <w:rPr>
          <w:rFonts w:hint="eastAsia" w:ascii="仿宋_GB2312" w:hAnsi="仿宋_GB2312" w:eastAsia="仿宋_GB2312" w:cs="仿宋_GB2312"/>
          <w:color w:val="000000"/>
          <w:kern w:val="0"/>
          <w:sz w:val="18"/>
          <w:szCs w:val="18"/>
          <w:highlight w:val="none"/>
        </w:rPr>
        <w:t>接受发包人、监理人及政府安全监督部门的检查与监督。</w:t>
      </w:r>
    </w:p>
    <w:p w14:paraId="645F9B6B">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6.1.3特别安全生产事项</w:t>
      </w:r>
    </w:p>
    <w:p w14:paraId="36D13BA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A42280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2517915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AFF643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需单独编制危险性较大分部分项专项工程施工方案的，及要求进行专家论证的超过一定规模的危险性较大的分部分项工程，承包人应及时编制和组织论证。</w:t>
      </w:r>
    </w:p>
    <w:p w14:paraId="1770AA2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6.1.4 治安保卫</w:t>
      </w:r>
    </w:p>
    <w:p w14:paraId="53C5DA25">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除专用合同条款另有约定外，发包人应与当地公安部门协商，在现场建立治安管理机构或联防组织，统一管理施工场地的治安保卫事项，履行合同工程的治安保卫职责。</w:t>
      </w:r>
    </w:p>
    <w:p w14:paraId="1D2CEE56">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发包人和承包人除应协助现场治安管理机构或联防组织维护施工场地的社会治安外，还应做好包括生活区在内的各自管辖区的治安保卫工作。</w:t>
      </w:r>
    </w:p>
    <w:p w14:paraId="600436D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B346CCC">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6.1.5 文明施工</w:t>
      </w:r>
    </w:p>
    <w:p w14:paraId="4077374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39F988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94F88D4">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6.1.6 安全文明施工费</w:t>
      </w:r>
    </w:p>
    <w:p w14:paraId="79AF77A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安全文明施工费由发包人承担，发包人不得以任何形式扣减该部分费用。因基准日期后合同所适用的法律或政府有关规定发生变化，增加的安全文明施工费由发包人承担。</w:t>
      </w:r>
    </w:p>
    <w:p w14:paraId="7C97373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B1E3AE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D79121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CFDBE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6.1.7 紧急情况处理</w:t>
      </w:r>
    </w:p>
    <w:p w14:paraId="568A5BB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948059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6.1.8 事故处理</w:t>
      </w:r>
    </w:p>
    <w:p w14:paraId="3C174FF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9055C5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6.1.9 安全生产责任</w:t>
      </w:r>
    </w:p>
    <w:p w14:paraId="71C2A06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6.1.9.1 发包人的安全责任</w:t>
      </w:r>
    </w:p>
    <w:p w14:paraId="151E443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发包人应负责赔偿以下各种情况造成的损失：</w:t>
      </w:r>
    </w:p>
    <w:p w14:paraId="61DD060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（1）工程或工程的任何部分对土地的占用所造成的第三者财产损失；</w:t>
      </w:r>
    </w:p>
    <w:p w14:paraId="71F1A28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（2）由于发包人原因在施工场地及其毗邻地带造成的第三者人身伤亡和财产损失；</w:t>
      </w:r>
    </w:p>
    <w:p w14:paraId="0DDADC3D">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（3）由于发包人原因对承包人、监理人造成的人员人身伤亡和财产损失；</w:t>
      </w:r>
    </w:p>
    <w:p w14:paraId="157F8846">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（4）由于发包人原因造成的发包人自身人员的人身伤害以及财产损失。</w:t>
      </w:r>
    </w:p>
    <w:p w14:paraId="478C740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6.1.9.2 承包人的安全责任</w:t>
      </w:r>
    </w:p>
    <w:p w14:paraId="5A392476">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由于承包人原因在施工场地内及其毗邻地带造成的发包人、监理人以及第三者人员伤亡和财产损失，由承包人负责赔偿。</w:t>
      </w:r>
    </w:p>
    <w:p w14:paraId="67EF607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66" w:name="_Toc351203540"/>
      <w:r>
        <w:rPr>
          <w:rFonts w:hint="eastAsia" w:ascii="仿宋_GB2312" w:hAnsi="仿宋_GB2312" w:eastAsia="仿宋_GB2312" w:cs="仿宋_GB2312"/>
          <w:b w:val="0"/>
          <w:color w:val="000000"/>
          <w:sz w:val="18"/>
          <w:szCs w:val="18"/>
          <w:highlight w:val="none"/>
        </w:rPr>
        <w:t>6</w:t>
      </w:r>
      <w:bookmarkStart w:id="567" w:name="_Toc337558765"/>
      <w:r>
        <w:rPr>
          <w:rFonts w:hint="eastAsia" w:ascii="仿宋_GB2312" w:hAnsi="仿宋_GB2312" w:eastAsia="仿宋_GB2312" w:cs="仿宋_GB2312"/>
          <w:b w:val="0"/>
          <w:color w:val="000000"/>
          <w:sz w:val="18"/>
          <w:szCs w:val="18"/>
          <w:highlight w:val="none"/>
        </w:rPr>
        <w:t>.2 职业健康</w:t>
      </w:r>
      <w:bookmarkEnd w:id="566"/>
    </w:p>
    <w:bookmarkEnd w:id="567"/>
    <w:p w14:paraId="28849FB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6.2.1 劳动保护</w:t>
      </w:r>
    </w:p>
    <w:p w14:paraId="1185B75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9F6AA5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1DE375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5B12D9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6.2.2 生活条件</w:t>
      </w:r>
    </w:p>
    <w:p w14:paraId="69BFFC6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B7ECF0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68" w:name="_Toc351203541"/>
      <w:r>
        <w:rPr>
          <w:rFonts w:hint="eastAsia" w:ascii="仿宋_GB2312" w:hAnsi="仿宋_GB2312" w:eastAsia="仿宋_GB2312" w:cs="仿宋_GB2312"/>
          <w:b w:val="0"/>
          <w:color w:val="000000"/>
          <w:sz w:val="18"/>
          <w:szCs w:val="18"/>
          <w:highlight w:val="none"/>
        </w:rPr>
        <w:t>6</w:t>
      </w:r>
      <w:bookmarkStart w:id="569" w:name="_Toc337558766"/>
      <w:r>
        <w:rPr>
          <w:rFonts w:hint="eastAsia" w:ascii="仿宋_GB2312" w:hAnsi="仿宋_GB2312" w:eastAsia="仿宋_GB2312" w:cs="仿宋_GB2312"/>
          <w:b w:val="0"/>
          <w:color w:val="000000"/>
          <w:sz w:val="18"/>
          <w:szCs w:val="18"/>
          <w:highlight w:val="none"/>
        </w:rPr>
        <w:t>.3 环境保护</w:t>
      </w:r>
      <w:bookmarkEnd w:id="568"/>
    </w:p>
    <w:bookmarkEnd w:id="569"/>
    <w:p w14:paraId="7D3D77A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DFA3A4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承包人应当承担因其原因引起的环境污染侵权损害赔偿责任，因上述环境污染引起纠纷而导致暂停施工的，由此增加的费用和（或）延误的工期由承包人承担。</w:t>
      </w:r>
    </w:p>
    <w:p w14:paraId="5B787A09">
      <w:pPr>
        <w:pStyle w:val="5"/>
        <w:spacing w:before="120" w:after="120" w:line="240" w:lineRule="auto"/>
        <w:rPr>
          <w:rFonts w:ascii="仿宋_GB2312" w:hAnsi="仿宋_GB2312" w:eastAsia="仿宋_GB2312" w:cs="仿宋_GB2312"/>
          <w:b w:val="0"/>
          <w:color w:val="000000"/>
          <w:sz w:val="18"/>
          <w:szCs w:val="18"/>
          <w:highlight w:val="none"/>
        </w:rPr>
      </w:pPr>
      <w:bookmarkStart w:id="570" w:name="_Toc351203542"/>
      <w:r>
        <w:rPr>
          <w:rFonts w:hint="eastAsia" w:ascii="仿宋_GB2312" w:hAnsi="仿宋_GB2312" w:eastAsia="仿宋_GB2312" w:cs="仿宋_GB2312"/>
          <w:b w:val="0"/>
          <w:color w:val="000000"/>
          <w:sz w:val="18"/>
          <w:szCs w:val="18"/>
          <w:highlight w:val="none"/>
        </w:rPr>
        <w:t>7</w:t>
      </w:r>
      <w:bookmarkStart w:id="571" w:name="_Toc337558767"/>
      <w:r>
        <w:rPr>
          <w:rFonts w:hint="eastAsia" w:ascii="仿宋_GB2312" w:hAnsi="仿宋_GB2312" w:eastAsia="仿宋_GB2312" w:cs="仿宋_GB2312"/>
          <w:b w:val="0"/>
          <w:color w:val="000000"/>
          <w:sz w:val="18"/>
          <w:szCs w:val="18"/>
          <w:highlight w:val="none"/>
        </w:rPr>
        <w:t>. 工期和进度</w:t>
      </w:r>
      <w:bookmarkEnd w:id="570"/>
    </w:p>
    <w:bookmarkEnd w:id="571"/>
    <w:p w14:paraId="32E6B44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72" w:name="_Toc351203543"/>
      <w:r>
        <w:rPr>
          <w:rFonts w:hint="eastAsia" w:ascii="仿宋_GB2312" w:hAnsi="仿宋_GB2312" w:eastAsia="仿宋_GB2312" w:cs="仿宋_GB2312"/>
          <w:b w:val="0"/>
          <w:color w:val="000000"/>
          <w:sz w:val="18"/>
          <w:szCs w:val="18"/>
          <w:highlight w:val="none"/>
        </w:rPr>
        <w:t>7</w:t>
      </w:r>
      <w:bookmarkStart w:id="573" w:name="_Toc337558768"/>
      <w:bookmarkStart w:id="574" w:name="_Toc296503066"/>
      <w:bookmarkStart w:id="575" w:name="_Toc296346567"/>
      <w:r>
        <w:rPr>
          <w:rFonts w:hint="eastAsia" w:ascii="仿宋_GB2312" w:hAnsi="仿宋_GB2312" w:eastAsia="仿宋_GB2312" w:cs="仿宋_GB2312"/>
          <w:b w:val="0"/>
          <w:color w:val="000000"/>
          <w:sz w:val="18"/>
          <w:szCs w:val="18"/>
          <w:highlight w:val="none"/>
        </w:rPr>
        <w:t>.1施工组织设计</w:t>
      </w:r>
      <w:bookmarkEnd w:id="572"/>
    </w:p>
    <w:bookmarkEnd w:id="573"/>
    <w:p w14:paraId="47F726F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7.1.1</w:t>
      </w:r>
      <w:r>
        <w:rPr>
          <w:rFonts w:hint="eastAsia" w:ascii="仿宋_GB2312" w:hAnsi="仿宋_GB2312" w:eastAsia="仿宋_GB2312" w:cs="仿宋_GB2312"/>
          <w:color w:val="000000"/>
          <w:kern w:val="0"/>
          <w:sz w:val="18"/>
          <w:szCs w:val="18"/>
          <w:highlight w:val="none"/>
        </w:rPr>
        <w:t>施工组织设计的内容</w:t>
      </w:r>
    </w:p>
    <w:p w14:paraId="41FC867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施工组织设计应包含以下内容：</w:t>
      </w:r>
    </w:p>
    <w:p w14:paraId="4E9C7CD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（1）施工方案； </w:t>
      </w:r>
    </w:p>
    <w:p w14:paraId="61FD13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（2）施工现场平面布置图；</w:t>
      </w:r>
    </w:p>
    <w:p w14:paraId="7FFED49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（3）施工进度计划和保证措施； </w:t>
      </w:r>
    </w:p>
    <w:p w14:paraId="27028AD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（4）劳动力及材料供应计划；</w:t>
      </w:r>
    </w:p>
    <w:p w14:paraId="74B6298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（5）施工机械设备的选用；</w:t>
      </w:r>
    </w:p>
    <w:p w14:paraId="1897217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（6）质量保证体系及措施；</w:t>
      </w:r>
    </w:p>
    <w:p w14:paraId="240E7BD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（7）安全生产、文明施工措施；</w:t>
      </w:r>
    </w:p>
    <w:p w14:paraId="0AAB2E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（8）环境保护、成本控制措施；</w:t>
      </w:r>
    </w:p>
    <w:p w14:paraId="7A6C6CF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（9）合同当事人约定的其他内容。</w:t>
      </w:r>
    </w:p>
    <w:p w14:paraId="5D0587E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7.1.2</w:t>
      </w:r>
      <w:r>
        <w:rPr>
          <w:rFonts w:hint="eastAsia" w:ascii="仿宋_GB2312" w:hAnsi="仿宋_GB2312" w:eastAsia="仿宋_GB2312" w:cs="仿宋_GB2312"/>
          <w:color w:val="000000"/>
          <w:kern w:val="0"/>
          <w:sz w:val="18"/>
          <w:szCs w:val="18"/>
          <w:highlight w:val="none"/>
        </w:rPr>
        <w:t>施工组织设计的提交和修改</w:t>
      </w:r>
    </w:p>
    <w:p w14:paraId="1167C4F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10E62C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施工进度计划的编制和修改按照第7.2款〔施工进度计划〕执行。</w:t>
      </w:r>
    </w:p>
    <w:p w14:paraId="7E80CA2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76" w:name="_Toc351203544"/>
      <w:r>
        <w:rPr>
          <w:rFonts w:hint="eastAsia" w:ascii="仿宋_GB2312" w:hAnsi="仿宋_GB2312" w:eastAsia="仿宋_GB2312" w:cs="仿宋_GB2312"/>
          <w:b w:val="0"/>
          <w:color w:val="000000"/>
          <w:sz w:val="18"/>
          <w:szCs w:val="18"/>
          <w:highlight w:val="none"/>
        </w:rPr>
        <w:t>7</w:t>
      </w:r>
      <w:bookmarkStart w:id="577" w:name="_Toc337558769"/>
      <w:r>
        <w:rPr>
          <w:rFonts w:hint="eastAsia" w:ascii="仿宋_GB2312" w:hAnsi="仿宋_GB2312" w:eastAsia="仿宋_GB2312" w:cs="仿宋_GB2312"/>
          <w:b w:val="0"/>
          <w:color w:val="000000"/>
          <w:sz w:val="18"/>
          <w:szCs w:val="18"/>
          <w:highlight w:val="none"/>
        </w:rPr>
        <w:t>.2 施工进度计划</w:t>
      </w:r>
      <w:bookmarkEnd w:id="576"/>
    </w:p>
    <w:bookmarkEnd w:id="577"/>
    <w:p w14:paraId="193EBC4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7.2.1 施工进度计划的编制</w:t>
      </w:r>
    </w:p>
    <w:p w14:paraId="2A99693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46B2DA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7.2.2 施工进度计划的修订</w:t>
      </w:r>
    </w:p>
    <w:p w14:paraId="47FE8ED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AE0DD8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78" w:name="_Toc351203545"/>
      <w:r>
        <w:rPr>
          <w:rFonts w:hint="eastAsia" w:ascii="仿宋_GB2312" w:hAnsi="仿宋_GB2312" w:eastAsia="仿宋_GB2312" w:cs="仿宋_GB2312"/>
          <w:b w:val="0"/>
          <w:color w:val="000000"/>
          <w:sz w:val="18"/>
          <w:szCs w:val="18"/>
          <w:highlight w:val="none"/>
        </w:rPr>
        <w:t>7</w:t>
      </w:r>
      <w:bookmarkStart w:id="579" w:name="_Toc337558770"/>
      <w:r>
        <w:rPr>
          <w:rFonts w:hint="eastAsia" w:ascii="仿宋_GB2312" w:hAnsi="仿宋_GB2312" w:eastAsia="仿宋_GB2312" w:cs="仿宋_GB2312"/>
          <w:b w:val="0"/>
          <w:color w:val="000000"/>
          <w:sz w:val="18"/>
          <w:szCs w:val="18"/>
          <w:highlight w:val="none"/>
        </w:rPr>
        <w:t>.3 开工</w:t>
      </w:r>
      <w:bookmarkEnd w:id="578"/>
    </w:p>
    <w:p w14:paraId="1947DF4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7.3.1 开工准备</w:t>
      </w:r>
    </w:p>
    <w:p w14:paraId="538A699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AACB0F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除专用合同条款另有约定外，合同当事人应按约定完成开工准备工作。</w:t>
      </w:r>
    </w:p>
    <w:p w14:paraId="4EF5695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7.3.2 开工通知</w:t>
      </w:r>
    </w:p>
    <w:bookmarkEnd w:id="579"/>
    <w:p w14:paraId="5BE5AC4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E85FAA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D8D0A8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80" w:name="_Toc351203546"/>
      <w:r>
        <w:rPr>
          <w:rFonts w:hint="eastAsia" w:ascii="仿宋_GB2312" w:hAnsi="仿宋_GB2312" w:eastAsia="仿宋_GB2312" w:cs="仿宋_GB2312"/>
          <w:b w:val="0"/>
          <w:color w:val="000000"/>
          <w:sz w:val="18"/>
          <w:szCs w:val="18"/>
          <w:highlight w:val="none"/>
        </w:rPr>
        <w:t>7.4测量放线</w:t>
      </w:r>
      <w:bookmarkEnd w:id="580"/>
    </w:p>
    <w:p w14:paraId="67B8EB7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68396E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2DBB04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F1D5FD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施工过程中对施工现场内水准点等测量标志物的保护工作由承包人负责。</w:t>
      </w:r>
      <w:bookmarkStart w:id="581" w:name="_Toc351203547"/>
    </w:p>
    <w:p w14:paraId="5C6197E9">
      <w:pPr>
        <w:pStyle w:val="6"/>
        <w:spacing w:before="120" w:after="120"/>
        <w:ind w:left="0" w:firstLine="360" w:firstLineChars="200"/>
        <w:rPr>
          <w:rFonts w:ascii="仿宋_GB2312" w:hAnsi="仿宋_GB2312" w:eastAsia="仿宋_GB2312" w:cs="仿宋_GB2312"/>
          <w:b w:val="0"/>
          <w:color w:val="000000"/>
          <w:sz w:val="18"/>
          <w:szCs w:val="18"/>
          <w:highlight w:val="none"/>
        </w:rPr>
      </w:pPr>
      <w:r>
        <w:rPr>
          <w:rFonts w:hint="eastAsia" w:ascii="仿宋_GB2312" w:hAnsi="仿宋_GB2312" w:eastAsia="仿宋_GB2312" w:cs="仿宋_GB2312"/>
          <w:b w:val="0"/>
          <w:color w:val="000000"/>
          <w:sz w:val="18"/>
          <w:szCs w:val="18"/>
          <w:highlight w:val="none"/>
        </w:rPr>
        <w:t>7</w:t>
      </w:r>
      <w:bookmarkEnd w:id="574"/>
      <w:bookmarkEnd w:id="575"/>
      <w:bookmarkStart w:id="582" w:name="_Toc337558772"/>
      <w:bookmarkStart w:id="583" w:name="_Toc296346574"/>
      <w:bookmarkStart w:id="584" w:name="_Toc296503073"/>
      <w:r>
        <w:rPr>
          <w:rFonts w:hint="eastAsia" w:ascii="仿宋_GB2312" w:hAnsi="仿宋_GB2312" w:eastAsia="仿宋_GB2312" w:cs="仿宋_GB2312"/>
          <w:b w:val="0"/>
          <w:color w:val="000000"/>
          <w:sz w:val="18"/>
          <w:szCs w:val="18"/>
          <w:highlight w:val="none"/>
        </w:rPr>
        <w:t>.5 工期延误</w:t>
      </w:r>
      <w:bookmarkEnd w:id="581"/>
    </w:p>
    <w:bookmarkEnd w:id="582"/>
    <w:bookmarkEnd w:id="583"/>
    <w:bookmarkEnd w:id="584"/>
    <w:p w14:paraId="74EF802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7.5.1 因发包人原因导致工期延误</w:t>
      </w:r>
    </w:p>
    <w:p w14:paraId="5B6E1AF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在合同履行过程中，因下列情况导致工期延误和（或）费用增加的，由发包人承担由此延误的工期和（或）增加的费用，且发包人应支付承包人合理的利润： </w:t>
      </w:r>
    </w:p>
    <w:p w14:paraId="425EAD6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（1）发包人未能按合同约定提供图纸或所提供图纸不符合合同约定的；</w:t>
      </w:r>
    </w:p>
    <w:p w14:paraId="3DD07E1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（2）发包人未能按合同约定提供施工现场、施工条件、基础资料、许可、批准等开工条件的；</w:t>
      </w:r>
    </w:p>
    <w:p w14:paraId="00851C1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（3）发包人提供的测量基准点、基准线和水准点及其书面资料存在错误或疏漏的；</w:t>
      </w:r>
    </w:p>
    <w:p w14:paraId="3F1AE74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（4）发包人未能在计划开工日期之日起7天内同意下达开工通知的；</w:t>
      </w:r>
    </w:p>
    <w:p w14:paraId="607699A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（5）发包人未能按合同约定日期支付工程预付款、进度款或竣工结算款的；</w:t>
      </w:r>
    </w:p>
    <w:p w14:paraId="251D598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（6）监理人未按合同约定发出指示、批准等文件的；</w:t>
      </w:r>
    </w:p>
    <w:p w14:paraId="16A6965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（7）专用合同条款中约定的其他情形。</w:t>
      </w:r>
    </w:p>
    <w:p w14:paraId="15244DF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08B8417">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7.5.2 因承包人原因导致工期延误</w:t>
      </w:r>
    </w:p>
    <w:p w14:paraId="14C8E47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bookmarkStart w:id="585" w:name="_Toc296503076"/>
      <w:bookmarkStart w:id="586" w:name="_Toc296346577"/>
      <w:r>
        <w:rPr>
          <w:rFonts w:hint="eastAsia" w:ascii="仿宋_GB2312" w:hAnsi="仿宋_GB2312" w:eastAsia="仿宋_GB2312" w:cs="仿宋_GB2312"/>
          <w:color w:val="000000"/>
          <w:kern w:val="0"/>
          <w:sz w:val="18"/>
          <w:szCs w:val="18"/>
          <w:highlight w:val="none"/>
        </w:rPr>
        <w:t>因</w:t>
      </w:r>
      <w:bookmarkEnd w:id="585"/>
      <w:bookmarkEnd w:id="586"/>
      <w:r>
        <w:rPr>
          <w:rFonts w:hint="eastAsia" w:ascii="仿宋_GB2312" w:hAnsi="仿宋_GB2312" w:eastAsia="仿宋_GB2312" w:cs="仿宋_GB2312"/>
          <w:color w:val="000000"/>
          <w:kern w:val="0"/>
          <w:sz w:val="18"/>
          <w:szCs w:val="18"/>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A0A030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87" w:name="_Toc351203548"/>
      <w:r>
        <w:rPr>
          <w:rFonts w:hint="eastAsia" w:ascii="仿宋_GB2312" w:hAnsi="仿宋_GB2312" w:eastAsia="仿宋_GB2312" w:cs="仿宋_GB2312"/>
          <w:b w:val="0"/>
          <w:color w:val="000000"/>
          <w:sz w:val="18"/>
          <w:szCs w:val="18"/>
          <w:highlight w:val="none"/>
        </w:rPr>
        <w:t>7</w:t>
      </w:r>
      <w:bookmarkStart w:id="588" w:name="_Toc296346575"/>
      <w:bookmarkStart w:id="589" w:name="_Toc296503074"/>
      <w:bookmarkStart w:id="590" w:name="_Toc337558773"/>
      <w:bookmarkStart w:id="591" w:name="_Toc296346578"/>
      <w:bookmarkStart w:id="592" w:name="_Toc296503077"/>
      <w:r>
        <w:rPr>
          <w:rFonts w:hint="eastAsia" w:ascii="仿宋_GB2312" w:hAnsi="仿宋_GB2312" w:eastAsia="仿宋_GB2312" w:cs="仿宋_GB2312"/>
          <w:b w:val="0"/>
          <w:color w:val="000000"/>
          <w:sz w:val="18"/>
          <w:szCs w:val="18"/>
          <w:highlight w:val="none"/>
        </w:rPr>
        <w:t>.6 不利物质条件</w:t>
      </w:r>
      <w:bookmarkEnd w:id="587"/>
    </w:p>
    <w:bookmarkEnd w:id="588"/>
    <w:bookmarkEnd w:id="589"/>
    <w:bookmarkEnd w:id="590"/>
    <w:p w14:paraId="52C76B2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AA443F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1386D83">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593" w:name="_Toc351203549"/>
      <w:r>
        <w:rPr>
          <w:rFonts w:hint="eastAsia" w:ascii="仿宋_GB2312" w:hAnsi="仿宋_GB2312" w:eastAsia="仿宋_GB2312" w:cs="仿宋_GB2312"/>
          <w:b w:val="0"/>
          <w:color w:val="000000"/>
          <w:sz w:val="18"/>
          <w:szCs w:val="18"/>
          <w:highlight w:val="none"/>
        </w:rPr>
        <w:t>7</w:t>
      </w:r>
      <w:bookmarkStart w:id="594" w:name="_Toc337558774"/>
      <w:bookmarkStart w:id="595" w:name="_Toc296503075"/>
      <w:bookmarkStart w:id="596" w:name="_Toc296346576"/>
      <w:r>
        <w:rPr>
          <w:rFonts w:hint="eastAsia" w:ascii="仿宋_GB2312" w:hAnsi="仿宋_GB2312" w:eastAsia="仿宋_GB2312" w:cs="仿宋_GB2312"/>
          <w:b w:val="0"/>
          <w:color w:val="000000"/>
          <w:sz w:val="18"/>
          <w:szCs w:val="18"/>
          <w:highlight w:val="none"/>
        </w:rPr>
        <w:t>.7 异常恶劣的气候条件</w:t>
      </w:r>
      <w:bookmarkEnd w:id="593"/>
    </w:p>
    <w:bookmarkEnd w:id="594"/>
    <w:bookmarkEnd w:id="595"/>
    <w:bookmarkEnd w:id="596"/>
    <w:p w14:paraId="7CAD71F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67E912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97" w:name="_Toc351203550"/>
    </w:p>
    <w:p w14:paraId="68ED3F04">
      <w:pPr>
        <w:autoSpaceDE w:val="0"/>
        <w:autoSpaceDN w:val="0"/>
        <w:adjustRightInd w:val="0"/>
        <w:ind w:firstLine="360" w:firstLineChars="200"/>
        <w:jc w:val="left"/>
        <w:outlineLvl w:val="0"/>
        <w:rPr>
          <w:rFonts w:ascii="仿宋_GB2312" w:hAnsi="仿宋_GB2312" w:eastAsia="仿宋_GB2312" w:cs="仿宋_GB2312"/>
          <w:bCs/>
          <w:color w:val="000000"/>
          <w:sz w:val="18"/>
          <w:szCs w:val="18"/>
          <w:highlight w:val="none"/>
        </w:rPr>
      </w:pPr>
      <w:r>
        <w:rPr>
          <w:rFonts w:hint="eastAsia" w:ascii="仿宋_GB2312" w:hAnsi="仿宋_GB2312" w:eastAsia="仿宋_GB2312" w:cs="仿宋_GB2312"/>
          <w:bCs/>
          <w:color w:val="000000"/>
          <w:sz w:val="18"/>
          <w:szCs w:val="18"/>
          <w:highlight w:val="none"/>
        </w:rPr>
        <w:t>7</w:t>
      </w:r>
      <w:bookmarkStart w:id="598" w:name="_Toc337558775"/>
      <w:r>
        <w:rPr>
          <w:rFonts w:hint="eastAsia" w:ascii="仿宋_GB2312" w:hAnsi="仿宋_GB2312" w:eastAsia="仿宋_GB2312" w:cs="仿宋_GB2312"/>
          <w:bCs/>
          <w:color w:val="000000"/>
          <w:sz w:val="18"/>
          <w:szCs w:val="18"/>
          <w:highlight w:val="none"/>
        </w:rPr>
        <w:t>.8 暂停施工</w:t>
      </w:r>
      <w:bookmarkEnd w:id="597"/>
    </w:p>
    <w:bookmarkEnd w:id="591"/>
    <w:bookmarkEnd w:id="592"/>
    <w:bookmarkEnd w:id="598"/>
    <w:p w14:paraId="592D286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7.8.1发包人原因引起的暂停施工</w:t>
      </w:r>
    </w:p>
    <w:p w14:paraId="31E7419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因发包人原因引起暂停施工的，监理人经发包人同意后，应及时下达暂停施工指示。情况紧急且监理人未及时下达暂停施工指示的，按照第7.8.4项〔紧急情况下的暂停施工〕执行。</w:t>
      </w:r>
    </w:p>
    <w:p w14:paraId="5132B44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因发包人原因引起的暂停施工，发包人应承担由此增加的费用和（或）延误的工期，</w:t>
      </w:r>
      <w:r>
        <w:rPr>
          <w:rFonts w:hint="eastAsia" w:ascii="仿宋_GB2312" w:hAnsi="仿宋_GB2312" w:eastAsia="仿宋_GB2312" w:cs="仿宋_GB2312"/>
          <w:kern w:val="0"/>
          <w:sz w:val="18"/>
          <w:szCs w:val="18"/>
          <w:highlight w:val="none"/>
        </w:rPr>
        <w:t>并支付承包人</w:t>
      </w:r>
      <w:r>
        <w:rPr>
          <w:rFonts w:hint="eastAsia" w:ascii="仿宋_GB2312" w:hAnsi="仿宋_GB2312" w:eastAsia="仿宋_GB2312" w:cs="仿宋_GB2312"/>
          <w:color w:val="000000"/>
          <w:kern w:val="0"/>
          <w:sz w:val="18"/>
          <w:szCs w:val="18"/>
          <w:highlight w:val="none"/>
        </w:rPr>
        <w:t>合理的利润。</w:t>
      </w:r>
    </w:p>
    <w:p w14:paraId="5FEB572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7.8.2 承包人原因引起的暂停施工</w:t>
      </w:r>
    </w:p>
    <w:p w14:paraId="6A5990B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337CD5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7.8.3 指示暂停施工</w:t>
      </w:r>
    </w:p>
    <w:p w14:paraId="5071C7E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监理人认为有必要时，并经发包人批准后，可向承包人作出暂停施工的指示，承包人应按监理人指示暂停施工。</w:t>
      </w:r>
    </w:p>
    <w:p w14:paraId="0F38D30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7.8.4 紧急情况下的暂停施工</w:t>
      </w:r>
    </w:p>
    <w:p w14:paraId="571816B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6E9015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7.8.5 暂停施工后的复工</w:t>
      </w:r>
    </w:p>
    <w:p w14:paraId="50B25B8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1464E9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承包人无故拖延和拒绝复工的，承包人承担由此增加的费用和（或）延误的工期；因发包人原因无法按时复工的，按照第7.5.1项〔因发包人原因导致工期延误〕约定办理。</w:t>
      </w:r>
    </w:p>
    <w:p w14:paraId="4593F5B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7.8.6 暂停施工持续56天以上</w:t>
      </w:r>
    </w:p>
    <w:p w14:paraId="1967CC9C">
      <w:pPr>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2EF02F4">
      <w:pPr>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3E4FA16">
      <w:pPr>
        <w:ind w:left="16"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7.8.7 暂停施工期间的工程照管</w:t>
      </w:r>
    </w:p>
    <w:p w14:paraId="1C7DAD2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暂停施工期间，承包人应负责妥善照管工程并提供安全保障，由此增加的费用由责任方承担。</w:t>
      </w:r>
    </w:p>
    <w:p w14:paraId="0B0EBBD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7.8.8 暂停施工的措施</w:t>
      </w:r>
    </w:p>
    <w:p w14:paraId="0B0650B9">
      <w:pPr>
        <w:ind w:firstLine="360" w:firstLineChars="200"/>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暂停施工期间，发包人和承包人均应采取必要的措施确保工程质量及安全，防止因暂停施工扩大损失。</w:t>
      </w:r>
    </w:p>
    <w:p w14:paraId="312C3D35">
      <w:pPr>
        <w:spacing w:before="120" w:after="120"/>
        <w:ind w:firstLine="360" w:firstLineChars="200"/>
        <w:rPr>
          <w:rFonts w:ascii="仿宋_GB2312" w:hAnsi="仿宋_GB2312" w:eastAsia="仿宋_GB2312" w:cs="仿宋_GB2312"/>
          <w:b w:val="0"/>
          <w:color w:val="000000"/>
          <w:sz w:val="18"/>
          <w:szCs w:val="18"/>
          <w:highlight w:val="none"/>
        </w:rPr>
      </w:pPr>
      <w:bookmarkStart w:id="599" w:name="_Toc351203551"/>
      <w:r>
        <w:rPr>
          <w:rFonts w:hint="eastAsia" w:ascii="仿宋_GB2312" w:hAnsi="仿宋_GB2312" w:eastAsia="仿宋_GB2312" w:cs="仿宋_GB2312"/>
          <w:b w:val="0"/>
          <w:color w:val="000000"/>
          <w:sz w:val="18"/>
          <w:szCs w:val="18"/>
          <w:highlight w:val="none"/>
        </w:rPr>
        <w:t>7.9提前竣工</w:t>
      </w:r>
      <w:bookmarkEnd w:id="599"/>
    </w:p>
    <w:p w14:paraId="650020D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59EDF5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7.9.2 发包人要求承包人提前竣工，或承包人提出提前竣工的建议能够给发包人带来效益的，合同当事人可以在专用合同条款中约定提前竣工的奖励。</w:t>
      </w:r>
    </w:p>
    <w:p w14:paraId="6CB771FB">
      <w:pPr>
        <w:pStyle w:val="5"/>
        <w:spacing w:before="120" w:after="120" w:line="240" w:lineRule="auto"/>
        <w:rPr>
          <w:rFonts w:ascii="仿宋_GB2312" w:hAnsi="仿宋_GB2312" w:eastAsia="仿宋_GB2312" w:cs="仿宋_GB2312"/>
          <w:b w:val="0"/>
          <w:color w:val="000000"/>
          <w:sz w:val="18"/>
          <w:szCs w:val="18"/>
          <w:highlight w:val="none"/>
        </w:rPr>
      </w:pPr>
      <w:bookmarkStart w:id="600" w:name="_Toc351203552"/>
      <w:r>
        <w:rPr>
          <w:rFonts w:hint="eastAsia" w:ascii="仿宋_GB2312" w:hAnsi="仿宋_GB2312" w:eastAsia="仿宋_GB2312" w:cs="仿宋_GB2312"/>
          <w:b w:val="0"/>
          <w:color w:val="000000"/>
          <w:sz w:val="18"/>
          <w:szCs w:val="18"/>
          <w:highlight w:val="none"/>
        </w:rPr>
        <w:t>8</w:t>
      </w:r>
      <w:bookmarkStart w:id="601" w:name="_Toc296346559"/>
      <w:bookmarkStart w:id="602" w:name="_Toc296503058"/>
      <w:bookmarkStart w:id="603" w:name="_Toc337558776"/>
      <w:r>
        <w:rPr>
          <w:rFonts w:hint="eastAsia" w:ascii="仿宋_GB2312" w:hAnsi="仿宋_GB2312" w:eastAsia="仿宋_GB2312" w:cs="仿宋_GB2312"/>
          <w:b w:val="0"/>
          <w:color w:val="000000"/>
          <w:sz w:val="18"/>
          <w:szCs w:val="18"/>
          <w:highlight w:val="none"/>
        </w:rPr>
        <w:t>. 材料与设备</w:t>
      </w:r>
      <w:bookmarkEnd w:id="600"/>
    </w:p>
    <w:bookmarkEnd w:id="601"/>
    <w:bookmarkEnd w:id="602"/>
    <w:bookmarkEnd w:id="603"/>
    <w:p w14:paraId="1BC16CE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04" w:name="_Toc351203553"/>
      <w:r>
        <w:rPr>
          <w:rFonts w:hint="eastAsia" w:ascii="仿宋_GB2312" w:hAnsi="仿宋_GB2312" w:eastAsia="仿宋_GB2312" w:cs="仿宋_GB2312"/>
          <w:b w:val="0"/>
          <w:color w:val="000000"/>
          <w:sz w:val="18"/>
          <w:szCs w:val="18"/>
          <w:highlight w:val="none"/>
        </w:rPr>
        <w:t>8</w:t>
      </w:r>
      <w:bookmarkStart w:id="605" w:name="_Toc296503059"/>
      <w:bookmarkStart w:id="606" w:name="_Toc337558777"/>
      <w:bookmarkStart w:id="607" w:name="_Toc296346560"/>
      <w:bookmarkStart w:id="608" w:name="_Toc468936960"/>
      <w:r>
        <w:rPr>
          <w:rFonts w:hint="eastAsia" w:ascii="仿宋_GB2312" w:hAnsi="仿宋_GB2312" w:eastAsia="仿宋_GB2312" w:cs="仿宋_GB2312"/>
          <w:b w:val="0"/>
          <w:color w:val="000000"/>
          <w:sz w:val="18"/>
          <w:szCs w:val="18"/>
          <w:highlight w:val="none"/>
        </w:rPr>
        <w:t>.1发包人供应材料与工程设备</w:t>
      </w:r>
      <w:bookmarkEnd w:id="604"/>
    </w:p>
    <w:bookmarkEnd w:id="605"/>
    <w:bookmarkEnd w:id="606"/>
    <w:bookmarkEnd w:id="607"/>
    <w:p w14:paraId="3070607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发包人自行供应材料、工程设备的，应在签订合同时在专用合同条款的附件《发包人供应材料设备一览表》中明确材料、工程设备的品种、规格、型号、数量、单价、质量等级和送达地点。</w:t>
      </w:r>
    </w:p>
    <w:p w14:paraId="32D37A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4D8E230">
      <w:pPr>
        <w:pStyle w:val="6"/>
        <w:spacing w:before="120" w:after="120"/>
        <w:ind w:left="0" w:firstLine="360" w:firstLineChars="200"/>
        <w:rPr>
          <w:rFonts w:ascii="仿宋_GB2312" w:hAnsi="仿宋_GB2312" w:eastAsia="仿宋_GB2312" w:cs="仿宋_GB2312"/>
          <w:color w:val="000000"/>
          <w:sz w:val="18"/>
          <w:szCs w:val="18"/>
          <w:highlight w:val="none"/>
        </w:rPr>
      </w:pPr>
      <w:bookmarkStart w:id="609" w:name="_Toc351203554"/>
      <w:r>
        <w:rPr>
          <w:rFonts w:hint="eastAsia" w:ascii="仿宋_GB2312" w:hAnsi="仿宋_GB2312" w:eastAsia="仿宋_GB2312" w:cs="仿宋_GB2312"/>
          <w:b w:val="0"/>
          <w:color w:val="000000"/>
          <w:sz w:val="18"/>
          <w:szCs w:val="18"/>
          <w:highlight w:val="none"/>
        </w:rPr>
        <w:t>8</w:t>
      </w:r>
      <w:bookmarkStart w:id="610" w:name="_Toc337558778"/>
      <w:bookmarkStart w:id="611" w:name="_Toc296503060"/>
      <w:bookmarkStart w:id="612" w:name="_Toc296346561"/>
      <w:r>
        <w:rPr>
          <w:rFonts w:hint="eastAsia" w:ascii="仿宋_GB2312" w:hAnsi="仿宋_GB2312" w:eastAsia="仿宋_GB2312" w:cs="仿宋_GB2312"/>
          <w:b w:val="0"/>
          <w:color w:val="000000"/>
          <w:sz w:val="18"/>
          <w:szCs w:val="18"/>
          <w:highlight w:val="none"/>
        </w:rPr>
        <w:t>.2承包人采购材料与工程设备</w:t>
      </w:r>
      <w:bookmarkEnd w:id="609"/>
    </w:p>
    <w:bookmarkEnd w:id="610"/>
    <w:bookmarkEnd w:id="611"/>
    <w:bookmarkEnd w:id="612"/>
    <w:p w14:paraId="77349E4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6DB2F6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13" w:name="_Toc351203555"/>
      <w:r>
        <w:rPr>
          <w:rFonts w:hint="eastAsia" w:ascii="仿宋_GB2312" w:hAnsi="仿宋_GB2312" w:eastAsia="仿宋_GB2312" w:cs="仿宋_GB2312"/>
          <w:b w:val="0"/>
          <w:color w:val="000000"/>
          <w:sz w:val="18"/>
          <w:szCs w:val="18"/>
          <w:highlight w:val="none"/>
        </w:rPr>
        <w:t>8</w:t>
      </w:r>
      <w:bookmarkStart w:id="614" w:name="_Toc296503061"/>
      <w:bookmarkStart w:id="615" w:name="_Toc337558779"/>
      <w:bookmarkStart w:id="616" w:name="_Toc296346562"/>
      <w:r>
        <w:rPr>
          <w:rFonts w:hint="eastAsia" w:ascii="仿宋_GB2312" w:hAnsi="仿宋_GB2312" w:eastAsia="仿宋_GB2312" w:cs="仿宋_GB2312"/>
          <w:b w:val="0"/>
          <w:color w:val="000000"/>
          <w:sz w:val="18"/>
          <w:szCs w:val="18"/>
          <w:highlight w:val="none"/>
        </w:rPr>
        <w:t>.3材料与工程设备的接收与拒收</w:t>
      </w:r>
      <w:bookmarkEnd w:id="613"/>
    </w:p>
    <w:bookmarkEnd w:id="614"/>
    <w:bookmarkEnd w:id="615"/>
    <w:bookmarkEnd w:id="616"/>
    <w:p w14:paraId="7038E5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1722CB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发包人提供的材料和工程设备的规格、数量或质量不符合合同约定的，或因发包人原因导致交货日期延误或交货地点变更等情况的，按照第16.1款〔发包人违约〕约定办理。</w:t>
      </w:r>
    </w:p>
    <w:p w14:paraId="3DD3E1F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8.3.2 承包人采购的材料和工程设备，应保证产品质量合格，承包人应在材料和工程设备到货前24小时通知监理人检验。承</w:t>
      </w:r>
      <w:bookmarkStart w:id="617" w:name="_Toc250655469"/>
      <w:r>
        <w:rPr>
          <w:rFonts w:hint="eastAsia" w:ascii="仿宋_GB2312" w:hAnsi="仿宋_GB2312" w:eastAsia="仿宋_GB2312" w:cs="仿宋_GB2312"/>
          <w:color w:val="000000"/>
          <w:kern w:val="0"/>
          <w:sz w:val="18"/>
          <w:szCs w:val="18"/>
          <w:highlight w:val="none"/>
        </w:rPr>
        <w:t>包人进行永久设备、材料的制造和生产的，应符合相关质量标准，并向监理人提交材料的样本以及有关资料，并应在使用该材料或工程设备之前获得监理人同意。</w:t>
      </w:r>
    </w:p>
    <w:bookmarkEnd w:id="617"/>
    <w:p w14:paraId="422AB1FD">
      <w:pPr>
        <w:autoSpaceDE w:val="0"/>
        <w:autoSpaceDN w:val="0"/>
        <w:adjustRightInd w:val="0"/>
        <w:ind w:firstLine="270" w:firstLineChars="15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32299DD">
      <w:pPr>
        <w:autoSpaceDE w:val="0"/>
        <w:autoSpaceDN w:val="0"/>
        <w:adjustRightInd w:val="0"/>
        <w:spacing w:before="120" w:after="120"/>
        <w:ind w:firstLine="360" w:firstLineChars="200"/>
        <w:jc w:val="left"/>
        <w:rPr>
          <w:rFonts w:ascii="仿宋_GB2312" w:hAnsi="仿宋_GB2312" w:eastAsia="仿宋_GB2312" w:cs="仿宋_GB2312"/>
          <w:b w:val="0"/>
          <w:color w:val="000000"/>
          <w:sz w:val="18"/>
          <w:szCs w:val="18"/>
          <w:highlight w:val="none"/>
        </w:rPr>
      </w:pPr>
      <w:bookmarkStart w:id="618" w:name="_Toc351203556"/>
      <w:r>
        <w:rPr>
          <w:rFonts w:hint="eastAsia" w:ascii="仿宋_GB2312" w:hAnsi="仿宋_GB2312" w:eastAsia="仿宋_GB2312" w:cs="仿宋_GB2312"/>
          <w:b w:val="0"/>
          <w:color w:val="000000"/>
          <w:sz w:val="18"/>
          <w:szCs w:val="18"/>
          <w:highlight w:val="none"/>
        </w:rPr>
        <w:t>8</w:t>
      </w:r>
      <w:bookmarkStart w:id="619" w:name="_Toc296503062"/>
      <w:bookmarkStart w:id="620" w:name="_Toc337558780"/>
      <w:bookmarkStart w:id="621" w:name="_Toc296346563"/>
      <w:r>
        <w:rPr>
          <w:rFonts w:hint="eastAsia" w:ascii="仿宋_GB2312" w:hAnsi="仿宋_GB2312" w:eastAsia="仿宋_GB2312" w:cs="仿宋_GB2312"/>
          <w:b w:val="0"/>
          <w:color w:val="000000"/>
          <w:sz w:val="18"/>
          <w:szCs w:val="18"/>
          <w:highlight w:val="none"/>
        </w:rPr>
        <w:t>.4材料与工程设备的保管与使用</w:t>
      </w:r>
      <w:bookmarkEnd w:id="618"/>
    </w:p>
    <w:bookmarkEnd w:id="619"/>
    <w:bookmarkEnd w:id="620"/>
    <w:bookmarkEnd w:id="621"/>
    <w:p w14:paraId="41B8CD6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8.4.1 发包人供应</w:t>
      </w:r>
      <w:r>
        <w:rPr>
          <w:rFonts w:hint="eastAsia" w:ascii="仿宋_GB2312" w:hAnsi="仿宋_GB2312" w:eastAsia="仿宋_GB2312" w:cs="仿宋_GB2312"/>
          <w:color w:val="000000"/>
          <w:sz w:val="18"/>
          <w:szCs w:val="18"/>
          <w:highlight w:val="none"/>
        </w:rPr>
        <w:t>材料与</w:t>
      </w:r>
      <w:r>
        <w:rPr>
          <w:rFonts w:hint="eastAsia" w:ascii="仿宋_GB2312" w:hAnsi="仿宋_GB2312" w:eastAsia="仿宋_GB2312" w:cs="仿宋_GB2312"/>
          <w:color w:val="000000"/>
          <w:kern w:val="0"/>
          <w:sz w:val="18"/>
          <w:szCs w:val="18"/>
          <w:highlight w:val="none"/>
        </w:rPr>
        <w:t>工程</w:t>
      </w:r>
      <w:r>
        <w:rPr>
          <w:rFonts w:hint="eastAsia" w:ascii="仿宋_GB2312" w:hAnsi="仿宋_GB2312" w:eastAsia="仿宋_GB2312" w:cs="仿宋_GB2312"/>
          <w:color w:val="000000"/>
          <w:sz w:val="18"/>
          <w:szCs w:val="18"/>
          <w:highlight w:val="none"/>
        </w:rPr>
        <w:t>设备的保管与使用</w:t>
      </w:r>
    </w:p>
    <w:p w14:paraId="671C6B8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D5ACEC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发包人供应的材料和工程设备使用前，由承包人负责检验，检验费用由发包人承担，不合格的不得使用。</w:t>
      </w:r>
    </w:p>
    <w:p w14:paraId="6E791D0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8.4.2 承包人采购</w:t>
      </w:r>
      <w:r>
        <w:rPr>
          <w:rFonts w:hint="eastAsia" w:ascii="仿宋_GB2312" w:hAnsi="仿宋_GB2312" w:eastAsia="仿宋_GB2312" w:cs="仿宋_GB2312"/>
          <w:color w:val="000000"/>
          <w:sz w:val="18"/>
          <w:szCs w:val="18"/>
          <w:highlight w:val="none"/>
        </w:rPr>
        <w:t>材料与</w:t>
      </w:r>
      <w:r>
        <w:rPr>
          <w:rFonts w:hint="eastAsia" w:ascii="仿宋_GB2312" w:hAnsi="仿宋_GB2312" w:eastAsia="仿宋_GB2312" w:cs="仿宋_GB2312"/>
          <w:color w:val="000000"/>
          <w:kern w:val="0"/>
          <w:sz w:val="18"/>
          <w:szCs w:val="18"/>
          <w:highlight w:val="none"/>
        </w:rPr>
        <w:t>工程</w:t>
      </w:r>
      <w:r>
        <w:rPr>
          <w:rFonts w:hint="eastAsia" w:ascii="仿宋_GB2312" w:hAnsi="仿宋_GB2312" w:eastAsia="仿宋_GB2312" w:cs="仿宋_GB2312"/>
          <w:color w:val="000000"/>
          <w:sz w:val="18"/>
          <w:szCs w:val="18"/>
          <w:highlight w:val="none"/>
        </w:rPr>
        <w:t>设备的保管与使用</w:t>
      </w:r>
    </w:p>
    <w:p w14:paraId="700A451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1C907A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发包人或监理人发现承包人使用不符合设计或有关标准要求的材料和工程设备时，有权要求承包人进行修复、拆除或重新采购，由此增加的费用和（或）延误的工期，由承包人承担。</w:t>
      </w:r>
    </w:p>
    <w:p w14:paraId="27E0F9D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22" w:name="_Toc351203557"/>
      <w:r>
        <w:rPr>
          <w:rFonts w:hint="eastAsia" w:ascii="仿宋_GB2312" w:hAnsi="仿宋_GB2312" w:eastAsia="仿宋_GB2312" w:cs="仿宋_GB2312"/>
          <w:b w:val="0"/>
          <w:color w:val="000000"/>
          <w:sz w:val="18"/>
          <w:szCs w:val="18"/>
          <w:highlight w:val="none"/>
        </w:rPr>
        <w:t>8.5禁止使用不合格的材料和工程设备</w:t>
      </w:r>
      <w:bookmarkEnd w:id="622"/>
    </w:p>
    <w:p w14:paraId="08D6F6D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8.5.1 监理人有权拒绝承包人提供的不合格材料或工程设备，并要求承包人立即进行更换。监理人应在更换后再次进行检查和检验，由此增加的费用和（或）延误的工期由承包人承担。</w:t>
      </w:r>
    </w:p>
    <w:p w14:paraId="2A89056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8.5.2 监理人发现承包人使用了不合格的材料和工程设备，承包人应按照监理人的指示立即改正，并禁止在工程中继续使用不合格的材料和工程设备。</w:t>
      </w:r>
    </w:p>
    <w:p w14:paraId="34D08DB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8.5.3 发包人提供的材料或工程设备不符合合同要求的，承包人有权拒绝，并可要求发包人更换，由此增加的费用和（或）延误的工期由发包人承担，并支付承包人合理的利润。</w:t>
      </w:r>
    </w:p>
    <w:p w14:paraId="1C62D19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23" w:name="_Toc351203558"/>
      <w:r>
        <w:rPr>
          <w:rFonts w:hint="eastAsia" w:ascii="仿宋_GB2312" w:hAnsi="仿宋_GB2312" w:eastAsia="仿宋_GB2312" w:cs="仿宋_GB2312"/>
          <w:b w:val="0"/>
          <w:color w:val="000000"/>
          <w:sz w:val="18"/>
          <w:szCs w:val="18"/>
          <w:highlight w:val="none"/>
        </w:rPr>
        <w:t>8.6 样品</w:t>
      </w:r>
      <w:bookmarkEnd w:id="623"/>
    </w:p>
    <w:p w14:paraId="68069E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8.6.1</w:t>
      </w:r>
      <w:r>
        <w:rPr>
          <w:rFonts w:hint="eastAsia" w:ascii="仿宋_GB2312" w:hAnsi="仿宋_GB2312" w:eastAsia="仿宋_GB2312" w:cs="仿宋_GB2312"/>
          <w:color w:val="000000"/>
          <w:kern w:val="0"/>
          <w:sz w:val="18"/>
          <w:szCs w:val="18"/>
          <w:highlight w:val="none"/>
        </w:rPr>
        <w:tab/>
      </w:r>
      <w:r>
        <w:rPr>
          <w:rFonts w:hint="eastAsia" w:ascii="仿宋_GB2312" w:hAnsi="仿宋_GB2312" w:eastAsia="仿宋_GB2312" w:cs="仿宋_GB2312"/>
          <w:color w:val="000000"/>
          <w:kern w:val="0"/>
          <w:sz w:val="18"/>
          <w:szCs w:val="18"/>
          <w:highlight w:val="none"/>
        </w:rPr>
        <w:t>样品的报送与封存</w:t>
      </w:r>
    </w:p>
    <w:p w14:paraId="2AA695D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需要承包人报送样品的材料或工程设备，样品的种类、名称、规格、数量等要求均应在专用合同条款中约定。样品的报送程序如下：</w:t>
      </w:r>
    </w:p>
    <w:p w14:paraId="3653DAC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7C81CA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3A72FD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（3）经发包人和监理人审批确认的样品应按约定的方法封样，封存的样品作为检验工程相关部分的标准之一。承包人在施工过程中不得使用与样品不符的材料或工程设备。</w:t>
      </w:r>
    </w:p>
    <w:p w14:paraId="37FA8AB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DEF9AF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8.6.2 样品的保管</w:t>
      </w:r>
    </w:p>
    <w:p w14:paraId="6FE833A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经批准的样品应由监理人负责封存于现场，承包人应在现场为保存样品提供适当和固定的场所并保持适当和良好的存储环境条件。</w:t>
      </w:r>
    </w:p>
    <w:p w14:paraId="46EF6D9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24" w:name="_Toc351203559"/>
      <w:r>
        <w:rPr>
          <w:rFonts w:hint="eastAsia" w:ascii="仿宋_GB2312" w:hAnsi="仿宋_GB2312" w:eastAsia="仿宋_GB2312" w:cs="仿宋_GB2312"/>
          <w:b w:val="0"/>
          <w:color w:val="000000"/>
          <w:sz w:val="18"/>
          <w:szCs w:val="18"/>
          <w:highlight w:val="none"/>
        </w:rPr>
        <w:t>8.7材料与工程设备的替代</w:t>
      </w:r>
      <w:bookmarkEnd w:id="624"/>
    </w:p>
    <w:p w14:paraId="797A0E2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8.7.1 出现下列情况需要使用替代材料和工程设备的，承包人应按照第8.7.2项约定的程序执行：</w:t>
      </w:r>
    </w:p>
    <w:p w14:paraId="078AC4A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（1）基准日期后生效的法律规定禁止使用的；</w:t>
      </w:r>
    </w:p>
    <w:p w14:paraId="150496A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（2）发包人要求使用替代品的；</w:t>
      </w:r>
    </w:p>
    <w:p w14:paraId="734895B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（3）因其他原因必须使用替代品的。</w:t>
      </w:r>
    </w:p>
    <w:p w14:paraId="7A82FBF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8.7.2 承包人应在使用替代材料和工程设备28天前书面通知监理人，并附下列文件：</w:t>
      </w:r>
    </w:p>
    <w:p w14:paraId="1180456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（1）被替代的材料和工程设备的名称、数量、规格、型号、品牌、性能、价格及其他相关资料；</w:t>
      </w:r>
    </w:p>
    <w:p w14:paraId="377AC0F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（2）替代品的名称、数量、规格、型号、品牌、性能、价格及其他相关资料；</w:t>
      </w:r>
    </w:p>
    <w:p w14:paraId="533B313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（3）替代品与被替代产品之间的差异以及使用替代品可能对工程产生的影响；</w:t>
      </w:r>
    </w:p>
    <w:p w14:paraId="4C7FD84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（4）替代品与被替代产品的价格差异；</w:t>
      </w:r>
    </w:p>
    <w:p w14:paraId="16E932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（5）使用替代品的理由和原因说明；</w:t>
      </w:r>
    </w:p>
    <w:p w14:paraId="1D07043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（6）监理人要求的其他文件。</w:t>
      </w:r>
    </w:p>
    <w:p w14:paraId="4599DED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监理人应在收到通知后14天内向承包人发出经发包人签认的书面指示；监理人逾期发出书面指示的，视为发包人和监理人同意使用替代品。</w:t>
      </w:r>
    </w:p>
    <w:p w14:paraId="06AE0AD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C3D5C27">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25" w:name="_Toc351203560"/>
      <w:r>
        <w:rPr>
          <w:rFonts w:hint="eastAsia" w:ascii="仿宋_GB2312" w:hAnsi="仿宋_GB2312" w:eastAsia="仿宋_GB2312" w:cs="仿宋_GB2312"/>
          <w:b w:val="0"/>
          <w:color w:val="000000"/>
          <w:sz w:val="18"/>
          <w:szCs w:val="18"/>
          <w:highlight w:val="none"/>
        </w:rPr>
        <w:t>8.8施工设备和临时设施</w:t>
      </w:r>
      <w:bookmarkEnd w:id="625"/>
    </w:p>
    <w:p w14:paraId="28005E1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8.8.1 承包人提供的施工设备和临时设施</w:t>
      </w:r>
    </w:p>
    <w:p w14:paraId="58A2392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84E978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除专用合同条款另有约定外，承包人应自行承担修建临时设施的费用，需要临时占地的，应由发包人办理申请手续并承担相应费用。</w:t>
      </w:r>
    </w:p>
    <w:p w14:paraId="4C635E6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8.8.2发包人提供的施工设备和临时设施</w:t>
      </w:r>
    </w:p>
    <w:p w14:paraId="0B814C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发包人提供的施工设备或临时设施在专用合同条款中约定。</w:t>
      </w:r>
    </w:p>
    <w:p w14:paraId="32D747D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8.8.3要求承包人增加或更换施工设备</w:t>
      </w:r>
    </w:p>
    <w:p w14:paraId="34E77F0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BD2432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26" w:name="_Toc351203561"/>
      <w:r>
        <w:rPr>
          <w:rFonts w:hint="eastAsia" w:ascii="仿宋_GB2312" w:hAnsi="仿宋_GB2312" w:eastAsia="仿宋_GB2312" w:cs="仿宋_GB2312"/>
          <w:b w:val="0"/>
          <w:color w:val="000000"/>
          <w:sz w:val="18"/>
          <w:szCs w:val="18"/>
          <w:highlight w:val="none"/>
        </w:rPr>
        <w:t>8</w:t>
      </w:r>
      <w:bookmarkStart w:id="627" w:name="_Toc296503063"/>
      <w:bookmarkStart w:id="628" w:name="_Toc337558781"/>
      <w:bookmarkStart w:id="629" w:name="_Toc296346564"/>
      <w:r>
        <w:rPr>
          <w:rFonts w:hint="eastAsia" w:ascii="仿宋_GB2312" w:hAnsi="仿宋_GB2312" w:eastAsia="仿宋_GB2312" w:cs="仿宋_GB2312"/>
          <w:b w:val="0"/>
          <w:color w:val="000000"/>
          <w:sz w:val="18"/>
          <w:szCs w:val="18"/>
          <w:highlight w:val="none"/>
        </w:rPr>
        <w:t>.9材料与设备专用</w:t>
      </w:r>
      <w:bookmarkEnd w:id="626"/>
      <w:r>
        <w:rPr>
          <w:rFonts w:hint="eastAsia" w:ascii="仿宋_GB2312" w:hAnsi="仿宋_GB2312" w:eastAsia="仿宋_GB2312" w:cs="仿宋_GB2312"/>
          <w:b w:val="0"/>
          <w:color w:val="000000"/>
          <w:sz w:val="18"/>
          <w:szCs w:val="18"/>
          <w:highlight w:val="none"/>
        </w:rPr>
        <w:t>要求</w:t>
      </w:r>
    </w:p>
    <w:bookmarkEnd w:id="627"/>
    <w:bookmarkEnd w:id="628"/>
    <w:bookmarkEnd w:id="629"/>
    <w:p w14:paraId="74AA2C6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08"/>
      <w:r>
        <w:rPr>
          <w:rFonts w:hint="eastAsia" w:ascii="仿宋_GB2312" w:hAnsi="仿宋_GB2312" w:eastAsia="仿宋_GB2312" w:cs="仿宋_GB2312"/>
          <w:color w:val="000000"/>
          <w:kern w:val="0"/>
          <w:sz w:val="18"/>
          <w:szCs w:val="18"/>
          <w:highlight w:val="none"/>
        </w:rPr>
        <w:t>经发包人批准，承包人可以根据施工进度计划撤走闲置的施工设备和其他物品。</w:t>
      </w:r>
    </w:p>
    <w:p w14:paraId="25C5141A">
      <w:pPr>
        <w:pStyle w:val="5"/>
        <w:spacing w:before="120" w:after="120" w:line="240" w:lineRule="auto"/>
        <w:rPr>
          <w:rFonts w:ascii="仿宋_GB2312" w:hAnsi="仿宋_GB2312" w:eastAsia="仿宋_GB2312" w:cs="仿宋_GB2312"/>
          <w:b w:val="0"/>
          <w:color w:val="000000"/>
          <w:sz w:val="18"/>
          <w:szCs w:val="18"/>
          <w:highlight w:val="none"/>
        </w:rPr>
      </w:pPr>
      <w:bookmarkStart w:id="630" w:name="_Toc351203562"/>
      <w:r>
        <w:rPr>
          <w:rFonts w:hint="eastAsia" w:ascii="仿宋_GB2312" w:hAnsi="仿宋_GB2312" w:eastAsia="仿宋_GB2312" w:cs="仿宋_GB2312"/>
          <w:b w:val="0"/>
          <w:color w:val="000000"/>
          <w:sz w:val="18"/>
          <w:szCs w:val="18"/>
          <w:highlight w:val="none"/>
        </w:rPr>
        <w:t>9</w:t>
      </w:r>
      <w:bookmarkStart w:id="631" w:name="_Toc337558782"/>
      <w:bookmarkStart w:id="632" w:name="_Toc296346584"/>
      <w:bookmarkStart w:id="633" w:name="_Toc296503083"/>
      <w:r>
        <w:rPr>
          <w:rFonts w:hint="eastAsia" w:ascii="仿宋_GB2312" w:hAnsi="仿宋_GB2312" w:eastAsia="仿宋_GB2312" w:cs="仿宋_GB2312"/>
          <w:b w:val="0"/>
          <w:color w:val="000000"/>
          <w:sz w:val="18"/>
          <w:szCs w:val="18"/>
          <w:highlight w:val="none"/>
        </w:rPr>
        <w:t>. 试验与检验</w:t>
      </w:r>
      <w:bookmarkEnd w:id="630"/>
    </w:p>
    <w:bookmarkEnd w:id="631"/>
    <w:p w14:paraId="7031B87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34" w:name="_Toc351203563"/>
      <w:r>
        <w:rPr>
          <w:rFonts w:hint="eastAsia" w:ascii="仿宋_GB2312" w:hAnsi="仿宋_GB2312" w:eastAsia="仿宋_GB2312" w:cs="仿宋_GB2312"/>
          <w:b w:val="0"/>
          <w:color w:val="000000"/>
          <w:sz w:val="18"/>
          <w:szCs w:val="18"/>
          <w:highlight w:val="none"/>
        </w:rPr>
        <w:t>9</w:t>
      </w:r>
      <w:bookmarkStart w:id="635" w:name="_Toc337558783"/>
      <w:r>
        <w:rPr>
          <w:rFonts w:hint="eastAsia" w:ascii="仿宋_GB2312" w:hAnsi="仿宋_GB2312" w:eastAsia="仿宋_GB2312" w:cs="仿宋_GB2312"/>
          <w:b w:val="0"/>
          <w:color w:val="000000"/>
          <w:sz w:val="18"/>
          <w:szCs w:val="18"/>
          <w:highlight w:val="none"/>
        </w:rPr>
        <w:t>.1试验设备与试验人员</w:t>
      </w:r>
      <w:bookmarkEnd w:id="634"/>
    </w:p>
    <w:bookmarkEnd w:id="635"/>
    <w:p w14:paraId="59C48C9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6F0B7D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9.1.2 承包人应按专用合同条款的约定提供试验设备、取样装置、试验场所和试验条件，并向监理人提交相应进场计划表。</w:t>
      </w:r>
    </w:p>
    <w:p w14:paraId="01C0223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承包人配置的试验设备要符合相应试验规程的要求并经过具有资质的检测单位检测，且在正式使用该试验设备前，需要经过监理人与承包人共同校定。</w:t>
      </w:r>
    </w:p>
    <w:p w14:paraId="26BE4AE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9.1.3 承包人应向监理人提交试验人员的名单及其岗位、资格等证明资料，试验人员必须能够熟练进行相应的检测试验，承包人对试验人员的试验程序和试验结果的正确性负责。</w:t>
      </w:r>
    </w:p>
    <w:p w14:paraId="4A36C5E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36" w:name="_Toc351203564"/>
      <w:r>
        <w:rPr>
          <w:rFonts w:hint="eastAsia" w:ascii="仿宋_GB2312" w:hAnsi="仿宋_GB2312" w:eastAsia="仿宋_GB2312" w:cs="仿宋_GB2312"/>
          <w:b w:val="0"/>
          <w:color w:val="000000"/>
          <w:sz w:val="18"/>
          <w:szCs w:val="18"/>
          <w:highlight w:val="none"/>
        </w:rPr>
        <w:t>9</w:t>
      </w:r>
      <w:bookmarkStart w:id="637" w:name="_Toc337558784"/>
      <w:r>
        <w:rPr>
          <w:rFonts w:hint="eastAsia" w:ascii="仿宋_GB2312" w:hAnsi="仿宋_GB2312" w:eastAsia="仿宋_GB2312" w:cs="仿宋_GB2312"/>
          <w:b w:val="0"/>
          <w:color w:val="000000"/>
          <w:sz w:val="18"/>
          <w:szCs w:val="18"/>
          <w:highlight w:val="none"/>
        </w:rPr>
        <w:t>.2取样</w:t>
      </w:r>
      <w:bookmarkEnd w:id="636"/>
    </w:p>
    <w:bookmarkEnd w:id="637"/>
    <w:p w14:paraId="1886FF9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试验属于自检性质的，承包人可以单独取样。试验属于监理人抽检性质的，可由监理人取样，也可由承包人的试验人员在监理人的监督下取样。</w:t>
      </w:r>
    </w:p>
    <w:p w14:paraId="299BB70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38" w:name="_Toc351203565"/>
      <w:r>
        <w:rPr>
          <w:rFonts w:hint="eastAsia" w:ascii="仿宋_GB2312" w:hAnsi="仿宋_GB2312" w:eastAsia="仿宋_GB2312" w:cs="仿宋_GB2312"/>
          <w:b w:val="0"/>
          <w:color w:val="000000"/>
          <w:sz w:val="18"/>
          <w:szCs w:val="18"/>
          <w:highlight w:val="none"/>
        </w:rPr>
        <w:t>9</w:t>
      </w:r>
      <w:bookmarkStart w:id="639" w:name="_Toc337558785"/>
      <w:r>
        <w:rPr>
          <w:rFonts w:hint="eastAsia" w:ascii="仿宋_GB2312" w:hAnsi="仿宋_GB2312" w:eastAsia="仿宋_GB2312" w:cs="仿宋_GB2312"/>
          <w:b w:val="0"/>
          <w:color w:val="000000"/>
          <w:sz w:val="18"/>
          <w:szCs w:val="18"/>
          <w:highlight w:val="none"/>
        </w:rPr>
        <w:t>.3材料、工程设备和工程的试验和检验</w:t>
      </w:r>
      <w:bookmarkEnd w:id="638"/>
    </w:p>
    <w:bookmarkEnd w:id="639"/>
    <w:p w14:paraId="5E2B68D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342FAA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3F1D1F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21A696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40" w:name="_Toc351203566"/>
      <w:r>
        <w:rPr>
          <w:rFonts w:hint="eastAsia" w:ascii="仿宋_GB2312" w:hAnsi="仿宋_GB2312" w:eastAsia="仿宋_GB2312" w:cs="仿宋_GB2312"/>
          <w:b w:val="0"/>
          <w:color w:val="000000"/>
          <w:sz w:val="18"/>
          <w:szCs w:val="18"/>
          <w:highlight w:val="none"/>
        </w:rPr>
        <w:t>9</w:t>
      </w:r>
      <w:bookmarkStart w:id="641" w:name="_Toc337558786"/>
      <w:r>
        <w:rPr>
          <w:rFonts w:hint="eastAsia" w:ascii="仿宋_GB2312" w:hAnsi="仿宋_GB2312" w:eastAsia="仿宋_GB2312" w:cs="仿宋_GB2312"/>
          <w:b w:val="0"/>
          <w:color w:val="000000"/>
          <w:sz w:val="18"/>
          <w:szCs w:val="18"/>
          <w:highlight w:val="none"/>
        </w:rPr>
        <w:t>.4现场工艺试验</w:t>
      </w:r>
      <w:bookmarkEnd w:id="640"/>
    </w:p>
    <w:bookmarkEnd w:id="641"/>
    <w:p w14:paraId="490A05E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承包人应按合同约定或监理人指示进行现场工艺试验。对大型的现场工艺试验，监理人认为必要时，承包人应根据监理人提出的工艺试验要求，编制工艺试验措施计划，报送监理人审查。</w:t>
      </w:r>
    </w:p>
    <w:p w14:paraId="00B69342">
      <w:pPr>
        <w:pStyle w:val="5"/>
        <w:spacing w:before="120" w:after="120" w:line="240" w:lineRule="auto"/>
        <w:rPr>
          <w:rFonts w:ascii="仿宋_GB2312" w:hAnsi="仿宋_GB2312" w:eastAsia="仿宋_GB2312" w:cs="仿宋_GB2312"/>
          <w:b w:val="0"/>
          <w:color w:val="000000"/>
          <w:sz w:val="18"/>
          <w:szCs w:val="18"/>
          <w:highlight w:val="none"/>
        </w:rPr>
      </w:pPr>
      <w:bookmarkStart w:id="642" w:name="_Toc351203567"/>
      <w:r>
        <w:rPr>
          <w:rFonts w:hint="eastAsia" w:ascii="仿宋_GB2312" w:hAnsi="仿宋_GB2312" w:eastAsia="仿宋_GB2312" w:cs="仿宋_GB2312"/>
          <w:b w:val="0"/>
          <w:color w:val="000000"/>
          <w:sz w:val="18"/>
          <w:szCs w:val="18"/>
          <w:highlight w:val="none"/>
        </w:rPr>
        <w:t>1</w:t>
      </w:r>
      <w:bookmarkStart w:id="643" w:name="_Toc337558787"/>
      <w:r>
        <w:rPr>
          <w:rFonts w:hint="eastAsia" w:ascii="仿宋_GB2312" w:hAnsi="仿宋_GB2312" w:eastAsia="仿宋_GB2312" w:cs="仿宋_GB2312"/>
          <w:b w:val="0"/>
          <w:color w:val="000000"/>
          <w:sz w:val="18"/>
          <w:szCs w:val="18"/>
          <w:highlight w:val="none"/>
        </w:rPr>
        <w:t>0. 变更</w:t>
      </w:r>
      <w:bookmarkEnd w:id="632"/>
      <w:bookmarkEnd w:id="633"/>
      <w:bookmarkEnd w:id="642"/>
    </w:p>
    <w:bookmarkEnd w:id="643"/>
    <w:p w14:paraId="6E47084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44" w:name="_Toc351203568"/>
      <w:r>
        <w:rPr>
          <w:rFonts w:hint="eastAsia" w:ascii="仿宋_GB2312" w:hAnsi="仿宋_GB2312" w:eastAsia="仿宋_GB2312" w:cs="仿宋_GB2312"/>
          <w:b w:val="0"/>
          <w:color w:val="000000"/>
          <w:sz w:val="18"/>
          <w:szCs w:val="18"/>
          <w:highlight w:val="none"/>
        </w:rPr>
        <w:t>1</w:t>
      </w:r>
      <w:bookmarkStart w:id="645" w:name="_Toc296503084"/>
      <w:bookmarkStart w:id="646" w:name="_Toc296346585"/>
      <w:bookmarkStart w:id="647" w:name="_Toc337558788"/>
      <w:r>
        <w:rPr>
          <w:rFonts w:hint="eastAsia" w:ascii="仿宋_GB2312" w:hAnsi="仿宋_GB2312" w:eastAsia="仿宋_GB2312" w:cs="仿宋_GB2312"/>
          <w:b w:val="0"/>
          <w:color w:val="000000"/>
          <w:sz w:val="18"/>
          <w:szCs w:val="18"/>
          <w:highlight w:val="none"/>
        </w:rPr>
        <w:t>0.1变更的范围</w:t>
      </w:r>
      <w:bookmarkEnd w:id="644"/>
    </w:p>
    <w:bookmarkEnd w:id="645"/>
    <w:bookmarkEnd w:id="646"/>
    <w:bookmarkEnd w:id="647"/>
    <w:p w14:paraId="3222DE3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除专用合同条款另有约定外，合同履行过程中发生以下情形的，应按照本条约定进行变更：</w:t>
      </w:r>
    </w:p>
    <w:p w14:paraId="2E3839C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（1）增加或减少合同中任何工作，或追加额外的工作；</w:t>
      </w:r>
    </w:p>
    <w:p w14:paraId="1350A62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（2）取消合同中任何工作，但转由他人实施的工作除外；</w:t>
      </w:r>
    </w:p>
    <w:p w14:paraId="4852533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（3）改变合同中任何工作的质量标准或其他特性；</w:t>
      </w:r>
    </w:p>
    <w:p w14:paraId="70A643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（4）改变工程的基线、标高、位置和尺寸；</w:t>
      </w:r>
    </w:p>
    <w:p w14:paraId="5F5F856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（5）改变工程的时间安排或实施顺序。</w:t>
      </w:r>
    </w:p>
    <w:p w14:paraId="02A9861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48" w:name="_Toc351203569"/>
      <w:r>
        <w:rPr>
          <w:rFonts w:hint="eastAsia" w:ascii="仿宋_GB2312" w:hAnsi="仿宋_GB2312" w:eastAsia="仿宋_GB2312" w:cs="仿宋_GB2312"/>
          <w:b w:val="0"/>
          <w:color w:val="000000"/>
          <w:sz w:val="18"/>
          <w:szCs w:val="18"/>
          <w:highlight w:val="none"/>
        </w:rPr>
        <w:t>1</w:t>
      </w:r>
      <w:bookmarkStart w:id="649" w:name="_Toc337558789"/>
      <w:bookmarkStart w:id="650" w:name="_Toc296346586"/>
      <w:bookmarkStart w:id="651" w:name="_Toc296503085"/>
      <w:r>
        <w:rPr>
          <w:rFonts w:hint="eastAsia" w:ascii="仿宋_GB2312" w:hAnsi="仿宋_GB2312" w:eastAsia="仿宋_GB2312" w:cs="仿宋_GB2312"/>
          <w:b w:val="0"/>
          <w:color w:val="000000"/>
          <w:sz w:val="18"/>
          <w:szCs w:val="18"/>
          <w:highlight w:val="none"/>
        </w:rPr>
        <w:t>0.2变更权</w:t>
      </w:r>
      <w:bookmarkEnd w:id="648"/>
    </w:p>
    <w:bookmarkEnd w:id="649"/>
    <w:bookmarkEnd w:id="650"/>
    <w:bookmarkEnd w:id="651"/>
    <w:p w14:paraId="0346151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46F2FF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涉及设计变更的，应由设计人提供变更后的图纸和说明。如变更超过原设计标准或批准的建设规模时，发包人应及时办理规划、设计变更等审批手续。</w:t>
      </w:r>
    </w:p>
    <w:p w14:paraId="5EA48C0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52" w:name="_Toc351203570"/>
      <w:r>
        <w:rPr>
          <w:rFonts w:hint="eastAsia" w:ascii="仿宋_GB2312" w:hAnsi="仿宋_GB2312" w:eastAsia="仿宋_GB2312" w:cs="仿宋_GB2312"/>
          <w:b w:val="0"/>
          <w:color w:val="000000"/>
          <w:sz w:val="18"/>
          <w:szCs w:val="18"/>
          <w:highlight w:val="none"/>
        </w:rPr>
        <w:t>1</w:t>
      </w:r>
      <w:bookmarkStart w:id="653" w:name="_Toc296346587"/>
      <w:bookmarkStart w:id="654" w:name="_Toc296503086"/>
      <w:bookmarkStart w:id="655" w:name="_Toc337558790"/>
      <w:r>
        <w:rPr>
          <w:rFonts w:hint="eastAsia" w:ascii="仿宋_GB2312" w:hAnsi="仿宋_GB2312" w:eastAsia="仿宋_GB2312" w:cs="仿宋_GB2312"/>
          <w:b w:val="0"/>
          <w:color w:val="000000"/>
          <w:sz w:val="18"/>
          <w:szCs w:val="18"/>
          <w:highlight w:val="none"/>
        </w:rPr>
        <w:t>0.3变更程序</w:t>
      </w:r>
      <w:bookmarkEnd w:id="652"/>
    </w:p>
    <w:bookmarkEnd w:id="653"/>
    <w:bookmarkEnd w:id="654"/>
    <w:bookmarkEnd w:id="655"/>
    <w:p w14:paraId="01D8503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10</w:t>
      </w:r>
      <w:r>
        <w:rPr>
          <w:rFonts w:hint="eastAsia" w:ascii="仿宋_GB2312" w:hAnsi="仿宋_GB2312" w:eastAsia="仿宋_GB2312" w:cs="仿宋_GB2312"/>
          <w:color w:val="000000"/>
          <w:kern w:val="0"/>
          <w:sz w:val="18"/>
          <w:szCs w:val="18"/>
          <w:highlight w:val="none"/>
        </w:rPr>
        <w:t>.3.1 发包人提出变更</w:t>
      </w:r>
    </w:p>
    <w:p w14:paraId="461D1DA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发包人提出变更的，应通过监理人向承包人发出变更指示，变更指示应说明计划变更的工程范围和变更的内容。</w:t>
      </w:r>
    </w:p>
    <w:p w14:paraId="65AFDCE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10</w:t>
      </w:r>
      <w:r>
        <w:rPr>
          <w:rFonts w:hint="eastAsia" w:ascii="仿宋_GB2312" w:hAnsi="仿宋_GB2312" w:eastAsia="仿宋_GB2312" w:cs="仿宋_GB2312"/>
          <w:color w:val="000000"/>
          <w:kern w:val="0"/>
          <w:sz w:val="18"/>
          <w:szCs w:val="18"/>
          <w:highlight w:val="none"/>
        </w:rPr>
        <w:t>.3.2 监理人提出变更建议</w:t>
      </w:r>
    </w:p>
    <w:p w14:paraId="485E5C8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10ACA7B">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10.3.3 变更执行</w:t>
      </w:r>
    </w:p>
    <w:p w14:paraId="60862B1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BF4C206">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56" w:name="_Toc351203571"/>
      <w:r>
        <w:rPr>
          <w:rFonts w:hint="eastAsia" w:ascii="仿宋_GB2312" w:hAnsi="仿宋_GB2312" w:eastAsia="仿宋_GB2312" w:cs="仿宋_GB2312"/>
          <w:b w:val="0"/>
          <w:color w:val="000000"/>
          <w:sz w:val="18"/>
          <w:szCs w:val="18"/>
          <w:highlight w:val="none"/>
        </w:rPr>
        <w:t>1</w:t>
      </w:r>
      <w:bookmarkStart w:id="657" w:name="_Toc337558791"/>
      <w:bookmarkStart w:id="658" w:name="_Toc296346588"/>
      <w:bookmarkStart w:id="659" w:name="_Toc296503087"/>
      <w:r>
        <w:rPr>
          <w:rFonts w:hint="eastAsia" w:ascii="仿宋_GB2312" w:hAnsi="仿宋_GB2312" w:eastAsia="仿宋_GB2312" w:cs="仿宋_GB2312"/>
          <w:b w:val="0"/>
          <w:color w:val="000000"/>
          <w:sz w:val="18"/>
          <w:szCs w:val="18"/>
          <w:highlight w:val="none"/>
        </w:rPr>
        <w:t>0.4变更估价</w:t>
      </w:r>
      <w:bookmarkEnd w:id="656"/>
    </w:p>
    <w:bookmarkEnd w:id="657"/>
    <w:bookmarkEnd w:id="658"/>
    <w:bookmarkEnd w:id="659"/>
    <w:p w14:paraId="77E8C34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10.4.1 变更估价原则</w:t>
      </w:r>
    </w:p>
    <w:p w14:paraId="401D843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除专用合同条款另有约定外，变更估价按照本款约定处理：</w:t>
      </w:r>
    </w:p>
    <w:p w14:paraId="17FD23D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（1）已标价工程量清单或预算书有相同项目的，按照相同项目单价认定；</w:t>
      </w:r>
    </w:p>
    <w:p w14:paraId="795600C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（2）已标价工程量清单或预算书中无相同项目，但有类似项目的，参照类似项目的单价认定；</w:t>
      </w:r>
    </w:p>
    <w:p w14:paraId="6917ED6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7E8DF0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10.4.2 变更估价程序</w:t>
      </w:r>
    </w:p>
    <w:p w14:paraId="3119324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2A91D8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因变更引起的价格调整应计入最近一期的进度款中支付。</w:t>
      </w:r>
    </w:p>
    <w:p w14:paraId="75ED306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60" w:name="_Toc351203572"/>
      <w:r>
        <w:rPr>
          <w:rFonts w:hint="eastAsia" w:ascii="仿宋_GB2312" w:hAnsi="仿宋_GB2312" w:eastAsia="仿宋_GB2312" w:cs="仿宋_GB2312"/>
          <w:b w:val="0"/>
          <w:color w:val="000000"/>
          <w:sz w:val="18"/>
          <w:szCs w:val="18"/>
          <w:highlight w:val="none"/>
        </w:rPr>
        <w:t>1</w:t>
      </w:r>
      <w:bookmarkStart w:id="661" w:name="_Toc337558792"/>
      <w:bookmarkStart w:id="662" w:name="_Toc296346595"/>
      <w:bookmarkStart w:id="663" w:name="_Toc296503094"/>
      <w:r>
        <w:rPr>
          <w:rFonts w:hint="eastAsia" w:ascii="仿宋_GB2312" w:hAnsi="仿宋_GB2312" w:eastAsia="仿宋_GB2312" w:cs="仿宋_GB2312"/>
          <w:b w:val="0"/>
          <w:color w:val="000000"/>
          <w:sz w:val="18"/>
          <w:szCs w:val="18"/>
          <w:highlight w:val="none"/>
        </w:rPr>
        <w:t>0.5承包人的合理化建议</w:t>
      </w:r>
      <w:bookmarkEnd w:id="660"/>
    </w:p>
    <w:bookmarkEnd w:id="661"/>
    <w:bookmarkEnd w:id="662"/>
    <w:bookmarkEnd w:id="663"/>
    <w:p w14:paraId="680D379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承包人提出合理化建议的，应向监理人提交合理化建议说明，说明建议的内容和理由，以及实施该建议对合同价格和工期的影响。</w:t>
      </w:r>
    </w:p>
    <w:p w14:paraId="6B8ABB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FAA28B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合理化建议降低了合同价格或者提高了工程经济效益的，发包人可对承包人给予奖励，奖励的方法和金额在专用合同条款中约定。</w:t>
      </w:r>
    </w:p>
    <w:p w14:paraId="4BE7A54F">
      <w:pPr>
        <w:pStyle w:val="6"/>
        <w:spacing w:before="120" w:after="120"/>
        <w:ind w:left="0" w:firstLine="360" w:firstLineChars="200"/>
        <w:rPr>
          <w:rFonts w:ascii="仿宋_GB2312" w:hAnsi="仿宋_GB2312" w:eastAsia="仿宋_GB2312" w:cs="仿宋_GB2312"/>
          <w:color w:val="000000"/>
          <w:sz w:val="18"/>
          <w:szCs w:val="18"/>
          <w:highlight w:val="none"/>
        </w:rPr>
      </w:pPr>
      <w:bookmarkStart w:id="664" w:name="_Toc351203573"/>
      <w:r>
        <w:rPr>
          <w:rFonts w:hint="eastAsia" w:ascii="仿宋_GB2312" w:hAnsi="仿宋_GB2312" w:eastAsia="仿宋_GB2312" w:cs="仿宋_GB2312"/>
          <w:b w:val="0"/>
          <w:color w:val="000000"/>
          <w:sz w:val="18"/>
          <w:szCs w:val="18"/>
          <w:highlight w:val="none"/>
        </w:rPr>
        <w:t>1</w:t>
      </w:r>
      <w:bookmarkStart w:id="665" w:name="_Toc337558793"/>
      <w:r>
        <w:rPr>
          <w:rFonts w:hint="eastAsia" w:ascii="仿宋_GB2312" w:hAnsi="仿宋_GB2312" w:eastAsia="仿宋_GB2312" w:cs="仿宋_GB2312"/>
          <w:b w:val="0"/>
          <w:color w:val="000000"/>
          <w:sz w:val="18"/>
          <w:szCs w:val="18"/>
          <w:highlight w:val="none"/>
        </w:rPr>
        <w:t>0.6变更引起的工期调整</w:t>
      </w:r>
      <w:bookmarkEnd w:id="664"/>
      <w:bookmarkEnd w:id="665"/>
    </w:p>
    <w:p w14:paraId="2BAB6D7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因变更引起工期变化的，合同当事人均可要求调整合同工期，由合同当事人按照第4.4款〔商定或确定〕并参考工程所在地的工期定额标准确定增减工期天数。</w:t>
      </w:r>
    </w:p>
    <w:p w14:paraId="449EDEC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66" w:name="_Toc351203574"/>
      <w:r>
        <w:rPr>
          <w:rFonts w:hint="eastAsia" w:ascii="仿宋_GB2312" w:hAnsi="仿宋_GB2312" w:eastAsia="仿宋_GB2312" w:cs="仿宋_GB2312"/>
          <w:b w:val="0"/>
          <w:color w:val="000000"/>
          <w:sz w:val="18"/>
          <w:szCs w:val="18"/>
          <w:highlight w:val="none"/>
        </w:rPr>
        <w:t>10.7暂估价</w:t>
      </w:r>
      <w:bookmarkEnd w:id="666"/>
    </w:p>
    <w:p w14:paraId="2295207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暂估价专业分包工程、服务、材料和工程设备的明细由合同当事人在专用合同条款中约定。</w:t>
      </w:r>
    </w:p>
    <w:p w14:paraId="2ECC298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10.7.1</w:t>
      </w:r>
      <w:r>
        <w:rPr>
          <w:rFonts w:hint="eastAsia" w:ascii="仿宋_GB2312" w:hAnsi="仿宋_GB2312" w:eastAsia="仿宋_GB2312" w:cs="仿宋_GB2312"/>
          <w:color w:val="000000"/>
          <w:kern w:val="0"/>
          <w:sz w:val="18"/>
          <w:szCs w:val="18"/>
          <w:highlight w:val="none"/>
        </w:rPr>
        <w:t xml:space="preserve"> 依法必须招标的暂估价项目</w:t>
      </w:r>
    </w:p>
    <w:p w14:paraId="256AF38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对于依法必须招标的暂估价项目，采取以下第1种方式确定。合同当事人也可以在专用合同条款中选择其他招标方式。</w:t>
      </w:r>
    </w:p>
    <w:p w14:paraId="4AF26F4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第1种方式：对于依法必须招标的暂估价项目，由承包人招标，对该暂估价项目的确认和批准按照以下约定执行：</w:t>
      </w:r>
    </w:p>
    <w:p w14:paraId="1E387B5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256EC5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353FEFB">
      <w:pPr>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666287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56CFE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10.7.2</w:t>
      </w:r>
      <w:r>
        <w:rPr>
          <w:rFonts w:hint="eastAsia" w:ascii="仿宋_GB2312" w:hAnsi="仿宋_GB2312" w:eastAsia="仿宋_GB2312" w:cs="仿宋_GB2312"/>
          <w:color w:val="000000"/>
          <w:kern w:val="0"/>
          <w:sz w:val="18"/>
          <w:szCs w:val="18"/>
          <w:highlight w:val="none"/>
        </w:rPr>
        <w:t>不属于依法必须招标的暂估价项目</w:t>
      </w:r>
    </w:p>
    <w:p w14:paraId="5CA7ED1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除专用合同条款另有约定外，对于不属于依法必须招标的暂估价项目，采取以下第1种方式确定： </w:t>
      </w:r>
    </w:p>
    <w:p w14:paraId="1DA3969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第1种方式：对于不属于依法必须招标的暂估价项目，按本项约定确认和批准：</w:t>
      </w:r>
    </w:p>
    <w:p w14:paraId="6AEA754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1E4163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（2）发包人认为承包人确定的供应商、分包人无法满足工程质量或合同要求的，发包人可以要求承包人重新确定暂估价项目的供应商、分包人;</w:t>
      </w:r>
    </w:p>
    <w:p w14:paraId="16B0AAB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（3）承包人应当在签订暂估价合同后7天内，将暂估价合同副本报送发包人留存。</w:t>
      </w:r>
    </w:p>
    <w:p w14:paraId="088E7A0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第2种方式：承包人按照第10.7.1项〔依法必须招标的暂估价项目〕约定的第1种方式确定暂估价项目。</w:t>
      </w:r>
    </w:p>
    <w:p w14:paraId="5736A66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第3种方式：</w:t>
      </w:r>
      <w:r>
        <w:rPr>
          <w:rFonts w:hint="eastAsia" w:ascii="仿宋_GB2312" w:hAnsi="仿宋_GB2312" w:eastAsia="仿宋_GB2312" w:cs="仿宋_GB2312"/>
          <w:color w:val="000000"/>
          <w:kern w:val="0"/>
          <w:sz w:val="18"/>
          <w:szCs w:val="18"/>
          <w:highlight w:val="none"/>
        </w:rPr>
        <w:t>承包人直接实施的暂估价项目</w:t>
      </w:r>
    </w:p>
    <w:p w14:paraId="0CE0B68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承包人具备实施暂估价项目的资格和条件的，经发包人和承包人协商一致后，可由承包人自行实施暂估价项目，合同当事人可以在专用合同条款约定具体事项。</w:t>
      </w:r>
    </w:p>
    <w:p w14:paraId="73A9ECA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94B5596">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67" w:name="_Toc351203575"/>
      <w:r>
        <w:rPr>
          <w:rFonts w:hint="eastAsia" w:ascii="仿宋_GB2312" w:hAnsi="仿宋_GB2312" w:eastAsia="仿宋_GB2312" w:cs="仿宋_GB2312"/>
          <w:b w:val="0"/>
          <w:color w:val="000000"/>
          <w:sz w:val="18"/>
          <w:szCs w:val="18"/>
          <w:highlight w:val="none"/>
        </w:rPr>
        <w:t>1</w:t>
      </w:r>
      <w:bookmarkStart w:id="668" w:name="_Toc337558794"/>
      <w:bookmarkStart w:id="669" w:name="_Toc322522561"/>
      <w:bookmarkStart w:id="670" w:name="_Toc296346591"/>
      <w:bookmarkStart w:id="671" w:name="_Toc296503090"/>
      <w:r>
        <w:rPr>
          <w:rFonts w:hint="eastAsia" w:ascii="仿宋_GB2312" w:hAnsi="仿宋_GB2312" w:eastAsia="仿宋_GB2312" w:cs="仿宋_GB2312"/>
          <w:b w:val="0"/>
          <w:color w:val="000000"/>
          <w:sz w:val="18"/>
          <w:szCs w:val="18"/>
          <w:highlight w:val="none"/>
        </w:rPr>
        <w:t>0.8暂列金额</w:t>
      </w:r>
      <w:bookmarkEnd w:id="667"/>
    </w:p>
    <w:bookmarkEnd w:id="668"/>
    <w:p w14:paraId="4572AB8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暂列金额应按照发包人的要求使用，发包人的要求应通过监理人发出。合同当事人可以在专用合同条款中协商确定有关事项。</w:t>
      </w:r>
    </w:p>
    <w:bookmarkEnd w:id="669"/>
    <w:bookmarkEnd w:id="670"/>
    <w:bookmarkEnd w:id="671"/>
    <w:p w14:paraId="1F54080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72" w:name="_Toc351203576"/>
      <w:r>
        <w:rPr>
          <w:rFonts w:hint="eastAsia" w:ascii="仿宋_GB2312" w:hAnsi="仿宋_GB2312" w:eastAsia="仿宋_GB2312" w:cs="仿宋_GB2312"/>
          <w:b w:val="0"/>
          <w:color w:val="000000"/>
          <w:sz w:val="18"/>
          <w:szCs w:val="18"/>
          <w:highlight w:val="none"/>
        </w:rPr>
        <w:t>1</w:t>
      </w:r>
      <w:bookmarkStart w:id="673" w:name="_Toc337558796"/>
      <w:bookmarkStart w:id="674" w:name="_Toc296503091"/>
      <w:bookmarkStart w:id="675" w:name="_Toc296346592"/>
      <w:r>
        <w:rPr>
          <w:rFonts w:hint="eastAsia" w:ascii="仿宋_GB2312" w:hAnsi="仿宋_GB2312" w:eastAsia="仿宋_GB2312" w:cs="仿宋_GB2312"/>
          <w:b w:val="0"/>
          <w:color w:val="000000"/>
          <w:sz w:val="18"/>
          <w:szCs w:val="18"/>
          <w:highlight w:val="none"/>
        </w:rPr>
        <w:t>0.9计日工</w:t>
      </w:r>
      <w:bookmarkEnd w:id="672"/>
      <w:bookmarkEnd w:id="673"/>
      <w:bookmarkEnd w:id="674"/>
      <w:bookmarkEnd w:id="675"/>
    </w:p>
    <w:p w14:paraId="1D48D63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F8ACBE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采用计日工计价的任何一项工作，承包人应在该项工作实施过程中，每天提交以下报表和有关凭证报送监理人审查：</w:t>
      </w:r>
    </w:p>
    <w:p w14:paraId="45CC3DC5">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（1）工作名称、内容和数量；</w:t>
      </w:r>
    </w:p>
    <w:p w14:paraId="12215984">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（2）投入该工作的所有人员的姓名、专业、工种、级别和耗用工时；</w:t>
      </w:r>
    </w:p>
    <w:p w14:paraId="01178CB7">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（3）投入该工作的材料类别和数量；</w:t>
      </w:r>
    </w:p>
    <w:p w14:paraId="66AD9925">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（4）投入该工作的施工设备型号、台数和耗用台时；</w:t>
      </w:r>
    </w:p>
    <w:p w14:paraId="405252CD">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（5）其他有关资料和凭证。</w:t>
      </w:r>
    </w:p>
    <w:p w14:paraId="7250BB91">
      <w:pPr>
        <w:ind w:firstLine="270" w:firstLineChars="15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计日工由承包人汇总后，列入最近一期进度付款申请单，由监理人审查并经发包人批准后列入进度付款。</w:t>
      </w:r>
    </w:p>
    <w:p w14:paraId="3A13CB3E">
      <w:pPr>
        <w:pStyle w:val="5"/>
        <w:spacing w:before="120" w:after="120" w:line="240" w:lineRule="auto"/>
        <w:rPr>
          <w:rFonts w:ascii="仿宋_GB2312" w:hAnsi="仿宋_GB2312" w:eastAsia="仿宋_GB2312" w:cs="仿宋_GB2312"/>
          <w:b w:val="0"/>
          <w:color w:val="000000"/>
          <w:sz w:val="18"/>
          <w:szCs w:val="18"/>
          <w:highlight w:val="none"/>
        </w:rPr>
      </w:pPr>
      <w:bookmarkStart w:id="676" w:name="_Toc351203577"/>
      <w:r>
        <w:rPr>
          <w:rFonts w:hint="eastAsia" w:ascii="仿宋_GB2312" w:hAnsi="仿宋_GB2312" w:eastAsia="仿宋_GB2312" w:cs="仿宋_GB2312"/>
          <w:b w:val="0"/>
          <w:color w:val="000000"/>
          <w:sz w:val="18"/>
          <w:szCs w:val="18"/>
          <w:highlight w:val="none"/>
        </w:rPr>
        <w:t>11. 价格调整</w:t>
      </w:r>
      <w:bookmarkEnd w:id="676"/>
    </w:p>
    <w:p w14:paraId="14F559E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77" w:name="_Toc351203578"/>
      <w:bookmarkStart w:id="678" w:name="_Toc296346593"/>
      <w:bookmarkStart w:id="679" w:name="_Toc337558797"/>
      <w:bookmarkStart w:id="680" w:name="_Toc296503092"/>
      <w:r>
        <w:rPr>
          <w:rFonts w:hint="eastAsia" w:ascii="仿宋_GB2312" w:hAnsi="仿宋_GB2312" w:eastAsia="仿宋_GB2312" w:cs="仿宋_GB2312"/>
          <w:b w:val="0"/>
          <w:color w:val="000000"/>
          <w:sz w:val="18"/>
          <w:szCs w:val="18"/>
          <w:highlight w:val="none"/>
        </w:rPr>
        <w:t>11.1市场价格波动引起的调整</w:t>
      </w:r>
      <w:bookmarkEnd w:id="677"/>
    </w:p>
    <w:bookmarkEnd w:id="678"/>
    <w:bookmarkEnd w:id="679"/>
    <w:bookmarkEnd w:id="680"/>
    <w:p w14:paraId="780E6DE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除专用合同条款另有约定外，市场价格波动超过合同当事人约定的范围，合同价格应当调整。合同当事人可以在专用合同条款中约定选择以下一种方式对合同价格进行调整：</w:t>
      </w:r>
    </w:p>
    <w:p w14:paraId="0E9106D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第1种方式：采用价格指数进行价格调整。</w:t>
      </w:r>
    </w:p>
    <w:p w14:paraId="0C76A39B">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（1）价格调整公式</w:t>
      </w:r>
    </w:p>
    <w:p w14:paraId="0CFF99AF">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因人工、材料和设备等价格波动影响合同价格时，根据专用合同条款中约定的数据，按以下公式计算差额并调整合同价格：</w:t>
      </w:r>
    </w:p>
    <w:p w14:paraId="34536610">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position w:val="-30"/>
          <w:sz w:val="18"/>
          <w:szCs w:val="18"/>
          <w:highlight w:val="none"/>
        </w:rPr>
        <w:object>
          <v:shape id="_x0000_i1025" o:spt="75" type="#_x0000_t75" style="height:44.4pt;width:360pt;" o:ole="t" filled="f" o:preferrelative="t" stroked="f" coordsize="21600,21600">
            <v:path/>
            <v:fill on="f" focussize="0,0"/>
            <v:stroke on="f"/>
            <v:imagedata r:id="rId33" o:title=""/>
            <o:lock v:ext="edit" aspectratio="t"/>
            <w10:wrap type="none"/>
            <w10:anchorlock/>
          </v:shape>
          <o:OLEObject Type="Embed" ProgID="Equation.3" ShapeID="_x0000_i1025" DrawAspect="Content" ObjectID="_1468075725" r:id="rId32">
            <o:LockedField>false</o:LockedField>
          </o:OLEObject>
        </w:object>
      </w:r>
    </w:p>
    <w:p w14:paraId="470DDEEF">
      <w:pPr>
        <w:tabs>
          <w:tab w:val="left" w:pos="0"/>
          <w:tab w:val="left" w:pos="360"/>
          <w:tab w:val="left" w:pos="540"/>
        </w:tabs>
        <w:ind w:firstLine="64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公式中：ΔP——需调整的价格差额；</w:t>
      </w:r>
    </w:p>
    <w:p w14:paraId="75594AB7">
      <w:pPr>
        <w:tabs>
          <w:tab w:val="left" w:pos="0"/>
          <w:tab w:val="left" w:pos="360"/>
          <w:tab w:val="left" w:pos="540"/>
        </w:tabs>
        <w:ind w:firstLine="1080" w:firstLineChars="6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position w:val="-6"/>
          <w:sz w:val="18"/>
          <w:szCs w:val="18"/>
          <w:highlight w:val="none"/>
        </w:rPr>
        <w:object>
          <v:shape id="_x0000_i1026"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3" ShapeID="_x0000_i1026" DrawAspect="Content" ObjectID="_1468075726" r:id="rId34">
            <o:LockedField>false</o:LockedField>
          </o:OLEObject>
        </w:object>
      </w:r>
      <w:r>
        <w:rPr>
          <w:rFonts w:hint="eastAsia" w:ascii="仿宋_GB2312" w:hAnsi="仿宋_GB2312" w:eastAsia="仿宋_GB2312" w:cs="仿宋_GB2312"/>
          <w:color w:val="000000"/>
          <w:sz w:val="18"/>
          <w:szCs w:val="18"/>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768D40F">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A——定值权重（即不调部分的权重）；</w:t>
      </w:r>
    </w:p>
    <w:p w14:paraId="2C7D5B01">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position w:val="-10"/>
          <w:sz w:val="18"/>
          <w:szCs w:val="18"/>
          <w:highlight w:val="none"/>
        </w:rPr>
        <w:object>
          <v:shape id="_x0000_i1027" o:spt="75" type="#_x0000_t75" style="height:21pt;width:101.4pt;" o:ole="t" filled="f" o:preferrelative="t" stroked="f" coordsize="21600,21600">
            <v:path/>
            <v:fill on="f" focussize="0,0"/>
            <v:stroke on="f" joinstyle="miter"/>
            <v:imagedata r:id="rId37" o:title=""/>
            <o:lock v:ext="edit" aspectratio="t"/>
            <w10:wrap type="none"/>
            <w10:anchorlock/>
          </v:shape>
          <o:OLEObject Type="Embed" ProgID="Equation.3" ShapeID="_x0000_i1027" DrawAspect="Content" ObjectID="_1468075727" r:id="rId36">
            <o:LockedField>false</o:LockedField>
          </o:OLEObject>
        </w:object>
      </w:r>
      <w:r>
        <w:rPr>
          <w:rFonts w:hint="eastAsia" w:ascii="仿宋_GB2312" w:hAnsi="仿宋_GB2312" w:eastAsia="仿宋_GB2312" w:cs="仿宋_GB2312"/>
          <w:color w:val="000000"/>
          <w:sz w:val="18"/>
          <w:szCs w:val="18"/>
          <w:highlight w:val="none"/>
        </w:rPr>
        <w:t>——各可调因子的变值权重（即可调部分的权重），为各可调因子在签约合同价中所占的比例；</w:t>
      </w:r>
    </w:p>
    <w:p w14:paraId="3F7E5532">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position w:val="-10"/>
          <w:sz w:val="18"/>
          <w:szCs w:val="18"/>
          <w:highlight w:val="none"/>
        </w:rPr>
        <w:object>
          <v:shape id="_x0000_i1028" o:spt="75" type="#_x0000_t75" style="height:20.4pt;width:102pt;" o:ole="t" filled="f" o:preferrelative="t" stroked="f" coordsize="21600,21600">
            <v:path/>
            <v:fill on="f" focussize="0,0"/>
            <v:stroke on="f" joinstyle="miter"/>
            <v:imagedata r:id="rId39" o:title=""/>
            <o:lock v:ext="edit" aspectratio="t"/>
            <w10:wrap type="none"/>
            <w10:anchorlock/>
          </v:shape>
          <o:OLEObject Type="Embed" ProgID="Equation.3" ShapeID="_x0000_i1028" DrawAspect="Content" ObjectID="_1468075728" r:id="rId38">
            <o:LockedField>false</o:LockedField>
          </o:OLEObject>
        </w:object>
      </w:r>
      <w:r>
        <w:rPr>
          <w:rFonts w:hint="eastAsia" w:ascii="仿宋_GB2312" w:hAnsi="仿宋_GB2312" w:eastAsia="仿宋_GB2312" w:cs="仿宋_GB2312"/>
          <w:color w:val="000000"/>
          <w:sz w:val="18"/>
          <w:szCs w:val="18"/>
          <w:highlight w:val="none"/>
        </w:rPr>
        <w:t>——各可调因子的现行价格指数，指约定的付款证书相关周期最后一天的前42天的各可调因子的价格指数；</w:t>
      </w:r>
    </w:p>
    <w:p w14:paraId="6A60A5CF">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position w:val="-10"/>
          <w:sz w:val="18"/>
          <w:szCs w:val="18"/>
          <w:highlight w:val="none"/>
        </w:rPr>
        <w:object>
          <v:shape id="_x0000_i1029" o:spt="75" type="#_x0000_t75" style="height:20.4pt;width:108pt;" o:ole="t" filled="f" o:preferrelative="t" stroked="f" coordsize="21600,21600">
            <v:path/>
            <v:fill on="f" focussize="0,0"/>
            <v:stroke on="f" joinstyle="miter"/>
            <v:imagedata r:id="rId41" o:title=""/>
            <o:lock v:ext="edit" aspectratio="t"/>
            <w10:wrap type="none"/>
            <w10:anchorlock/>
          </v:shape>
          <o:OLEObject Type="Embed" ProgID="Equation.3" ShapeID="_x0000_i1029" DrawAspect="Content" ObjectID="_1468075729" r:id="rId40">
            <o:LockedField>false</o:LockedField>
          </o:OLEObject>
        </w:object>
      </w:r>
      <w:r>
        <w:rPr>
          <w:rFonts w:hint="eastAsia" w:ascii="仿宋_GB2312" w:hAnsi="仿宋_GB2312" w:eastAsia="仿宋_GB2312" w:cs="仿宋_GB2312"/>
          <w:color w:val="000000"/>
          <w:sz w:val="18"/>
          <w:szCs w:val="18"/>
          <w:highlight w:val="none"/>
        </w:rPr>
        <w:t>——各可调因子的基本价格指数，指基准日期的各可调因子的价格指数。</w:t>
      </w:r>
    </w:p>
    <w:p w14:paraId="3AD69EEE">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00CA108">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（2）暂时确定调整差额</w:t>
      </w:r>
    </w:p>
    <w:p w14:paraId="14114C57">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在计算调整差额时无现行价格指数的，合同当事人同意暂用前次价格指数计算。实际价格指数有调整的，合同当事人进行相应调整。</w:t>
      </w:r>
    </w:p>
    <w:p w14:paraId="1165B61E">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（3）权重的调整</w:t>
      </w:r>
    </w:p>
    <w:p w14:paraId="394E3A9F">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因变更导致合同约定的权重不合理时，按照第4.4款〔商定或确定〕执行。</w:t>
      </w:r>
    </w:p>
    <w:p w14:paraId="0A30E282">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（4）因承包人原因工期延误后的价格调整</w:t>
      </w:r>
    </w:p>
    <w:p w14:paraId="15B47C60">
      <w:pPr>
        <w:tabs>
          <w:tab w:val="left" w:pos="0"/>
          <w:tab w:val="left" w:pos="360"/>
          <w:tab w:val="left" w:pos="540"/>
        </w:tabs>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E48850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第2种方式：采用造价信息进行价格调整。</w:t>
      </w:r>
    </w:p>
    <w:p w14:paraId="252692B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9CC215D">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9290D5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（2）材料、工程设备价格变化的价款调整按照发包人提供的基准价格，按以下风险范围规定执行:</w:t>
      </w:r>
    </w:p>
    <w:p w14:paraId="671A0E0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5F6F62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115ED9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③承包人在已标价工程量清单或预算书中载明材料单价等于基准价格的：除专用合同条款另有约定外，合同履行期间材料单价涨跌幅以基准价格为基础超过±5%时，其超过部分据实调整。</w:t>
      </w:r>
    </w:p>
    <w:p w14:paraId="1A3915E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F7C81EB">
      <w:pPr>
        <w:ind w:firstLine="360" w:firstLineChars="200"/>
        <w:rPr>
          <w:rFonts w:ascii="仿宋_GB2312" w:hAnsi="仿宋_GB2312" w:eastAsia="仿宋_GB2312" w:cs="仿宋_GB2312"/>
          <w:color w:val="000000"/>
          <w:sz w:val="18"/>
          <w:szCs w:val="18"/>
          <w:highlight w:val="none"/>
        </w:rPr>
      </w:pPr>
      <w:bookmarkStart w:id="681" w:name="OLE_LINK3"/>
      <w:r>
        <w:rPr>
          <w:rFonts w:hint="eastAsia" w:ascii="仿宋_GB2312" w:hAnsi="仿宋_GB2312" w:eastAsia="仿宋_GB2312" w:cs="仿宋_GB2312"/>
          <w:color w:val="000000"/>
          <w:sz w:val="18"/>
          <w:szCs w:val="18"/>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9FFE7A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（3）施工机械台班单价或施工机械使用费发生变化超过省级或行业建设主管部门或其授权的工程造价管理机构规定的范围时，按规定调整合同价格。</w:t>
      </w:r>
    </w:p>
    <w:p w14:paraId="70318A2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第3种方式：专用合同条款约定的其他方式。</w:t>
      </w:r>
    </w:p>
    <w:p w14:paraId="2F758E8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82" w:name="_Toc351203579"/>
      <w:bookmarkStart w:id="683" w:name="_Toc337558798"/>
      <w:bookmarkStart w:id="684" w:name="_Toc296346594"/>
      <w:bookmarkStart w:id="685" w:name="_Toc296503093"/>
      <w:r>
        <w:rPr>
          <w:rFonts w:hint="eastAsia" w:ascii="仿宋_GB2312" w:hAnsi="仿宋_GB2312" w:eastAsia="仿宋_GB2312" w:cs="仿宋_GB2312"/>
          <w:b w:val="0"/>
          <w:color w:val="000000"/>
          <w:sz w:val="18"/>
          <w:szCs w:val="18"/>
          <w:highlight w:val="none"/>
        </w:rPr>
        <w:t>11.2法律变化引起的调整</w:t>
      </w:r>
      <w:bookmarkEnd w:id="682"/>
    </w:p>
    <w:bookmarkEnd w:id="683"/>
    <w:bookmarkEnd w:id="684"/>
    <w:bookmarkEnd w:id="685"/>
    <w:p w14:paraId="04EF0D66">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BB60CB3">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因法律变化引起的合同价格和工期调整，合同当事人无法达成一致的，由总监理工程师按第4.4款〔商定或确定〕的约定处理。</w:t>
      </w:r>
    </w:p>
    <w:p w14:paraId="0A1DD56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因承包人原因造成工期延误，在工期延误期间出现法律变化的，由此增加的费用和（或）延误的工期由承包人承担。</w:t>
      </w:r>
    </w:p>
    <w:p w14:paraId="68596D23">
      <w:pPr>
        <w:pStyle w:val="5"/>
        <w:spacing w:before="120" w:after="120" w:line="240" w:lineRule="auto"/>
        <w:rPr>
          <w:rFonts w:ascii="仿宋_GB2312" w:hAnsi="仿宋_GB2312" w:eastAsia="仿宋_GB2312" w:cs="仿宋_GB2312"/>
          <w:b w:val="0"/>
          <w:color w:val="000000"/>
          <w:sz w:val="18"/>
          <w:szCs w:val="18"/>
          <w:highlight w:val="none"/>
        </w:rPr>
      </w:pPr>
      <w:bookmarkStart w:id="686" w:name="_Toc351203580"/>
      <w:bookmarkStart w:id="687" w:name="_Toc337558799"/>
      <w:bookmarkStart w:id="688" w:name="_Toc296346597"/>
      <w:bookmarkStart w:id="689" w:name="_Toc296503096"/>
      <w:r>
        <w:rPr>
          <w:rFonts w:hint="eastAsia" w:ascii="仿宋_GB2312" w:hAnsi="仿宋_GB2312" w:eastAsia="仿宋_GB2312" w:cs="仿宋_GB2312"/>
          <w:b w:val="0"/>
          <w:color w:val="000000"/>
          <w:sz w:val="18"/>
          <w:szCs w:val="18"/>
          <w:highlight w:val="none"/>
        </w:rPr>
        <w:t>12. 合同价格、计量与支付</w:t>
      </w:r>
      <w:bookmarkEnd w:id="686"/>
    </w:p>
    <w:bookmarkEnd w:id="687"/>
    <w:p w14:paraId="7A611A57">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90" w:name="_Toc351203581"/>
      <w:bookmarkStart w:id="691" w:name="_Toc337558800"/>
      <w:r>
        <w:rPr>
          <w:rFonts w:hint="eastAsia" w:ascii="仿宋_GB2312" w:hAnsi="仿宋_GB2312" w:eastAsia="仿宋_GB2312" w:cs="仿宋_GB2312"/>
          <w:b w:val="0"/>
          <w:color w:val="000000"/>
          <w:sz w:val="18"/>
          <w:szCs w:val="18"/>
          <w:highlight w:val="none"/>
        </w:rPr>
        <w:t>12.1 合同价</w:t>
      </w:r>
      <w:bookmarkEnd w:id="688"/>
      <w:bookmarkEnd w:id="689"/>
      <w:r>
        <w:rPr>
          <w:rFonts w:hint="eastAsia" w:ascii="仿宋_GB2312" w:hAnsi="仿宋_GB2312" w:eastAsia="仿宋_GB2312" w:cs="仿宋_GB2312"/>
          <w:b w:val="0"/>
          <w:color w:val="000000"/>
          <w:sz w:val="18"/>
          <w:szCs w:val="18"/>
          <w:highlight w:val="none"/>
        </w:rPr>
        <w:t>格形式</w:t>
      </w:r>
      <w:bookmarkEnd w:id="690"/>
    </w:p>
    <w:bookmarkEnd w:id="691"/>
    <w:p w14:paraId="7596FEF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发包人和承包人应在合同协议书中选择下列一种合同价格形式： </w:t>
      </w:r>
    </w:p>
    <w:p w14:paraId="520FFEF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1.单价合同</w:t>
      </w:r>
    </w:p>
    <w:p w14:paraId="3308B6A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单价合同是指合同当事人约定以工程量清单及其综合单价进行合同价格计算、调整和确认的建设工程施工合同，</w:t>
      </w:r>
      <w:r>
        <w:rPr>
          <w:rFonts w:hint="eastAsia" w:ascii="仿宋_GB2312" w:hAnsi="仿宋_GB2312" w:eastAsia="仿宋_GB2312" w:cs="仿宋_GB2312"/>
          <w:sz w:val="18"/>
          <w:szCs w:val="18"/>
          <w:highlight w:val="none"/>
        </w:rPr>
        <w:t>在约定的范围内合同单价不作调整</w:t>
      </w:r>
      <w:r>
        <w:rPr>
          <w:rFonts w:hint="eastAsia" w:ascii="仿宋_GB2312" w:hAnsi="仿宋_GB2312" w:eastAsia="仿宋_GB2312" w:cs="仿宋_GB2312"/>
          <w:color w:val="000000"/>
          <w:kern w:val="0"/>
          <w:sz w:val="18"/>
          <w:szCs w:val="18"/>
          <w:highlight w:val="none"/>
        </w:rPr>
        <w:t>。合同当事人应在专用合同条款中约定综合单价包含的风险范围和风险费用的计算方法</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color w:val="000000"/>
          <w:kern w:val="0"/>
          <w:sz w:val="18"/>
          <w:szCs w:val="18"/>
          <w:highlight w:val="none"/>
        </w:rPr>
        <w:t>并约定风险范围以外的合同价格的调整方法，其中因市场价格波动引起的调整按第11.1款〔市场价格波动引起的调整〕约定执行。</w:t>
      </w:r>
    </w:p>
    <w:p w14:paraId="6A2D5B3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2.总价合同</w:t>
      </w:r>
    </w:p>
    <w:p w14:paraId="1B7462E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总价合同是指合同当事人约定以施工图、已标价工程量清单或预算书及有关条件进行合同价格计算、调整和确认的建设工程施工合同，</w:t>
      </w:r>
      <w:r>
        <w:rPr>
          <w:rFonts w:hint="eastAsia" w:ascii="仿宋_GB2312" w:hAnsi="仿宋_GB2312" w:eastAsia="仿宋_GB2312" w:cs="仿宋_GB2312"/>
          <w:sz w:val="18"/>
          <w:szCs w:val="18"/>
          <w:highlight w:val="none"/>
        </w:rPr>
        <w:t>在约定的范围内合同总价不作调整</w:t>
      </w:r>
      <w:r>
        <w:rPr>
          <w:rFonts w:hint="eastAsia" w:ascii="仿宋_GB2312" w:hAnsi="仿宋_GB2312" w:eastAsia="仿宋_GB2312" w:cs="仿宋_GB2312"/>
          <w:color w:val="000000"/>
          <w:kern w:val="0"/>
          <w:sz w:val="18"/>
          <w:szCs w:val="18"/>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ABFE31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3.其它价格形式</w:t>
      </w:r>
    </w:p>
    <w:p w14:paraId="2D2BB86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合同当事人可在专用合同条款中约定其他合同价格形式。</w:t>
      </w:r>
    </w:p>
    <w:p w14:paraId="55678E8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92" w:name="_Toc296503097"/>
      <w:bookmarkStart w:id="693" w:name="_Toc296346598"/>
      <w:bookmarkStart w:id="694" w:name="_Toc351203582"/>
      <w:bookmarkStart w:id="695" w:name="_Toc337558801"/>
      <w:r>
        <w:rPr>
          <w:rFonts w:hint="eastAsia" w:ascii="仿宋_GB2312" w:hAnsi="仿宋_GB2312" w:eastAsia="仿宋_GB2312" w:cs="仿宋_GB2312"/>
          <w:b w:val="0"/>
          <w:color w:val="000000"/>
          <w:sz w:val="18"/>
          <w:szCs w:val="18"/>
          <w:highlight w:val="none"/>
        </w:rPr>
        <w:t>12.2预</w:t>
      </w:r>
      <w:bookmarkEnd w:id="692"/>
      <w:bookmarkEnd w:id="693"/>
      <w:bookmarkStart w:id="696" w:name="_Toc296346601"/>
      <w:bookmarkStart w:id="697" w:name="_Toc296503100"/>
      <w:r>
        <w:rPr>
          <w:rFonts w:hint="eastAsia" w:ascii="仿宋_GB2312" w:hAnsi="仿宋_GB2312" w:eastAsia="仿宋_GB2312" w:cs="仿宋_GB2312"/>
          <w:b w:val="0"/>
          <w:color w:val="000000"/>
          <w:sz w:val="18"/>
          <w:szCs w:val="18"/>
          <w:highlight w:val="none"/>
        </w:rPr>
        <w:t>付款</w:t>
      </w:r>
      <w:bookmarkEnd w:id="694"/>
    </w:p>
    <w:bookmarkEnd w:id="695"/>
    <w:bookmarkEnd w:id="696"/>
    <w:bookmarkEnd w:id="697"/>
    <w:p w14:paraId="20DD6D9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12.2.</w:t>
      </w:r>
      <w:r>
        <w:rPr>
          <w:rFonts w:hint="eastAsia" w:ascii="仿宋_GB2312" w:hAnsi="仿宋_GB2312" w:eastAsia="仿宋_GB2312" w:cs="仿宋_GB2312"/>
          <w:color w:val="000000"/>
          <w:kern w:val="0"/>
          <w:sz w:val="18"/>
          <w:szCs w:val="18"/>
          <w:highlight w:val="none"/>
        </w:rPr>
        <w:t>1预付款的支付</w:t>
      </w:r>
    </w:p>
    <w:p w14:paraId="4E3700D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预付款的支付按照专用合同条款约定执行，但至迟应在开工通知载明的开工日期7天前支付。预付款应当用于材料、工程设备、施工设备的采购及修建临时工程、组织施工队伍进场等。</w:t>
      </w:r>
    </w:p>
    <w:p w14:paraId="52AF589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除专用合同条款另有约定外，预付款在进度付款中同比例扣回。</w:t>
      </w:r>
      <w:bookmarkEnd w:id="681"/>
      <w:r>
        <w:rPr>
          <w:rFonts w:hint="eastAsia" w:ascii="仿宋_GB2312" w:hAnsi="仿宋_GB2312" w:eastAsia="仿宋_GB2312" w:cs="仿宋_GB2312"/>
          <w:color w:val="000000"/>
          <w:kern w:val="0"/>
          <w:sz w:val="18"/>
          <w:szCs w:val="18"/>
          <w:highlight w:val="none"/>
        </w:rPr>
        <w:t>在颁发工程接收证书前，提前解除合同的，尚未扣完的预付款应与合同价款一并结算。</w:t>
      </w:r>
    </w:p>
    <w:p w14:paraId="4A9E748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发包人逾期支付预付款超过7天的，承包人有权向发包人发出要求预付的催告通知，发包人收到通知后28天内仍未支付的，承包人有权暂停施工，并按第16.1.1项〔发包人违约的情形〕执行。</w:t>
      </w:r>
    </w:p>
    <w:p w14:paraId="4762A1D3">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12.2.2 预付款担保</w:t>
      </w:r>
    </w:p>
    <w:p w14:paraId="15322B0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2B2F08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发包人在工程款中逐期扣回预付款后，预付款担保额度应相应减少，但剩余的预付款担保金额不得低于未被扣回的预付款金额。</w:t>
      </w:r>
    </w:p>
    <w:p w14:paraId="1AD7591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698" w:name="_Toc351203583"/>
      <w:bookmarkStart w:id="699" w:name="_Toc337558802"/>
      <w:r>
        <w:rPr>
          <w:rFonts w:hint="eastAsia" w:ascii="仿宋_GB2312" w:hAnsi="仿宋_GB2312" w:eastAsia="仿宋_GB2312" w:cs="仿宋_GB2312"/>
          <w:b w:val="0"/>
          <w:color w:val="000000"/>
          <w:sz w:val="18"/>
          <w:szCs w:val="18"/>
          <w:highlight w:val="none"/>
        </w:rPr>
        <w:t>12.3计量</w:t>
      </w:r>
      <w:bookmarkEnd w:id="698"/>
    </w:p>
    <w:bookmarkEnd w:id="699"/>
    <w:p w14:paraId="405BB2F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12.3.1 计量原则</w:t>
      </w:r>
    </w:p>
    <w:p w14:paraId="6C69492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工程量计量按照合同约定的工程量计算规则、图纸及变更指示等进行计量。工程量计算规则应以相关的国家标准、行业标准等为依据，由合同当事人在专用合同条款中约定。</w:t>
      </w:r>
    </w:p>
    <w:p w14:paraId="75667BD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12.3.2 计量周期</w:t>
      </w:r>
    </w:p>
    <w:p w14:paraId="42DA6AE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除专用合同条款另有约定外，工程量的计量按月进行。</w:t>
      </w:r>
    </w:p>
    <w:p w14:paraId="6B5F573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12.3.3 单价合同的计量</w:t>
      </w:r>
    </w:p>
    <w:p w14:paraId="054E4C3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除专用合同条款另有约定外，单价合同的计量按照本项约定执行：</w:t>
      </w:r>
    </w:p>
    <w:p w14:paraId="4299FD9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（1）承包人应于每月25日向监理人报送上月20日至当月19日已完成的工程量报告，并附具进度付款申请单、已完成工程量报表和有关资料。</w:t>
      </w:r>
    </w:p>
    <w:p w14:paraId="24EFDAC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681968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（3）监理人未在收到承包人提交的工程量报表后的7天内完成审核的，承包人报送的工程量报告中的工程量视为承包人实际完成的工程量，据此计算工程价款。</w:t>
      </w:r>
    </w:p>
    <w:p w14:paraId="4EB7FE3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12.3.4 总价合同的计量</w:t>
      </w:r>
    </w:p>
    <w:p w14:paraId="71EDA2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除专用合同条款另有约定外，按月计量支付的总价合同，按照本项约定执行：</w:t>
      </w:r>
    </w:p>
    <w:p w14:paraId="1E1E417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（1）承包人应于每月25日向监理人报送上月20日至当月19日已完成的工程量报告，并附具进度付款申请单、已完成工程量报表和有关资料。</w:t>
      </w:r>
    </w:p>
    <w:p w14:paraId="6816AE5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23962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（3）监理人未在收到承包人提交的工程量报表后的7天内完成复核的，承包人提交的工程量报告中的工程量视为承包人实际完成的工程量。</w:t>
      </w:r>
    </w:p>
    <w:p w14:paraId="1B02DD0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12.3.5 总价合同采用支付分解表计量支付的，可以按照第12.3.4项〔总价合同的计量〕约定进行计量，但合同价款按照支付分解表进行支付。</w:t>
      </w:r>
    </w:p>
    <w:p w14:paraId="0DC792E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12.3.6 其他价格形式合同的计量</w:t>
      </w:r>
    </w:p>
    <w:p w14:paraId="78F1840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合同当事人可在专用合同条款中约定其他价格形式合同的计量方式和程序。</w:t>
      </w:r>
    </w:p>
    <w:p w14:paraId="5838D726">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00" w:name="_Toc296503101"/>
      <w:bookmarkStart w:id="701" w:name="_Toc296346602"/>
      <w:bookmarkStart w:id="702" w:name="_Toc351203584"/>
      <w:bookmarkStart w:id="703" w:name="_Toc337558803"/>
      <w:r>
        <w:rPr>
          <w:rFonts w:hint="eastAsia" w:ascii="仿宋_GB2312" w:hAnsi="仿宋_GB2312" w:eastAsia="仿宋_GB2312" w:cs="仿宋_GB2312"/>
          <w:b w:val="0"/>
          <w:color w:val="000000"/>
          <w:sz w:val="18"/>
          <w:szCs w:val="18"/>
          <w:highlight w:val="none"/>
        </w:rPr>
        <w:t>12.4工程进度款支</w:t>
      </w:r>
      <w:bookmarkEnd w:id="700"/>
      <w:bookmarkEnd w:id="701"/>
      <w:r>
        <w:rPr>
          <w:rFonts w:hint="eastAsia" w:ascii="仿宋_GB2312" w:hAnsi="仿宋_GB2312" w:eastAsia="仿宋_GB2312" w:cs="仿宋_GB2312"/>
          <w:b w:val="0"/>
          <w:color w:val="000000"/>
          <w:sz w:val="18"/>
          <w:szCs w:val="18"/>
          <w:highlight w:val="none"/>
        </w:rPr>
        <w:t>付</w:t>
      </w:r>
      <w:bookmarkEnd w:id="702"/>
    </w:p>
    <w:bookmarkEnd w:id="703"/>
    <w:p w14:paraId="02EE7868">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12.4</w:t>
      </w:r>
      <w:r>
        <w:rPr>
          <w:rFonts w:hint="eastAsia" w:ascii="仿宋_GB2312" w:hAnsi="仿宋_GB2312" w:eastAsia="仿宋_GB2312" w:cs="仿宋_GB2312"/>
          <w:color w:val="000000"/>
          <w:kern w:val="0"/>
          <w:sz w:val="18"/>
          <w:szCs w:val="18"/>
          <w:highlight w:val="none"/>
        </w:rPr>
        <w:t>.1 付款周期</w:t>
      </w:r>
    </w:p>
    <w:p w14:paraId="5904F22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除专用合同条款另有约定外，付款周期应按照第12.3.2项〔计量周期〕的约定与计量周期保持一致。</w:t>
      </w:r>
    </w:p>
    <w:p w14:paraId="35D64FA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12.4</w:t>
      </w:r>
      <w:r>
        <w:rPr>
          <w:rFonts w:hint="eastAsia" w:ascii="仿宋_GB2312" w:hAnsi="仿宋_GB2312" w:eastAsia="仿宋_GB2312" w:cs="仿宋_GB2312"/>
          <w:color w:val="000000"/>
          <w:kern w:val="0"/>
          <w:sz w:val="18"/>
          <w:szCs w:val="18"/>
          <w:highlight w:val="none"/>
        </w:rPr>
        <w:t>.2 进度付款申请单的编制</w:t>
      </w:r>
    </w:p>
    <w:p w14:paraId="10EABE4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除专用合同条款另有约定外，进度付款申请单应包括下列内容：</w:t>
      </w:r>
    </w:p>
    <w:p w14:paraId="43494D8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（1）截至本次付款周期已完成工作对应的金额；</w:t>
      </w:r>
    </w:p>
    <w:p w14:paraId="104100E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（2）根据第10条〔变更〕应增加和扣减的变更金额；</w:t>
      </w:r>
    </w:p>
    <w:p w14:paraId="70C36B2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（3）根据第12.2款〔预付款〕约定应支付的预付款和扣减的返还预付款；</w:t>
      </w:r>
    </w:p>
    <w:p w14:paraId="0E06CDC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（4）根据第15.3款〔质量保证金〕约定应扣减的质量保证金；</w:t>
      </w:r>
    </w:p>
    <w:p w14:paraId="773CC5E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（5）根据第19条〔索赔〕应增加和扣减的索赔金额；</w:t>
      </w:r>
    </w:p>
    <w:p w14:paraId="301C82C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（6）对已签发的进度款支付证书中出现错误的修正，应在本次进度付款中支付或扣除的金额；</w:t>
      </w:r>
    </w:p>
    <w:p w14:paraId="2A22B48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（7）根据合同约定应增加和扣减的其他金额。</w:t>
      </w:r>
    </w:p>
    <w:p w14:paraId="2F649738">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12.4.3 进度付款申请单的提交</w:t>
      </w:r>
    </w:p>
    <w:p w14:paraId="2651F1E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（1）单价合同进度付款申请单的提交</w:t>
      </w:r>
    </w:p>
    <w:p w14:paraId="4D2E84B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9B4619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（2）总价合同进度付款申请单的提交</w:t>
      </w:r>
    </w:p>
    <w:p w14:paraId="49ABFF8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总价合同按月计量支付的，承包人按照第12.3.4项〔总价合同的计量〕约定的时间按月向监理人提交进度付款申请单，并附上已完成工程量报表和有关资料。</w:t>
      </w:r>
    </w:p>
    <w:p w14:paraId="242DE1F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总价合同按支付分解表支付的，承包人应按照第12.4.6项〔支付分解表〕及第12.4.2项〔进度付款申请单的编制〕的约定向监理人提交进度付款申请单。</w:t>
      </w:r>
    </w:p>
    <w:p w14:paraId="1ED4F70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（3）其他价格形式合同的进度付款申请单的提交</w:t>
      </w:r>
    </w:p>
    <w:p w14:paraId="65D146B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合同当事人可在专用合同条款中约定其他价格形式合同的进度付款申请单的编制和提交程序。</w:t>
      </w:r>
    </w:p>
    <w:p w14:paraId="057812C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12.4</w:t>
      </w:r>
      <w:r>
        <w:rPr>
          <w:rFonts w:hint="eastAsia" w:ascii="仿宋_GB2312" w:hAnsi="仿宋_GB2312" w:eastAsia="仿宋_GB2312" w:cs="仿宋_GB2312"/>
          <w:color w:val="000000"/>
          <w:kern w:val="0"/>
          <w:sz w:val="18"/>
          <w:szCs w:val="18"/>
          <w:highlight w:val="none"/>
        </w:rPr>
        <w:t>.4 进度款审核和支付</w:t>
      </w:r>
    </w:p>
    <w:p w14:paraId="75C55CD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9C71B9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B16C15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FCF5A3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（3）发包人签发进度款支付证书或临时进度款支付证书，不表明发包人已同意、批准或接受了承包人完成的相应部分的工作。</w:t>
      </w:r>
    </w:p>
    <w:p w14:paraId="6046494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12.4.5 进度付款的修正</w:t>
      </w:r>
    </w:p>
    <w:p w14:paraId="318EE93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在对已签发的进度款支付证书进行阶段汇总和复核中发现错误、遗漏或重复的，发包人和承包人均有权提出修正申请。经发包人和承包人同意的修正，应在下期进度付款中支付或扣除。</w:t>
      </w:r>
    </w:p>
    <w:p w14:paraId="3790D79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12.4.6 支付分解表</w:t>
      </w:r>
    </w:p>
    <w:p w14:paraId="1EB1038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1.支付分解表的编制要求</w:t>
      </w:r>
    </w:p>
    <w:p w14:paraId="5D90255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（1）支付分解表中所列的每期付款金额，应为第12.4.2项〔进度付款申请单的编制〕第（1）目的估算金额；</w:t>
      </w:r>
    </w:p>
    <w:p w14:paraId="5BD2FF9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（2）实际进度与施工进度计划不一致的，合同当事人可按照第4.4款〔商定或确定〕修改支付分解表；</w:t>
      </w:r>
    </w:p>
    <w:p w14:paraId="1F47830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（3）不采用支付分解表的，承包人应向发包人和监理人提交按季度编制的支付估算分解表，用于支付参考。</w:t>
      </w:r>
    </w:p>
    <w:p w14:paraId="47FA5FB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2.总价合同支付分解表的编制与审批</w:t>
      </w:r>
    </w:p>
    <w:p w14:paraId="1B65868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7EC454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（2）监理人应在收到支付分解表后7天内完成审核并报送发包人。发包人应在收到经监理人审核的支付分解表后7天内完成审批，经发包人批准的支付分解表为有约束力的支付分解表。</w:t>
      </w:r>
    </w:p>
    <w:p w14:paraId="347A8AAE">
      <w:pPr>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（3）发包人逾期未完成支付分解表审批的，也未及时要求承包人进行修正和提供补充资料的，则承包人提交的支付分解表视为已经获得发包人批准。</w:t>
      </w:r>
    </w:p>
    <w:p w14:paraId="4A4D1EC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3.单价合同的总价项目支付分解表的编制与审批</w:t>
      </w:r>
    </w:p>
    <w:p w14:paraId="1F9A6D0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CECCA4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04" w:name="_Toc351203585"/>
      <w:r>
        <w:rPr>
          <w:rFonts w:hint="eastAsia" w:ascii="仿宋_GB2312" w:hAnsi="仿宋_GB2312" w:eastAsia="仿宋_GB2312" w:cs="仿宋_GB2312"/>
          <w:b w:val="0"/>
          <w:color w:val="000000"/>
          <w:sz w:val="18"/>
          <w:szCs w:val="18"/>
          <w:highlight w:val="none"/>
        </w:rPr>
        <w:t>12.5支付账户</w:t>
      </w:r>
      <w:bookmarkEnd w:id="704"/>
    </w:p>
    <w:p w14:paraId="5FF1E6C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发包人应将合同价款支付至合同协议书中约定的承包人账户。</w:t>
      </w:r>
    </w:p>
    <w:p w14:paraId="49EBCCD8">
      <w:pPr>
        <w:pStyle w:val="5"/>
        <w:spacing w:before="120" w:after="120" w:line="240" w:lineRule="auto"/>
        <w:rPr>
          <w:rFonts w:ascii="仿宋_GB2312" w:hAnsi="仿宋_GB2312" w:eastAsia="仿宋_GB2312" w:cs="仿宋_GB2312"/>
          <w:b w:val="0"/>
          <w:color w:val="000000"/>
          <w:sz w:val="18"/>
          <w:szCs w:val="18"/>
          <w:highlight w:val="none"/>
        </w:rPr>
      </w:pPr>
      <w:bookmarkStart w:id="705" w:name="_Toc351203586"/>
      <w:bookmarkStart w:id="706" w:name="_Toc337558804"/>
      <w:bookmarkStart w:id="707" w:name="_Toc322522574"/>
      <w:bookmarkStart w:id="708" w:name="_Toc296503106"/>
      <w:bookmarkStart w:id="709" w:name="_Toc296346607"/>
      <w:r>
        <w:rPr>
          <w:rFonts w:hint="eastAsia" w:ascii="仿宋_GB2312" w:hAnsi="仿宋_GB2312" w:eastAsia="仿宋_GB2312" w:cs="仿宋_GB2312"/>
          <w:b w:val="0"/>
          <w:color w:val="000000"/>
          <w:sz w:val="18"/>
          <w:szCs w:val="18"/>
          <w:highlight w:val="none"/>
        </w:rPr>
        <w:t>13. 验收和工程试车</w:t>
      </w:r>
      <w:bookmarkEnd w:id="705"/>
    </w:p>
    <w:bookmarkEnd w:id="706"/>
    <w:bookmarkEnd w:id="707"/>
    <w:bookmarkEnd w:id="708"/>
    <w:bookmarkEnd w:id="709"/>
    <w:p w14:paraId="32759FB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10" w:name="_Toc351203587"/>
      <w:bookmarkStart w:id="711" w:name="_Toc337558805"/>
      <w:bookmarkStart w:id="712" w:name="_Toc296346611"/>
      <w:bookmarkStart w:id="713" w:name="_Toc296503110"/>
      <w:r>
        <w:rPr>
          <w:rFonts w:hint="eastAsia" w:ascii="仿宋_GB2312" w:hAnsi="仿宋_GB2312" w:eastAsia="仿宋_GB2312" w:cs="仿宋_GB2312"/>
          <w:b w:val="0"/>
          <w:color w:val="000000"/>
          <w:sz w:val="18"/>
          <w:szCs w:val="18"/>
          <w:highlight w:val="none"/>
        </w:rPr>
        <w:t>13.1分部分项工程验收</w:t>
      </w:r>
      <w:bookmarkEnd w:id="710"/>
    </w:p>
    <w:bookmarkEnd w:id="711"/>
    <w:p w14:paraId="75C4938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13.1.1 分部分项工程质量应符合国家有关工程施工验收规范、标准及合同约定，承包人应按照施工组织设计的要求完成分部分项工程施工。</w:t>
      </w:r>
    </w:p>
    <w:p w14:paraId="041534F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13.1.2 除专用合同条款另有约定外，分部分项工程经承包人自检合格并具备验收条件的，承包人应提前48小时通知监理人进行验收。</w:t>
      </w:r>
      <w:r>
        <w:rPr>
          <w:rFonts w:hint="eastAsia" w:ascii="仿宋_GB2312" w:hAnsi="仿宋_GB2312" w:eastAsia="仿宋_GB2312" w:cs="仿宋_GB2312"/>
          <w:color w:val="000000"/>
          <w:kern w:val="0"/>
          <w:sz w:val="18"/>
          <w:szCs w:val="18"/>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_GB2312" w:hAnsi="仿宋_GB2312" w:eastAsia="仿宋_GB2312" w:cs="仿宋_GB2312"/>
          <w:color w:val="000000"/>
          <w:sz w:val="18"/>
          <w:szCs w:val="18"/>
          <w:highlight w:val="none"/>
        </w:rPr>
        <w:t>分部分项工程未经验收的，不得进入下一道工序施工。</w:t>
      </w:r>
    </w:p>
    <w:p w14:paraId="7BD1F028">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分部分项工程的验收资料应当作为竣工资料的组成部分。</w:t>
      </w:r>
    </w:p>
    <w:p w14:paraId="7AB4AE8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14" w:name="_Toc351203588"/>
      <w:bookmarkStart w:id="715" w:name="_Toc337558806"/>
      <w:r>
        <w:rPr>
          <w:rFonts w:hint="eastAsia" w:ascii="仿宋_GB2312" w:hAnsi="仿宋_GB2312" w:eastAsia="仿宋_GB2312" w:cs="仿宋_GB2312"/>
          <w:b w:val="0"/>
          <w:color w:val="000000"/>
          <w:sz w:val="18"/>
          <w:szCs w:val="18"/>
          <w:highlight w:val="none"/>
        </w:rPr>
        <w:t>13.2竣工验收</w:t>
      </w:r>
      <w:bookmarkEnd w:id="714"/>
    </w:p>
    <w:bookmarkEnd w:id="712"/>
    <w:bookmarkEnd w:id="713"/>
    <w:bookmarkEnd w:id="715"/>
    <w:p w14:paraId="4A8D24C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13.2.1竣工验收条件</w:t>
      </w:r>
    </w:p>
    <w:p w14:paraId="5F1DD36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工程具备以下条件的，承包人可以申请竣工验收：</w:t>
      </w:r>
    </w:p>
    <w:p w14:paraId="2BCD92A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（1）除发包人同意的甩项工作和缺陷修补工作外，合同范围内的全部工程以及有关工作，包括合同要求的试验、试运行以及检验均已完成，并符合合同要求；</w:t>
      </w:r>
    </w:p>
    <w:p w14:paraId="1E2250D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（2）已按合同约定编制了甩项工作和缺陷修补工作清单以及相应的施工计划；</w:t>
      </w:r>
    </w:p>
    <w:p w14:paraId="3E8055C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（3）已按合同约定的内容和份数备齐竣工资料。</w:t>
      </w:r>
    </w:p>
    <w:p w14:paraId="389453F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13.2.2竣工验收程序</w:t>
      </w:r>
    </w:p>
    <w:p w14:paraId="7470C2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除专用合同条款另有约定外，承包人申请竣工验收的，应当按照以下程序进行：</w:t>
      </w:r>
    </w:p>
    <w:p w14:paraId="4A494D6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A51B82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142571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（3）竣工验收合格的，发包人应在验收合格后14天内向承包人签发工程接收证书。发包人无正当理由逾期不颁发工程接收证书的，自验收合格后第15天起视为已颁发工程接收证书。</w:t>
      </w:r>
    </w:p>
    <w:p w14:paraId="4EE81A8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86492D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975A31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3F853B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13.2.3竣工日期</w:t>
      </w:r>
    </w:p>
    <w:p w14:paraId="397DA0A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16" w:name="#go14"/>
      <w:bookmarkEnd w:id="716"/>
      <w:r>
        <w:rPr>
          <w:rFonts w:hint="eastAsia" w:ascii="仿宋_GB2312" w:hAnsi="仿宋_GB2312" w:eastAsia="仿宋_GB2312" w:cs="仿宋_GB2312"/>
          <w:color w:val="000000"/>
          <w:kern w:val="0"/>
          <w:sz w:val="18"/>
          <w:szCs w:val="18"/>
          <w:highlight w:val="none"/>
        </w:rPr>
        <w:t>收申请报告的日期为实际竣工日期；工程未经竣工验收，发包人擅自使用的，以转移占有工程之日为实际竣工日期。</w:t>
      </w:r>
    </w:p>
    <w:p w14:paraId="741BD90C">
      <w:pPr>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13.2.4 拒绝接收全部或部分工程</w:t>
      </w:r>
    </w:p>
    <w:p w14:paraId="6AC15D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8D3893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13.2.5 移交、接收全部与部分工程</w:t>
      </w:r>
    </w:p>
    <w:p w14:paraId="5C4055F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除专用合同条款另有约定外，合同当事人应当在颁发工程接收证书后7天内完成工程的移交。</w:t>
      </w:r>
    </w:p>
    <w:p w14:paraId="5307607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458157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73F4E71">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17" w:name="_Toc351203589"/>
      <w:bookmarkStart w:id="718" w:name="_Toc296346612"/>
      <w:bookmarkStart w:id="719" w:name="_Toc296503111"/>
      <w:bookmarkStart w:id="720" w:name="_Toc337558807"/>
      <w:r>
        <w:rPr>
          <w:rFonts w:hint="eastAsia" w:ascii="仿宋_GB2312" w:hAnsi="仿宋_GB2312" w:eastAsia="仿宋_GB2312" w:cs="仿宋_GB2312"/>
          <w:b w:val="0"/>
          <w:color w:val="000000"/>
          <w:sz w:val="18"/>
          <w:szCs w:val="18"/>
          <w:highlight w:val="none"/>
        </w:rPr>
        <w:t>13.3工程试车</w:t>
      </w:r>
      <w:bookmarkEnd w:id="717"/>
    </w:p>
    <w:bookmarkEnd w:id="718"/>
    <w:bookmarkEnd w:id="719"/>
    <w:bookmarkEnd w:id="720"/>
    <w:p w14:paraId="67C9322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13.3.1试车程序</w:t>
      </w:r>
    </w:p>
    <w:p w14:paraId="00858CC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工程需要试车的，除专用合同条款另有约定外，试车内容应与承包人承包范围相一致，试车费用由承包人承担。工程试车应按如下程序进行：</w:t>
      </w:r>
    </w:p>
    <w:p w14:paraId="299FA1A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E7F6D0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58B680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616CD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13.3.2 试车中的责任</w:t>
      </w:r>
    </w:p>
    <w:p w14:paraId="62EDF5B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2D7489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715EB8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13.3.3 投料试车</w:t>
      </w:r>
    </w:p>
    <w:p w14:paraId="6942432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如需进行投料试车的，发包人应在工程竣工验收后组织投料试车。发包人要求在工程竣工验收前进行或需要承包人配合时，应征得承包人同意，并在专用合同条款中约定有关事项。</w:t>
      </w:r>
    </w:p>
    <w:p w14:paraId="5CD309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9DA1ED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21" w:name="_Toc351203590"/>
      <w:bookmarkStart w:id="722" w:name="_Toc337558808"/>
      <w:r>
        <w:rPr>
          <w:rFonts w:hint="eastAsia" w:ascii="仿宋_GB2312" w:hAnsi="仿宋_GB2312" w:eastAsia="仿宋_GB2312" w:cs="仿宋_GB2312"/>
          <w:b w:val="0"/>
          <w:color w:val="000000"/>
          <w:sz w:val="18"/>
          <w:szCs w:val="18"/>
          <w:highlight w:val="none"/>
        </w:rPr>
        <w:t>13.4提前交付单位工程的验收</w:t>
      </w:r>
      <w:bookmarkEnd w:id="721"/>
    </w:p>
    <w:bookmarkEnd w:id="722"/>
    <w:p w14:paraId="0629A8D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13.4.1 发包人需要在工程竣工前使用单位工程的，或承包人提出提前交付已经竣工的单位工程且经发包人同意的，可进行单位工程验收，验收的程序按照第13.2款〔竣工验收〕的约定进行。</w:t>
      </w:r>
    </w:p>
    <w:p w14:paraId="52D2288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613CF0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13.4.2 发包人要求在工程竣工前交付单位工程，由此导致承包人费用增加和（或）工期延误的，由发包人承担由此增加的费用和（或）延误的工期，并支付承包人合理的利润。</w:t>
      </w:r>
    </w:p>
    <w:p w14:paraId="49CBB32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23" w:name="_Toc351203591"/>
      <w:r>
        <w:rPr>
          <w:rFonts w:hint="eastAsia" w:ascii="仿宋_GB2312" w:hAnsi="仿宋_GB2312" w:eastAsia="仿宋_GB2312" w:cs="仿宋_GB2312"/>
          <w:b w:val="0"/>
          <w:color w:val="000000"/>
          <w:sz w:val="18"/>
          <w:szCs w:val="18"/>
          <w:highlight w:val="none"/>
        </w:rPr>
        <w:t>13.5 施工期运行</w:t>
      </w:r>
      <w:bookmarkEnd w:id="723"/>
    </w:p>
    <w:p w14:paraId="4F4B8D7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5E93DB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13.5.2 在施工期运行中发现工程或工程设备损坏或存在缺陷的，由承包人按第15.2款〔缺陷责任期〕约定进行修复。</w:t>
      </w:r>
    </w:p>
    <w:p w14:paraId="0659A93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24" w:name="_Toc296503112"/>
      <w:bookmarkStart w:id="725" w:name="_Toc296346613"/>
      <w:bookmarkStart w:id="726" w:name="_Toc351203592"/>
      <w:bookmarkStart w:id="727" w:name="_Toc337558809"/>
      <w:r>
        <w:rPr>
          <w:rFonts w:hint="eastAsia" w:ascii="仿宋_GB2312" w:hAnsi="仿宋_GB2312" w:eastAsia="仿宋_GB2312" w:cs="仿宋_GB2312"/>
          <w:b w:val="0"/>
          <w:color w:val="000000"/>
          <w:sz w:val="18"/>
          <w:szCs w:val="18"/>
          <w:highlight w:val="none"/>
        </w:rPr>
        <w:t>13.6 竣工退</w:t>
      </w:r>
      <w:bookmarkEnd w:id="724"/>
      <w:bookmarkEnd w:id="725"/>
      <w:r>
        <w:rPr>
          <w:rFonts w:hint="eastAsia" w:ascii="仿宋_GB2312" w:hAnsi="仿宋_GB2312" w:eastAsia="仿宋_GB2312" w:cs="仿宋_GB2312"/>
          <w:b w:val="0"/>
          <w:color w:val="000000"/>
          <w:sz w:val="18"/>
          <w:szCs w:val="18"/>
          <w:highlight w:val="none"/>
        </w:rPr>
        <w:t>场</w:t>
      </w:r>
      <w:bookmarkEnd w:id="726"/>
    </w:p>
    <w:bookmarkEnd w:id="727"/>
    <w:p w14:paraId="784799E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13.6.1 竣工退场</w:t>
      </w:r>
    </w:p>
    <w:p w14:paraId="6F6887C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颁发工程接收证书后，承包人应按以下要求对施工现场进行清理：</w:t>
      </w:r>
    </w:p>
    <w:p w14:paraId="4C3B0FB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（1）施工现场内残留的垃圾已全部清除出场；</w:t>
      </w:r>
    </w:p>
    <w:p w14:paraId="5B805A3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（2）临时工程已拆除，场地已进行清理、平整或复原；</w:t>
      </w:r>
    </w:p>
    <w:p w14:paraId="005887B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（3）按合同约定应撤离的人员、承包人施工设备和剩余的材料，包括废弃的施工设备和材料，已按计划撤离施工现场；</w:t>
      </w:r>
    </w:p>
    <w:p w14:paraId="34FC387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（4）施工现场周边及其附近道路、河道的施工堆积物，已全部清理；</w:t>
      </w:r>
    </w:p>
    <w:p w14:paraId="3982336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（5）施工现场其他场地清理工作已全部完成。</w:t>
      </w:r>
    </w:p>
    <w:p w14:paraId="745D3C9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4EB7C8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13.6.2 地表还原</w:t>
      </w:r>
    </w:p>
    <w:p w14:paraId="2D38A6F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8C724B6">
      <w:pPr>
        <w:pStyle w:val="5"/>
        <w:spacing w:before="120" w:after="120" w:line="240" w:lineRule="auto"/>
        <w:rPr>
          <w:rFonts w:ascii="仿宋_GB2312" w:hAnsi="仿宋_GB2312" w:eastAsia="仿宋_GB2312" w:cs="仿宋_GB2312"/>
          <w:b w:val="0"/>
          <w:color w:val="000000"/>
          <w:sz w:val="18"/>
          <w:szCs w:val="18"/>
          <w:highlight w:val="none"/>
        </w:rPr>
      </w:pPr>
      <w:bookmarkStart w:id="728" w:name="_Toc351203593"/>
      <w:bookmarkStart w:id="729" w:name="_Toc337558810"/>
      <w:bookmarkStart w:id="730" w:name="_Toc296346614"/>
      <w:bookmarkStart w:id="731" w:name="_Toc296503113"/>
      <w:r>
        <w:rPr>
          <w:rFonts w:hint="eastAsia" w:ascii="仿宋_GB2312" w:hAnsi="仿宋_GB2312" w:eastAsia="仿宋_GB2312" w:cs="仿宋_GB2312"/>
          <w:b w:val="0"/>
          <w:color w:val="000000"/>
          <w:sz w:val="18"/>
          <w:szCs w:val="18"/>
          <w:highlight w:val="none"/>
        </w:rPr>
        <w:t>14. 竣工结算</w:t>
      </w:r>
      <w:bookmarkEnd w:id="728"/>
    </w:p>
    <w:bookmarkEnd w:id="729"/>
    <w:p w14:paraId="30CCB47B">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32" w:name="_Toc351203594"/>
      <w:bookmarkStart w:id="733" w:name="_Toc337558811"/>
      <w:r>
        <w:rPr>
          <w:rFonts w:hint="eastAsia" w:ascii="仿宋_GB2312" w:hAnsi="仿宋_GB2312" w:eastAsia="仿宋_GB2312" w:cs="仿宋_GB2312"/>
          <w:b w:val="0"/>
          <w:color w:val="000000"/>
          <w:sz w:val="18"/>
          <w:szCs w:val="18"/>
          <w:highlight w:val="none"/>
        </w:rPr>
        <w:t>14.1 竣工结算申请</w:t>
      </w:r>
      <w:bookmarkEnd w:id="732"/>
    </w:p>
    <w:bookmarkEnd w:id="733"/>
    <w:p w14:paraId="072463B3">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w:t>
      </w:r>
      <w:r>
        <w:rPr>
          <w:rFonts w:hint="eastAsia" w:ascii="仿宋_GB2312" w:hAnsi="仿宋_GB2312" w:eastAsia="仿宋_GB2312" w:cs="仿宋_GB2312"/>
          <w:color w:val="000000"/>
          <w:sz w:val="18"/>
          <w:szCs w:val="18"/>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0E01050">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除专用合同条款另有约定外，竣工结算申请单应包括以下内容：</w:t>
      </w:r>
    </w:p>
    <w:p w14:paraId="3884AD3C">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（1）竣工结算合同价格；</w:t>
      </w:r>
    </w:p>
    <w:p w14:paraId="335CB03E">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（2）发包人已支付承包人的款项；</w:t>
      </w:r>
    </w:p>
    <w:p w14:paraId="09801154">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xml:space="preserve">（3）应扣留的质量保证金。已缴纳履约保证金的或提供其他工程质量担保方式的除外； </w:t>
      </w:r>
    </w:p>
    <w:p w14:paraId="7546B28F">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（4）发包人应支付承包人的合同价款。</w:t>
      </w:r>
    </w:p>
    <w:p w14:paraId="440EBD2D">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34" w:name="_Toc351203595"/>
      <w:bookmarkStart w:id="735" w:name="_Toc337558812"/>
      <w:r>
        <w:rPr>
          <w:rFonts w:hint="eastAsia" w:ascii="仿宋_GB2312" w:hAnsi="仿宋_GB2312" w:eastAsia="仿宋_GB2312" w:cs="仿宋_GB2312"/>
          <w:b w:val="0"/>
          <w:color w:val="000000"/>
          <w:sz w:val="18"/>
          <w:szCs w:val="18"/>
          <w:highlight w:val="none"/>
        </w:rPr>
        <w:t>14.2 竣工结算审核</w:t>
      </w:r>
      <w:bookmarkEnd w:id="734"/>
    </w:p>
    <w:bookmarkEnd w:id="735"/>
    <w:p w14:paraId="5F056A7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_GB2312" w:hAnsi="仿宋_GB2312" w:eastAsia="仿宋_GB2312" w:cs="仿宋_GB2312"/>
          <w:color w:val="000000"/>
          <w:sz w:val="18"/>
          <w:szCs w:val="18"/>
          <w:highlight w:val="none"/>
        </w:rPr>
        <w:t>发包人对竣工</w:t>
      </w:r>
      <w:r>
        <w:rPr>
          <w:rFonts w:hint="eastAsia" w:ascii="仿宋_GB2312" w:hAnsi="仿宋_GB2312" w:eastAsia="仿宋_GB2312" w:cs="仿宋_GB2312"/>
          <w:color w:val="000000"/>
          <w:kern w:val="0"/>
          <w:sz w:val="18"/>
          <w:szCs w:val="18"/>
          <w:highlight w:val="none"/>
        </w:rPr>
        <w:t>结算</w:t>
      </w:r>
      <w:r>
        <w:rPr>
          <w:rFonts w:hint="eastAsia" w:ascii="仿宋_GB2312" w:hAnsi="仿宋_GB2312" w:eastAsia="仿宋_GB2312" w:cs="仿宋_GB2312"/>
          <w:color w:val="000000"/>
          <w:sz w:val="18"/>
          <w:szCs w:val="18"/>
          <w:highlight w:val="none"/>
        </w:rPr>
        <w:t>申请单有异议的，有权要求承包人进行修正和提供补充资料，承包人应提交修正后的竣工</w:t>
      </w:r>
      <w:r>
        <w:rPr>
          <w:rFonts w:hint="eastAsia" w:ascii="仿宋_GB2312" w:hAnsi="仿宋_GB2312" w:eastAsia="仿宋_GB2312" w:cs="仿宋_GB2312"/>
          <w:color w:val="000000"/>
          <w:kern w:val="0"/>
          <w:sz w:val="18"/>
          <w:szCs w:val="18"/>
          <w:highlight w:val="none"/>
        </w:rPr>
        <w:t>结算</w:t>
      </w:r>
      <w:r>
        <w:rPr>
          <w:rFonts w:hint="eastAsia" w:ascii="仿宋_GB2312" w:hAnsi="仿宋_GB2312" w:eastAsia="仿宋_GB2312" w:cs="仿宋_GB2312"/>
          <w:color w:val="000000"/>
          <w:sz w:val="18"/>
          <w:szCs w:val="18"/>
          <w:highlight w:val="none"/>
        </w:rPr>
        <w:t>申请单。</w:t>
      </w:r>
    </w:p>
    <w:p w14:paraId="2F65B15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CD1043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4EDFE6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876FA3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36" w:name="_Toc351203596"/>
      <w:bookmarkStart w:id="737" w:name="_Toc337558813"/>
      <w:r>
        <w:rPr>
          <w:rFonts w:hint="eastAsia" w:ascii="仿宋_GB2312" w:hAnsi="仿宋_GB2312" w:eastAsia="仿宋_GB2312" w:cs="仿宋_GB2312"/>
          <w:b w:val="0"/>
          <w:color w:val="000000"/>
          <w:sz w:val="18"/>
          <w:szCs w:val="18"/>
          <w:highlight w:val="none"/>
        </w:rPr>
        <w:t>14.3 甩项竣工协议</w:t>
      </w:r>
      <w:bookmarkEnd w:id="736"/>
    </w:p>
    <w:bookmarkEnd w:id="737"/>
    <w:p w14:paraId="5F3030F1">
      <w:pPr>
        <w:autoSpaceDE w:val="0"/>
        <w:autoSpaceDN w:val="0"/>
        <w:adjustRightInd w:val="0"/>
        <w:ind w:firstLine="352" w:firstLineChars="196"/>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3FBC9D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38" w:name="_Toc351203597"/>
      <w:bookmarkStart w:id="739" w:name="_Toc337558814"/>
      <w:r>
        <w:rPr>
          <w:rFonts w:hint="eastAsia" w:ascii="仿宋_GB2312" w:hAnsi="仿宋_GB2312" w:eastAsia="仿宋_GB2312" w:cs="仿宋_GB2312"/>
          <w:b w:val="0"/>
          <w:color w:val="000000"/>
          <w:sz w:val="18"/>
          <w:szCs w:val="18"/>
          <w:highlight w:val="none"/>
        </w:rPr>
        <w:t>14.4 最终结清</w:t>
      </w:r>
      <w:bookmarkEnd w:id="738"/>
    </w:p>
    <w:bookmarkEnd w:id="739"/>
    <w:p w14:paraId="4B956F3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14.4.1 最终结清申请单</w:t>
      </w:r>
    </w:p>
    <w:p w14:paraId="3C8A94E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（1）除专用合同条款另有约定外，承包人应在缺陷责任期终止证书颁发后7天内，按专用合同条款约定的份数向发包人提交最终结清申请单，并提供相关证明材料。</w:t>
      </w:r>
    </w:p>
    <w:p w14:paraId="4BC2D317">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w:t>
      </w:r>
      <w:r>
        <w:rPr>
          <w:rFonts w:hint="eastAsia" w:ascii="仿宋_GB2312" w:hAnsi="仿宋_GB2312" w:eastAsia="仿宋_GB2312" w:cs="仿宋_GB2312"/>
          <w:color w:val="000000"/>
          <w:kern w:val="0"/>
          <w:sz w:val="18"/>
          <w:szCs w:val="18"/>
          <w:highlight w:val="none"/>
        </w:rPr>
        <w:t>最终结清申请单</w:t>
      </w:r>
      <w:r>
        <w:rPr>
          <w:rFonts w:hint="eastAsia" w:ascii="仿宋_GB2312" w:hAnsi="仿宋_GB2312" w:eastAsia="仿宋_GB2312" w:cs="仿宋_GB2312"/>
          <w:color w:val="000000"/>
          <w:sz w:val="18"/>
          <w:szCs w:val="18"/>
          <w:highlight w:val="none"/>
        </w:rPr>
        <w:t>应列明质量保证金、应扣除的质量保证金、缺陷责任期内发生的增减费用。</w:t>
      </w:r>
    </w:p>
    <w:p w14:paraId="7263528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（2）发包人对最终结清申请单内容有异议的，有权要求承包人进行修正和提供补充资料，承包人应向发包人提交修正后的最终结清申请单。</w:t>
      </w:r>
    </w:p>
    <w:p w14:paraId="6AEF2B7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14.4.2 最终结清证书和支付</w:t>
      </w:r>
    </w:p>
    <w:p w14:paraId="11AEE26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F8E074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EAEE88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（3）承包人对发包人颁发的最终结清证书有异议的，按第20条〔争议解决〕的约定办理。</w:t>
      </w:r>
    </w:p>
    <w:p w14:paraId="4B594B4F">
      <w:pPr>
        <w:pStyle w:val="5"/>
        <w:spacing w:before="120" w:after="120" w:line="240" w:lineRule="auto"/>
        <w:rPr>
          <w:rFonts w:ascii="仿宋_GB2312" w:hAnsi="仿宋_GB2312" w:eastAsia="仿宋_GB2312" w:cs="仿宋_GB2312"/>
          <w:b w:val="0"/>
          <w:color w:val="000000"/>
          <w:sz w:val="18"/>
          <w:szCs w:val="18"/>
          <w:highlight w:val="none"/>
        </w:rPr>
      </w:pPr>
      <w:bookmarkStart w:id="740" w:name="_Toc351203598"/>
      <w:bookmarkStart w:id="741" w:name="_Toc337558815"/>
      <w:r>
        <w:rPr>
          <w:rFonts w:hint="eastAsia" w:ascii="仿宋_GB2312" w:hAnsi="仿宋_GB2312" w:eastAsia="仿宋_GB2312" w:cs="仿宋_GB2312"/>
          <w:b w:val="0"/>
          <w:color w:val="000000"/>
          <w:sz w:val="18"/>
          <w:szCs w:val="18"/>
          <w:highlight w:val="none"/>
        </w:rPr>
        <w:t>15. 缺陷责任与保修</w:t>
      </w:r>
      <w:bookmarkEnd w:id="740"/>
    </w:p>
    <w:bookmarkEnd w:id="730"/>
    <w:bookmarkEnd w:id="731"/>
    <w:bookmarkEnd w:id="741"/>
    <w:p w14:paraId="00889352">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42" w:name="_Toc351203599"/>
      <w:bookmarkStart w:id="743" w:name="_Toc337558816"/>
      <w:bookmarkStart w:id="744" w:name="_Toc296503114"/>
      <w:bookmarkStart w:id="745" w:name="_Toc296346615"/>
      <w:r>
        <w:rPr>
          <w:rFonts w:hint="eastAsia" w:ascii="仿宋_GB2312" w:hAnsi="仿宋_GB2312" w:eastAsia="仿宋_GB2312" w:cs="仿宋_GB2312"/>
          <w:b w:val="0"/>
          <w:color w:val="000000"/>
          <w:sz w:val="18"/>
          <w:szCs w:val="18"/>
          <w:highlight w:val="none"/>
        </w:rPr>
        <w:t>15.1 工程保修的原则</w:t>
      </w:r>
      <w:bookmarkEnd w:id="742"/>
    </w:p>
    <w:bookmarkEnd w:id="743"/>
    <w:p w14:paraId="42425A3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在工程移交发包人后，因承包人原因产生的质量缺陷，承包人应承担质量缺陷责任和保修义务。缺陷责任期届满，承包人仍应按合同约定的工程各部位保修年限承担保修义务。</w:t>
      </w:r>
    </w:p>
    <w:p w14:paraId="1EC12AD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46" w:name="_Toc351203600"/>
      <w:bookmarkStart w:id="747" w:name="_Toc337558817"/>
      <w:r>
        <w:rPr>
          <w:rFonts w:hint="eastAsia" w:ascii="仿宋_GB2312" w:hAnsi="仿宋_GB2312" w:eastAsia="仿宋_GB2312" w:cs="仿宋_GB2312"/>
          <w:b w:val="0"/>
          <w:color w:val="000000"/>
          <w:sz w:val="18"/>
          <w:szCs w:val="18"/>
          <w:highlight w:val="none"/>
        </w:rPr>
        <w:t>15.2 缺陷责任期</w:t>
      </w:r>
      <w:bookmarkEnd w:id="744"/>
      <w:bookmarkEnd w:id="745"/>
      <w:bookmarkEnd w:id="746"/>
    </w:p>
    <w:bookmarkEnd w:id="747"/>
    <w:p w14:paraId="2585FC0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15.2.1 缺陷责任期从工程通过竣工验收之日起计算，合同当事人应在专用合同条款约定缺陷责任期的具体期限，但该期限最长不超过24个月。</w:t>
      </w:r>
    </w:p>
    <w:p w14:paraId="0F6B9C3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0B35CC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_GB2312" w:hAnsi="仿宋_GB2312" w:eastAsia="仿宋_GB2312" w:cs="仿宋_GB2312"/>
          <w:bCs/>
          <w:color w:val="000000"/>
          <w:sz w:val="18"/>
          <w:szCs w:val="18"/>
          <w:highlight w:val="none"/>
        </w:rPr>
        <w:t>包人延长缺陷责任期，</w:t>
      </w:r>
      <w:r>
        <w:rPr>
          <w:rFonts w:hint="eastAsia" w:ascii="仿宋_GB2312" w:hAnsi="仿宋_GB2312" w:eastAsia="仿宋_GB2312" w:cs="仿宋_GB2312"/>
          <w:color w:val="000000"/>
          <w:kern w:val="0"/>
          <w:sz w:val="18"/>
          <w:szCs w:val="18"/>
          <w:highlight w:val="none"/>
        </w:rPr>
        <w:t>并应在原缺陷责任期届满前发出延长通知。</w:t>
      </w:r>
      <w:r>
        <w:rPr>
          <w:rFonts w:hint="eastAsia" w:ascii="仿宋_GB2312" w:hAnsi="仿宋_GB2312" w:eastAsia="仿宋_GB2312" w:cs="仿宋_GB2312"/>
          <w:bCs/>
          <w:color w:val="000000"/>
          <w:sz w:val="18"/>
          <w:szCs w:val="18"/>
          <w:highlight w:val="none"/>
        </w:rPr>
        <w:t>但缺陷责任期（含延长部分）最长</w:t>
      </w:r>
      <w:r>
        <w:rPr>
          <w:rFonts w:hint="eastAsia" w:ascii="仿宋_GB2312" w:hAnsi="仿宋_GB2312" w:eastAsia="仿宋_GB2312" w:cs="仿宋_GB2312"/>
          <w:color w:val="000000"/>
          <w:kern w:val="0"/>
          <w:sz w:val="18"/>
          <w:szCs w:val="18"/>
          <w:highlight w:val="none"/>
        </w:rPr>
        <w:t>不能超过24个月。</w:t>
      </w:r>
    </w:p>
    <w:p w14:paraId="09324A7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由他人原因造成的缺陷，发包人负责组织维修，承包人不承担费用，且发包人不得从保证金中扣除费用。</w:t>
      </w:r>
    </w:p>
    <w:p w14:paraId="626D1F3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15.2.3 任何一项缺陷或损坏修复后，经检查证明其影响了工程或工程设备的使用性能，承包人应重新进行合同约定的试验和试运行，试验和试运行的全部费用应由责任方承担。</w:t>
      </w:r>
    </w:p>
    <w:p w14:paraId="3E6D769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F045B2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48" w:name="_Toc351203601"/>
      <w:bookmarkStart w:id="749" w:name="_Toc337558818"/>
      <w:bookmarkStart w:id="750" w:name="_Toc296503115"/>
      <w:bookmarkStart w:id="751" w:name="_Toc296346616"/>
      <w:r>
        <w:rPr>
          <w:rFonts w:hint="eastAsia" w:ascii="仿宋_GB2312" w:hAnsi="仿宋_GB2312" w:eastAsia="仿宋_GB2312" w:cs="仿宋_GB2312"/>
          <w:b w:val="0"/>
          <w:color w:val="000000"/>
          <w:sz w:val="18"/>
          <w:szCs w:val="18"/>
          <w:highlight w:val="none"/>
        </w:rPr>
        <w:t>15.3 质量保证金</w:t>
      </w:r>
      <w:bookmarkEnd w:id="748"/>
    </w:p>
    <w:bookmarkEnd w:id="749"/>
    <w:p w14:paraId="6FDA906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经合同当事人协商一致扣留质量保证金的，应在专用合同条款中予以明确。</w:t>
      </w:r>
    </w:p>
    <w:p w14:paraId="6434C0E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在工程项目竣工前，承包人已经提供履约担保的，发包人不得同时预留工程质量保证金。</w:t>
      </w:r>
    </w:p>
    <w:p w14:paraId="57F7B29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15.3.1 承包人提供质量保证金的方式</w:t>
      </w:r>
    </w:p>
    <w:p w14:paraId="2833001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承包人提供质量保证金有以下三种方式：</w:t>
      </w:r>
    </w:p>
    <w:p w14:paraId="43965EC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（1）质量保证金保函； </w:t>
      </w:r>
    </w:p>
    <w:p w14:paraId="09FA58E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（2）相应比例的工程款；</w:t>
      </w:r>
    </w:p>
    <w:p w14:paraId="7657357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（3）双方约定的其他方式。</w:t>
      </w:r>
    </w:p>
    <w:p w14:paraId="420ADDD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除专用合同条款另有约定外，质量保证金原则上采用上述第（1）种方式。</w:t>
      </w:r>
    </w:p>
    <w:p w14:paraId="27BF9A1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15.3.2 质量保证金的扣留</w:t>
      </w:r>
    </w:p>
    <w:p w14:paraId="11E81C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质量保证金的扣留有以下三种方式：</w:t>
      </w:r>
    </w:p>
    <w:p w14:paraId="3FC6267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（1）在支付工程进度款时逐次扣留，在此情形下，质量保证金的计算基数不包括预付款的支付、扣回以及价格调整的金额；</w:t>
      </w:r>
    </w:p>
    <w:p w14:paraId="486AEC7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（2）工</w:t>
      </w:r>
      <w:bookmarkStart w:id="752" w:name="#go6"/>
      <w:bookmarkEnd w:id="752"/>
      <w:r>
        <w:rPr>
          <w:rFonts w:hint="eastAsia" w:ascii="仿宋_GB2312" w:hAnsi="仿宋_GB2312" w:eastAsia="仿宋_GB2312" w:cs="仿宋_GB2312"/>
          <w:color w:val="000000"/>
          <w:kern w:val="0"/>
          <w:sz w:val="18"/>
          <w:szCs w:val="18"/>
          <w:highlight w:val="none"/>
        </w:rPr>
        <w:t>程竣工结算时一次性扣留质量保证金；</w:t>
      </w:r>
    </w:p>
    <w:p w14:paraId="2F07835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（3）双方约定的其他扣留方式。</w:t>
      </w:r>
    </w:p>
    <w:p w14:paraId="5BA35B4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除专用合同条款另有约定外，质量保证金的扣留原则上采用上述第（1）种方式。</w:t>
      </w:r>
    </w:p>
    <w:p w14:paraId="298D77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w:t>
      </w:r>
      <w:bookmarkStart w:id="753" w:name="#go4"/>
      <w:bookmarkEnd w:id="753"/>
      <w:r>
        <w:rPr>
          <w:rFonts w:hint="eastAsia" w:ascii="仿宋_GB2312" w:hAnsi="仿宋_GB2312" w:eastAsia="仿宋_GB2312" w:cs="仿宋_GB2312"/>
          <w:color w:val="000000"/>
          <w:kern w:val="0"/>
          <w:sz w:val="18"/>
          <w:szCs w:val="18"/>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D04C3E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发包人在退还质量保证金的同时按照中国人民银行发布的同期同类贷款基准利率支付利息。</w:t>
      </w:r>
    </w:p>
    <w:p w14:paraId="11457F1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15.3.3 </w:t>
      </w:r>
      <w:r>
        <w:rPr>
          <w:rFonts w:hint="eastAsia" w:ascii="仿宋_GB2312" w:hAnsi="仿宋_GB2312" w:eastAsia="仿宋_GB2312" w:cs="仿宋_GB2312"/>
          <w:color w:val="000000"/>
          <w:sz w:val="18"/>
          <w:szCs w:val="18"/>
          <w:highlight w:val="none"/>
        </w:rPr>
        <w:t>质量保证金</w:t>
      </w:r>
      <w:r>
        <w:rPr>
          <w:rFonts w:hint="eastAsia" w:ascii="仿宋_GB2312" w:hAnsi="仿宋_GB2312" w:eastAsia="仿宋_GB2312" w:cs="仿宋_GB2312"/>
          <w:color w:val="000000"/>
          <w:kern w:val="0"/>
          <w:sz w:val="18"/>
          <w:szCs w:val="18"/>
          <w:highlight w:val="none"/>
        </w:rPr>
        <w:t>的退还</w:t>
      </w:r>
    </w:p>
    <w:p w14:paraId="78FFB8E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缺陷责任期内，承包人认真履行合同约定的责任，到期后，承包人可向发包人申请返还保证金。</w:t>
      </w:r>
    </w:p>
    <w:p w14:paraId="1F7C35F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76017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发包人和承包人对保证金预留、返还以及工程维修质量、费用有争议的，按本合同第20条约定的争议和纠纷解决程序处理。</w:t>
      </w:r>
    </w:p>
    <w:p w14:paraId="1B6B6CD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54" w:name="_Toc351203602"/>
      <w:bookmarkStart w:id="755" w:name="_Toc337558819"/>
      <w:r>
        <w:rPr>
          <w:rFonts w:hint="eastAsia" w:ascii="仿宋_GB2312" w:hAnsi="仿宋_GB2312" w:eastAsia="仿宋_GB2312" w:cs="仿宋_GB2312"/>
          <w:b w:val="0"/>
          <w:color w:val="000000"/>
          <w:sz w:val="18"/>
          <w:szCs w:val="18"/>
          <w:highlight w:val="none"/>
        </w:rPr>
        <w:t>15.4 保修</w:t>
      </w:r>
      <w:bookmarkEnd w:id="754"/>
    </w:p>
    <w:bookmarkEnd w:id="750"/>
    <w:bookmarkEnd w:id="751"/>
    <w:bookmarkEnd w:id="755"/>
    <w:p w14:paraId="639711B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15.4.1保修责任</w:t>
      </w:r>
    </w:p>
    <w:p w14:paraId="7C70173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7ABA9D6">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发包人未经竣工验收擅自使用工程的，保修期自</w:t>
      </w:r>
      <w:r>
        <w:rPr>
          <w:rFonts w:hint="eastAsia" w:ascii="仿宋_GB2312" w:hAnsi="仿宋_GB2312" w:eastAsia="仿宋_GB2312" w:cs="仿宋_GB2312"/>
          <w:color w:val="000000"/>
          <w:kern w:val="0"/>
          <w:sz w:val="18"/>
          <w:szCs w:val="18"/>
          <w:highlight w:val="none"/>
        </w:rPr>
        <w:t>转移占有之日起算</w:t>
      </w:r>
      <w:r>
        <w:rPr>
          <w:rFonts w:hint="eastAsia" w:ascii="仿宋_GB2312" w:hAnsi="仿宋_GB2312" w:eastAsia="仿宋_GB2312" w:cs="仿宋_GB2312"/>
          <w:color w:val="000000"/>
          <w:sz w:val="18"/>
          <w:szCs w:val="18"/>
          <w:highlight w:val="none"/>
        </w:rPr>
        <w:t>。</w:t>
      </w:r>
    </w:p>
    <w:p w14:paraId="00CDA79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15.4.2 修复费用</w:t>
      </w:r>
    </w:p>
    <w:p w14:paraId="3BF08E4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保修期内，修复的费用按照以下约定处理：</w:t>
      </w:r>
    </w:p>
    <w:p w14:paraId="0B9E846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（1）保修期内，因承包人原因造成工程的缺陷、损坏，承包人应负责修复，并承担修复的费用以及因工程的缺陷、损坏造成的人身伤害和财产损失；</w:t>
      </w:r>
    </w:p>
    <w:p w14:paraId="47EF991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（2）保修期内，因发包人使用不当造成工程的缺陷、损坏，可以委托承包人修复，但发包人应承担修复的费用，并支付承包人合理利润；</w:t>
      </w:r>
    </w:p>
    <w:p w14:paraId="782DA94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（3）因其他原因造成工程的缺陷、损坏，可以委托承包人修复，发包人应承担修复的费用，并支付承包人合理的利润，因工程的缺陷、损坏造成的人身伤害和财产损失由责任方承担。</w:t>
      </w:r>
    </w:p>
    <w:p w14:paraId="417759D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15.4.3 修复通知</w:t>
      </w:r>
    </w:p>
    <w:p w14:paraId="1043B31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F03A65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15.4.4 未能修复</w:t>
      </w:r>
    </w:p>
    <w:p w14:paraId="1C07BD7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D1E849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15.4.5 承包人出入权</w:t>
      </w:r>
    </w:p>
    <w:p w14:paraId="0586FD3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A38007D">
      <w:pPr>
        <w:pStyle w:val="5"/>
        <w:spacing w:before="120" w:after="120" w:line="240" w:lineRule="auto"/>
        <w:rPr>
          <w:rFonts w:ascii="仿宋_GB2312" w:hAnsi="仿宋_GB2312" w:eastAsia="仿宋_GB2312" w:cs="仿宋_GB2312"/>
          <w:b w:val="0"/>
          <w:color w:val="000000"/>
          <w:sz w:val="18"/>
          <w:szCs w:val="18"/>
          <w:highlight w:val="none"/>
        </w:rPr>
      </w:pPr>
      <w:bookmarkStart w:id="756" w:name="_Toc351203603"/>
      <w:bookmarkStart w:id="757" w:name="_Toc337558820"/>
      <w:r>
        <w:rPr>
          <w:rFonts w:hint="eastAsia" w:ascii="仿宋_GB2312" w:hAnsi="仿宋_GB2312" w:eastAsia="仿宋_GB2312" w:cs="仿宋_GB2312"/>
          <w:b w:val="0"/>
          <w:color w:val="000000"/>
          <w:sz w:val="18"/>
          <w:szCs w:val="18"/>
          <w:highlight w:val="none"/>
        </w:rPr>
        <w:t>16. 违约</w:t>
      </w:r>
      <w:bookmarkEnd w:id="756"/>
    </w:p>
    <w:bookmarkEnd w:id="757"/>
    <w:p w14:paraId="6DAA80C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58" w:name="_Toc296346630"/>
      <w:bookmarkStart w:id="759" w:name="_Toc296503129"/>
      <w:bookmarkStart w:id="760" w:name="_Toc351203604"/>
      <w:bookmarkStart w:id="761" w:name="_Toc337558821"/>
      <w:r>
        <w:rPr>
          <w:rFonts w:hint="eastAsia" w:ascii="仿宋_GB2312" w:hAnsi="仿宋_GB2312" w:eastAsia="仿宋_GB2312" w:cs="仿宋_GB2312"/>
          <w:b w:val="0"/>
          <w:color w:val="000000"/>
          <w:sz w:val="18"/>
          <w:szCs w:val="18"/>
          <w:highlight w:val="none"/>
        </w:rPr>
        <w:t>16.1 发</w:t>
      </w:r>
      <w:bookmarkEnd w:id="758"/>
      <w:bookmarkEnd w:id="759"/>
      <w:r>
        <w:rPr>
          <w:rFonts w:hint="eastAsia" w:ascii="仿宋_GB2312" w:hAnsi="仿宋_GB2312" w:eastAsia="仿宋_GB2312" w:cs="仿宋_GB2312"/>
          <w:b w:val="0"/>
          <w:color w:val="000000"/>
          <w:sz w:val="18"/>
          <w:szCs w:val="18"/>
          <w:highlight w:val="none"/>
        </w:rPr>
        <w:t>包人违约</w:t>
      </w:r>
      <w:bookmarkEnd w:id="760"/>
    </w:p>
    <w:bookmarkEnd w:id="761"/>
    <w:p w14:paraId="3D79750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16.1.1 发包人违约的情形</w:t>
      </w:r>
    </w:p>
    <w:p w14:paraId="2C6BF79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在合同履行过程中发生的下列情形，属于发包人违约：</w:t>
      </w:r>
    </w:p>
    <w:p w14:paraId="7B7214D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（1）因发包人原因未能在计划开工日期前7天内下达开工通知的；</w:t>
      </w:r>
    </w:p>
    <w:p w14:paraId="61594D1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（2）因发包人原因未能按合同约定支付合同价款的；</w:t>
      </w:r>
    </w:p>
    <w:p w14:paraId="167A8DF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（3）发包人违反第10.1款〔变更的范围〕第（2）项约定，自行实施被取消的工作或转由他人实施的；</w:t>
      </w:r>
    </w:p>
    <w:p w14:paraId="6FEA2A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（4）发包人提供的材料、工程设备的规格、数量或质量不符合合同约定，或因发包人原因导致交货日期延误或交货地点变更等情况的；</w:t>
      </w:r>
    </w:p>
    <w:p w14:paraId="2DA54AF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（5）因发包人违反合同约定造成暂停施工的；</w:t>
      </w:r>
    </w:p>
    <w:p w14:paraId="38B6C65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（6）发包人无正当理由没有在约定期限内发出复工指示，导致承包人无法复工的；</w:t>
      </w:r>
    </w:p>
    <w:p w14:paraId="7F74E2B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（7）发包人明确表示或者以其行为表明不履行合同主要义务的；</w:t>
      </w:r>
    </w:p>
    <w:p w14:paraId="451968F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（8）发包人未能按照合同约定履行其他义务的。</w:t>
      </w:r>
    </w:p>
    <w:p w14:paraId="2014303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B160D8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16.1.2 发包人违约的责任</w:t>
      </w:r>
    </w:p>
    <w:p w14:paraId="248C0F2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发包人应承担因其违约给承包人增加的费用和（或）延误的工期，并支付承包人合理的利润。此外，合同当事人可在专用合同条款中另行约定发包人违约责任的承担方式和计算方法。</w:t>
      </w:r>
    </w:p>
    <w:p w14:paraId="6EEC49C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16.1.3 因发包人违约解除合同</w:t>
      </w:r>
    </w:p>
    <w:p w14:paraId="41679EE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21C4F42">
      <w:pPr>
        <w:autoSpaceDE w:val="0"/>
        <w:autoSpaceDN w:val="0"/>
        <w:adjustRightInd w:val="0"/>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16.1.4 因发包人违约解除合同后的付款</w:t>
      </w:r>
    </w:p>
    <w:p w14:paraId="626FF58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承包人按照本款约定解除合同的，发包人应在解除合同后28天内支付下列款项，并解除履约担保：</w:t>
      </w:r>
    </w:p>
    <w:p w14:paraId="14F226D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（1）合同解除前所完成工作的价款；</w:t>
      </w:r>
    </w:p>
    <w:p w14:paraId="6D6E095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（2）承包人为工程施工订购并已付款的材料、工程设备和其他物品的价款；</w:t>
      </w:r>
    </w:p>
    <w:p w14:paraId="42DA714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（3）承包人撤离施工现场以及遣散承包人人员的款项；</w:t>
      </w:r>
    </w:p>
    <w:p w14:paraId="702CAEF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（4）按照合同约定在合同解除前应支付的违约金；</w:t>
      </w:r>
    </w:p>
    <w:p w14:paraId="42247C4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（5）按照合同约定应当支付给承包人的其他款项；</w:t>
      </w:r>
    </w:p>
    <w:p w14:paraId="5CAAD35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（6）按照合同约定应退还的质量保证金；</w:t>
      </w:r>
    </w:p>
    <w:p w14:paraId="420D89F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（7）因解除合同给承包人造成的损失。</w:t>
      </w:r>
    </w:p>
    <w:p w14:paraId="3F76D23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合同当事人未能就解除合同后的结清达成一致的，按照第20条〔争议解决〕的约定处理。</w:t>
      </w:r>
    </w:p>
    <w:p w14:paraId="5C7076F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承包人应妥善做好已完工程和与工程有关的已购材料、工程设备的保护和移交工作，并将施工设备和人员撤出施工现场，发包人应为承包人撤出提供必要条件。</w:t>
      </w:r>
    </w:p>
    <w:p w14:paraId="01A3CA72">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62" w:name="_Toc351203605"/>
      <w:bookmarkStart w:id="763" w:name="_Toc296346632"/>
      <w:bookmarkStart w:id="764" w:name="_Toc337558822"/>
      <w:bookmarkStart w:id="765" w:name="_Toc296503131"/>
      <w:r>
        <w:rPr>
          <w:rFonts w:hint="eastAsia" w:ascii="仿宋_GB2312" w:hAnsi="仿宋_GB2312" w:eastAsia="仿宋_GB2312" w:cs="仿宋_GB2312"/>
          <w:b w:val="0"/>
          <w:color w:val="000000"/>
          <w:sz w:val="18"/>
          <w:szCs w:val="18"/>
          <w:highlight w:val="none"/>
        </w:rPr>
        <w:t>16.2 承包人违约</w:t>
      </w:r>
      <w:bookmarkEnd w:id="762"/>
    </w:p>
    <w:bookmarkEnd w:id="763"/>
    <w:bookmarkEnd w:id="764"/>
    <w:bookmarkEnd w:id="765"/>
    <w:p w14:paraId="16E05C1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16.2.1 承包人违约的情形</w:t>
      </w:r>
    </w:p>
    <w:p w14:paraId="33FA8EF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在合同履行过程中发生的下列情形，属于承包人违约：</w:t>
      </w:r>
    </w:p>
    <w:p w14:paraId="7081A31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（1）承包人违反合同约定进行转包或违法分包的；</w:t>
      </w:r>
    </w:p>
    <w:p w14:paraId="0103BAC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（2）承包人违反合同约定采购和使用不合格的材料和工程设备的；</w:t>
      </w:r>
    </w:p>
    <w:p w14:paraId="1944571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（3）因承包人原因导致工程质量不符合合同要求的； </w:t>
      </w:r>
    </w:p>
    <w:p w14:paraId="097E79D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（4）承包人违反第8.9款〔材料与设备专用要求〕的约定，未经批准，私自将已按照合同约定进入施工现场的材料或设备撤离施工现场的；</w:t>
      </w:r>
    </w:p>
    <w:p w14:paraId="1E09AB9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（5）承包人未能按施工进度计划及时完成合同约定的工作，造成工期延误的；</w:t>
      </w:r>
    </w:p>
    <w:p w14:paraId="7197AA0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（6）承包人在缺陷责任期及保修期内，未能在合理期限对工程缺陷进行修复，或拒绝按发包人要求进行修复的；</w:t>
      </w:r>
    </w:p>
    <w:p w14:paraId="3606B9B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（7）承包人明确表示或者以其行为表明不履行合同主要义务的；</w:t>
      </w:r>
    </w:p>
    <w:p w14:paraId="5740604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（8）承包人未能按照合同约定履行其他义务的。</w:t>
      </w:r>
    </w:p>
    <w:p w14:paraId="603222E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承包人发生除本项第（7）目约定以外的其他违约情况时，监理人可向承包人发出整改通知，要求其在指定的期限内改正。</w:t>
      </w:r>
    </w:p>
    <w:p w14:paraId="2419389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16.2.2 承包人违约的责任</w:t>
      </w:r>
    </w:p>
    <w:p w14:paraId="3909E55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承包人应承担因其违约行为而增加的费用和（或）延误的工期。此外，合同当事人可在专用合同条款中另行约定承包人违约责任的承担方式和计算方法。</w:t>
      </w:r>
    </w:p>
    <w:p w14:paraId="0EC7330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16.2.3 因承包人违约解除合同</w:t>
      </w:r>
    </w:p>
    <w:p w14:paraId="110B4BE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1F326A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16.2.4因承包人违约解除合同后的处理</w:t>
      </w:r>
    </w:p>
    <w:p w14:paraId="502BFBB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因承包人原因导致合同解除的，则合同当事人应在合同解除后28天内完成估价、付款和清算，并按以下约定执行：</w:t>
      </w:r>
    </w:p>
    <w:p w14:paraId="2FD2A32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（1）合同解除后，按第4.4款〔商定或确定〕商定或确定承包人实际完成工作对应的合同价款，以及承包人已提供的材料、工程设备、施工设备和临时工程等的价值；</w:t>
      </w:r>
    </w:p>
    <w:p w14:paraId="0370D80B">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（2）合同解除后，承包人应支付的违约金；</w:t>
      </w:r>
    </w:p>
    <w:p w14:paraId="18953C2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（3）合同解除后，因解除合同给发包人造成的损失；</w:t>
      </w:r>
    </w:p>
    <w:p w14:paraId="3600904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（4）合同解除后，承包人应按照发包人要求和监理人的指示完成现场的清理和撤离；</w:t>
      </w:r>
    </w:p>
    <w:p w14:paraId="2A79013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（5）发包人和承包人应在合同解除后进行清算，出具最终结清付款证书，结清全部款项。</w:t>
      </w:r>
    </w:p>
    <w:p w14:paraId="36E595D3">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4A06A7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16.2.5采购合同权益转让</w:t>
      </w:r>
    </w:p>
    <w:p w14:paraId="1AD94AD9">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C45C03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66" w:name="_Toc351203606"/>
      <w:r>
        <w:rPr>
          <w:rFonts w:hint="eastAsia" w:ascii="仿宋_GB2312" w:hAnsi="仿宋_GB2312" w:eastAsia="仿宋_GB2312" w:cs="仿宋_GB2312"/>
          <w:b w:val="0"/>
          <w:color w:val="000000"/>
          <w:sz w:val="18"/>
          <w:szCs w:val="18"/>
          <w:highlight w:val="none"/>
        </w:rPr>
        <w:t>16.3 第三人造成的违约</w:t>
      </w:r>
      <w:bookmarkEnd w:id="766"/>
    </w:p>
    <w:p w14:paraId="1907F20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在履行合同过程中，一方当事人因第三人的原因造成违约的，应当向对方当事人承担违约责任。一方当事人和第三人之间的纠纷，依照法律规定或者按照约定解决。</w:t>
      </w:r>
    </w:p>
    <w:p w14:paraId="000CEFFC">
      <w:pPr>
        <w:pStyle w:val="5"/>
        <w:spacing w:before="120" w:after="120" w:line="240" w:lineRule="auto"/>
        <w:rPr>
          <w:rFonts w:ascii="仿宋_GB2312" w:hAnsi="仿宋_GB2312" w:eastAsia="仿宋_GB2312" w:cs="仿宋_GB2312"/>
          <w:b w:val="0"/>
          <w:color w:val="000000"/>
          <w:sz w:val="18"/>
          <w:szCs w:val="18"/>
          <w:highlight w:val="none"/>
        </w:rPr>
      </w:pPr>
      <w:bookmarkStart w:id="767" w:name="_Toc337558823"/>
      <w:bookmarkStart w:id="768" w:name="_Toc296346617"/>
      <w:bookmarkStart w:id="769" w:name="_Toc296503116"/>
      <w:bookmarkStart w:id="770" w:name="_Toc351203607"/>
      <w:r>
        <w:rPr>
          <w:rFonts w:hint="eastAsia" w:ascii="仿宋_GB2312" w:hAnsi="仿宋_GB2312" w:eastAsia="仿宋_GB2312" w:cs="仿宋_GB2312"/>
          <w:b w:val="0"/>
          <w:color w:val="000000"/>
          <w:sz w:val="18"/>
          <w:szCs w:val="18"/>
          <w:highlight w:val="none"/>
        </w:rPr>
        <w:t>17. 不可抗力</w:t>
      </w:r>
      <w:bookmarkEnd w:id="767"/>
      <w:bookmarkEnd w:id="768"/>
      <w:bookmarkEnd w:id="769"/>
      <w:bookmarkEnd w:id="770"/>
    </w:p>
    <w:p w14:paraId="6C3806ED">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71" w:name="_Toc351203608"/>
      <w:bookmarkStart w:id="772" w:name="_Toc337558824"/>
      <w:bookmarkStart w:id="773" w:name="_Toc296346618"/>
      <w:bookmarkStart w:id="774" w:name="_Toc296503117"/>
      <w:r>
        <w:rPr>
          <w:rFonts w:hint="eastAsia" w:ascii="仿宋_GB2312" w:hAnsi="仿宋_GB2312" w:eastAsia="仿宋_GB2312" w:cs="仿宋_GB2312"/>
          <w:b w:val="0"/>
          <w:color w:val="000000"/>
          <w:sz w:val="18"/>
          <w:szCs w:val="18"/>
          <w:highlight w:val="none"/>
        </w:rPr>
        <w:t>17.1 不可抗力的确认</w:t>
      </w:r>
      <w:bookmarkEnd w:id="771"/>
    </w:p>
    <w:bookmarkEnd w:id="772"/>
    <w:bookmarkEnd w:id="773"/>
    <w:bookmarkEnd w:id="774"/>
    <w:p w14:paraId="012DBBD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E53D8C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27718C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75" w:name="_Toc351203609"/>
      <w:bookmarkStart w:id="776" w:name="_Toc296346619"/>
      <w:bookmarkStart w:id="777" w:name="_Toc337558825"/>
      <w:bookmarkStart w:id="778" w:name="_Toc296503118"/>
      <w:r>
        <w:rPr>
          <w:rFonts w:hint="eastAsia" w:ascii="仿宋_GB2312" w:hAnsi="仿宋_GB2312" w:eastAsia="仿宋_GB2312" w:cs="仿宋_GB2312"/>
          <w:b w:val="0"/>
          <w:color w:val="000000"/>
          <w:sz w:val="18"/>
          <w:szCs w:val="18"/>
          <w:highlight w:val="none"/>
        </w:rPr>
        <w:t>17.2 不可抗力的通知</w:t>
      </w:r>
      <w:bookmarkEnd w:id="775"/>
    </w:p>
    <w:bookmarkEnd w:id="776"/>
    <w:bookmarkEnd w:id="777"/>
    <w:bookmarkEnd w:id="778"/>
    <w:p w14:paraId="4E77C5F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合同一方当事人遇到不可抗力事件，使其履行合同义务受到阻碍时，应立即通知合同另一方当事人和监理人，书面说明不可抗力和受阻碍的详细情况，并提供必要的证明。</w:t>
      </w:r>
    </w:p>
    <w:p w14:paraId="464D904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E18D24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79" w:name="_Toc351203610"/>
      <w:bookmarkStart w:id="780" w:name="_Toc296503119"/>
      <w:bookmarkStart w:id="781" w:name="_Toc296346620"/>
      <w:bookmarkStart w:id="782" w:name="_Toc337558826"/>
      <w:r>
        <w:rPr>
          <w:rFonts w:hint="eastAsia" w:ascii="仿宋_GB2312" w:hAnsi="仿宋_GB2312" w:eastAsia="仿宋_GB2312" w:cs="仿宋_GB2312"/>
          <w:b w:val="0"/>
          <w:color w:val="000000"/>
          <w:sz w:val="18"/>
          <w:szCs w:val="18"/>
          <w:highlight w:val="none"/>
        </w:rPr>
        <w:t>17.3 不可抗力后果的承担</w:t>
      </w:r>
      <w:bookmarkEnd w:id="779"/>
    </w:p>
    <w:bookmarkEnd w:id="780"/>
    <w:bookmarkEnd w:id="781"/>
    <w:bookmarkEnd w:id="782"/>
    <w:p w14:paraId="4168D9B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17.3.1 不可抗力引起的后果及造成的损失由合同当事人按照法律规定及合同约定各自承担。不可抗力发生前已完成的工程应当按照合同约定进行计量支付。</w:t>
      </w:r>
    </w:p>
    <w:p w14:paraId="0938B98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17.3.2 不可抗力导致的人员伤亡、财产损失、费用增加和（或）工期延误等后果，由合同当事人按以下原则承担：</w:t>
      </w:r>
    </w:p>
    <w:p w14:paraId="60A1E52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（1）永久工程、已运至施工现场的材料和工程设备的损坏，以及因工程损坏造成的第三人人员伤亡和财产损失由发包人承担；</w:t>
      </w:r>
    </w:p>
    <w:p w14:paraId="55F0196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（2）承包人施工设备的损坏由承包人承担；</w:t>
      </w:r>
    </w:p>
    <w:p w14:paraId="27B905F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（3）发包人和承包人承担各自人员伤亡和财产的损失；</w:t>
      </w:r>
    </w:p>
    <w:p w14:paraId="4BAC40D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7E2A03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（5）因不可抗力引起或将引起工期延误，发包人要求赶工的，由此增加的赶工费用由发包人承担；</w:t>
      </w:r>
    </w:p>
    <w:p w14:paraId="537E2DD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（6）承包人在停工期间按照发包人要求照管、清理和修复工程的费用由发包人承担。</w:t>
      </w:r>
    </w:p>
    <w:p w14:paraId="4D266FF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不可抗力发生后，合同当事人均应采取措施尽量避免和减少损失的扩大，任何一方当事人没有采取有效措施导致损失扩大的，应对扩大的损失承担责任。</w:t>
      </w:r>
    </w:p>
    <w:p w14:paraId="6BAB0ED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因合同一方迟延履行合同义务，在迟延履行期间遭遇不可抗力的，不免除其违约责任。</w:t>
      </w:r>
    </w:p>
    <w:p w14:paraId="528663FD">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83" w:name="_Toc351203611"/>
      <w:bookmarkStart w:id="784" w:name="_Toc337558827"/>
      <w:r>
        <w:rPr>
          <w:rFonts w:hint="eastAsia" w:ascii="仿宋_GB2312" w:hAnsi="仿宋_GB2312" w:eastAsia="仿宋_GB2312" w:cs="仿宋_GB2312"/>
          <w:b w:val="0"/>
          <w:color w:val="000000"/>
          <w:sz w:val="18"/>
          <w:szCs w:val="18"/>
          <w:highlight w:val="none"/>
        </w:rPr>
        <w:t>17.4 因不可抗力解除合同</w:t>
      </w:r>
      <w:bookmarkEnd w:id="783"/>
    </w:p>
    <w:bookmarkEnd w:id="784"/>
    <w:p w14:paraId="33A0A5B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4FA731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（1）合同解除前承包人已完成工作的价款；</w:t>
      </w:r>
    </w:p>
    <w:p w14:paraId="27A3B0F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（2）承包人为工程订购的并已交付给承包人，或承包人有责任接受交付的材料、工程设备和其他物品的价款；</w:t>
      </w:r>
    </w:p>
    <w:p w14:paraId="520EA2E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（3）发包人要求承包人退货或解除订货合同而产生的费用，或因不能退货或解除合同而产生的损失；</w:t>
      </w:r>
    </w:p>
    <w:p w14:paraId="3058028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（4）承包人撤离施工现场以及遣散承包人人员的费用；</w:t>
      </w:r>
    </w:p>
    <w:p w14:paraId="0DC089F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（5）按照合同约定在合同解除前应支付给承包人的其他款项；</w:t>
      </w:r>
    </w:p>
    <w:p w14:paraId="5653DEA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（6）扣减承包人按照合同约定应向发包人支付的款项；</w:t>
      </w:r>
    </w:p>
    <w:p w14:paraId="486ECBE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（7）双方商定或确定的其他款项。</w:t>
      </w:r>
    </w:p>
    <w:p w14:paraId="5479905F">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除专用合同条款另有约定外，合同解除后，发包人应在商定或确定上述款项后28天内完成上述款项的支付。</w:t>
      </w:r>
    </w:p>
    <w:p w14:paraId="2BD24118">
      <w:pPr>
        <w:pStyle w:val="5"/>
        <w:spacing w:before="120" w:after="120" w:line="240" w:lineRule="auto"/>
        <w:rPr>
          <w:rFonts w:ascii="仿宋_GB2312" w:hAnsi="仿宋_GB2312" w:eastAsia="仿宋_GB2312" w:cs="仿宋_GB2312"/>
          <w:b w:val="0"/>
          <w:color w:val="000000"/>
          <w:sz w:val="18"/>
          <w:szCs w:val="18"/>
          <w:highlight w:val="none"/>
        </w:rPr>
      </w:pPr>
      <w:bookmarkStart w:id="785" w:name="_Toc351203612"/>
      <w:bookmarkStart w:id="786" w:name="_Toc296503120"/>
      <w:bookmarkStart w:id="787" w:name="_Toc296346621"/>
      <w:bookmarkStart w:id="788" w:name="_Toc337558828"/>
      <w:r>
        <w:rPr>
          <w:rFonts w:hint="eastAsia" w:ascii="仿宋_GB2312" w:hAnsi="仿宋_GB2312" w:eastAsia="仿宋_GB2312" w:cs="仿宋_GB2312"/>
          <w:b w:val="0"/>
          <w:color w:val="000000"/>
          <w:sz w:val="18"/>
          <w:szCs w:val="18"/>
          <w:highlight w:val="none"/>
        </w:rPr>
        <w:t>18. 保险</w:t>
      </w:r>
      <w:bookmarkEnd w:id="785"/>
    </w:p>
    <w:bookmarkEnd w:id="786"/>
    <w:bookmarkEnd w:id="787"/>
    <w:bookmarkEnd w:id="788"/>
    <w:p w14:paraId="4D686F7E">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89" w:name="_Toc351203613"/>
      <w:bookmarkStart w:id="790" w:name="_Toc296503121"/>
      <w:bookmarkStart w:id="791" w:name="_Toc296346622"/>
      <w:bookmarkStart w:id="792" w:name="_Toc337558829"/>
      <w:r>
        <w:rPr>
          <w:rFonts w:hint="eastAsia" w:ascii="仿宋_GB2312" w:hAnsi="仿宋_GB2312" w:eastAsia="仿宋_GB2312" w:cs="仿宋_GB2312"/>
          <w:b w:val="0"/>
          <w:color w:val="000000"/>
          <w:sz w:val="18"/>
          <w:szCs w:val="18"/>
          <w:highlight w:val="none"/>
        </w:rPr>
        <w:t>18.1 工程保险</w:t>
      </w:r>
      <w:bookmarkEnd w:id="789"/>
    </w:p>
    <w:bookmarkEnd w:id="790"/>
    <w:bookmarkEnd w:id="791"/>
    <w:bookmarkEnd w:id="792"/>
    <w:p w14:paraId="221D7EBA">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除专用合同条款另有约定外，发包人应投保建筑工程一切险或安装工程一切险；发包人委托承包人投保的，因投保产生的保险费和其他相关费用由发包人承担。</w:t>
      </w:r>
    </w:p>
    <w:p w14:paraId="31BD6FC3">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93" w:name="_Toc351203614"/>
      <w:bookmarkStart w:id="794" w:name="_Toc296503122"/>
      <w:bookmarkStart w:id="795" w:name="_Toc337558830"/>
      <w:bookmarkStart w:id="796" w:name="_Toc296346623"/>
      <w:r>
        <w:rPr>
          <w:rFonts w:hint="eastAsia" w:ascii="仿宋_GB2312" w:hAnsi="仿宋_GB2312" w:eastAsia="仿宋_GB2312" w:cs="仿宋_GB2312"/>
          <w:b w:val="0"/>
          <w:color w:val="000000"/>
          <w:sz w:val="18"/>
          <w:szCs w:val="18"/>
          <w:highlight w:val="none"/>
        </w:rPr>
        <w:t>18.2 工伤保险</w:t>
      </w:r>
      <w:bookmarkEnd w:id="793"/>
    </w:p>
    <w:bookmarkEnd w:id="794"/>
    <w:bookmarkEnd w:id="795"/>
    <w:bookmarkEnd w:id="796"/>
    <w:p w14:paraId="5773A3B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18.2.1 发包人应依照法律规定参加工伤保险，并为在施工现场的全部员工办理工伤保险，缴纳工伤保险费，并要求监理人及由发包人为履行合同聘请的第三方依法参加工伤保险。</w:t>
      </w:r>
    </w:p>
    <w:p w14:paraId="21EC6F8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18.2.2 承包人应依照法律规定参加工伤保险，并为其履行合同的全部员工办理工伤保险，缴纳工伤保险费，并要求分包人及由承包人为履行合同聘请的第三方依法参加工伤保险。</w:t>
      </w:r>
    </w:p>
    <w:p w14:paraId="2BB18C68">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797" w:name="_Toc351203615"/>
      <w:bookmarkStart w:id="798" w:name="_Toc296503125"/>
      <w:bookmarkStart w:id="799" w:name="_Toc296346626"/>
      <w:bookmarkStart w:id="800" w:name="_Toc337558831"/>
      <w:r>
        <w:rPr>
          <w:rFonts w:hint="eastAsia" w:ascii="仿宋_GB2312" w:hAnsi="仿宋_GB2312" w:eastAsia="仿宋_GB2312" w:cs="仿宋_GB2312"/>
          <w:b w:val="0"/>
          <w:color w:val="000000"/>
          <w:sz w:val="18"/>
          <w:szCs w:val="18"/>
          <w:highlight w:val="none"/>
        </w:rPr>
        <w:t>18.3其他保险</w:t>
      </w:r>
      <w:bookmarkEnd w:id="797"/>
    </w:p>
    <w:bookmarkEnd w:id="798"/>
    <w:bookmarkEnd w:id="799"/>
    <w:bookmarkEnd w:id="800"/>
    <w:p w14:paraId="0CC20A5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发包人和承包人可以为其施工现场的全部人员办理意外伤害保险并支付保险费，包括其员工及为履行合同聘请的第三方的人员，具体事项由合同当事人在专用合同条款约定。</w:t>
      </w:r>
    </w:p>
    <w:p w14:paraId="7AD5D1A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除专用合同条款另有约定外，承包人应为其施工设备等办理财产保险。</w:t>
      </w:r>
    </w:p>
    <w:p w14:paraId="1A78FEC4">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01" w:name="_Toc351203616"/>
      <w:r>
        <w:rPr>
          <w:rFonts w:hint="eastAsia" w:ascii="仿宋_GB2312" w:hAnsi="仿宋_GB2312" w:eastAsia="仿宋_GB2312" w:cs="仿宋_GB2312"/>
          <w:b w:val="0"/>
          <w:color w:val="000000"/>
          <w:sz w:val="18"/>
          <w:szCs w:val="18"/>
          <w:highlight w:val="none"/>
        </w:rPr>
        <w:t>18.4持续保险</w:t>
      </w:r>
      <w:bookmarkEnd w:id="801"/>
    </w:p>
    <w:p w14:paraId="384246C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合同当事人应与保险人保持联系，使保险人能够随时了解工程实施中的变动，并确保按保险合同条款要求持续保险。</w:t>
      </w:r>
    </w:p>
    <w:p w14:paraId="13D9718D">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02" w:name="_Toc351203617"/>
      <w:bookmarkStart w:id="803" w:name="_Toc296503126"/>
      <w:bookmarkStart w:id="804" w:name="_Toc337558832"/>
      <w:bookmarkStart w:id="805" w:name="_Toc296346627"/>
      <w:r>
        <w:rPr>
          <w:rFonts w:hint="eastAsia" w:ascii="仿宋_GB2312" w:hAnsi="仿宋_GB2312" w:eastAsia="仿宋_GB2312" w:cs="仿宋_GB2312"/>
          <w:b w:val="0"/>
          <w:color w:val="000000"/>
          <w:sz w:val="18"/>
          <w:szCs w:val="18"/>
          <w:highlight w:val="none"/>
        </w:rPr>
        <w:t>18.5 保险凭证</w:t>
      </w:r>
      <w:bookmarkEnd w:id="802"/>
    </w:p>
    <w:bookmarkEnd w:id="803"/>
    <w:bookmarkEnd w:id="804"/>
    <w:bookmarkEnd w:id="805"/>
    <w:p w14:paraId="7B0C1A7A">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合同当事人应及时向另一方当事人提交其已投保的各项保险的凭证和保险单复印件。</w:t>
      </w:r>
    </w:p>
    <w:p w14:paraId="7861EA6C">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06" w:name="_Toc351203618"/>
      <w:bookmarkStart w:id="807" w:name="_Toc296346628"/>
      <w:bookmarkStart w:id="808" w:name="_Toc337558833"/>
      <w:bookmarkStart w:id="809" w:name="_Toc296503127"/>
      <w:r>
        <w:rPr>
          <w:rFonts w:hint="eastAsia" w:ascii="仿宋_GB2312" w:hAnsi="仿宋_GB2312" w:eastAsia="仿宋_GB2312" w:cs="仿宋_GB2312"/>
          <w:b w:val="0"/>
          <w:color w:val="000000"/>
          <w:sz w:val="18"/>
          <w:szCs w:val="18"/>
          <w:highlight w:val="none"/>
        </w:rPr>
        <w:t>18.6 未按约定投保的补救</w:t>
      </w:r>
      <w:bookmarkEnd w:id="806"/>
    </w:p>
    <w:bookmarkEnd w:id="807"/>
    <w:bookmarkEnd w:id="808"/>
    <w:bookmarkEnd w:id="809"/>
    <w:p w14:paraId="5D7CAEF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18.6.1发包人未按合同约定办理保险，或未能使保险持续有效的，则承包人可代为办理，所需费用由发包人承担。发包人未按合同约定办理保险，导致未能得到足额赔偿的，由发包人负责补足。</w:t>
      </w:r>
    </w:p>
    <w:p w14:paraId="402FC22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18.6.2承包人未按合同约定办理保险，或未能使保险持续有效的，则发包人可代为办理，所需费用由承包人承担。承包人未按合同约定办理保险，导致未能得到足额赔偿的，由承包人负责补足。</w:t>
      </w:r>
    </w:p>
    <w:p w14:paraId="4227C732">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10" w:name="_Toc351203619"/>
      <w:bookmarkStart w:id="811" w:name="_Toc337558834"/>
      <w:r>
        <w:rPr>
          <w:rFonts w:hint="eastAsia" w:ascii="仿宋_GB2312" w:hAnsi="仿宋_GB2312" w:eastAsia="仿宋_GB2312" w:cs="仿宋_GB2312"/>
          <w:b w:val="0"/>
          <w:color w:val="000000"/>
          <w:sz w:val="18"/>
          <w:szCs w:val="18"/>
          <w:highlight w:val="none"/>
        </w:rPr>
        <w:t>18.7 通知义务</w:t>
      </w:r>
      <w:bookmarkEnd w:id="810"/>
    </w:p>
    <w:bookmarkEnd w:id="811"/>
    <w:p w14:paraId="4F36C6C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E1B87A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保险事故发生时，投保人应按照保险合同规定的条件和期限及时向保险人报告。发包人和承包人应当在知道保险事故发生后及时通知对方。</w:t>
      </w:r>
    </w:p>
    <w:p w14:paraId="38D80D75">
      <w:pPr>
        <w:pStyle w:val="5"/>
        <w:spacing w:before="120" w:after="120" w:line="240" w:lineRule="auto"/>
        <w:rPr>
          <w:rFonts w:ascii="仿宋_GB2312" w:hAnsi="仿宋_GB2312" w:eastAsia="仿宋_GB2312" w:cs="仿宋_GB2312"/>
          <w:b w:val="0"/>
          <w:color w:val="000000"/>
          <w:sz w:val="18"/>
          <w:szCs w:val="18"/>
          <w:highlight w:val="none"/>
        </w:rPr>
      </w:pPr>
      <w:bookmarkStart w:id="812" w:name="_Toc351203620"/>
      <w:bookmarkStart w:id="813" w:name="_Toc337558835"/>
      <w:bookmarkStart w:id="814" w:name="_Toc296503140"/>
      <w:bookmarkStart w:id="815" w:name="_Toc296346641"/>
      <w:r>
        <w:rPr>
          <w:rFonts w:hint="eastAsia" w:ascii="仿宋_GB2312" w:hAnsi="仿宋_GB2312" w:eastAsia="仿宋_GB2312" w:cs="仿宋_GB2312"/>
          <w:b w:val="0"/>
          <w:color w:val="000000"/>
          <w:sz w:val="18"/>
          <w:szCs w:val="18"/>
          <w:highlight w:val="none"/>
        </w:rPr>
        <w:t>19. 索赔</w:t>
      </w:r>
      <w:bookmarkEnd w:id="812"/>
    </w:p>
    <w:bookmarkEnd w:id="813"/>
    <w:bookmarkEnd w:id="814"/>
    <w:bookmarkEnd w:id="815"/>
    <w:p w14:paraId="21805669">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16" w:name="_Toc351203621"/>
      <w:bookmarkStart w:id="817" w:name="_Toc337558836"/>
      <w:bookmarkStart w:id="818" w:name="_Toc296503141"/>
      <w:bookmarkStart w:id="819" w:name="_Toc296346642"/>
      <w:r>
        <w:rPr>
          <w:rFonts w:hint="eastAsia" w:ascii="仿宋_GB2312" w:hAnsi="仿宋_GB2312" w:eastAsia="仿宋_GB2312" w:cs="仿宋_GB2312"/>
          <w:b w:val="0"/>
          <w:color w:val="000000"/>
          <w:sz w:val="18"/>
          <w:szCs w:val="18"/>
          <w:highlight w:val="none"/>
        </w:rPr>
        <w:t>19.1承包人的索赔</w:t>
      </w:r>
      <w:bookmarkEnd w:id="816"/>
    </w:p>
    <w:bookmarkEnd w:id="817"/>
    <w:bookmarkEnd w:id="818"/>
    <w:bookmarkEnd w:id="819"/>
    <w:p w14:paraId="52E3102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根据合同约定，承包人认为有权得到追加付款和（或）延长工期的，应按以下程序向发包人提出索赔：</w:t>
      </w:r>
    </w:p>
    <w:p w14:paraId="4D08359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1C662B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（2）承包人应在发出索赔意向通知书后28天内，向监理人正式递交索赔报告；索赔报告应详细说明索赔理由以及要求追加的付款金额和（或）延长的工期，并附必要的记录和证明材料；</w:t>
      </w:r>
    </w:p>
    <w:p w14:paraId="047750C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（3）索赔事件具有持续影响的，承包人应按合理时间间隔继续递交延续索赔通知，说明持续影响的实际情况和记录，列出累计的追加付款金额和（或）工期延长天数；</w:t>
      </w:r>
    </w:p>
    <w:p w14:paraId="1BCD1E46">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（4）在索赔事件影响结束后28天内，承包人应向监理人递交最终索赔报告，说明最终要求索赔的追加付款金额和（或）延长的工期，并附必要的记录和证明材料。</w:t>
      </w:r>
    </w:p>
    <w:p w14:paraId="0745A21F">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20" w:name="_Toc351203622"/>
      <w:bookmarkStart w:id="821" w:name="_Toc296346643"/>
      <w:bookmarkStart w:id="822" w:name="_Toc296503142"/>
      <w:bookmarkStart w:id="823" w:name="_Toc337558837"/>
      <w:r>
        <w:rPr>
          <w:rFonts w:hint="eastAsia" w:ascii="仿宋_GB2312" w:hAnsi="仿宋_GB2312" w:eastAsia="仿宋_GB2312" w:cs="仿宋_GB2312"/>
          <w:b w:val="0"/>
          <w:color w:val="000000"/>
          <w:sz w:val="18"/>
          <w:szCs w:val="18"/>
          <w:highlight w:val="none"/>
        </w:rPr>
        <w:t>19.2 对承包人索赔的处理</w:t>
      </w:r>
      <w:bookmarkEnd w:id="820"/>
    </w:p>
    <w:bookmarkEnd w:id="821"/>
    <w:bookmarkEnd w:id="822"/>
    <w:bookmarkEnd w:id="823"/>
    <w:p w14:paraId="3249692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对承包人索赔的处理如下：</w:t>
      </w:r>
    </w:p>
    <w:p w14:paraId="53932015">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（1）监理人应在收到索赔报告后14天内完成审查并报送发包人。监理人对索赔报告存在异议的，有权要求承包人提交全部原始记录副本；</w:t>
      </w:r>
    </w:p>
    <w:p w14:paraId="14BC22E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（2）发包人应在监理人收到索赔报告或有关索赔的进一步证明材料后的28天内，由监理人向承包人出具经发包人签认的索赔处理结果。发包人逾期答复的，则视为认可承包人的索赔要求；</w:t>
      </w:r>
    </w:p>
    <w:p w14:paraId="403991B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（3）承包人接受索赔处理结果的，索赔款项在当期进度款中进行支付；承包人不接受索赔处理结果的，按照第20条〔争议解决〕约定处理。</w:t>
      </w:r>
    </w:p>
    <w:p w14:paraId="6C3560F5">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24" w:name="_Toc351203623"/>
      <w:bookmarkStart w:id="825" w:name="_Toc296503143"/>
      <w:bookmarkStart w:id="826" w:name="_Toc296346644"/>
      <w:bookmarkStart w:id="827" w:name="_Toc337558838"/>
      <w:r>
        <w:rPr>
          <w:rFonts w:hint="eastAsia" w:ascii="仿宋_GB2312" w:hAnsi="仿宋_GB2312" w:eastAsia="仿宋_GB2312" w:cs="仿宋_GB2312"/>
          <w:b w:val="0"/>
          <w:color w:val="000000"/>
          <w:sz w:val="18"/>
          <w:szCs w:val="18"/>
          <w:highlight w:val="none"/>
        </w:rPr>
        <w:t>19.3发包人的索赔</w:t>
      </w:r>
      <w:bookmarkEnd w:id="824"/>
    </w:p>
    <w:bookmarkEnd w:id="825"/>
    <w:bookmarkEnd w:id="826"/>
    <w:bookmarkEnd w:id="827"/>
    <w:p w14:paraId="5BB1CE9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根据合同约定，发包人认为有权得到赔付金额和（或）延长缺陷责任期的，监理人应向承包人发出通知并附有详细的证明。</w:t>
      </w:r>
    </w:p>
    <w:p w14:paraId="2D4B6E0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4EADF53">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28" w:name="_Toc351203624"/>
      <w:bookmarkStart w:id="829" w:name="_Toc337558839"/>
      <w:bookmarkStart w:id="830" w:name="_Toc296503144"/>
      <w:bookmarkStart w:id="831" w:name="_Toc296346645"/>
      <w:r>
        <w:rPr>
          <w:rFonts w:hint="eastAsia" w:ascii="仿宋_GB2312" w:hAnsi="仿宋_GB2312" w:eastAsia="仿宋_GB2312" w:cs="仿宋_GB2312"/>
          <w:b w:val="0"/>
          <w:color w:val="000000"/>
          <w:sz w:val="18"/>
          <w:szCs w:val="18"/>
          <w:highlight w:val="none"/>
        </w:rPr>
        <w:t>19.4 对发包人索赔的处理</w:t>
      </w:r>
      <w:bookmarkEnd w:id="828"/>
    </w:p>
    <w:bookmarkEnd w:id="829"/>
    <w:bookmarkEnd w:id="830"/>
    <w:bookmarkEnd w:id="831"/>
    <w:p w14:paraId="1D3595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对发包人索赔的处理如下：</w:t>
      </w:r>
    </w:p>
    <w:p w14:paraId="1013B9F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（1）承包人收到发包人提交的索赔报告后，应及时审查索赔报告的内容、查验发包人证明材料；</w:t>
      </w:r>
    </w:p>
    <w:p w14:paraId="2B5584F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（2）承包人应在收到索赔报告或有关索赔的进一步证明材料后28天内，将索赔处理结果答复发包人。如果承包人未在上述期限内作出答复的，则视为对发包人索赔要求的认可；</w:t>
      </w:r>
    </w:p>
    <w:p w14:paraId="776C565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（3）承包人接受索赔处理结果的，发包人可从应支付给承包人的合同价款中扣除赔付的金额或延长缺陷责任期；发包人不接受索赔处理结果的，按第20条〔争议解决〕约定处理。</w:t>
      </w:r>
    </w:p>
    <w:p w14:paraId="7E4413B3">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32" w:name="_Toc351203625"/>
      <w:r>
        <w:rPr>
          <w:rFonts w:hint="eastAsia" w:ascii="仿宋_GB2312" w:hAnsi="仿宋_GB2312" w:eastAsia="仿宋_GB2312" w:cs="仿宋_GB2312"/>
          <w:b w:val="0"/>
          <w:color w:val="000000"/>
          <w:sz w:val="18"/>
          <w:szCs w:val="18"/>
          <w:highlight w:val="none"/>
        </w:rPr>
        <w:t>19.5 提出索赔的期限</w:t>
      </w:r>
      <w:bookmarkEnd w:id="832"/>
    </w:p>
    <w:p w14:paraId="0C9678C7">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（1）承包人按第14.2款〔竣工结算审核〕约定接收竣工付款证书后，应被视为已无权再提出在工程接收证书颁发前所发生的任何索赔。</w:t>
      </w:r>
    </w:p>
    <w:p w14:paraId="7AED0E2D">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（2）承包人按第14.4款〔最终结清〕提交的最终结清申请单中，只限于提出工程接收证书颁发后发生的索赔。提出索赔的期限自接受最终结清证书时终止。</w:t>
      </w:r>
    </w:p>
    <w:p w14:paraId="636F9FC1">
      <w:pPr>
        <w:pStyle w:val="5"/>
        <w:spacing w:before="120" w:after="120" w:line="240" w:lineRule="auto"/>
        <w:rPr>
          <w:rFonts w:ascii="仿宋_GB2312" w:hAnsi="仿宋_GB2312" w:eastAsia="仿宋_GB2312" w:cs="仿宋_GB2312"/>
          <w:b w:val="0"/>
          <w:color w:val="000000"/>
          <w:sz w:val="18"/>
          <w:szCs w:val="18"/>
          <w:highlight w:val="none"/>
        </w:rPr>
      </w:pPr>
      <w:bookmarkStart w:id="833" w:name="_Toc351203626"/>
      <w:r>
        <w:rPr>
          <w:rFonts w:hint="eastAsia" w:ascii="仿宋_GB2312" w:hAnsi="仿宋_GB2312" w:eastAsia="仿宋_GB2312" w:cs="仿宋_GB2312"/>
          <w:b w:val="0"/>
          <w:color w:val="000000"/>
          <w:sz w:val="18"/>
          <w:szCs w:val="18"/>
          <w:highlight w:val="none"/>
        </w:rPr>
        <w:t>20</w:t>
      </w:r>
      <w:bookmarkStart w:id="834" w:name="_Toc296503146"/>
      <w:bookmarkStart w:id="835" w:name="_Toc296346647"/>
      <w:bookmarkStart w:id="836" w:name="_Toc337558840"/>
      <w:r>
        <w:rPr>
          <w:rFonts w:hint="eastAsia" w:ascii="仿宋_GB2312" w:hAnsi="仿宋_GB2312" w:eastAsia="仿宋_GB2312" w:cs="仿宋_GB2312"/>
          <w:b w:val="0"/>
          <w:color w:val="000000"/>
          <w:sz w:val="18"/>
          <w:szCs w:val="18"/>
          <w:highlight w:val="none"/>
        </w:rPr>
        <w:t>. 争议解决</w:t>
      </w:r>
      <w:bookmarkEnd w:id="833"/>
    </w:p>
    <w:bookmarkEnd w:id="834"/>
    <w:bookmarkEnd w:id="835"/>
    <w:bookmarkEnd w:id="836"/>
    <w:p w14:paraId="48260540">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37" w:name="_Toc351203627"/>
      <w:bookmarkStart w:id="838" w:name="_Toc296503147"/>
      <w:bookmarkStart w:id="839" w:name="_Toc337558841"/>
      <w:bookmarkStart w:id="840" w:name="_Toc296346648"/>
      <w:r>
        <w:rPr>
          <w:rFonts w:hint="eastAsia" w:ascii="仿宋_GB2312" w:hAnsi="仿宋_GB2312" w:eastAsia="仿宋_GB2312" w:cs="仿宋_GB2312"/>
          <w:b w:val="0"/>
          <w:color w:val="000000"/>
          <w:sz w:val="18"/>
          <w:szCs w:val="18"/>
          <w:highlight w:val="none"/>
        </w:rPr>
        <w:t>20.1和解</w:t>
      </w:r>
      <w:bookmarkEnd w:id="837"/>
    </w:p>
    <w:bookmarkEnd w:id="838"/>
    <w:bookmarkEnd w:id="839"/>
    <w:bookmarkEnd w:id="840"/>
    <w:p w14:paraId="240B02E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合同当事人可以就争议自行和解，自行和解达成协议的经双方签字并盖章后作为合同补充文件，双方均应遵照执行。</w:t>
      </w:r>
    </w:p>
    <w:p w14:paraId="10B05DC3">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41" w:name="_Toc351203628"/>
      <w:r>
        <w:rPr>
          <w:rFonts w:hint="eastAsia" w:ascii="仿宋_GB2312" w:hAnsi="仿宋_GB2312" w:eastAsia="仿宋_GB2312" w:cs="仿宋_GB2312"/>
          <w:b w:val="0"/>
          <w:color w:val="000000"/>
          <w:sz w:val="18"/>
          <w:szCs w:val="18"/>
          <w:highlight w:val="none"/>
        </w:rPr>
        <w:t>20</w:t>
      </w:r>
      <w:bookmarkStart w:id="842" w:name="_Toc296503148"/>
      <w:bookmarkStart w:id="843" w:name="_Toc337558842"/>
      <w:bookmarkStart w:id="844" w:name="_Toc296346649"/>
      <w:r>
        <w:rPr>
          <w:rFonts w:hint="eastAsia" w:ascii="仿宋_GB2312" w:hAnsi="仿宋_GB2312" w:eastAsia="仿宋_GB2312" w:cs="仿宋_GB2312"/>
          <w:b w:val="0"/>
          <w:color w:val="000000"/>
          <w:sz w:val="18"/>
          <w:szCs w:val="18"/>
          <w:highlight w:val="none"/>
        </w:rPr>
        <w:t>.2调解</w:t>
      </w:r>
      <w:bookmarkEnd w:id="841"/>
    </w:p>
    <w:bookmarkEnd w:id="842"/>
    <w:bookmarkEnd w:id="843"/>
    <w:bookmarkEnd w:id="844"/>
    <w:p w14:paraId="758DA9B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合同当事人可以就争议请求建设行政主管部门、行业协会或其他第三方进行调解，调解达成协议的，经双方签字并盖章后作为合同补充文件，双方均应遵照执行。</w:t>
      </w:r>
    </w:p>
    <w:p w14:paraId="0A8FEA7A">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45" w:name="_Toc351203629"/>
      <w:bookmarkStart w:id="846" w:name="_Toc296346650"/>
      <w:bookmarkStart w:id="847" w:name="_Toc337558843"/>
      <w:bookmarkStart w:id="848" w:name="_Toc296503149"/>
      <w:r>
        <w:rPr>
          <w:rFonts w:hint="eastAsia" w:ascii="仿宋_GB2312" w:hAnsi="仿宋_GB2312" w:eastAsia="仿宋_GB2312" w:cs="仿宋_GB2312"/>
          <w:b w:val="0"/>
          <w:color w:val="000000"/>
          <w:sz w:val="18"/>
          <w:szCs w:val="18"/>
          <w:highlight w:val="none"/>
        </w:rPr>
        <w:t>20.3争议评审</w:t>
      </w:r>
      <w:bookmarkEnd w:id="845"/>
    </w:p>
    <w:bookmarkEnd w:id="846"/>
    <w:bookmarkEnd w:id="847"/>
    <w:bookmarkEnd w:id="848"/>
    <w:p w14:paraId="02EB94B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合同当事人在专用合同条款中约定采取争议评审方式解决争议以及评审规则，并按下列约定执行： </w:t>
      </w:r>
    </w:p>
    <w:p w14:paraId="0608E99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20.3.1 争议评审小组的确定</w:t>
      </w:r>
    </w:p>
    <w:p w14:paraId="488B4E1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合同当事人可以共同选择一名或三名争议评审员，组成争议评审小组。除专用合同条款另有约定外，合同当事人应当自合同签订后28天内，或者争议发生后14天内，选定争议评审员。</w:t>
      </w:r>
    </w:p>
    <w:p w14:paraId="66F3D66D">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DA34BD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除专用合同条款另有约定外，评审员报酬由发包人和承包人各承担一半。</w:t>
      </w:r>
    </w:p>
    <w:p w14:paraId="00CE389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20.3.2 争议评审小组的决定</w:t>
      </w:r>
    </w:p>
    <w:p w14:paraId="149C224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5E90F63">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20.3.3 争议评审小组决定的效力</w:t>
      </w:r>
    </w:p>
    <w:p w14:paraId="42B2541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争议评审小组作出的书面决定经合同当事人签字确认后，对双方具有约束力，双方应遵照执行。</w:t>
      </w:r>
    </w:p>
    <w:p w14:paraId="5C81AC1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任何一方当事人不接受争议评审小组决定或不履行争议评审小组决定的，双方可选择采用其他争议解决方式。</w:t>
      </w:r>
    </w:p>
    <w:p w14:paraId="236FF28B">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49" w:name="_Toc351203630"/>
      <w:bookmarkStart w:id="850" w:name="_Toc296346651"/>
      <w:bookmarkStart w:id="851" w:name="_Toc296503150"/>
      <w:bookmarkStart w:id="852" w:name="_Toc337558844"/>
      <w:r>
        <w:rPr>
          <w:rFonts w:hint="eastAsia" w:ascii="仿宋_GB2312" w:hAnsi="仿宋_GB2312" w:eastAsia="仿宋_GB2312" w:cs="仿宋_GB2312"/>
          <w:b w:val="0"/>
          <w:color w:val="000000"/>
          <w:sz w:val="18"/>
          <w:szCs w:val="18"/>
          <w:highlight w:val="none"/>
        </w:rPr>
        <w:t>20.4仲裁或诉讼</w:t>
      </w:r>
      <w:bookmarkEnd w:id="849"/>
    </w:p>
    <w:bookmarkEnd w:id="850"/>
    <w:bookmarkEnd w:id="851"/>
    <w:bookmarkEnd w:id="852"/>
    <w:p w14:paraId="3518422E">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因合同及合同有关事项产生的争议，合同当事人可以在专用合同条款中约定以下一种方式解决争议：</w:t>
      </w:r>
    </w:p>
    <w:p w14:paraId="11E9F738">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（1）向约定的仲裁委员会申请仲裁；</w:t>
      </w:r>
    </w:p>
    <w:p w14:paraId="274905C1">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（2）向有管辖权的人民法院起诉。</w:t>
      </w:r>
    </w:p>
    <w:p w14:paraId="16A0D4A2">
      <w:pPr>
        <w:pStyle w:val="6"/>
        <w:spacing w:before="120" w:after="120"/>
        <w:ind w:left="0" w:firstLine="360" w:firstLineChars="200"/>
        <w:rPr>
          <w:rFonts w:ascii="仿宋_GB2312" w:hAnsi="仿宋_GB2312" w:eastAsia="仿宋_GB2312" w:cs="仿宋_GB2312"/>
          <w:b w:val="0"/>
          <w:color w:val="000000"/>
          <w:sz w:val="18"/>
          <w:szCs w:val="18"/>
          <w:highlight w:val="none"/>
        </w:rPr>
      </w:pPr>
      <w:bookmarkStart w:id="853" w:name="_Toc351203631"/>
      <w:bookmarkStart w:id="854" w:name="_Toc337558845"/>
      <w:bookmarkStart w:id="855" w:name="_Toc296503152"/>
      <w:bookmarkStart w:id="856" w:name="_Toc296346653"/>
      <w:r>
        <w:rPr>
          <w:rFonts w:hint="eastAsia" w:ascii="仿宋_GB2312" w:hAnsi="仿宋_GB2312" w:eastAsia="仿宋_GB2312" w:cs="仿宋_GB2312"/>
          <w:b w:val="0"/>
          <w:color w:val="000000"/>
          <w:sz w:val="18"/>
          <w:szCs w:val="18"/>
          <w:highlight w:val="none"/>
        </w:rPr>
        <w:t>20.5争议解决条款效力</w:t>
      </w:r>
      <w:bookmarkEnd w:id="853"/>
    </w:p>
    <w:bookmarkEnd w:id="854"/>
    <w:bookmarkEnd w:id="855"/>
    <w:bookmarkEnd w:id="856"/>
    <w:p w14:paraId="564A2B4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合同有关争议解决的条款独立存在，合同的变更、解除、终止、无效或者被撤销均不影响其效力。 </w:t>
      </w:r>
    </w:p>
    <w:p w14:paraId="030D219F">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page"/>
      </w:r>
    </w:p>
    <w:p w14:paraId="0CD1A3EF">
      <w:pPr>
        <w:pStyle w:val="4"/>
        <w:jc w:val="center"/>
        <w:rPr>
          <w:rFonts w:ascii="仿宋" w:hAnsi="仿宋" w:eastAsia="仿宋" w:cs="仿宋"/>
          <w:sz w:val="40"/>
          <w:szCs w:val="40"/>
          <w:highlight w:val="none"/>
        </w:rPr>
      </w:pPr>
      <w:r>
        <w:rPr>
          <w:rFonts w:hint="eastAsia" w:ascii="仿宋" w:hAnsi="仿宋" w:eastAsia="仿宋" w:cs="仿宋"/>
          <w:sz w:val="40"/>
          <w:szCs w:val="40"/>
          <w:highlight w:val="none"/>
        </w:rPr>
        <w:t>第三部分 专用合同条款</w:t>
      </w:r>
    </w:p>
    <w:p w14:paraId="5C694BC9">
      <w:pPr>
        <w:pStyle w:val="5"/>
        <w:spacing w:before="120" w:after="120" w:line="240" w:lineRule="auto"/>
        <w:rPr>
          <w:rFonts w:ascii="仿宋_GB2312" w:hAnsi="仿宋_GB2312" w:eastAsia="仿宋_GB2312" w:cs="仿宋_GB2312"/>
          <w:b w:val="0"/>
          <w:color w:val="000000"/>
          <w:sz w:val="18"/>
          <w:szCs w:val="18"/>
          <w:highlight w:val="none"/>
        </w:rPr>
      </w:pPr>
      <w:bookmarkStart w:id="857" w:name="_Toc351203633"/>
      <w:r>
        <w:rPr>
          <w:rFonts w:hint="eastAsia" w:ascii="仿宋_GB2312" w:hAnsi="仿宋_GB2312" w:eastAsia="仿宋_GB2312" w:cs="仿宋_GB2312"/>
          <w:b w:val="0"/>
          <w:color w:val="000000"/>
          <w:sz w:val="18"/>
          <w:szCs w:val="18"/>
          <w:highlight w:val="none"/>
        </w:rPr>
        <w:t>1</w:t>
      </w:r>
      <w:bookmarkStart w:id="858" w:name="_Toc296890984"/>
      <w:bookmarkStart w:id="859" w:name="_Toc296891196"/>
      <w:bookmarkStart w:id="860" w:name="_Toc292559361"/>
      <w:bookmarkStart w:id="861" w:name="_Toc296944495"/>
      <w:bookmarkStart w:id="862" w:name="_Toc297120456"/>
      <w:bookmarkStart w:id="863" w:name="_Toc296503156"/>
      <w:bookmarkStart w:id="864" w:name="_Toc296347155"/>
      <w:bookmarkStart w:id="865" w:name="_Toc296346657"/>
      <w:bookmarkStart w:id="866" w:name="_Toc292559866"/>
      <w:bookmarkStart w:id="867" w:name="_Toc297048342"/>
      <w:r>
        <w:rPr>
          <w:rFonts w:hint="eastAsia" w:ascii="仿宋_GB2312" w:hAnsi="仿宋_GB2312" w:eastAsia="仿宋_GB2312" w:cs="仿宋_GB2312"/>
          <w:b w:val="0"/>
          <w:color w:val="000000"/>
          <w:sz w:val="18"/>
          <w:szCs w:val="18"/>
          <w:highlight w:val="none"/>
        </w:rPr>
        <w:t>. 一般约定</w:t>
      </w:r>
      <w:bookmarkEnd w:id="857"/>
    </w:p>
    <w:bookmarkEnd w:id="858"/>
    <w:bookmarkEnd w:id="859"/>
    <w:bookmarkEnd w:id="860"/>
    <w:bookmarkEnd w:id="861"/>
    <w:bookmarkEnd w:id="862"/>
    <w:bookmarkEnd w:id="863"/>
    <w:bookmarkEnd w:id="864"/>
    <w:bookmarkEnd w:id="865"/>
    <w:bookmarkEnd w:id="866"/>
    <w:bookmarkEnd w:id="867"/>
    <w:p w14:paraId="3DF251BD">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 词语定义</w:t>
      </w:r>
    </w:p>
    <w:p w14:paraId="440A2B1B">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1.1.1合同</w:t>
      </w:r>
    </w:p>
    <w:p w14:paraId="777ECAF1">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1.1.1.1其他合同文件包括：</w:t>
      </w:r>
      <w:r>
        <w:rPr>
          <w:rFonts w:hint="eastAsia" w:ascii="仿宋_GB2312" w:hAnsi="仿宋_GB2312" w:eastAsia="仿宋_GB2312" w:cs="仿宋_GB2312"/>
          <w:kern w:val="0"/>
          <w:sz w:val="18"/>
          <w:szCs w:val="18"/>
          <w:highlight w:val="none"/>
          <w:u w:val="single"/>
        </w:rPr>
        <w:t>施工组织</w:t>
      </w:r>
      <w:r>
        <w:rPr>
          <w:highlight w:val="none"/>
        </w:rPr>
        <w:fldChar w:fldCharType="begin"/>
      </w:r>
      <w:r>
        <w:rPr>
          <w:highlight w:val="none"/>
        </w:rPr>
        <w:instrText xml:space="preserve"> HYPERLINK "http://baike.baidu.com/view/14417.htm" \t "_blank" </w:instrText>
      </w:r>
      <w:r>
        <w:rPr>
          <w:highlight w:val="none"/>
        </w:rPr>
        <w:fldChar w:fldCharType="separate"/>
      </w:r>
      <w:r>
        <w:rPr>
          <w:rFonts w:hint="eastAsia" w:ascii="仿宋_GB2312" w:hAnsi="仿宋_GB2312" w:eastAsia="仿宋_GB2312" w:cs="仿宋_GB2312"/>
          <w:kern w:val="0"/>
          <w:sz w:val="18"/>
          <w:szCs w:val="18"/>
          <w:highlight w:val="none"/>
          <w:u w:val="single"/>
        </w:rPr>
        <w:t>设计</w:t>
      </w:r>
      <w:r>
        <w:rPr>
          <w:rFonts w:hint="eastAsia" w:ascii="仿宋_GB2312" w:hAnsi="仿宋_GB2312" w:eastAsia="仿宋_GB2312" w:cs="仿宋_GB2312"/>
          <w:kern w:val="0"/>
          <w:sz w:val="18"/>
          <w:szCs w:val="18"/>
          <w:highlight w:val="none"/>
          <w:u w:val="single"/>
        </w:rPr>
        <w:fldChar w:fldCharType="end"/>
      </w:r>
      <w:r>
        <w:rPr>
          <w:rFonts w:hint="eastAsia" w:ascii="仿宋_GB2312" w:hAnsi="仿宋_GB2312" w:eastAsia="仿宋_GB2312" w:cs="仿宋_GB2312"/>
          <w:kern w:val="0"/>
          <w:sz w:val="18"/>
          <w:szCs w:val="18"/>
          <w:highlight w:val="none"/>
          <w:u w:val="single"/>
        </w:rPr>
        <w:t>是用来指导</w:t>
      </w:r>
      <w:r>
        <w:rPr>
          <w:highlight w:val="none"/>
        </w:rPr>
        <w:fldChar w:fldCharType="begin"/>
      </w:r>
      <w:r>
        <w:rPr>
          <w:highlight w:val="none"/>
        </w:rPr>
        <w:instrText xml:space="preserve"> HYPERLINK "http://baike.baidu.com/view/1094820.htm" \t "_blank" </w:instrText>
      </w:r>
      <w:r>
        <w:rPr>
          <w:highlight w:val="none"/>
        </w:rPr>
        <w:fldChar w:fldCharType="separate"/>
      </w:r>
      <w:r>
        <w:rPr>
          <w:rFonts w:hint="eastAsia" w:ascii="仿宋_GB2312" w:hAnsi="仿宋_GB2312" w:eastAsia="仿宋_GB2312" w:cs="仿宋_GB2312"/>
          <w:kern w:val="0"/>
          <w:sz w:val="18"/>
          <w:szCs w:val="18"/>
          <w:highlight w:val="none"/>
          <w:u w:val="single"/>
        </w:rPr>
        <w:t>施工项目</w:t>
      </w:r>
      <w:r>
        <w:rPr>
          <w:rFonts w:hint="eastAsia" w:ascii="仿宋_GB2312" w:hAnsi="仿宋_GB2312" w:eastAsia="仿宋_GB2312" w:cs="仿宋_GB2312"/>
          <w:kern w:val="0"/>
          <w:sz w:val="18"/>
          <w:szCs w:val="18"/>
          <w:highlight w:val="none"/>
          <w:u w:val="single"/>
        </w:rPr>
        <w:fldChar w:fldCharType="end"/>
      </w:r>
      <w:r>
        <w:rPr>
          <w:rFonts w:hint="eastAsia" w:ascii="仿宋_GB2312" w:hAnsi="仿宋_GB2312" w:eastAsia="仿宋_GB2312" w:cs="仿宋_GB2312"/>
          <w:kern w:val="0"/>
          <w:sz w:val="18"/>
          <w:szCs w:val="18"/>
          <w:highlight w:val="none"/>
          <w:u w:val="single"/>
        </w:rPr>
        <w:t>全过程各项活动的技术、经济和组织的综合性文件。</w:t>
      </w:r>
      <w:r>
        <w:rPr>
          <w:rFonts w:hint="eastAsia" w:ascii="仿宋_GB2312" w:hAnsi="仿宋_GB2312" w:eastAsia="仿宋_GB2312" w:cs="仿宋_GB2312"/>
          <w:color w:val="000000"/>
          <w:sz w:val="18"/>
          <w:szCs w:val="18"/>
          <w:highlight w:val="none"/>
        </w:rPr>
        <w:t>。</w:t>
      </w:r>
    </w:p>
    <w:p w14:paraId="18BA4874">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1.1.2 合同当事人及其他相关方</w:t>
      </w:r>
    </w:p>
    <w:p w14:paraId="646E6BB8">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1.1.2.</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监理人</w:t>
      </w:r>
      <w:r>
        <w:rPr>
          <w:rFonts w:hint="eastAsia" w:ascii="仿宋_GB2312" w:hAnsi="仿宋_GB2312" w:eastAsia="仿宋_GB2312" w:cs="仿宋_GB2312"/>
          <w:kern w:val="0"/>
          <w:sz w:val="18"/>
          <w:szCs w:val="18"/>
          <w:highlight w:val="none"/>
        </w:rPr>
        <w:t>（以下必须填写）</w:t>
      </w:r>
      <w:r>
        <w:rPr>
          <w:rFonts w:hint="eastAsia" w:ascii="仿宋_GB2312" w:hAnsi="仿宋_GB2312" w:eastAsia="仿宋_GB2312" w:cs="仿宋_GB2312"/>
          <w:color w:val="000000"/>
          <w:sz w:val="18"/>
          <w:szCs w:val="18"/>
          <w:highlight w:val="none"/>
        </w:rPr>
        <w:t>：</w:t>
      </w:r>
    </w:p>
    <w:p w14:paraId="22218B72">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名    称：</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260E557B">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资质类别和等级：</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36C6164F">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54C74ABA">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sz w:val="18"/>
          <w:szCs w:val="18"/>
          <w:highlight w:val="none"/>
        </w:rPr>
        <w:t>；</w:t>
      </w:r>
    </w:p>
    <w:p w14:paraId="215EA97F">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11B519E8">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1.1.2.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设计人</w:t>
      </w:r>
      <w:r>
        <w:rPr>
          <w:rFonts w:hint="eastAsia" w:ascii="仿宋_GB2312" w:hAnsi="仿宋_GB2312" w:eastAsia="仿宋_GB2312" w:cs="仿宋_GB2312"/>
          <w:kern w:val="0"/>
          <w:sz w:val="18"/>
          <w:szCs w:val="18"/>
          <w:highlight w:val="none"/>
        </w:rPr>
        <w:t>（以下必须填写）</w:t>
      </w:r>
      <w:r>
        <w:rPr>
          <w:rFonts w:hint="eastAsia" w:ascii="仿宋_GB2312" w:hAnsi="仿宋_GB2312" w:eastAsia="仿宋_GB2312" w:cs="仿宋_GB2312"/>
          <w:color w:val="000000"/>
          <w:sz w:val="18"/>
          <w:szCs w:val="18"/>
          <w:highlight w:val="none"/>
        </w:rPr>
        <w:t>：</w:t>
      </w:r>
    </w:p>
    <w:p w14:paraId="0C637818">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名    称：</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4F6C06C6">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资质类别和等级：</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rPr>
        <w:t>；</w:t>
      </w:r>
    </w:p>
    <w:p w14:paraId="6AF355E1">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2C485182">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54E3C92F">
      <w:pPr>
        <w:ind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386A87A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工程和设备</w:t>
      </w:r>
    </w:p>
    <w:p w14:paraId="42D05473">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 xml:space="preserve"> 作为施工现场组成部分的其他场所包括：</w:t>
      </w:r>
      <w:r>
        <w:rPr>
          <w:rFonts w:hint="eastAsia" w:ascii="仿宋_GB2312" w:hAnsi="仿宋_GB2312" w:eastAsia="仿宋_GB2312" w:cs="仿宋_GB2312"/>
          <w:color w:val="000000"/>
          <w:sz w:val="18"/>
          <w:szCs w:val="18"/>
          <w:highlight w:val="none"/>
          <w:u w:val="single"/>
        </w:rPr>
        <w:t xml:space="preserve">    /     </w:t>
      </w:r>
      <w:r>
        <w:rPr>
          <w:rFonts w:hint="eastAsia" w:ascii="仿宋_GB2312" w:hAnsi="仿宋_GB2312" w:eastAsia="仿宋_GB2312" w:cs="仿宋_GB2312"/>
          <w:color w:val="000000"/>
          <w:sz w:val="18"/>
          <w:szCs w:val="18"/>
          <w:highlight w:val="none"/>
        </w:rPr>
        <w:t>。</w:t>
      </w:r>
    </w:p>
    <w:p w14:paraId="0E08EE26">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 xml:space="preserve">2 </w:t>
      </w:r>
      <w:r>
        <w:rPr>
          <w:rFonts w:hint="eastAsia" w:ascii="仿宋_GB2312" w:hAnsi="仿宋_GB2312" w:eastAsia="仿宋_GB2312" w:cs="仿宋_GB2312"/>
          <w:color w:val="000000"/>
          <w:kern w:val="0"/>
          <w:sz w:val="18"/>
          <w:szCs w:val="18"/>
          <w:highlight w:val="none"/>
        </w:rPr>
        <w:t>永久占地包括：</w:t>
      </w:r>
      <w:r>
        <w:rPr>
          <w:rFonts w:hint="eastAsia" w:ascii="仿宋_GB2312" w:hAnsi="仿宋_GB2312" w:eastAsia="仿宋_GB2312" w:cs="仿宋_GB2312"/>
          <w:kern w:val="0"/>
          <w:sz w:val="18"/>
          <w:szCs w:val="18"/>
          <w:highlight w:val="none"/>
          <w:u w:val="single"/>
        </w:rPr>
        <w:t>施工范围内为实施本合同工程需永久占用的土地</w:t>
      </w:r>
      <w:r>
        <w:rPr>
          <w:rFonts w:hint="eastAsia" w:ascii="仿宋_GB2312" w:hAnsi="仿宋_GB2312" w:eastAsia="仿宋_GB2312" w:cs="仿宋_GB2312"/>
          <w:color w:val="000000"/>
          <w:kern w:val="0"/>
          <w:sz w:val="18"/>
          <w:szCs w:val="18"/>
          <w:highlight w:val="none"/>
        </w:rPr>
        <w:t>。</w:t>
      </w:r>
    </w:p>
    <w:p w14:paraId="439FBA5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color w:val="000000"/>
          <w:kern w:val="0"/>
          <w:sz w:val="18"/>
          <w:szCs w:val="18"/>
          <w:highlight w:val="none"/>
        </w:rPr>
        <w:t>1.</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.3 临时占地包括：</w:t>
      </w:r>
      <w:r>
        <w:rPr>
          <w:rFonts w:hint="eastAsia" w:ascii="仿宋_GB2312" w:hAnsi="仿宋_GB2312" w:eastAsia="仿宋_GB2312" w:cs="仿宋_GB2312"/>
          <w:kern w:val="0"/>
          <w:sz w:val="18"/>
          <w:szCs w:val="18"/>
          <w:highlight w:val="none"/>
          <w:u w:val="single"/>
        </w:rPr>
        <w:t>指永久占地之外为实施合同工程需临时占用的土地。</w:t>
      </w:r>
    </w:p>
    <w:p w14:paraId="49FA4F51">
      <w:pPr>
        <w:spacing w:before="120" w:after="120"/>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1.3法律</w:t>
      </w:r>
      <w:r>
        <w:rPr>
          <w:rFonts w:hint="eastAsia" w:ascii="仿宋_GB2312" w:hAnsi="仿宋_GB2312" w:eastAsia="仿宋_GB2312" w:cs="仿宋_GB2312"/>
          <w:color w:val="000000"/>
          <w:sz w:val="18"/>
          <w:szCs w:val="18"/>
          <w:highlight w:val="none"/>
          <w:lang w:val="en-US" w:eastAsia="zh-CN"/>
        </w:rPr>
        <w:t>及</w:t>
      </w:r>
      <w:r>
        <w:rPr>
          <w:rFonts w:hint="eastAsia" w:ascii="仿宋_GB2312" w:hAnsi="仿宋_GB2312" w:eastAsia="仿宋_GB2312" w:cs="仿宋_GB2312"/>
          <w:sz w:val="18"/>
          <w:szCs w:val="18"/>
          <w:highlight w:val="none"/>
        </w:rPr>
        <w:t>适用于合同的其他规范性文件：</w:t>
      </w:r>
    </w:p>
    <w:p w14:paraId="320A7526">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1.3.1  杭州市建设工程工程量清单计价实施细则》(杭建市发〔2018〕578号)；</w:t>
      </w:r>
    </w:p>
    <w:p w14:paraId="144895F2">
      <w:pPr>
        <w:autoSpaceDE w:val="0"/>
        <w:autoSpaceDN w:val="0"/>
        <w:adjustRightInd w:val="0"/>
        <w:ind w:firstLine="361" w:firstLineChars="200"/>
        <w:jc w:val="left"/>
        <w:rPr>
          <w:rFonts w:hint="eastAsia"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1.3.2  《关于进一步加强杭州市建设工程市场要素价格动态管理的指导意见》（杭建市发〔2018〕579号）；</w:t>
      </w:r>
    </w:p>
    <w:p w14:paraId="0EB3B276">
      <w:pPr>
        <w:pStyle w:val="42"/>
        <w:ind w:firstLine="361" w:firstLineChars="200"/>
        <w:rPr>
          <w:rFonts w:hint="eastAsia" w:ascii="仿宋_GB2312" w:hAnsi="仿宋_GB2312" w:eastAsia="仿宋_GB2312" w:cs="仿宋_GB2312"/>
          <w:b/>
          <w:kern w:val="2"/>
          <w:sz w:val="18"/>
          <w:szCs w:val="18"/>
          <w:highlight w:val="none"/>
          <w:u w:val="single"/>
        </w:rPr>
      </w:pPr>
      <w:r>
        <w:rPr>
          <w:rFonts w:hint="eastAsia" w:ascii="仿宋_GB2312" w:hAnsi="仿宋_GB2312" w:eastAsia="仿宋_GB2312" w:cs="仿宋_GB2312"/>
          <w:b/>
          <w:kern w:val="2"/>
          <w:sz w:val="18"/>
          <w:szCs w:val="18"/>
          <w:highlight w:val="none"/>
          <w:u w:val="single"/>
        </w:rPr>
        <w:t>1.3.</w:t>
      </w:r>
      <w:r>
        <w:rPr>
          <w:rFonts w:hint="eastAsia" w:ascii="仿宋_GB2312" w:hAnsi="仿宋_GB2312" w:eastAsia="仿宋_GB2312" w:cs="仿宋_GB2312"/>
          <w:b/>
          <w:kern w:val="2"/>
          <w:sz w:val="18"/>
          <w:szCs w:val="18"/>
          <w:highlight w:val="none"/>
          <w:u w:val="single"/>
          <w:lang w:val="en-US" w:eastAsia="zh-CN"/>
        </w:rPr>
        <w:t>3</w:t>
      </w:r>
      <w:r>
        <w:rPr>
          <w:rFonts w:hint="eastAsia" w:ascii="仿宋_GB2312" w:hAnsi="仿宋_GB2312" w:eastAsia="仿宋_GB2312" w:cs="仿宋_GB2312"/>
          <w:b/>
          <w:i w:val="0"/>
          <w:iCs w:val="0"/>
          <w:caps w:val="0"/>
          <w:spacing w:val="0"/>
          <w:kern w:val="2"/>
          <w:sz w:val="18"/>
          <w:szCs w:val="18"/>
          <w:highlight w:val="none"/>
          <w:u w:val="single"/>
          <w:shd w:val="clear" w:fill="auto"/>
        </w:rPr>
        <w:t>《关于贯彻《省厅调整安全文明施工费的通知》的通知》（杭建市发（2022） 54号）</w:t>
      </w:r>
    </w:p>
    <w:p w14:paraId="5208AF8E">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1.3.</w:t>
      </w:r>
      <w:r>
        <w:rPr>
          <w:rFonts w:hint="eastAsia" w:ascii="仿宋_GB2312" w:hAnsi="仿宋_GB2312" w:eastAsia="仿宋_GB2312" w:cs="仿宋_GB2312"/>
          <w:b/>
          <w:sz w:val="18"/>
          <w:szCs w:val="18"/>
          <w:highlight w:val="none"/>
          <w:u w:val="single"/>
          <w:lang w:val="en-US" w:eastAsia="zh-CN"/>
        </w:rPr>
        <w:t>4</w:t>
      </w:r>
      <w:r>
        <w:rPr>
          <w:rFonts w:hint="eastAsia" w:ascii="仿宋_GB2312" w:hAnsi="仿宋_GB2312" w:eastAsia="仿宋_GB2312" w:cs="仿宋_GB2312"/>
          <w:b/>
          <w:sz w:val="18"/>
          <w:szCs w:val="18"/>
          <w:highlight w:val="none"/>
          <w:u w:val="single"/>
        </w:rPr>
        <w:t xml:space="preserve">  省市建设行政部门颁发的其他现行有效文件(包括但不仅限于以下文件)：</w:t>
      </w:r>
    </w:p>
    <w:p w14:paraId="22E141B9">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（1）《关于转发省建设厅&lt;关于进一步加强建筑施工领域企业安全生产工作的实施意见&gt;的通知》（杭建工发〔2011〕130号）；</w:t>
      </w:r>
    </w:p>
    <w:p w14:paraId="4F2BD529">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（2）《关于进一步加强建设工程安全质量物联网管理应用平台建设的通知》（杭建工发〔2012〕426号）；</w:t>
      </w:r>
    </w:p>
    <w:p w14:paraId="2E1FC45C">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（3）《关于开展建筑工程扬尘在线监测设施安装工作的通知》（杭建工〔2019〕103号）；</w:t>
      </w:r>
    </w:p>
    <w:p w14:paraId="43272AC3">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（4）《关于巩固G20杭州峰会成果进一步加强建设工程文明施工管理的若干意见》（杭建工发〔2017〕112号）；</w:t>
      </w:r>
    </w:p>
    <w:p w14:paraId="62359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sz w:val="18"/>
          <w:szCs w:val="18"/>
          <w:highlight w:val="none"/>
          <w:u w:val="single"/>
        </w:rPr>
        <w:t xml:space="preserve">（5）《杭州市建设领域农民工“无欠薪”管理实施细则（试行）》（杭建市〔2018〕161号）； </w:t>
      </w:r>
    </w:p>
    <w:p w14:paraId="382A48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spacing w:val="0"/>
          <w:sz w:val="18"/>
          <w:szCs w:val="18"/>
          <w:highlight w:val="none"/>
          <w:u w:val="single"/>
          <w:shd w:val="clear" w:fill="FFFFFF"/>
        </w:rPr>
        <w:t>（</w:t>
      </w:r>
      <w:r>
        <w:rPr>
          <w:rFonts w:hint="eastAsia" w:ascii="仿宋_GB2312" w:hAnsi="仿宋_GB2312" w:eastAsia="仿宋_GB2312" w:cs="仿宋_GB2312"/>
          <w:b/>
          <w:i w:val="0"/>
          <w:iCs w:val="0"/>
          <w:caps w:val="0"/>
          <w:spacing w:val="0"/>
          <w:sz w:val="18"/>
          <w:szCs w:val="18"/>
          <w:highlight w:val="none"/>
          <w:u w:val="single"/>
          <w:shd w:val="clear"/>
          <w:lang w:val="en-US" w:eastAsia="zh-CN"/>
        </w:rPr>
        <w:t>6</w:t>
      </w:r>
      <w:r>
        <w:rPr>
          <w:rFonts w:hint="eastAsia" w:ascii="仿宋_GB2312" w:hAnsi="仿宋_GB2312" w:eastAsia="仿宋_GB2312" w:cs="仿宋_GB2312"/>
          <w:b/>
          <w:i w:val="0"/>
          <w:iCs w:val="0"/>
          <w:caps w:val="0"/>
          <w:spacing w:val="0"/>
          <w:sz w:val="18"/>
          <w:szCs w:val="18"/>
          <w:highlight w:val="none"/>
          <w:u w:val="single"/>
          <w:shd w:val="clear" w:fill="FFFFFF"/>
        </w:rPr>
        <w:t>） 《杭州市建设工程渣土管理办法》（市政府令第192号）;</w:t>
      </w:r>
    </w:p>
    <w:p w14:paraId="7525B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w:t>
      </w:r>
      <w:r>
        <w:rPr>
          <w:rFonts w:hint="eastAsia" w:ascii="仿宋_GB2312" w:hAnsi="仿宋_GB2312" w:eastAsia="仿宋_GB2312" w:cs="仿宋_GB2312"/>
          <w:b/>
          <w:i w:val="0"/>
          <w:iCs w:val="0"/>
          <w:caps w:val="0"/>
          <w:spacing w:val="0"/>
          <w:sz w:val="18"/>
          <w:szCs w:val="18"/>
          <w:highlight w:val="none"/>
          <w:u w:val="single"/>
          <w:shd w:val="clear"/>
          <w:lang w:val="en-US" w:eastAsia="zh-CN"/>
        </w:rPr>
        <w:t>7</w:t>
      </w:r>
      <w:r>
        <w:rPr>
          <w:rFonts w:hint="eastAsia" w:ascii="仿宋_GB2312" w:hAnsi="仿宋_GB2312" w:eastAsia="仿宋_GB2312" w:cs="仿宋_GB2312"/>
          <w:b/>
          <w:i w:val="0"/>
          <w:iCs w:val="0"/>
          <w:caps w:val="0"/>
          <w:color w:val="021EAA"/>
          <w:spacing w:val="0"/>
          <w:sz w:val="18"/>
          <w:szCs w:val="18"/>
          <w:highlight w:val="none"/>
          <w:u w:val="single"/>
          <w:shd w:val="clear" w:fill="FFFFFF"/>
        </w:rPr>
        <w:t>） 市政府办公厅2022年5月15日发布的《杭州市人民政府办公厅关于进一步规范工程建筑垃圾管理的通知》</w:t>
      </w:r>
      <w:r>
        <w:rPr>
          <w:rFonts w:hint="eastAsia" w:ascii="仿宋_GB2312" w:hAnsi="仿宋_GB2312" w:eastAsia="仿宋_GB2312" w:cs="仿宋_GB2312"/>
          <w:b/>
          <w:i w:val="0"/>
          <w:iCs w:val="0"/>
          <w:caps w:val="0"/>
          <w:spacing w:val="0"/>
          <w:sz w:val="18"/>
          <w:szCs w:val="18"/>
          <w:highlight w:val="none"/>
          <w:u w:val="single"/>
          <w:shd w:val="clear" w:fill="FFFFFF"/>
        </w:rPr>
        <w:t>：</w:t>
      </w:r>
    </w:p>
    <w:p w14:paraId="275BBD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w:t>
      </w:r>
      <w:r>
        <w:rPr>
          <w:rFonts w:hint="eastAsia" w:ascii="仿宋_GB2312" w:hAnsi="仿宋_GB2312" w:eastAsia="仿宋_GB2312" w:cs="仿宋_GB2312"/>
          <w:b/>
          <w:i w:val="0"/>
          <w:iCs w:val="0"/>
          <w:caps w:val="0"/>
          <w:spacing w:val="0"/>
          <w:sz w:val="18"/>
          <w:szCs w:val="18"/>
          <w:highlight w:val="none"/>
          <w:u w:val="single"/>
          <w:shd w:val="clear"/>
          <w:lang w:val="en-US" w:eastAsia="zh-CN"/>
        </w:rPr>
        <w:t>8</w:t>
      </w:r>
      <w:r>
        <w:rPr>
          <w:rFonts w:hint="eastAsia" w:ascii="仿宋_GB2312" w:hAnsi="仿宋_GB2312" w:eastAsia="仿宋_GB2312" w:cs="仿宋_GB2312"/>
          <w:b/>
          <w:i w:val="0"/>
          <w:iCs w:val="0"/>
          <w:caps w:val="0"/>
          <w:color w:val="021EAA"/>
          <w:spacing w:val="0"/>
          <w:sz w:val="18"/>
          <w:szCs w:val="18"/>
          <w:highlight w:val="none"/>
          <w:u w:val="single"/>
          <w:shd w:val="clear" w:fill="FFFFFF"/>
        </w:rPr>
        <w:t>） 《关于发布杭州市工程渣土消纳市场信息价的通知》（杭渣土领〔2020）1号）：</w:t>
      </w:r>
    </w:p>
    <w:p w14:paraId="5068C0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w:t>
      </w:r>
      <w:r>
        <w:rPr>
          <w:rFonts w:hint="eastAsia" w:ascii="仿宋_GB2312" w:hAnsi="仿宋_GB2312" w:eastAsia="仿宋_GB2312" w:cs="仿宋_GB2312"/>
          <w:b/>
          <w:i w:val="0"/>
          <w:iCs w:val="0"/>
          <w:caps w:val="0"/>
          <w:spacing w:val="0"/>
          <w:sz w:val="18"/>
          <w:szCs w:val="18"/>
          <w:highlight w:val="none"/>
          <w:u w:val="single"/>
          <w:shd w:val="clear"/>
          <w:lang w:val="en-US" w:eastAsia="zh-CN"/>
        </w:rPr>
        <w:t>9</w:t>
      </w:r>
      <w:r>
        <w:rPr>
          <w:rFonts w:hint="eastAsia" w:ascii="仿宋_GB2312" w:hAnsi="仿宋_GB2312" w:eastAsia="仿宋_GB2312" w:cs="仿宋_GB2312"/>
          <w:b/>
          <w:i w:val="0"/>
          <w:iCs w:val="0"/>
          <w:caps w:val="0"/>
          <w:color w:val="021EAA"/>
          <w:spacing w:val="0"/>
          <w:sz w:val="18"/>
          <w:szCs w:val="18"/>
          <w:highlight w:val="none"/>
          <w:u w:val="single"/>
          <w:shd w:val="clear" w:fill="FFFFFF"/>
        </w:rPr>
        <w:t>） 市建委2020年10月30日发布的《关于明确杭州市</w:t>
      </w:r>
      <w:r>
        <w:rPr>
          <w:rFonts w:hint="eastAsia" w:ascii="仿宋_GB2312" w:hAnsi="仿宋_GB2312" w:eastAsia="仿宋_GB2312" w:cs="仿宋_GB2312"/>
          <w:b/>
          <w:i w:val="0"/>
          <w:iCs w:val="0"/>
          <w:caps w:val="0"/>
          <w:color w:val="021EAA"/>
          <w:spacing w:val="0"/>
          <w:sz w:val="18"/>
          <w:szCs w:val="18"/>
          <w:highlight w:val="none"/>
          <w:u w:val="single"/>
          <w:shd w:val="clear" w:fill="FFFFFF"/>
          <w:lang w:val="en-US" w:eastAsia="zh-CN"/>
        </w:rPr>
        <w:t>工程</w:t>
      </w:r>
      <w:r>
        <w:rPr>
          <w:rFonts w:hint="eastAsia" w:ascii="仿宋_GB2312" w:hAnsi="仿宋_GB2312" w:eastAsia="仿宋_GB2312" w:cs="仿宋_GB2312"/>
          <w:b/>
          <w:i w:val="0"/>
          <w:iCs w:val="0"/>
          <w:caps w:val="0"/>
          <w:color w:val="021EAA"/>
          <w:spacing w:val="0"/>
          <w:sz w:val="18"/>
          <w:szCs w:val="18"/>
          <w:highlight w:val="none"/>
          <w:u w:val="single"/>
          <w:shd w:val="clear" w:fill="FFFFFF"/>
        </w:rPr>
        <w:t>渣土运输及消纳项目计价清单编制和报价口径的通知》；</w:t>
      </w:r>
    </w:p>
    <w:p w14:paraId="387CD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（1</w:t>
      </w:r>
      <w:r>
        <w:rPr>
          <w:rFonts w:hint="eastAsia" w:ascii="仿宋_GB2312" w:hAnsi="仿宋_GB2312" w:eastAsia="仿宋_GB2312" w:cs="仿宋_GB2312"/>
          <w:b/>
          <w:i w:val="0"/>
          <w:iCs w:val="0"/>
          <w:caps w:val="0"/>
          <w:spacing w:val="0"/>
          <w:sz w:val="18"/>
          <w:szCs w:val="18"/>
          <w:highlight w:val="none"/>
          <w:u w:val="single"/>
          <w:shd w:val="clear"/>
          <w:lang w:val="en-US" w:eastAsia="zh-CN"/>
        </w:rPr>
        <w:t>0</w:t>
      </w:r>
      <w:r>
        <w:rPr>
          <w:rFonts w:hint="eastAsia" w:ascii="仿宋_GB2312" w:hAnsi="仿宋_GB2312" w:eastAsia="仿宋_GB2312" w:cs="仿宋_GB2312"/>
          <w:b/>
          <w:i w:val="0"/>
          <w:iCs w:val="0"/>
          <w:caps w:val="0"/>
          <w:color w:val="021EAA"/>
          <w:spacing w:val="0"/>
          <w:sz w:val="18"/>
          <w:szCs w:val="18"/>
          <w:highlight w:val="none"/>
          <w:u w:val="single"/>
          <w:shd w:val="clear" w:fill="FFFFFF"/>
        </w:rPr>
        <w:t>） 《关于转发〈关于在全省工程建设领域改革保证金制度的通知＞的通知》（杭建市通知〔2020）4号）；</w:t>
      </w:r>
    </w:p>
    <w:p w14:paraId="369FB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（1</w:t>
      </w:r>
      <w:r>
        <w:rPr>
          <w:rFonts w:hint="eastAsia" w:ascii="仿宋_GB2312" w:hAnsi="仿宋_GB2312" w:eastAsia="仿宋_GB2312" w:cs="仿宋_GB2312"/>
          <w:b/>
          <w:i w:val="0"/>
          <w:iCs w:val="0"/>
          <w:caps w:val="0"/>
          <w:spacing w:val="0"/>
          <w:sz w:val="18"/>
          <w:szCs w:val="18"/>
          <w:highlight w:val="none"/>
          <w:u w:val="single"/>
          <w:shd w:val="clear"/>
          <w:lang w:val="en-US" w:eastAsia="zh-CN"/>
        </w:rPr>
        <w:t>1</w:t>
      </w:r>
      <w:r>
        <w:rPr>
          <w:rFonts w:hint="eastAsia" w:ascii="仿宋_GB2312" w:hAnsi="仿宋_GB2312" w:eastAsia="仿宋_GB2312" w:cs="仿宋_GB2312"/>
          <w:b/>
          <w:i w:val="0"/>
          <w:iCs w:val="0"/>
          <w:caps w:val="0"/>
          <w:color w:val="021EAA"/>
          <w:spacing w:val="0"/>
          <w:sz w:val="18"/>
          <w:szCs w:val="18"/>
          <w:highlight w:val="none"/>
          <w:u w:val="single"/>
          <w:shd w:val="clear" w:fill="FFFFFF"/>
        </w:rPr>
        <w:t>） 《关于进一步提升杭州市市政道路建设质量管理的若干意见》（杭建工发〔2021）32号）；</w:t>
      </w:r>
    </w:p>
    <w:p w14:paraId="6F90C6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(1</w:t>
      </w:r>
      <w:r>
        <w:rPr>
          <w:rFonts w:hint="eastAsia" w:ascii="仿宋_GB2312" w:hAnsi="仿宋_GB2312" w:eastAsia="仿宋_GB2312" w:cs="仿宋_GB2312"/>
          <w:b/>
          <w:i w:val="0"/>
          <w:iCs w:val="0"/>
          <w:caps w:val="0"/>
          <w:spacing w:val="0"/>
          <w:sz w:val="18"/>
          <w:szCs w:val="18"/>
          <w:highlight w:val="none"/>
          <w:u w:val="single"/>
          <w:shd w:val="clear"/>
          <w:lang w:val="en-US" w:eastAsia="zh-CN"/>
        </w:rPr>
        <w:t>2</w:t>
      </w:r>
      <w:r>
        <w:rPr>
          <w:rFonts w:hint="eastAsia" w:ascii="仿宋_GB2312" w:hAnsi="仿宋_GB2312" w:eastAsia="仿宋_GB2312" w:cs="仿宋_GB2312"/>
          <w:b/>
          <w:i w:val="0"/>
          <w:iCs w:val="0"/>
          <w:caps w:val="0"/>
          <w:color w:val="021EAA"/>
          <w:spacing w:val="0"/>
          <w:sz w:val="18"/>
          <w:szCs w:val="18"/>
          <w:highlight w:val="none"/>
          <w:u w:val="single"/>
          <w:shd w:val="clear" w:fill="FFFFFF"/>
        </w:rPr>
        <w:t>) 《关于全面推广应用承插型盘扣式脚手架的通知》(杭建工发〔2021) 358号)；</w:t>
      </w:r>
    </w:p>
    <w:p w14:paraId="60131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val="0"/>
        <w:adjustRightInd w:val="0"/>
        <w:spacing w:before="0" w:beforeAutospacing="0" w:after="360" w:afterAutospacing="0"/>
        <w:ind w:left="0" w:right="0" w:firstLine="361" w:firstLineChars="200"/>
        <w:jc w:val="left"/>
        <w:rPr>
          <w:rFonts w:hint="eastAsia" w:ascii="仿宋_GB2312" w:hAnsi="仿宋_GB2312" w:eastAsia="仿宋_GB2312" w:cs="仿宋_GB2312"/>
          <w:b/>
          <w:i w:val="0"/>
          <w:iCs w:val="0"/>
          <w:caps w:val="0"/>
          <w:spacing w:val="0"/>
          <w:sz w:val="18"/>
          <w:szCs w:val="18"/>
          <w:highlight w:val="none"/>
          <w:u w:val="single"/>
          <w:shd w:val="clear"/>
        </w:rPr>
      </w:pPr>
      <w:r>
        <w:rPr>
          <w:rFonts w:hint="eastAsia" w:ascii="仿宋_GB2312" w:hAnsi="仿宋_GB2312" w:eastAsia="仿宋_GB2312" w:cs="仿宋_GB2312"/>
          <w:b/>
          <w:i w:val="0"/>
          <w:iCs w:val="0"/>
          <w:caps w:val="0"/>
          <w:color w:val="021EAA"/>
          <w:spacing w:val="0"/>
          <w:sz w:val="18"/>
          <w:szCs w:val="18"/>
          <w:highlight w:val="none"/>
          <w:u w:val="single"/>
          <w:shd w:val="clear" w:fill="FFFFFF"/>
        </w:rPr>
        <w:t>(1</w:t>
      </w:r>
      <w:r>
        <w:rPr>
          <w:rFonts w:hint="eastAsia" w:ascii="仿宋_GB2312" w:hAnsi="仿宋_GB2312" w:eastAsia="仿宋_GB2312" w:cs="仿宋_GB2312"/>
          <w:b/>
          <w:i w:val="0"/>
          <w:iCs w:val="0"/>
          <w:caps w:val="0"/>
          <w:spacing w:val="0"/>
          <w:sz w:val="18"/>
          <w:szCs w:val="18"/>
          <w:highlight w:val="none"/>
          <w:u w:val="single"/>
          <w:shd w:val="clear"/>
          <w:lang w:val="en-US" w:eastAsia="zh-CN"/>
        </w:rPr>
        <w:t>3</w:t>
      </w:r>
      <w:r>
        <w:rPr>
          <w:rFonts w:hint="eastAsia" w:ascii="仿宋_GB2312" w:hAnsi="仿宋_GB2312" w:eastAsia="仿宋_GB2312" w:cs="仿宋_GB2312"/>
          <w:b/>
          <w:i w:val="0"/>
          <w:iCs w:val="0"/>
          <w:caps w:val="0"/>
          <w:color w:val="021EAA"/>
          <w:spacing w:val="0"/>
          <w:sz w:val="18"/>
          <w:szCs w:val="18"/>
          <w:highlight w:val="none"/>
          <w:u w:val="single"/>
          <w:shd w:val="clear" w:fill="FFFFFF"/>
        </w:rPr>
        <w:t>) 《关于明确杭州市建筑施工领域安全生产责任保险费用计取的通知》(杭建招标造价中心〔2021) 84号)；</w:t>
      </w:r>
    </w:p>
    <w:p w14:paraId="73C17D13">
      <w:pPr>
        <w:autoSpaceDE w:val="0"/>
        <w:autoSpaceDN w:val="0"/>
        <w:adjustRightInd w:val="0"/>
        <w:ind w:firstLine="361" w:firstLineChars="200"/>
        <w:rPr>
          <w:rFonts w:hint="eastAsia" w:ascii="仿宋_GB2312" w:hAnsi="仿宋_GB2312" w:eastAsia="仿宋_GB2312" w:cs="仿宋_GB2312"/>
          <w:b/>
          <w:i w:val="0"/>
          <w:iCs w:val="0"/>
          <w:caps w:val="0"/>
          <w:spacing w:val="0"/>
          <w:sz w:val="18"/>
          <w:szCs w:val="18"/>
          <w:highlight w:val="none"/>
          <w:u w:val="single"/>
          <w:shd w:val="clear"/>
          <w:lang w:eastAsia="zh-CN"/>
        </w:rPr>
      </w:pPr>
      <w:r>
        <w:rPr>
          <w:rFonts w:hint="eastAsia" w:ascii="仿宋_GB2312" w:hAnsi="仿宋_GB2312" w:eastAsia="仿宋_GB2312" w:cs="仿宋_GB2312"/>
          <w:b/>
          <w:i w:val="0"/>
          <w:iCs w:val="0"/>
          <w:caps w:val="0"/>
          <w:spacing w:val="0"/>
          <w:sz w:val="18"/>
          <w:szCs w:val="18"/>
          <w:highlight w:val="none"/>
          <w:u w:val="single"/>
          <w:shd w:val="clear"/>
          <w:lang w:eastAsia="zh-CN"/>
        </w:rPr>
        <w:t>（</w:t>
      </w:r>
      <w:r>
        <w:rPr>
          <w:rFonts w:hint="eastAsia" w:ascii="仿宋_GB2312" w:hAnsi="仿宋_GB2312" w:eastAsia="仿宋_GB2312" w:cs="仿宋_GB2312"/>
          <w:b/>
          <w:i w:val="0"/>
          <w:iCs w:val="0"/>
          <w:caps w:val="0"/>
          <w:spacing w:val="0"/>
          <w:sz w:val="18"/>
          <w:szCs w:val="18"/>
          <w:highlight w:val="none"/>
          <w:u w:val="single"/>
          <w:shd w:val="clear"/>
          <w:lang w:val="en-US" w:eastAsia="zh-CN"/>
        </w:rPr>
        <w:t>14</w:t>
      </w:r>
      <w:r>
        <w:rPr>
          <w:rFonts w:hint="eastAsia" w:ascii="仿宋_GB2312" w:hAnsi="仿宋_GB2312" w:eastAsia="仿宋_GB2312" w:cs="仿宋_GB2312"/>
          <w:b/>
          <w:i w:val="0"/>
          <w:iCs w:val="0"/>
          <w:caps w:val="0"/>
          <w:spacing w:val="0"/>
          <w:sz w:val="18"/>
          <w:szCs w:val="18"/>
          <w:highlight w:val="none"/>
          <w:u w:val="single"/>
          <w:shd w:val="clear"/>
          <w:lang w:eastAsia="zh-CN"/>
        </w:rPr>
        <w:t>）关于进一步规范建设工程建筑垃圾处置相关事项的通知（杭建工〔2023〕169号）</w:t>
      </w:r>
    </w:p>
    <w:p w14:paraId="3A10C399">
      <w:pPr>
        <w:autoSpaceDE w:val="0"/>
        <w:autoSpaceDN w:val="0"/>
        <w:adjustRightInd w:val="0"/>
        <w:ind w:firstLine="361"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b/>
          <w:kern w:val="2"/>
          <w:sz w:val="18"/>
          <w:szCs w:val="18"/>
          <w:highlight w:val="none"/>
          <w:u w:val="single"/>
          <w:lang w:val="en-US" w:eastAsia="zh-CN"/>
        </w:rPr>
        <w:t>15</w:t>
      </w:r>
      <w:r>
        <w:rPr>
          <w:rFonts w:hint="eastAsia" w:ascii="仿宋_GB2312" w:hAnsi="仿宋_GB2312" w:eastAsia="仿宋_GB2312" w:cs="仿宋_GB2312"/>
          <w:b/>
          <w:kern w:val="0"/>
          <w:sz w:val="18"/>
          <w:szCs w:val="18"/>
          <w:highlight w:val="none"/>
          <w:u w:val="single"/>
        </w:rPr>
        <w:t>）其他</w:t>
      </w:r>
      <w:r>
        <w:rPr>
          <w:rFonts w:hint="eastAsia" w:ascii="仿宋_GB2312" w:hAnsi="仿宋_GB2312" w:eastAsia="仿宋_GB2312" w:cs="仿宋_GB2312"/>
          <w:b/>
          <w:sz w:val="18"/>
          <w:szCs w:val="18"/>
          <w:highlight w:val="none"/>
          <w:u w:val="single"/>
        </w:rPr>
        <w:t>：</w:t>
      </w: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1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①</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w:t>
      </w:r>
      <w:r>
        <w:rPr>
          <w:rFonts w:hint="eastAsia" w:ascii="仿宋_GB2312" w:hAnsi="仿宋_GB2312" w:eastAsia="仿宋_GB2312" w:cs="仿宋_GB2312"/>
          <w:b/>
          <w:kern w:val="0"/>
          <w:sz w:val="18"/>
          <w:szCs w:val="18"/>
          <w:highlight w:val="none"/>
          <w:u w:val="single"/>
        </w:rPr>
        <w:t>杭州市人民政府办公厅关于印发杭州市建设工程推广应用预拌砂浆管理办法的通知》（杭政办函（2011）32号）</w:t>
      </w:r>
    </w:p>
    <w:p w14:paraId="1A55C9EA">
      <w:pPr>
        <w:autoSpaceDE w:val="0"/>
        <w:autoSpaceDN w:val="0"/>
        <w:adjustRightInd w:val="0"/>
        <w:ind w:firstLine="356" w:firstLineChars="197"/>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fldChar w:fldCharType="begin"/>
      </w:r>
      <w:r>
        <w:rPr>
          <w:rFonts w:hint="eastAsia" w:ascii="仿宋_GB2312" w:hAnsi="仿宋_GB2312" w:eastAsia="仿宋_GB2312" w:cs="仿宋_GB2312"/>
          <w:b/>
          <w:kern w:val="0"/>
          <w:sz w:val="18"/>
          <w:szCs w:val="18"/>
          <w:highlight w:val="none"/>
          <w:u w:val="single"/>
        </w:rPr>
        <w:instrText xml:space="preserve"> = 2 \* GB3 \* MERGEFORMAT </w:instrText>
      </w:r>
      <w:r>
        <w:rPr>
          <w:rFonts w:hint="eastAsia" w:ascii="仿宋_GB2312" w:hAnsi="仿宋_GB2312" w:eastAsia="仿宋_GB2312" w:cs="仿宋_GB2312"/>
          <w:b/>
          <w:kern w:val="0"/>
          <w:sz w:val="18"/>
          <w:szCs w:val="18"/>
          <w:highlight w:val="none"/>
          <w:u w:val="single"/>
        </w:rPr>
        <w:fldChar w:fldCharType="separate"/>
      </w:r>
      <w:r>
        <w:rPr>
          <w:rFonts w:hint="eastAsia" w:ascii="仿宋_GB2312" w:hAnsi="仿宋_GB2312" w:eastAsia="仿宋_GB2312" w:cs="仿宋_GB2312"/>
          <w:b/>
          <w:kern w:val="0"/>
          <w:sz w:val="18"/>
          <w:szCs w:val="18"/>
          <w:highlight w:val="none"/>
          <w:u w:val="single"/>
        </w:rPr>
        <w:t>②</w:t>
      </w:r>
      <w:r>
        <w:rPr>
          <w:rFonts w:hint="eastAsia" w:ascii="仿宋_GB2312" w:hAnsi="仿宋_GB2312" w:eastAsia="仿宋_GB2312" w:cs="仿宋_GB2312"/>
          <w:b/>
          <w:kern w:val="0"/>
          <w:sz w:val="18"/>
          <w:szCs w:val="18"/>
          <w:highlight w:val="none"/>
          <w:u w:val="single"/>
        </w:rPr>
        <w:fldChar w:fldCharType="end"/>
      </w:r>
      <w:r>
        <w:rPr>
          <w:rFonts w:hint="eastAsia" w:ascii="仿宋_GB2312" w:hAnsi="仿宋_GB2312" w:eastAsia="仿宋_GB2312" w:cs="仿宋_GB2312"/>
          <w:b/>
          <w:kern w:val="0"/>
          <w:sz w:val="18"/>
          <w:szCs w:val="18"/>
          <w:highlight w:val="none"/>
          <w:u w:val="single"/>
        </w:rPr>
        <w:t>《关于落实建筑工棚安装空调事宜的通知》（</w:t>
      </w:r>
      <w:r>
        <w:rPr>
          <w:rFonts w:hint="eastAsia" w:ascii="仿宋_GB2312" w:hAnsi="仿宋_GB2312" w:eastAsia="仿宋_GB2312" w:cs="仿宋_GB2312"/>
          <w:b/>
          <w:sz w:val="18"/>
          <w:szCs w:val="18"/>
          <w:highlight w:val="none"/>
          <w:u w:val="single"/>
        </w:rPr>
        <w:t>杭建工发【2011】237号）</w:t>
      </w:r>
    </w:p>
    <w:p w14:paraId="0C2D8604">
      <w:pPr>
        <w:autoSpaceDE w:val="0"/>
        <w:autoSpaceDN w:val="0"/>
        <w:adjustRightInd w:val="0"/>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3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③</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 xml:space="preserve">《关于进一步明确杭州市建设工程优质工程增加费计取规定的通知》（杭建市【2012】240号）       </w:t>
      </w:r>
    </w:p>
    <w:p w14:paraId="3B1D8F19">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4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④</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《关于进一步加强杭州市建设工程安全文明施工费计取管理规定的通知》（杭建市〔2016〕25号）及《关于规范建设工程安全文明施工费计取的通知》（建建发[2015]517号）</w:t>
      </w:r>
    </w:p>
    <w:p w14:paraId="4D1154B9">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5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⑤</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关于贯彻浙江省建设厅《关于建筑业实施营改增后浙江省建设工程计价规则调整》的通知（杭建市发[2016]216号）及系列文件</w:t>
      </w:r>
    </w:p>
    <w:p w14:paraId="6ADEFC43">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6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⑥</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《杭州市建筑市场管理若干规定》（杭州市人民政府令第277号）</w:t>
      </w:r>
    </w:p>
    <w:p w14:paraId="3F61D7D5">
      <w:pPr>
        <w:autoSpaceDE w:val="0"/>
        <w:autoSpaceDN w:val="0"/>
        <w:adjustRightInd w:val="0"/>
        <w:ind w:left="424" w:leftChars="202"/>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7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⑦</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《杭州市建设工程文明施工管理规定》（杭州市人民政府令第278号）</w:t>
      </w:r>
    </w:p>
    <w:p w14:paraId="661ABE99">
      <w:pPr>
        <w:autoSpaceDE w:val="0"/>
        <w:autoSpaceDN w:val="0"/>
        <w:adjustRightInd w:val="0"/>
        <w:ind w:left="424" w:leftChars="202"/>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8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⑧</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浙江省、杭州市相关政策文件</w:t>
      </w:r>
    </w:p>
    <w:p w14:paraId="26754AC7">
      <w:pPr>
        <w:autoSpaceDE w:val="0"/>
        <w:autoSpaceDN w:val="0"/>
        <w:adjustRightInd w:val="0"/>
        <w:ind w:left="424" w:leftChars="202"/>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fldChar w:fldCharType="begin"/>
      </w:r>
      <w:r>
        <w:rPr>
          <w:rFonts w:hint="eastAsia" w:ascii="仿宋_GB2312" w:hAnsi="仿宋_GB2312" w:eastAsia="仿宋_GB2312" w:cs="仿宋_GB2312"/>
          <w:b/>
          <w:sz w:val="18"/>
          <w:szCs w:val="18"/>
          <w:highlight w:val="none"/>
          <w:u w:val="single"/>
        </w:rPr>
        <w:instrText xml:space="preserve"> = 9 \* GB3 \* MERGEFORMAT </w:instrText>
      </w:r>
      <w:r>
        <w:rPr>
          <w:rFonts w:hint="eastAsia" w:ascii="仿宋_GB2312" w:hAnsi="仿宋_GB2312" w:eastAsia="仿宋_GB2312" w:cs="仿宋_GB2312"/>
          <w:b/>
          <w:sz w:val="18"/>
          <w:szCs w:val="18"/>
          <w:highlight w:val="none"/>
          <w:u w:val="single"/>
        </w:rPr>
        <w:fldChar w:fldCharType="separate"/>
      </w:r>
      <w:r>
        <w:rPr>
          <w:rFonts w:hint="eastAsia" w:ascii="仿宋_GB2312" w:hAnsi="仿宋_GB2312" w:eastAsia="仿宋_GB2312" w:cs="仿宋_GB2312"/>
          <w:b/>
          <w:sz w:val="18"/>
          <w:szCs w:val="18"/>
          <w:highlight w:val="none"/>
          <w:u w:val="single"/>
        </w:rPr>
        <w:t>⑨</w:t>
      </w:r>
      <w:r>
        <w:rPr>
          <w:rFonts w:hint="eastAsia" w:ascii="仿宋_GB2312" w:hAnsi="仿宋_GB2312" w:eastAsia="仿宋_GB2312" w:cs="仿宋_GB2312"/>
          <w:b/>
          <w:sz w:val="18"/>
          <w:szCs w:val="18"/>
          <w:highlight w:val="none"/>
          <w:u w:val="single"/>
        </w:rPr>
        <w:fldChar w:fldCharType="end"/>
      </w:r>
      <w:r>
        <w:rPr>
          <w:rFonts w:hint="eastAsia" w:ascii="仿宋_GB2312" w:hAnsi="仿宋_GB2312" w:eastAsia="仿宋_GB2312" w:cs="仿宋_GB2312"/>
          <w:b/>
          <w:sz w:val="18"/>
          <w:szCs w:val="18"/>
          <w:highlight w:val="none"/>
          <w:u w:val="single"/>
        </w:rPr>
        <w:t>其他适用于本工程的法规文件。</w:t>
      </w:r>
    </w:p>
    <w:p w14:paraId="1BE5CD51">
      <w:pPr>
        <w:autoSpaceDE w:val="0"/>
        <w:autoSpaceDN w:val="0"/>
        <w:adjustRightInd w:val="0"/>
        <w:ind w:left="424" w:leftChars="202"/>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以上文件若有新规定新要求并适用于本工程的，按新文件执行。 </w:t>
      </w:r>
    </w:p>
    <w:p w14:paraId="5EF6DD23">
      <w:pPr>
        <w:autoSpaceDE w:val="0"/>
        <w:autoSpaceDN w:val="0"/>
        <w:adjustRightInd w:val="0"/>
        <w:ind w:left="424" w:leftChars="202"/>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1.3.4</w:t>
      </w:r>
      <w:r>
        <w:rPr>
          <w:rFonts w:hint="eastAsia" w:ascii="仿宋_GB2312" w:hAnsi="仿宋_GB2312" w:eastAsia="仿宋_GB2312" w:cs="仿宋_GB2312"/>
          <w:b/>
          <w:sz w:val="18"/>
          <w:szCs w:val="18"/>
          <w:highlight w:val="none"/>
          <w:lang w:val="en-US" w:eastAsia="zh-CN"/>
        </w:rPr>
        <w:t>5</w:t>
      </w:r>
      <w:r>
        <w:rPr>
          <w:rFonts w:hint="eastAsia" w:ascii="仿宋_GB2312" w:hAnsi="仿宋_GB2312" w:eastAsia="仿宋_GB2312" w:cs="仿宋_GB2312"/>
          <w:b/>
          <w:sz w:val="18"/>
          <w:szCs w:val="18"/>
          <w:highlight w:val="none"/>
        </w:rPr>
        <w:t xml:space="preserve"> 新工艺、新技术的约定：</w:t>
      </w:r>
      <w:r>
        <w:rPr>
          <w:rFonts w:hint="eastAsia" w:ascii="仿宋_GB2312" w:hAnsi="仿宋_GB2312" w:eastAsia="仿宋_GB2312" w:cs="仿宋_GB2312"/>
          <w:b/>
          <w:sz w:val="18"/>
          <w:szCs w:val="18"/>
          <w:highlight w:val="none"/>
          <w:u w:val="single"/>
        </w:rPr>
        <w:t xml:space="preserve">                        。</w:t>
      </w:r>
    </w:p>
    <w:p w14:paraId="5001F761">
      <w:pPr>
        <w:autoSpaceDE w:val="0"/>
        <w:autoSpaceDN w:val="0"/>
        <w:adjustRightInd w:val="0"/>
        <w:ind w:left="424" w:leftChars="202"/>
        <w:jc w:val="left"/>
        <w:rPr>
          <w:rFonts w:hint="eastAsia"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1.3.</w:t>
      </w:r>
      <w:r>
        <w:rPr>
          <w:rFonts w:hint="eastAsia" w:ascii="仿宋_GB2312" w:hAnsi="仿宋_GB2312" w:eastAsia="仿宋_GB2312" w:cs="仿宋_GB2312"/>
          <w:b/>
          <w:sz w:val="18"/>
          <w:szCs w:val="18"/>
          <w:highlight w:val="none"/>
          <w:lang w:val="en-US" w:eastAsia="zh-CN"/>
        </w:rPr>
        <w:t>6</w:t>
      </w:r>
      <w:r>
        <w:rPr>
          <w:rFonts w:hint="eastAsia" w:ascii="仿宋_GB2312" w:hAnsi="仿宋_GB2312" w:eastAsia="仿宋_GB2312" w:cs="仿宋_GB2312"/>
          <w:b/>
          <w:sz w:val="18"/>
          <w:szCs w:val="18"/>
          <w:highlight w:val="none"/>
        </w:rPr>
        <w:t xml:space="preserve">  其他：</w:t>
      </w:r>
      <w:r>
        <w:rPr>
          <w:rFonts w:hint="eastAsia" w:ascii="仿宋_GB2312" w:hAnsi="仿宋_GB2312" w:eastAsia="仿宋_GB2312" w:cs="仿宋_GB2312"/>
          <w:b/>
          <w:sz w:val="18"/>
          <w:szCs w:val="18"/>
          <w:highlight w:val="none"/>
          <w:u w:val="single"/>
        </w:rPr>
        <w:t xml:space="preserve">                                       。</w:t>
      </w:r>
    </w:p>
    <w:p w14:paraId="23772D39">
      <w:pPr>
        <w:pStyle w:val="42"/>
        <w:autoSpaceDE w:val="0"/>
        <w:autoSpaceDN w:val="0"/>
        <w:adjustRightInd w:val="0"/>
        <w:ind w:left="0" w:leftChars="0" w:firstLine="361" w:firstLineChars="200"/>
        <w:rPr>
          <w:rFonts w:hint="eastAsia" w:eastAsia="仿宋_GB2312"/>
          <w:highlight w:val="none"/>
          <w:lang w:eastAsia="zh-CN"/>
        </w:rPr>
      </w:pPr>
      <w:r>
        <w:rPr>
          <w:rFonts w:hint="eastAsia" w:ascii="仿宋_GB2312" w:hAnsi="仿宋_GB2312" w:eastAsia="仿宋_GB2312" w:cs="仿宋_GB2312"/>
          <w:b/>
          <w:kern w:val="2"/>
          <w:sz w:val="18"/>
          <w:szCs w:val="18"/>
          <w:highlight w:val="none"/>
          <w:lang w:eastAsia="zh-CN"/>
        </w:rPr>
        <w:t>（</w:t>
      </w:r>
      <w:r>
        <w:rPr>
          <w:rFonts w:hint="eastAsia" w:ascii="仿宋_GB2312" w:hAnsi="仿宋_GB2312" w:eastAsia="仿宋_GB2312" w:cs="仿宋_GB2312"/>
          <w:b/>
          <w:kern w:val="2"/>
          <w:sz w:val="18"/>
          <w:szCs w:val="18"/>
          <w:highlight w:val="none"/>
        </w:rPr>
        <w:t>以上文件若有新规定新要求并适用于本工程的，按新文件执行。</w:t>
      </w:r>
      <w:r>
        <w:rPr>
          <w:rFonts w:hint="eastAsia" w:ascii="仿宋_GB2312" w:hAnsi="仿宋_GB2312" w:eastAsia="仿宋_GB2312" w:cs="仿宋_GB2312"/>
          <w:b/>
          <w:kern w:val="2"/>
          <w:sz w:val="18"/>
          <w:szCs w:val="18"/>
          <w:highlight w:val="none"/>
          <w:lang w:eastAsia="zh-CN"/>
        </w:rPr>
        <w:t>）</w:t>
      </w:r>
    </w:p>
    <w:p w14:paraId="70EE477F">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 标准和规范</w:t>
      </w:r>
    </w:p>
    <w:p w14:paraId="01B3DFA3">
      <w:pPr>
        <w:ind w:left="0" w:leftChars="0"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1.4.1适用于工程的标准规范包括：</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b/>
          <w:sz w:val="18"/>
          <w:szCs w:val="18"/>
          <w:highlight w:val="none"/>
          <w:u w:val="single"/>
        </w:rPr>
        <w:t xml:space="preserve">按通用条款约定    </w:t>
      </w:r>
      <w:r>
        <w:rPr>
          <w:rFonts w:hint="eastAsia" w:ascii="仿宋_GB2312" w:hAnsi="仿宋_GB2312" w:eastAsia="仿宋_GB2312" w:cs="仿宋_GB2312"/>
          <w:color w:val="000000"/>
          <w:sz w:val="18"/>
          <w:szCs w:val="18"/>
          <w:highlight w:val="none"/>
        </w:rPr>
        <w:t>。</w:t>
      </w:r>
    </w:p>
    <w:p w14:paraId="742CC06D">
      <w:pPr>
        <w:ind w:firstLine="360" w:firstLineChars="200"/>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1.4.2 发包人提供国外标准、规范的名称：</w:t>
      </w:r>
      <w:r>
        <w:rPr>
          <w:rFonts w:hint="eastAsia" w:ascii="仿宋_GB2312" w:hAnsi="仿宋_GB2312" w:eastAsia="仿宋_GB2312" w:cs="仿宋_GB2312"/>
          <w:color w:val="000000"/>
          <w:kern w:val="0"/>
          <w:sz w:val="18"/>
          <w:szCs w:val="18"/>
          <w:highlight w:val="none"/>
          <w:u w:val="single"/>
        </w:rPr>
        <w:t xml:space="preserve">       /       </w:t>
      </w:r>
      <w:r>
        <w:rPr>
          <w:rFonts w:hint="eastAsia" w:ascii="仿宋_GB2312" w:hAnsi="仿宋_GB2312" w:eastAsia="仿宋_GB2312" w:cs="仿宋_GB2312"/>
          <w:color w:val="000000"/>
          <w:kern w:val="0"/>
          <w:sz w:val="18"/>
          <w:szCs w:val="18"/>
          <w:highlight w:val="none"/>
        </w:rPr>
        <w:t>；</w:t>
      </w:r>
    </w:p>
    <w:p w14:paraId="0C3804CA">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发包人提供国外标准、规范的份数：</w:t>
      </w:r>
      <w:r>
        <w:rPr>
          <w:rFonts w:hint="eastAsia" w:ascii="仿宋_GB2312" w:hAnsi="仿宋_GB2312" w:eastAsia="仿宋_GB2312" w:cs="仿宋_GB2312"/>
          <w:color w:val="000000"/>
          <w:kern w:val="0"/>
          <w:sz w:val="18"/>
          <w:szCs w:val="18"/>
          <w:highlight w:val="none"/>
          <w:u w:val="single"/>
        </w:rPr>
        <w:t xml:space="preserve">           /          </w:t>
      </w:r>
      <w:r>
        <w:rPr>
          <w:rFonts w:hint="eastAsia" w:ascii="仿宋_GB2312" w:hAnsi="仿宋_GB2312" w:eastAsia="仿宋_GB2312" w:cs="仿宋_GB2312"/>
          <w:color w:val="000000"/>
          <w:kern w:val="0"/>
          <w:sz w:val="18"/>
          <w:szCs w:val="18"/>
          <w:highlight w:val="none"/>
        </w:rPr>
        <w:t>；</w:t>
      </w:r>
    </w:p>
    <w:p w14:paraId="3B3515F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发包人提供国外标准、规范的名称：</w:t>
      </w:r>
      <w:r>
        <w:rPr>
          <w:rFonts w:hint="eastAsia" w:ascii="仿宋_GB2312" w:hAnsi="仿宋_GB2312" w:eastAsia="仿宋_GB2312" w:cs="仿宋_GB2312"/>
          <w:color w:val="000000"/>
          <w:kern w:val="0"/>
          <w:sz w:val="18"/>
          <w:szCs w:val="18"/>
          <w:highlight w:val="none"/>
          <w:u w:val="single"/>
        </w:rPr>
        <w:t xml:space="preserve">           /          </w:t>
      </w:r>
      <w:r>
        <w:rPr>
          <w:rFonts w:hint="eastAsia" w:ascii="仿宋_GB2312" w:hAnsi="仿宋_GB2312" w:eastAsia="仿宋_GB2312" w:cs="仿宋_GB2312"/>
          <w:color w:val="000000"/>
          <w:kern w:val="0"/>
          <w:sz w:val="18"/>
          <w:szCs w:val="18"/>
          <w:highlight w:val="none"/>
        </w:rPr>
        <w:t>。</w:t>
      </w:r>
    </w:p>
    <w:p w14:paraId="726951B5">
      <w:pPr>
        <w:ind w:left="0" w:leftChars="0"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1.4.3发包人对工程的技术标准和功能要求的特殊要求：</w:t>
      </w:r>
    </w:p>
    <w:p w14:paraId="543D3F6E">
      <w:pPr>
        <w:ind w:firstLine="630" w:firstLineChars="35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b/>
          <w:bCs/>
          <w:sz w:val="18"/>
          <w:szCs w:val="18"/>
          <w:highlight w:val="none"/>
          <w:u w:val="single"/>
        </w:rPr>
        <w:t>详见设计文件和招标技术要求</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28F7BA27">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 合同文件的优先顺序</w:t>
      </w:r>
    </w:p>
    <w:p w14:paraId="15848354">
      <w:pPr>
        <w:autoSpaceDE w:val="0"/>
        <w:autoSpaceDN w:val="0"/>
        <w:adjustRightInd w:val="0"/>
        <w:ind w:firstLine="358" w:firstLineChars="19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（1）</w:t>
      </w:r>
      <w:r>
        <w:rPr>
          <w:rFonts w:hint="eastAsia" w:ascii="仿宋_GB2312" w:hAnsi="仿宋_GB2312" w:eastAsia="仿宋_GB2312" w:cs="仿宋_GB2312"/>
          <w:b/>
          <w:kern w:val="0"/>
          <w:sz w:val="18"/>
          <w:szCs w:val="18"/>
          <w:highlight w:val="none"/>
          <w:u w:val="single"/>
        </w:rPr>
        <w:t>合同协议书</w:t>
      </w:r>
      <w:r>
        <w:rPr>
          <w:rFonts w:hint="eastAsia" w:ascii="仿宋_GB2312" w:hAnsi="仿宋_GB2312" w:eastAsia="仿宋_GB2312" w:cs="仿宋_GB2312"/>
          <w:b/>
          <w:kern w:val="0"/>
          <w:sz w:val="18"/>
          <w:szCs w:val="18"/>
          <w:highlight w:val="none"/>
        </w:rPr>
        <w:t>；</w:t>
      </w:r>
    </w:p>
    <w:p w14:paraId="3E4A9B85">
      <w:pPr>
        <w:autoSpaceDE w:val="0"/>
        <w:autoSpaceDN w:val="0"/>
        <w:adjustRightInd w:val="0"/>
        <w:ind w:firstLine="358" w:firstLineChars="19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（2）</w:t>
      </w:r>
      <w:r>
        <w:rPr>
          <w:rFonts w:hint="eastAsia" w:ascii="仿宋_GB2312" w:hAnsi="仿宋_GB2312" w:eastAsia="仿宋_GB2312" w:cs="仿宋_GB2312"/>
          <w:b/>
          <w:kern w:val="0"/>
          <w:sz w:val="18"/>
          <w:szCs w:val="18"/>
          <w:highlight w:val="none"/>
          <w:u w:val="single"/>
        </w:rPr>
        <w:t>中标通知书（或项目发承包基本情况表）</w:t>
      </w:r>
      <w:r>
        <w:rPr>
          <w:rFonts w:hint="eastAsia" w:ascii="仿宋_GB2312" w:hAnsi="仿宋_GB2312" w:eastAsia="仿宋_GB2312" w:cs="仿宋_GB2312"/>
          <w:b/>
          <w:kern w:val="0"/>
          <w:sz w:val="18"/>
          <w:szCs w:val="18"/>
          <w:highlight w:val="none"/>
        </w:rPr>
        <w:t>；</w:t>
      </w:r>
    </w:p>
    <w:p w14:paraId="1D63746F">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（3）</w:t>
      </w:r>
      <w:r>
        <w:rPr>
          <w:rFonts w:hint="eastAsia" w:ascii="仿宋_GB2312" w:hAnsi="仿宋_GB2312" w:eastAsia="仿宋_GB2312" w:cs="仿宋_GB2312"/>
          <w:b/>
          <w:kern w:val="0"/>
          <w:sz w:val="18"/>
          <w:szCs w:val="18"/>
          <w:highlight w:val="none"/>
          <w:u w:val="single"/>
        </w:rPr>
        <w:t>投标函及其附录（如果有）</w:t>
      </w:r>
      <w:r>
        <w:rPr>
          <w:rFonts w:hint="eastAsia" w:ascii="仿宋_GB2312" w:hAnsi="仿宋_GB2312" w:eastAsia="仿宋_GB2312" w:cs="仿宋_GB2312"/>
          <w:b/>
          <w:kern w:val="0"/>
          <w:sz w:val="18"/>
          <w:szCs w:val="18"/>
          <w:highlight w:val="none"/>
        </w:rPr>
        <w:t>；</w:t>
      </w:r>
    </w:p>
    <w:p w14:paraId="180B8159">
      <w:pPr>
        <w:autoSpaceDE w:val="0"/>
        <w:autoSpaceDN w:val="0"/>
        <w:adjustRightInd w:val="0"/>
        <w:ind w:firstLine="358" w:firstLineChars="19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（4）</w:t>
      </w:r>
      <w:r>
        <w:rPr>
          <w:rFonts w:hint="eastAsia" w:ascii="仿宋_GB2312" w:hAnsi="仿宋_GB2312" w:eastAsia="仿宋_GB2312" w:cs="仿宋_GB2312"/>
          <w:b/>
          <w:kern w:val="0"/>
          <w:sz w:val="18"/>
          <w:szCs w:val="18"/>
          <w:highlight w:val="none"/>
          <w:u w:val="single"/>
        </w:rPr>
        <w:t>专用合同条款及其附件</w:t>
      </w:r>
      <w:r>
        <w:rPr>
          <w:rFonts w:hint="eastAsia" w:ascii="仿宋_GB2312" w:hAnsi="仿宋_GB2312" w:eastAsia="仿宋_GB2312" w:cs="仿宋_GB2312"/>
          <w:b/>
          <w:kern w:val="0"/>
          <w:sz w:val="18"/>
          <w:szCs w:val="18"/>
          <w:highlight w:val="none"/>
        </w:rPr>
        <w:t>；</w:t>
      </w:r>
    </w:p>
    <w:p w14:paraId="64EC4C86">
      <w:pPr>
        <w:autoSpaceDE w:val="0"/>
        <w:autoSpaceDN w:val="0"/>
        <w:adjustRightInd w:val="0"/>
        <w:ind w:firstLine="358" w:firstLineChars="19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（5）</w:t>
      </w:r>
      <w:r>
        <w:rPr>
          <w:rFonts w:hint="eastAsia" w:ascii="仿宋_GB2312" w:hAnsi="仿宋_GB2312" w:eastAsia="仿宋_GB2312" w:cs="仿宋_GB2312"/>
          <w:b/>
          <w:kern w:val="0"/>
          <w:sz w:val="18"/>
          <w:szCs w:val="18"/>
          <w:highlight w:val="none"/>
          <w:u w:val="single"/>
        </w:rPr>
        <w:t>通用合同条款</w:t>
      </w:r>
      <w:r>
        <w:rPr>
          <w:rFonts w:hint="eastAsia" w:ascii="仿宋_GB2312" w:hAnsi="仿宋_GB2312" w:eastAsia="仿宋_GB2312" w:cs="仿宋_GB2312"/>
          <w:b/>
          <w:kern w:val="0"/>
          <w:sz w:val="18"/>
          <w:szCs w:val="18"/>
          <w:highlight w:val="none"/>
        </w:rPr>
        <w:t>；</w:t>
      </w:r>
    </w:p>
    <w:p w14:paraId="69438A2A">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（6）</w:t>
      </w:r>
      <w:r>
        <w:rPr>
          <w:rFonts w:hint="eastAsia" w:ascii="仿宋_GB2312" w:hAnsi="仿宋_GB2312" w:eastAsia="仿宋_GB2312" w:cs="仿宋_GB2312"/>
          <w:b/>
          <w:kern w:val="0"/>
          <w:sz w:val="18"/>
          <w:szCs w:val="18"/>
          <w:highlight w:val="none"/>
          <w:u w:val="single"/>
        </w:rPr>
        <w:t>技术标准和要求</w:t>
      </w:r>
      <w:r>
        <w:rPr>
          <w:rFonts w:hint="eastAsia" w:ascii="仿宋_GB2312" w:hAnsi="仿宋_GB2312" w:eastAsia="仿宋_GB2312" w:cs="仿宋_GB2312"/>
          <w:b/>
          <w:kern w:val="0"/>
          <w:sz w:val="18"/>
          <w:szCs w:val="18"/>
          <w:highlight w:val="none"/>
        </w:rPr>
        <w:t>；</w:t>
      </w:r>
    </w:p>
    <w:p w14:paraId="33F0CB65">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（7）</w:t>
      </w:r>
      <w:r>
        <w:rPr>
          <w:rFonts w:hint="eastAsia" w:ascii="仿宋_GB2312" w:hAnsi="仿宋_GB2312" w:eastAsia="仿宋_GB2312" w:cs="仿宋_GB2312"/>
          <w:b/>
          <w:kern w:val="0"/>
          <w:sz w:val="18"/>
          <w:szCs w:val="18"/>
          <w:highlight w:val="none"/>
          <w:u w:val="single"/>
        </w:rPr>
        <w:t>图纸；</w:t>
      </w:r>
    </w:p>
    <w:p w14:paraId="17D79570">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（8）</w:t>
      </w:r>
      <w:r>
        <w:rPr>
          <w:rFonts w:hint="eastAsia" w:ascii="仿宋_GB2312" w:hAnsi="仿宋_GB2312" w:eastAsia="仿宋_GB2312" w:cs="仿宋_GB2312"/>
          <w:b/>
          <w:kern w:val="0"/>
          <w:sz w:val="18"/>
          <w:szCs w:val="18"/>
          <w:highlight w:val="none"/>
          <w:u w:val="single"/>
        </w:rPr>
        <w:t>已标价工程量清单或预算书</w:t>
      </w:r>
      <w:r>
        <w:rPr>
          <w:rFonts w:hint="eastAsia" w:ascii="仿宋_GB2312" w:hAnsi="仿宋_GB2312" w:eastAsia="仿宋_GB2312" w:cs="仿宋_GB2312"/>
          <w:b/>
          <w:kern w:val="0"/>
          <w:sz w:val="18"/>
          <w:szCs w:val="18"/>
          <w:highlight w:val="none"/>
        </w:rPr>
        <w:t>；</w:t>
      </w:r>
    </w:p>
    <w:p w14:paraId="2870E6C0">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（9）</w:t>
      </w:r>
      <w:r>
        <w:rPr>
          <w:rFonts w:hint="eastAsia" w:ascii="仿宋_GB2312" w:hAnsi="仿宋_GB2312" w:eastAsia="仿宋_GB2312" w:cs="仿宋_GB2312"/>
          <w:b/>
          <w:kern w:val="0"/>
          <w:sz w:val="18"/>
          <w:szCs w:val="18"/>
          <w:highlight w:val="none"/>
          <w:u w:val="single"/>
        </w:rPr>
        <w:t>其他合同文件</w:t>
      </w:r>
      <w:r>
        <w:rPr>
          <w:rFonts w:hint="eastAsia" w:ascii="仿宋_GB2312" w:hAnsi="仿宋_GB2312" w:eastAsia="仿宋_GB2312" w:cs="仿宋_GB2312"/>
          <w:b/>
          <w:kern w:val="0"/>
          <w:sz w:val="18"/>
          <w:szCs w:val="18"/>
          <w:highlight w:val="none"/>
        </w:rPr>
        <w:t>：</w:t>
      </w:r>
    </w:p>
    <w:p w14:paraId="326CC365">
      <w:pPr>
        <w:ind w:firstLine="358" w:firstLineChars="198"/>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rPr>
        <w:t xml:space="preserve"> ①</w:t>
      </w:r>
      <w:r>
        <w:rPr>
          <w:rFonts w:hint="eastAsia" w:ascii="仿宋_GB2312" w:hAnsi="仿宋_GB2312" w:eastAsia="仿宋_GB2312" w:cs="仿宋_GB2312"/>
          <w:b/>
          <w:kern w:val="0"/>
          <w:sz w:val="18"/>
          <w:szCs w:val="18"/>
          <w:highlight w:val="none"/>
          <w:u w:val="single"/>
        </w:rPr>
        <w:t>施工组织设计</w:t>
      </w:r>
      <w:r>
        <w:rPr>
          <w:rFonts w:hint="eastAsia" w:ascii="仿宋_GB2312" w:hAnsi="仿宋_GB2312" w:eastAsia="仿宋_GB2312" w:cs="仿宋_GB2312"/>
          <w:b/>
          <w:kern w:val="0"/>
          <w:sz w:val="18"/>
          <w:szCs w:val="18"/>
          <w:highlight w:val="none"/>
        </w:rPr>
        <w:t>；</w:t>
      </w:r>
    </w:p>
    <w:p w14:paraId="56C184DC">
      <w:pPr>
        <w:ind w:firstLine="358" w:firstLineChars="198"/>
        <w:rPr>
          <w:rFonts w:ascii="仿宋_GB2312" w:hAnsi="仿宋_GB2312" w:eastAsia="仿宋_GB2312" w:cs="仿宋_GB2312"/>
          <w:b/>
          <w:kern w:val="0"/>
          <w:sz w:val="18"/>
          <w:szCs w:val="18"/>
          <w:highlight w:val="none"/>
        </w:rPr>
      </w:pPr>
      <w:r>
        <w:rPr>
          <w:rFonts w:hint="eastAsia" w:ascii="仿宋_GB2312" w:hAnsi="仿宋_GB2312" w:eastAsia="仿宋_GB2312" w:cs="仿宋_GB2312"/>
          <w:b/>
          <w:kern w:val="0"/>
          <w:sz w:val="18"/>
          <w:szCs w:val="18"/>
          <w:highlight w:val="none"/>
        </w:rPr>
        <w:t xml:space="preserve"> ②</w:t>
      </w:r>
      <w:r>
        <w:rPr>
          <w:rFonts w:hint="eastAsia" w:ascii="仿宋_GB2312" w:hAnsi="仿宋_GB2312" w:eastAsia="仿宋_GB2312" w:cs="仿宋_GB2312"/>
          <w:b/>
          <w:kern w:val="0"/>
          <w:sz w:val="18"/>
          <w:szCs w:val="18"/>
          <w:highlight w:val="none"/>
          <w:u w:val="single"/>
        </w:rPr>
        <w:t>其他：发包人、承包人有关工程的洽商、工程变更、询标纪要等书面协议或文件及招标文件、补充招标文件等相关文件</w:t>
      </w:r>
      <w:r>
        <w:rPr>
          <w:rFonts w:hint="eastAsia" w:ascii="仿宋_GB2312" w:hAnsi="仿宋_GB2312" w:eastAsia="仿宋_GB2312" w:cs="仿宋_GB2312"/>
          <w:b/>
          <w:kern w:val="0"/>
          <w:sz w:val="18"/>
          <w:szCs w:val="18"/>
          <w:highlight w:val="none"/>
        </w:rPr>
        <w:t>。</w:t>
      </w:r>
    </w:p>
    <w:p w14:paraId="2692E1FA">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 图纸和承包人文件</w:t>
      </w:r>
      <w:r>
        <w:rPr>
          <w:rFonts w:hint="eastAsia" w:ascii="仿宋_GB2312" w:hAnsi="仿宋_GB2312" w:eastAsia="仿宋_GB2312" w:cs="仿宋_GB2312"/>
          <w:color w:val="000000"/>
          <w:sz w:val="18"/>
          <w:szCs w:val="18"/>
          <w:highlight w:val="none"/>
        </w:rPr>
        <w:tab/>
      </w:r>
    </w:p>
    <w:p w14:paraId="6619893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1.6.1 图纸的提供</w:t>
      </w:r>
    </w:p>
    <w:p w14:paraId="288EF7E6">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发包人向承包人提供图纸的期限：</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本合同签订后十四天内</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18BE706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发包人向承包人提供图纸的数量：</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肆套（包括制作竣工图的原始施工图），如承包人额外需要提供施工图纸的，则额外增加的施工图纸的制作费由承包人承担</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1F342D5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发包人向承包人提供图纸的内容：</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施工图（详见签收表）</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26CB755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承包人文件</w:t>
      </w:r>
    </w:p>
    <w:p w14:paraId="7E0D981C">
      <w:pPr>
        <w:ind w:left="596" w:leftChars="284"/>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需要由承包人提供的文件，包括：</w:t>
      </w:r>
      <w:r>
        <w:rPr>
          <w:rFonts w:hint="eastAsia" w:ascii="仿宋_GB2312" w:hAnsi="仿宋_GB2312" w:eastAsia="仿宋_GB2312" w:cs="仿宋_GB2312"/>
          <w:kern w:val="0"/>
          <w:sz w:val="18"/>
          <w:szCs w:val="18"/>
          <w:highlight w:val="none"/>
          <w:u w:val="single"/>
        </w:rPr>
        <w:t>施工组织设计、进度计划、发包人和政府规定要求必须提供的其他文件</w:t>
      </w:r>
      <w:r>
        <w:rPr>
          <w:rFonts w:hint="eastAsia" w:ascii="仿宋_GB2312" w:hAnsi="仿宋_GB2312" w:eastAsia="仿宋_GB2312" w:cs="仿宋_GB2312"/>
          <w:color w:val="000000"/>
          <w:sz w:val="18"/>
          <w:szCs w:val="18"/>
          <w:highlight w:val="none"/>
        </w:rPr>
        <w:t>；</w:t>
      </w:r>
    </w:p>
    <w:p w14:paraId="6965C67B">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承包人提供的文件的期限为：</w:t>
      </w:r>
      <w:r>
        <w:rPr>
          <w:rFonts w:hint="eastAsia" w:ascii="仿宋_GB2312" w:hAnsi="仿宋_GB2312" w:eastAsia="仿宋_GB2312" w:cs="仿宋_GB2312"/>
          <w:sz w:val="18"/>
          <w:szCs w:val="18"/>
          <w:highlight w:val="none"/>
          <w:u w:val="single"/>
        </w:rPr>
        <w:t>发包人提出要求后7天内</w:t>
      </w:r>
      <w:r>
        <w:rPr>
          <w:rFonts w:hint="eastAsia" w:ascii="仿宋_GB2312" w:hAnsi="仿宋_GB2312" w:eastAsia="仿宋_GB2312" w:cs="仿宋_GB2312"/>
          <w:color w:val="000000"/>
          <w:sz w:val="18"/>
          <w:szCs w:val="18"/>
          <w:highlight w:val="none"/>
        </w:rPr>
        <w:t>；</w:t>
      </w:r>
    </w:p>
    <w:p w14:paraId="4F0423A5">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承包人提供的文件的数量为：</w:t>
      </w:r>
      <w:r>
        <w:rPr>
          <w:rFonts w:hint="eastAsia" w:ascii="仿宋_GB2312" w:hAnsi="仿宋_GB2312" w:eastAsia="仿宋_GB2312" w:cs="仿宋_GB2312"/>
          <w:sz w:val="18"/>
          <w:szCs w:val="18"/>
          <w:highlight w:val="none"/>
          <w:u w:val="single"/>
        </w:rPr>
        <w:t xml:space="preserve">双方协商确定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5665548C">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承包人提供的文件的形式为：</w:t>
      </w:r>
      <w:r>
        <w:rPr>
          <w:rFonts w:hint="eastAsia" w:ascii="仿宋_GB2312" w:hAnsi="仿宋_GB2312" w:eastAsia="仿宋_GB2312" w:cs="仿宋_GB2312"/>
          <w:sz w:val="18"/>
          <w:szCs w:val="18"/>
          <w:highlight w:val="none"/>
          <w:u w:val="single"/>
        </w:rPr>
        <w:t xml:space="preserve">按发包人要求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54FDFF13">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发包人审批承包人文件的期限：</w:t>
      </w:r>
      <w:r>
        <w:rPr>
          <w:rFonts w:hint="eastAsia" w:ascii="仿宋_GB2312" w:hAnsi="仿宋_GB2312" w:eastAsia="仿宋_GB2312" w:cs="仿宋_GB2312"/>
          <w:sz w:val="18"/>
          <w:szCs w:val="18"/>
          <w:highlight w:val="none"/>
          <w:u w:val="single"/>
        </w:rPr>
        <w:t xml:space="preserve">收到后7天内     </w:t>
      </w:r>
      <w:r>
        <w:rPr>
          <w:rFonts w:hint="eastAsia" w:ascii="仿宋_GB2312" w:hAnsi="仿宋_GB2312" w:eastAsia="仿宋_GB2312" w:cs="仿宋_GB2312"/>
          <w:color w:val="000000"/>
          <w:sz w:val="18"/>
          <w:szCs w:val="18"/>
          <w:highlight w:val="none"/>
        </w:rPr>
        <w:t>。</w:t>
      </w:r>
    </w:p>
    <w:p w14:paraId="0B795ED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现场图纸准备</w:t>
      </w:r>
    </w:p>
    <w:p w14:paraId="135DC82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关于现场图纸准备的约定：</w:t>
      </w:r>
      <w:r>
        <w:rPr>
          <w:rFonts w:hint="eastAsia" w:ascii="仿宋_GB2312" w:hAnsi="仿宋_GB2312" w:eastAsia="仿宋_GB2312" w:cs="仿宋_GB2312"/>
          <w:sz w:val="18"/>
          <w:szCs w:val="18"/>
          <w:highlight w:val="none"/>
          <w:u w:val="single"/>
        </w:rPr>
        <w:t>发包人、监理人及有关人员进行工程检查时使用的图纸由承包人提供</w:t>
      </w:r>
      <w:r>
        <w:rPr>
          <w:rFonts w:hint="eastAsia" w:ascii="仿宋_GB2312" w:hAnsi="仿宋_GB2312" w:eastAsia="仿宋_GB2312" w:cs="仿宋_GB2312"/>
          <w:color w:val="000000"/>
          <w:sz w:val="18"/>
          <w:szCs w:val="18"/>
          <w:highlight w:val="none"/>
        </w:rPr>
        <w:t>。</w:t>
      </w:r>
    </w:p>
    <w:p w14:paraId="6C8D4241">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1.7 联络</w:t>
      </w:r>
    </w:p>
    <w:p w14:paraId="59625171">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1.7.1发包人和承包人应当在</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叁</w:t>
      </w:r>
      <w:r>
        <w:rPr>
          <w:rFonts w:hint="eastAsia" w:ascii="仿宋_GB2312" w:hAnsi="仿宋_GB2312" w:eastAsia="仿宋_GB2312" w:cs="仿宋_GB2312"/>
          <w:color w:val="000000"/>
          <w:kern w:val="0"/>
          <w:sz w:val="18"/>
          <w:szCs w:val="18"/>
          <w:highlight w:val="none"/>
        </w:rPr>
        <w:t>天内将与合同有关的通知、批准、证明、证书、指示、指令、要求、请求、同意、意见、确定和决定等书面函件送达对方当事人。</w:t>
      </w:r>
    </w:p>
    <w:p w14:paraId="26A458CD">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1.7.2 发包人接收文件的地点：</w:t>
      </w:r>
      <w:r>
        <w:rPr>
          <w:rFonts w:hint="eastAsia" w:ascii="仿宋_GB2312" w:hAnsi="仿宋_GB2312" w:eastAsia="仿宋_GB2312" w:cs="仿宋_GB2312"/>
          <w:sz w:val="18"/>
          <w:szCs w:val="18"/>
          <w:highlight w:val="none"/>
          <w:u w:val="single"/>
        </w:rPr>
        <w:t>上城区</w:t>
      </w:r>
      <w:r>
        <w:rPr>
          <w:rFonts w:hint="eastAsia" w:ascii="仿宋_GB2312" w:hAnsi="仿宋_GB2312" w:eastAsia="仿宋_GB2312" w:cs="仿宋_GB2312"/>
          <w:sz w:val="18"/>
          <w:szCs w:val="18"/>
          <w:highlight w:val="none"/>
          <w:u w:val="single"/>
          <w:lang w:val="en-US" w:eastAsia="zh-CN"/>
        </w:rPr>
        <w:t>基础设施改善中心</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kern w:val="0"/>
          <w:sz w:val="18"/>
          <w:szCs w:val="18"/>
          <w:highlight w:val="none"/>
        </w:rPr>
        <w:t>；</w:t>
      </w:r>
    </w:p>
    <w:p w14:paraId="471896C5">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发包人指定的接收人为：</w:t>
      </w:r>
      <w:r>
        <w:rPr>
          <w:rFonts w:hint="eastAsia" w:ascii="仿宋_GB2312" w:hAnsi="仿宋_GB2312" w:eastAsia="仿宋_GB2312" w:cs="仿宋_GB2312"/>
          <w:color w:val="000000"/>
          <w:sz w:val="18"/>
          <w:szCs w:val="18"/>
          <w:highlight w:val="none"/>
          <w:u w:val="single"/>
        </w:rPr>
        <w:t>项目负责人（具体名字）   </w:t>
      </w:r>
      <w:r>
        <w:rPr>
          <w:rFonts w:hint="eastAsia" w:ascii="仿宋_GB2312" w:hAnsi="仿宋_GB2312" w:eastAsia="仿宋_GB2312" w:cs="仿宋_GB2312"/>
          <w:color w:val="000000"/>
          <w:kern w:val="0"/>
          <w:sz w:val="18"/>
          <w:szCs w:val="18"/>
          <w:highlight w:val="none"/>
        </w:rPr>
        <w:t>。</w:t>
      </w:r>
    </w:p>
    <w:p w14:paraId="26FE05CB">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承包人接收文件的地点：</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kern w:val="0"/>
          <w:sz w:val="18"/>
          <w:szCs w:val="18"/>
          <w:highlight w:val="none"/>
          <w:u w:val="single"/>
        </w:rPr>
        <w:t>承包人现场办公室</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kern w:val="0"/>
          <w:sz w:val="18"/>
          <w:szCs w:val="18"/>
          <w:highlight w:val="none"/>
        </w:rPr>
        <w:t>；</w:t>
      </w:r>
    </w:p>
    <w:p w14:paraId="6488B7EE">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承包人指定的接收人为：</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待定   （写名字）</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kern w:val="0"/>
          <w:sz w:val="18"/>
          <w:szCs w:val="18"/>
          <w:highlight w:val="none"/>
        </w:rPr>
        <w:t>。</w:t>
      </w:r>
    </w:p>
    <w:p w14:paraId="3E4AAA16">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监理人接收文件的地点：</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监理人现场办公室</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kern w:val="0"/>
          <w:sz w:val="18"/>
          <w:szCs w:val="18"/>
          <w:highlight w:val="none"/>
        </w:rPr>
        <w:t>；</w:t>
      </w:r>
    </w:p>
    <w:p w14:paraId="246A8093">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监理人指定的接收人为：</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sz w:val="18"/>
          <w:szCs w:val="18"/>
          <w:highlight w:val="none"/>
          <w:u w:val="single"/>
        </w:rPr>
        <w:t>待定   （写名字）</w:t>
      </w:r>
      <w:r>
        <w:rPr>
          <w:rFonts w:hint="eastAsia" w:ascii="仿宋_GB2312" w:hAnsi="仿宋_GB2312" w:eastAsia="仿宋_GB2312" w:cs="仿宋_GB2312"/>
          <w:color w:val="000000"/>
          <w:sz w:val="18"/>
          <w:szCs w:val="18"/>
          <w:highlight w:val="none"/>
          <w:u w:val="single"/>
        </w:rPr>
        <w:t xml:space="preserve">    </w:t>
      </w:r>
      <w:r>
        <w:rPr>
          <w:rFonts w:hint="eastAsia" w:ascii="仿宋_GB2312" w:hAnsi="仿宋_GB2312" w:eastAsia="仿宋_GB2312" w:cs="仿宋_GB2312"/>
          <w:color w:val="000000"/>
          <w:kern w:val="0"/>
          <w:sz w:val="18"/>
          <w:szCs w:val="18"/>
          <w:highlight w:val="none"/>
        </w:rPr>
        <w:t>。</w:t>
      </w:r>
    </w:p>
    <w:p w14:paraId="24E40818">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8</w:t>
      </w:r>
      <w:r>
        <w:rPr>
          <w:rFonts w:hint="eastAsia" w:ascii="仿宋_GB2312" w:hAnsi="仿宋_GB2312" w:eastAsia="仿宋_GB2312" w:cs="仿宋_GB2312"/>
          <w:color w:val="000000"/>
          <w:sz w:val="18"/>
          <w:szCs w:val="18"/>
          <w:highlight w:val="none"/>
        </w:rPr>
        <w:t xml:space="preserve"> 交通运输</w:t>
      </w:r>
    </w:p>
    <w:p w14:paraId="4FCA4D23">
      <w:pPr>
        <w:ind w:firstLine="360" w:firstLineChars="200"/>
        <w:outlineLvl w:val="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bookmarkStart w:id="868" w:name="_Toc312677986"/>
      <w:bookmarkStart w:id="869" w:name="_Toc304295521"/>
      <w:bookmarkStart w:id="870" w:name="_Toc303539100"/>
      <w:bookmarkStart w:id="871" w:name="_Toc318581155"/>
      <w:bookmarkStart w:id="872" w:name="_Toc300934943"/>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8</w:t>
      </w:r>
      <w:r>
        <w:rPr>
          <w:rFonts w:hint="eastAsia" w:ascii="仿宋_GB2312" w:hAnsi="仿宋_GB2312" w:eastAsia="仿宋_GB2312" w:cs="仿宋_GB2312"/>
          <w:sz w:val="18"/>
          <w:szCs w:val="18"/>
          <w:highlight w:val="none"/>
        </w:rPr>
        <w:t>.1 出入现场的权利</w:t>
      </w:r>
    </w:p>
    <w:p w14:paraId="5FE17FD8">
      <w:pPr>
        <w:ind w:left="596" w:leftChars="284"/>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sz w:val="18"/>
          <w:szCs w:val="18"/>
          <w:highlight w:val="none"/>
        </w:rPr>
        <w:t>关于出入现场的权利的约定：</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sz w:val="18"/>
          <w:szCs w:val="18"/>
          <w:highlight w:val="none"/>
        </w:rPr>
        <w:t>。</w:t>
      </w:r>
    </w:p>
    <w:bookmarkEnd w:id="868"/>
    <w:bookmarkEnd w:id="869"/>
    <w:bookmarkEnd w:id="870"/>
    <w:bookmarkEnd w:id="871"/>
    <w:bookmarkEnd w:id="872"/>
    <w:p w14:paraId="7A3692A2">
      <w:pPr>
        <w:ind w:firstLine="360" w:firstLineChars="200"/>
        <w:jc w:val="left"/>
        <w:outlineLvl w:val="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bookmarkStart w:id="873" w:name="_Toc303539101"/>
      <w:bookmarkStart w:id="874" w:name="_Toc318581156"/>
      <w:bookmarkStart w:id="875" w:name="_Toc312677987"/>
      <w:bookmarkStart w:id="876" w:name="_Toc304295522"/>
      <w:bookmarkStart w:id="877" w:name="_Toc300934944"/>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8</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 xml:space="preserve"> 场内交通</w:t>
      </w:r>
    </w:p>
    <w:p w14:paraId="57F1D5E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关于场外交通和场内交通的边界的约定：</w:t>
      </w:r>
      <w:r>
        <w:rPr>
          <w:rFonts w:hint="eastAsia" w:ascii="仿宋_GB2312" w:hAnsi="仿宋_GB2312" w:eastAsia="仿宋_GB2312" w:cs="仿宋_GB2312"/>
          <w:kern w:val="0"/>
          <w:sz w:val="18"/>
          <w:szCs w:val="18"/>
          <w:highlight w:val="none"/>
          <w:u w:val="single"/>
        </w:rPr>
        <w:t>以施工现场围墙（挡）为界</w:t>
      </w:r>
      <w:r>
        <w:rPr>
          <w:rFonts w:hint="eastAsia" w:ascii="仿宋_GB2312" w:hAnsi="仿宋_GB2312" w:eastAsia="仿宋_GB2312" w:cs="仿宋_GB2312"/>
          <w:sz w:val="18"/>
          <w:szCs w:val="18"/>
          <w:highlight w:val="none"/>
        </w:rPr>
        <w:t>。</w:t>
      </w:r>
    </w:p>
    <w:p w14:paraId="17EF29F6">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关于发包人向承包人免费提供满足工程施工需要的场内道路和交通设施的约定：</w:t>
      </w:r>
      <w:r>
        <w:rPr>
          <w:rFonts w:hint="eastAsia" w:ascii="仿宋_GB2312" w:hAnsi="仿宋_GB2312" w:eastAsia="仿宋_GB2312" w:cs="仿宋_GB2312"/>
          <w:sz w:val="18"/>
          <w:szCs w:val="18"/>
          <w:highlight w:val="none"/>
          <w:u w:val="single"/>
        </w:rPr>
        <w:t>利用现有的场内道路和交通设施，如需新建，承包人自行建设，并承担费用</w:t>
      </w:r>
      <w:r>
        <w:rPr>
          <w:rFonts w:hint="eastAsia" w:ascii="仿宋_GB2312" w:hAnsi="仿宋_GB2312" w:eastAsia="仿宋_GB2312" w:cs="仿宋_GB2312"/>
          <w:sz w:val="18"/>
          <w:szCs w:val="18"/>
          <w:highlight w:val="none"/>
        </w:rPr>
        <w:t>。</w:t>
      </w:r>
      <w:bookmarkEnd w:id="873"/>
      <w:bookmarkEnd w:id="874"/>
      <w:bookmarkEnd w:id="875"/>
      <w:bookmarkEnd w:id="876"/>
      <w:bookmarkEnd w:id="877"/>
      <w:bookmarkStart w:id="878" w:name="_Toc318581157"/>
    </w:p>
    <w:p w14:paraId="4B05A357">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r>
        <w:rPr>
          <w:rFonts w:hint="eastAsia" w:ascii="仿宋_GB2312" w:hAnsi="仿宋_GB2312" w:eastAsia="仿宋_GB2312" w:cs="仿宋_GB2312"/>
          <w:sz w:val="18"/>
          <w:szCs w:val="18"/>
          <w:highlight w:val="none"/>
          <w:lang w:val="en-US" w:eastAsia="zh-CN"/>
        </w:rPr>
        <w:t xml:space="preserve">8.3 </w:t>
      </w:r>
      <w:r>
        <w:rPr>
          <w:rFonts w:hint="eastAsia" w:ascii="仿宋_GB2312" w:hAnsi="仿宋_GB2312" w:eastAsia="仿宋_GB2312" w:cs="仿宋_GB2312"/>
          <w:sz w:val="18"/>
          <w:szCs w:val="18"/>
          <w:highlight w:val="none"/>
        </w:rPr>
        <w:t>超大件和超重件的运输</w:t>
      </w:r>
    </w:p>
    <w:p w14:paraId="7DBE3D82">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运输超大件或超重件所需的道路和桥梁临时加固改造费用和其他有关费用由</w:t>
      </w:r>
      <w:r>
        <w:rPr>
          <w:rFonts w:hint="eastAsia" w:ascii="仿宋_GB2312" w:hAnsi="仿宋_GB2312" w:eastAsia="仿宋_GB2312" w:cs="仿宋_GB2312"/>
          <w:sz w:val="18"/>
          <w:szCs w:val="18"/>
          <w:highlight w:val="none"/>
          <w:u w:val="single"/>
        </w:rPr>
        <w:t xml:space="preserve">   承包人  </w:t>
      </w:r>
      <w:r>
        <w:rPr>
          <w:rFonts w:hint="eastAsia" w:ascii="仿宋_GB2312" w:hAnsi="仿宋_GB2312" w:eastAsia="仿宋_GB2312" w:cs="仿宋_GB2312"/>
          <w:sz w:val="18"/>
          <w:szCs w:val="18"/>
          <w:highlight w:val="none"/>
        </w:rPr>
        <w:t>承担。</w:t>
      </w:r>
    </w:p>
    <w:p w14:paraId="7086DEA3">
      <w:pPr>
        <w:ind w:firstLine="361" w:firstLineChars="200"/>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本工程的超大件：</w:t>
      </w:r>
      <w:r>
        <w:rPr>
          <w:rFonts w:hint="eastAsia" w:ascii="仿宋_GB2312" w:hAnsi="仿宋_GB2312" w:eastAsia="仿宋_GB2312" w:cs="仿宋_GB2312"/>
          <w:b/>
          <w:sz w:val="18"/>
          <w:szCs w:val="18"/>
          <w:highlight w:val="none"/>
          <w:u w:val="single"/>
        </w:rPr>
        <w:t xml:space="preserve"> 见设计施工图                       </w:t>
      </w:r>
      <w:r>
        <w:rPr>
          <w:rFonts w:hint="eastAsia" w:ascii="仿宋_GB2312" w:hAnsi="仿宋_GB2312" w:eastAsia="仿宋_GB2312" w:cs="仿宋_GB2312"/>
          <w:b/>
          <w:sz w:val="18"/>
          <w:szCs w:val="18"/>
          <w:highlight w:val="none"/>
        </w:rPr>
        <w:t>。</w:t>
      </w:r>
    </w:p>
    <w:p w14:paraId="0287501E">
      <w:pPr>
        <w:ind w:firstLine="361"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本工程的超重件：</w:t>
      </w:r>
      <w:r>
        <w:rPr>
          <w:rFonts w:hint="eastAsia" w:ascii="仿宋_GB2312" w:hAnsi="仿宋_GB2312" w:eastAsia="仿宋_GB2312" w:cs="仿宋_GB2312"/>
          <w:b/>
          <w:sz w:val="18"/>
          <w:szCs w:val="18"/>
          <w:highlight w:val="none"/>
          <w:u w:val="single"/>
        </w:rPr>
        <w:t xml:space="preserve"> 见设计施工图</w:t>
      </w:r>
      <w:r>
        <w:rPr>
          <w:rFonts w:hint="eastAsia" w:ascii="仿宋_GB2312" w:hAnsi="仿宋_GB2312" w:eastAsia="仿宋_GB2312" w:cs="仿宋_GB2312"/>
          <w:sz w:val="18"/>
          <w:szCs w:val="18"/>
          <w:highlight w:val="none"/>
        </w:rPr>
        <w:t>。</w:t>
      </w:r>
    </w:p>
    <w:bookmarkEnd w:id="878"/>
    <w:p w14:paraId="35D4C4E8">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 xml:space="preserve"> 知识产权</w:t>
      </w:r>
    </w:p>
    <w:p w14:paraId="1BB14AF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5B12BD3B">
      <w:pPr>
        <w:ind w:left="596" w:leftChars="284"/>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关于发包人提供的上述文件的使用限制的要求：</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1384FB09">
      <w:pPr>
        <w:ind w:left="0" w:leftChars="0"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.2 关于承包人为实施工程所编制文件的著作权的归属：</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14BF4AD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关于承包人提供的上述文件的使用限制的要求：</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7A457574">
      <w:pPr>
        <w:ind w:firstLine="360" w:firstLineChars="200"/>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承包人在施工过程中所采用的专利、专有技术、技术秘密的使用费的承担方式：</w:t>
      </w:r>
      <w:r>
        <w:rPr>
          <w:rFonts w:hint="eastAsia" w:ascii="仿宋_GB2312" w:hAnsi="仿宋_GB2312" w:eastAsia="仿宋_GB2312" w:cs="仿宋_GB2312"/>
          <w:b/>
          <w:sz w:val="18"/>
          <w:szCs w:val="18"/>
          <w:highlight w:val="none"/>
          <w:u w:val="single"/>
        </w:rPr>
        <w:t xml:space="preserve">（除发包人指明外）承包人在施工过程中所采用的专利、专有技术、技术秘密的使用费包含在合同价款内  </w:t>
      </w:r>
      <w:r>
        <w:rPr>
          <w:rFonts w:hint="eastAsia" w:ascii="仿宋_GB2312" w:hAnsi="仿宋_GB2312" w:eastAsia="仿宋_GB2312" w:cs="仿宋_GB2312"/>
          <w:color w:val="000000"/>
          <w:kern w:val="0"/>
          <w:sz w:val="18"/>
          <w:szCs w:val="18"/>
          <w:highlight w:val="none"/>
        </w:rPr>
        <w:t>。</w:t>
      </w:r>
    </w:p>
    <w:p w14:paraId="71A7DB67">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r>
        <w:rPr>
          <w:rFonts w:hint="eastAsia" w:ascii="仿宋_GB2312" w:hAnsi="仿宋_GB2312" w:eastAsia="仿宋_GB2312" w:cs="仿宋_GB2312"/>
          <w:color w:val="000000"/>
          <w:sz w:val="18"/>
          <w:szCs w:val="18"/>
          <w:highlight w:val="none"/>
          <w:lang w:val="en-US" w:eastAsia="zh-CN"/>
        </w:rPr>
        <w:t>10</w:t>
      </w:r>
      <w:r>
        <w:rPr>
          <w:rFonts w:hint="eastAsia" w:ascii="仿宋_GB2312" w:hAnsi="仿宋_GB2312" w:eastAsia="仿宋_GB2312" w:cs="仿宋_GB2312"/>
          <w:color w:val="000000"/>
          <w:sz w:val="18"/>
          <w:szCs w:val="18"/>
          <w:highlight w:val="none"/>
        </w:rPr>
        <w:t>工程量清单错误的修正</w:t>
      </w:r>
    </w:p>
    <w:p w14:paraId="4A897E0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出现工程量清单错误时，是否调整合同价格：</w:t>
      </w:r>
      <w:r>
        <w:rPr>
          <w:rFonts w:hint="eastAsia" w:ascii="仿宋_GB2312" w:hAnsi="仿宋_GB2312" w:eastAsia="仿宋_GB2312" w:cs="仿宋_GB2312"/>
          <w:color w:val="000000"/>
          <w:sz w:val="18"/>
          <w:szCs w:val="18"/>
          <w:highlight w:val="none"/>
          <w:u w:val="single"/>
        </w:rPr>
        <w:t xml:space="preserve">      是      </w:t>
      </w:r>
      <w:r>
        <w:rPr>
          <w:rFonts w:hint="eastAsia" w:ascii="仿宋_GB2312" w:hAnsi="仿宋_GB2312" w:eastAsia="仿宋_GB2312" w:cs="仿宋_GB2312"/>
          <w:color w:val="000000"/>
          <w:kern w:val="0"/>
          <w:sz w:val="18"/>
          <w:szCs w:val="18"/>
          <w:highlight w:val="none"/>
        </w:rPr>
        <w:t>。</w:t>
      </w:r>
    </w:p>
    <w:p w14:paraId="1AFDFB7C">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允许调整合同价格的工程量偏差范围：</w:t>
      </w:r>
      <w:r>
        <w:rPr>
          <w:rFonts w:hint="eastAsia" w:ascii="仿宋_GB2312" w:hAnsi="仿宋_GB2312" w:eastAsia="仿宋_GB2312" w:cs="仿宋_GB2312"/>
          <w:sz w:val="18"/>
          <w:szCs w:val="18"/>
          <w:highlight w:val="none"/>
          <w:u w:val="single"/>
        </w:rPr>
        <w:t>按10.4条执行</w:t>
      </w:r>
      <w:r>
        <w:rPr>
          <w:rFonts w:hint="eastAsia" w:ascii="仿宋_GB2312" w:hAnsi="仿宋_GB2312" w:eastAsia="仿宋_GB2312" w:cs="仿宋_GB2312"/>
          <w:color w:val="000000"/>
          <w:kern w:val="0"/>
          <w:sz w:val="18"/>
          <w:szCs w:val="18"/>
          <w:highlight w:val="none"/>
        </w:rPr>
        <w:t>。</w:t>
      </w:r>
    </w:p>
    <w:p w14:paraId="2F38B3FE">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bCs/>
          <w:sz w:val="18"/>
          <w:szCs w:val="18"/>
          <w:highlight w:val="none"/>
        </w:rPr>
        <w:t>调整合同价格的</w:t>
      </w:r>
      <w:r>
        <w:rPr>
          <w:rFonts w:hint="eastAsia" w:ascii="仿宋_GB2312" w:hAnsi="仿宋_GB2312" w:eastAsia="仿宋_GB2312" w:cs="仿宋_GB2312"/>
          <w:b/>
          <w:bCs/>
          <w:kern w:val="0"/>
          <w:sz w:val="18"/>
          <w:szCs w:val="18"/>
          <w:highlight w:val="none"/>
        </w:rPr>
        <w:t>修正时间：</w:t>
      </w:r>
      <w:r>
        <w:rPr>
          <w:rFonts w:hint="eastAsia" w:ascii="仿宋_GB2312" w:hAnsi="仿宋_GB2312" w:eastAsia="仿宋_GB2312" w:cs="仿宋_GB2312"/>
          <w:sz w:val="18"/>
          <w:szCs w:val="18"/>
          <w:highlight w:val="none"/>
          <w:u w:val="single"/>
        </w:rPr>
        <w:t>发生时双方协商确定</w:t>
      </w:r>
      <w:r>
        <w:rPr>
          <w:rFonts w:hint="eastAsia" w:ascii="仿宋_GB2312" w:hAnsi="仿宋_GB2312" w:eastAsia="仿宋_GB2312" w:cs="仿宋_GB2312"/>
          <w:bCs/>
          <w:sz w:val="18"/>
          <w:szCs w:val="18"/>
          <w:highlight w:val="none"/>
        </w:rPr>
        <w:t xml:space="preserve">。 </w:t>
      </w:r>
    </w:p>
    <w:p w14:paraId="086E90F0">
      <w:pPr>
        <w:pStyle w:val="5"/>
        <w:numPr>
          <w:ilvl w:val="0"/>
          <w:numId w:val="3"/>
        </w:numPr>
        <w:spacing w:before="120" w:after="120" w:line="240" w:lineRule="auto"/>
        <w:rPr>
          <w:rFonts w:hint="eastAsia" w:ascii="仿宋_GB2312" w:hAnsi="仿宋_GB2312" w:eastAsia="仿宋_GB2312" w:cs="仿宋_GB2312"/>
          <w:b w:val="0"/>
          <w:color w:val="000000"/>
          <w:sz w:val="18"/>
          <w:szCs w:val="18"/>
          <w:highlight w:val="none"/>
        </w:rPr>
      </w:pPr>
      <w:bookmarkStart w:id="879" w:name="_Toc351203634"/>
      <w:bookmarkStart w:id="880" w:name="_Toc296944496"/>
      <w:bookmarkStart w:id="881" w:name="_Toc297120457"/>
      <w:bookmarkStart w:id="882" w:name="_Toc292559867"/>
      <w:bookmarkStart w:id="883" w:name="_Toc292559362"/>
      <w:bookmarkStart w:id="884" w:name="_Toc296503157"/>
      <w:bookmarkStart w:id="885" w:name="_Toc296347156"/>
      <w:bookmarkStart w:id="886" w:name="_Toc296890985"/>
      <w:bookmarkStart w:id="887" w:name="_Toc296891197"/>
      <w:bookmarkStart w:id="888" w:name="_Toc297048343"/>
      <w:bookmarkStart w:id="889" w:name="_Toc296346658"/>
      <w:r>
        <w:rPr>
          <w:rFonts w:hint="eastAsia" w:ascii="仿宋_GB2312" w:hAnsi="仿宋_GB2312" w:eastAsia="仿宋_GB2312" w:cs="仿宋_GB2312"/>
          <w:b w:val="0"/>
          <w:color w:val="000000"/>
          <w:sz w:val="18"/>
          <w:szCs w:val="18"/>
          <w:highlight w:val="none"/>
        </w:rPr>
        <w:t>发包人</w:t>
      </w:r>
      <w:bookmarkEnd w:id="879"/>
    </w:p>
    <w:p w14:paraId="5E4474E7">
      <w:pPr>
        <w:ind w:firstLine="361" w:firstLineChars="200"/>
        <w:rPr>
          <w:rFonts w:hint="eastAsia" w:ascii="仿宋_GB2312" w:hAnsi="仿宋_GB2312" w:eastAsia="仿宋_GB2312" w:cs="仿宋_GB2312"/>
          <w:b/>
          <w:bCs/>
          <w:color w:val="000000"/>
          <w:sz w:val="18"/>
          <w:szCs w:val="18"/>
          <w:highlight w:val="none"/>
          <w:u w:val="single"/>
        </w:rPr>
      </w:pPr>
      <w:r>
        <w:rPr>
          <w:rFonts w:hint="eastAsia" w:ascii="仿宋_GB2312" w:hAnsi="仿宋_GB2312" w:eastAsia="仿宋_GB2312" w:cs="仿宋_GB2312"/>
          <w:b/>
          <w:bCs/>
          <w:i w:val="0"/>
          <w:iCs w:val="0"/>
          <w:caps w:val="0"/>
          <w:color w:val="000000"/>
          <w:spacing w:val="0"/>
          <w:sz w:val="18"/>
          <w:szCs w:val="18"/>
          <w:highlight w:val="none"/>
          <w:u w:val="single"/>
          <w:shd w:val="clear" w:fill="auto"/>
        </w:rPr>
        <w:t>发包人有权开展现场检查，督促承包人落实规范垃圾处置合同分包、车辆装载、车辆冲洗和规范消纳等措施。</w:t>
      </w:r>
    </w:p>
    <w:bookmarkEnd w:id="880"/>
    <w:bookmarkEnd w:id="881"/>
    <w:bookmarkEnd w:id="882"/>
    <w:bookmarkEnd w:id="883"/>
    <w:bookmarkEnd w:id="884"/>
    <w:bookmarkEnd w:id="885"/>
    <w:bookmarkEnd w:id="886"/>
    <w:bookmarkEnd w:id="887"/>
    <w:bookmarkEnd w:id="888"/>
    <w:bookmarkEnd w:id="889"/>
    <w:p w14:paraId="34D581EB">
      <w:pPr>
        <w:pStyle w:val="6"/>
        <w:spacing w:before="120" w:after="120"/>
        <w:ind w:left="0"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2.</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 xml:space="preserve"> </w:t>
      </w:r>
      <w:r>
        <w:rPr>
          <w:rFonts w:hint="eastAsia" w:ascii="仿宋_GB2312" w:hAnsi="仿宋_GB2312" w:eastAsia="仿宋_GB2312" w:cs="仿宋_GB2312"/>
          <w:b w:val="0"/>
          <w:color w:val="000000"/>
          <w:sz w:val="18"/>
          <w:szCs w:val="18"/>
          <w:highlight w:val="none"/>
        </w:rPr>
        <w:t>发包人代表</w:t>
      </w:r>
      <w:r>
        <w:rPr>
          <w:rFonts w:hint="eastAsia" w:ascii="仿宋_GB2312" w:hAnsi="仿宋_GB2312" w:eastAsia="仿宋_GB2312" w:cs="仿宋_GB2312"/>
          <w:b w:val="0"/>
          <w:sz w:val="18"/>
          <w:szCs w:val="18"/>
          <w:highlight w:val="none"/>
        </w:rPr>
        <w:t>（按各项目负责人填写）</w:t>
      </w:r>
    </w:p>
    <w:p w14:paraId="5E56CE4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发包人代表：</w:t>
      </w:r>
    </w:p>
    <w:p w14:paraId="01FCDD9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姓    名：</w:t>
      </w:r>
      <w:r>
        <w:rPr>
          <w:rFonts w:hint="eastAsia" w:ascii="仿宋_GB2312" w:hAnsi="仿宋_GB2312" w:eastAsia="仿宋_GB2312" w:cs="仿宋_GB2312"/>
          <w:color w:val="000000"/>
          <w:sz w:val="18"/>
          <w:szCs w:val="18"/>
          <w:highlight w:val="none"/>
          <w:u w:val="single"/>
        </w:rPr>
        <w:t>     </w:t>
      </w:r>
      <w:r>
        <w:rPr>
          <w:rFonts w:hint="eastAsia" w:ascii="仿宋_GB2312" w:hAnsi="仿宋_GB2312" w:eastAsia="仿宋_GB2312" w:cs="仿宋_GB2312"/>
          <w:color w:val="000000"/>
          <w:sz w:val="18"/>
          <w:szCs w:val="18"/>
          <w:highlight w:val="none"/>
        </w:rPr>
        <w:t>；</w:t>
      </w:r>
    </w:p>
    <w:p w14:paraId="67A6318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身份证号：</w:t>
      </w:r>
      <w:r>
        <w:rPr>
          <w:rFonts w:hint="eastAsia" w:ascii="仿宋_GB2312" w:hAnsi="仿宋_GB2312" w:eastAsia="仿宋_GB2312" w:cs="仿宋_GB2312"/>
          <w:color w:val="000000"/>
          <w:sz w:val="18"/>
          <w:szCs w:val="18"/>
          <w:highlight w:val="none"/>
          <w:u w:val="single"/>
        </w:rPr>
        <w:t>      </w:t>
      </w:r>
      <w:r>
        <w:rPr>
          <w:rFonts w:hint="eastAsia" w:ascii="仿宋_GB2312" w:hAnsi="仿宋_GB2312" w:eastAsia="仿宋_GB2312" w:cs="仿宋_GB2312"/>
          <w:color w:val="000000"/>
          <w:sz w:val="18"/>
          <w:szCs w:val="18"/>
          <w:highlight w:val="none"/>
        </w:rPr>
        <w:t>；</w:t>
      </w:r>
    </w:p>
    <w:p w14:paraId="4AF88558">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职    务：</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01B6914D">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     </w:t>
      </w:r>
      <w:r>
        <w:rPr>
          <w:rFonts w:hint="eastAsia" w:ascii="仿宋_GB2312" w:hAnsi="仿宋_GB2312" w:eastAsia="仿宋_GB2312" w:cs="仿宋_GB2312"/>
          <w:color w:val="000000"/>
          <w:sz w:val="18"/>
          <w:szCs w:val="18"/>
          <w:highlight w:val="none"/>
        </w:rPr>
        <w:t>；</w:t>
      </w:r>
    </w:p>
    <w:p w14:paraId="54DC417C">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     </w:t>
      </w:r>
      <w:r>
        <w:rPr>
          <w:rFonts w:hint="eastAsia" w:ascii="仿宋_GB2312" w:hAnsi="仿宋_GB2312" w:eastAsia="仿宋_GB2312" w:cs="仿宋_GB2312"/>
          <w:color w:val="000000"/>
          <w:sz w:val="18"/>
          <w:szCs w:val="18"/>
          <w:highlight w:val="none"/>
        </w:rPr>
        <w:t>；</w:t>
      </w:r>
    </w:p>
    <w:p w14:paraId="64007B8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sz w:val="18"/>
          <w:szCs w:val="18"/>
          <w:highlight w:val="none"/>
          <w:u w:val="single"/>
        </w:rPr>
        <w:t>杭州市上城区码头路8号</w:t>
      </w:r>
      <w:r>
        <w:rPr>
          <w:rFonts w:hint="eastAsia" w:ascii="仿宋_GB2312" w:hAnsi="仿宋_GB2312" w:eastAsia="仿宋_GB2312" w:cs="仿宋_GB2312"/>
          <w:color w:val="000000"/>
          <w:sz w:val="18"/>
          <w:szCs w:val="18"/>
          <w:highlight w:val="none"/>
        </w:rPr>
        <w:t>。</w:t>
      </w:r>
    </w:p>
    <w:p w14:paraId="502D4248">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发包人对发包人代表的授权范围如下：</w:t>
      </w:r>
      <w:r>
        <w:rPr>
          <w:rFonts w:hint="eastAsia" w:ascii="仿宋_GB2312" w:hAnsi="仿宋_GB2312" w:eastAsia="仿宋_GB2312" w:cs="仿宋_GB2312"/>
          <w:b/>
          <w:bCs/>
          <w:color w:val="000000"/>
          <w:sz w:val="18"/>
          <w:szCs w:val="18"/>
          <w:highlight w:val="none"/>
          <w:u w:val="single"/>
        </w:rPr>
        <w:t>对质量、成本、安全、进度进行全面管理，涉及合同价格变更、安全事故、质量事故等重大事项的处理须经发包人领导班子签字同意</w:t>
      </w:r>
      <w:r>
        <w:rPr>
          <w:rFonts w:hint="eastAsia" w:ascii="仿宋_GB2312" w:hAnsi="仿宋_GB2312" w:eastAsia="仿宋_GB2312" w:cs="仿宋_GB2312"/>
          <w:color w:val="000000"/>
          <w:sz w:val="18"/>
          <w:szCs w:val="18"/>
          <w:highlight w:val="none"/>
          <w:u w:val="single"/>
        </w:rPr>
        <w:t>。</w:t>
      </w:r>
    </w:p>
    <w:p w14:paraId="5CF9320D">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u w:val="single"/>
        </w:rPr>
        <w:t>（1）督促承包人按照合同约定的工期、施工进度、施工图纸、质量技术标准、施工工艺、安全与环保生产条件、劳工保护规定等进行施工,发出指令，代表发包人检查工程进度、参与材料与设备的验收，对承包人的违反合同约定或法律法规规定的行为发出工程变更联系单，对工程涉及的设计、工艺等问题提出处理建议。</w:t>
      </w:r>
    </w:p>
    <w:p w14:paraId="7261C150">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u w:val="single"/>
        </w:rPr>
        <w:t>（2）代为签收承包人、项目经理送达的工程变更联系单或者文件。</w:t>
      </w:r>
    </w:p>
    <w:p w14:paraId="14745286">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u w:val="single"/>
        </w:rPr>
        <w:t>（3）代表发包人检查工程质量、监督工程施工安全，处理工程中涉及质量、安全的有关问题，并就质量、安全等方面发出指令。代表发包人参与基础工程、中间工程、隐蔽工程、整体工程施工质量的验收。</w:t>
      </w:r>
    </w:p>
    <w:p w14:paraId="56527CF9">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u w:val="single"/>
        </w:rPr>
        <w:t>（4）有关确认工期延长、增加工程价款的工程变更联系单或其他文件，同意豁免承包人任何经济责任、违约责任的工程变更联系单或其他文件，暂停或终止施工的工程变更联系单或其他文件，对合同条款的实质性变更文件，均必须由发包人、</w:t>
      </w:r>
      <w:r>
        <w:rPr>
          <w:rFonts w:hint="eastAsia" w:ascii="仿宋_GB2312" w:hAnsi="仿宋_GB2312" w:eastAsia="仿宋_GB2312" w:cs="仿宋_GB2312"/>
          <w:b/>
          <w:bCs/>
          <w:color w:val="000000"/>
          <w:sz w:val="18"/>
          <w:szCs w:val="18"/>
          <w:highlight w:val="none"/>
          <w:u w:val="single"/>
        </w:rPr>
        <w:t>代建方工程师签字并加盖发包人、代建方公章后方能生效</w:t>
      </w:r>
      <w:r>
        <w:rPr>
          <w:rFonts w:hint="eastAsia" w:ascii="仿宋_GB2312" w:hAnsi="仿宋_GB2312" w:eastAsia="仿宋_GB2312" w:cs="仿宋_GB2312"/>
          <w:color w:val="000000"/>
          <w:sz w:val="18"/>
          <w:szCs w:val="18"/>
          <w:highlight w:val="none"/>
          <w:u w:val="single"/>
        </w:rPr>
        <w:t>，否则无效，且不能作为竣工结算的有效依据，即使承包人已经送达或者发包人委派的工程师已经签署文件。</w:t>
      </w:r>
    </w:p>
    <w:p w14:paraId="7016E491">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施工现场、施工条件和基础资料的提供</w:t>
      </w:r>
    </w:p>
    <w:p w14:paraId="565FB23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.1 提供施工现场</w:t>
      </w:r>
    </w:p>
    <w:p w14:paraId="4B0730E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关于发包人移交施工现场的期限要求：</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62228D09">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.2 提供施工条件</w:t>
      </w:r>
    </w:p>
    <w:p w14:paraId="1ABDED35">
      <w:pPr>
        <w:autoSpaceDE w:val="0"/>
        <w:autoSpaceDN w:val="0"/>
        <w:adjustRightInd w:val="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关于发包人应负责提供施工所需要的条件，包括：</w:t>
      </w:r>
      <w:r>
        <w:rPr>
          <w:rFonts w:hint="eastAsia" w:ascii="仿宋_GB2312" w:hAnsi="仿宋_GB2312" w:eastAsia="仿宋_GB2312" w:cs="仿宋_GB2312"/>
          <w:sz w:val="18"/>
          <w:szCs w:val="18"/>
          <w:highlight w:val="none"/>
          <w:u w:val="single"/>
        </w:rPr>
        <w:t>除通用合同条款第2.4.2条规定外，开工日3天前，由发包人组织设计人、承包人、监理单位进行图纸会审，设计人向承包人进行设计交底</w:t>
      </w:r>
      <w:r>
        <w:rPr>
          <w:rFonts w:hint="eastAsia" w:ascii="仿宋_GB2312" w:hAnsi="仿宋_GB2312" w:eastAsia="仿宋_GB2312" w:cs="仿宋_GB2312"/>
          <w:sz w:val="18"/>
          <w:szCs w:val="18"/>
          <w:highlight w:val="none"/>
        </w:rPr>
        <w:t>。</w:t>
      </w:r>
    </w:p>
    <w:p w14:paraId="2A098D77">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（1）施工场地具备施工条件的要求及完成的时间：在开工前提供符合开工条件的施工场地。临时设施的搭建原则在红线范围内解决。若在红线范围外由承包人与其他单位协商解决。</w:t>
      </w:r>
    </w:p>
    <w:p w14:paraId="15634EB6">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（2）将施工所需的水、电、电讯线路接至施工场地的时间、地点和供应要求：开工前临时电接至现场。由承包人接至场内相关费用自行承担。</w:t>
      </w:r>
    </w:p>
    <w:p w14:paraId="1EFBCA3D">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（3）施工场地与公共道路的通道开通时间和要求：开工前7 天开通，需满足施工的实际运输要求，但施工期间的维护及相应费用由承包人承担。</w:t>
      </w:r>
    </w:p>
    <w:p w14:paraId="21B9FA9B">
      <w:pPr>
        <w:autoSpaceDE w:val="0"/>
        <w:autoSpaceDN w:val="0"/>
        <w:adjustRightInd w:val="0"/>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（4）工程地质和地下管线资料的提供时间：工程地质报告及地下管线资料（除招标时已提供的以外）开工前提供。承包人收到发包人提交的资料后7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w:t>
      </w:r>
    </w:p>
    <w:p w14:paraId="534CDB05">
      <w:pPr>
        <w:autoSpaceDE w:val="0"/>
        <w:autoSpaceDN w:val="0"/>
        <w:adjustRightInd w:val="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包人如发现施工场地周围可能存在资料中未反映的地下管网线的，应立即停止施工并向发包人及相关单位书面报告，待确认安全后方可施工，否则，因施工损坏地下管网线的，由承包人承担责任。</w:t>
      </w:r>
    </w:p>
    <w:p w14:paraId="3665305E">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（5）由发包人办理的施工所需证件、批件的名称和完成时间：开工前陆续提供，承包人应协助发包人办理。</w:t>
      </w:r>
    </w:p>
    <w:p w14:paraId="4DB857E2">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（6）水准点与座标控制点交验要求：开工前3 天，将水准点和坐标控制点以书面形式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p>
    <w:p w14:paraId="334D1072">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7）协调处理施工场地周围地下管线和邻近建筑物、构筑物（含文物保护建筑）、古树名木的保护工作：承包人在施工前对场地周围建筑物和地下管线提出保护方案后，发包人须及时会同有关部门进行审核，以便承包人进行施工，确保其安全正常进行。</w:t>
      </w:r>
    </w:p>
    <w:p w14:paraId="3600B922">
      <w:pPr>
        <w:autoSpaceDE w:val="0"/>
        <w:autoSpaceDN w:val="0"/>
        <w:adjustRightInd w:val="0"/>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（8）发包人委托承包人办理的工作：应由承包人负责办理其他与施工及施工验收有关的手续，相关费用已包含在合同价款中</w:t>
      </w:r>
      <w:r>
        <w:rPr>
          <w:rFonts w:hint="eastAsia" w:ascii="仿宋_GB2312" w:hAnsi="仿宋_GB2312" w:eastAsia="仿宋_GB2312" w:cs="仿宋_GB2312"/>
          <w:color w:val="000000"/>
          <w:sz w:val="18"/>
          <w:szCs w:val="18"/>
          <w:highlight w:val="none"/>
        </w:rPr>
        <w:t>。</w:t>
      </w:r>
    </w:p>
    <w:p w14:paraId="51546F0C">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资金来源证明及支付担保</w:t>
      </w:r>
    </w:p>
    <w:p w14:paraId="17A79811">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发包人提供资金来源证明的期限要求：</w:t>
      </w:r>
      <w:r>
        <w:rPr>
          <w:rFonts w:hint="eastAsia" w:ascii="仿宋_GB2312" w:hAnsi="仿宋_GB2312" w:eastAsia="仿宋_GB2312" w:cs="仿宋_GB2312"/>
          <w:sz w:val="18"/>
          <w:szCs w:val="18"/>
          <w:highlight w:val="none"/>
          <w:u w:val="single"/>
        </w:rPr>
        <w:t>招标核准登记时已提供</w:t>
      </w:r>
      <w:r>
        <w:rPr>
          <w:rFonts w:hint="eastAsia" w:ascii="仿宋_GB2312" w:hAnsi="仿宋_GB2312" w:eastAsia="仿宋_GB2312" w:cs="仿宋_GB2312"/>
          <w:color w:val="000000"/>
          <w:sz w:val="18"/>
          <w:szCs w:val="18"/>
          <w:highlight w:val="none"/>
        </w:rPr>
        <w:t>。</w:t>
      </w:r>
    </w:p>
    <w:p w14:paraId="2D6178C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发包人是否提供支付担保：</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sz w:val="18"/>
          <w:szCs w:val="18"/>
          <w:highlight w:val="none"/>
          <w:u w:val="single"/>
        </w:rPr>
        <w:t xml:space="preserve">/ </w:t>
      </w:r>
      <w:r>
        <w:rPr>
          <w:rFonts w:hint="eastAsia" w:ascii="仿宋_GB2312" w:hAnsi="仿宋_GB2312" w:eastAsia="仿宋_GB2312" w:cs="仿宋_GB2312"/>
          <w:color w:val="000000"/>
          <w:sz w:val="18"/>
          <w:szCs w:val="18"/>
          <w:highlight w:val="none"/>
          <w:u w:val="single"/>
        </w:rPr>
        <w:t xml:space="preserve">          </w:t>
      </w:r>
      <w:r>
        <w:rPr>
          <w:rFonts w:hint="eastAsia" w:ascii="仿宋_GB2312" w:hAnsi="仿宋_GB2312" w:eastAsia="仿宋_GB2312" w:cs="仿宋_GB2312"/>
          <w:color w:val="000000"/>
          <w:sz w:val="18"/>
          <w:szCs w:val="18"/>
          <w:highlight w:val="none"/>
        </w:rPr>
        <w:t>。</w:t>
      </w:r>
    </w:p>
    <w:p w14:paraId="1A99EBB7">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发包人提供支付担保的形式：</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sz w:val="18"/>
          <w:szCs w:val="18"/>
          <w:highlight w:val="none"/>
          <w:u w:val="single"/>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48B2E2E6">
      <w:pPr>
        <w:pStyle w:val="5"/>
        <w:spacing w:before="120" w:after="120" w:line="240" w:lineRule="auto"/>
        <w:rPr>
          <w:rFonts w:ascii="仿宋_GB2312" w:hAnsi="仿宋_GB2312" w:eastAsia="仿宋_GB2312" w:cs="仿宋_GB2312"/>
          <w:b w:val="0"/>
          <w:color w:val="000000"/>
          <w:sz w:val="18"/>
          <w:szCs w:val="18"/>
          <w:highlight w:val="none"/>
        </w:rPr>
      </w:pPr>
      <w:bookmarkStart w:id="890" w:name="_Toc351203635"/>
      <w:r>
        <w:rPr>
          <w:rFonts w:hint="eastAsia" w:ascii="仿宋_GB2312" w:hAnsi="仿宋_GB2312" w:eastAsia="仿宋_GB2312" w:cs="仿宋_GB2312"/>
          <w:b w:val="0"/>
          <w:color w:val="000000"/>
          <w:sz w:val="18"/>
          <w:szCs w:val="18"/>
          <w:highlight w:val="none"/>
        </w:rPr>
        <w:t>3</w:t>
      </w:r>
      <w:bookmarkStart w:id="891" w:name="_Toc296347157"/>
      <w:bookmarkStart w:id="892" w:name="_Toc292559868"/>
      <w:bookmarkStart w:id="893" w:name="_Toc297120458"/>
      <w:bookmarkStart w:id="894" w:name="_Toc292559363"/>
      <w:bookmarkStart w:id="895" w:name="_Toc296346659"/>
      <w:bookmarkStart w:id="896" w:name="_Toc296890986"/>
      <w:bookmarkStart w:id="897" w:name="_Toc297048344"/>
      <w:bookmarkStart w:id="898" w:name="_Toc296944497"/>
      <w:bookmarkStart w:id="899" w:name="_Toc296503158"/>
      <w:bookmarkStart w:id="900" w:name="_Toc296891198"/>
      <w:r>
        <w:rPr>
          <w:rFonts w:hint="eastAsia" w:ascii="仿宋_GB2312" w:hAnsi="仿宋_GB2312" w:eastAsia="仿宋_GB2312" w:cs="仿宋_GB2312"/>
          <w:b w:val="0"/>
          <w:color w:val="000000"/>
          <w:sz w:val="18"/>
          <w:szCs w:val="18"/>
          <w:highlight w:val="none"/>
        </w:rPr>
        <w:t>. 承包人</w:t>
      </w:r>
      <w:bookmarkEnd w:id="890"/>
    </w:p>
    <w:bookmarkEnd w:id="891"/>
    <w:bookmarkEnd w:id="892"/>
    <w:bookmarkEnd w:id="893"/>
    <w:bookmarkEnd w:id="894"/>
    <w:bookmarkEnd w:id="895"/>
    <w:bookmarkEnd w:id="896"/>
    <w:bookmarkEnd w:id="897"/>
    <w:bookmarkEnd w:id="898"/>
    <w:bookmarkEnd w:id="899"/>
    <w:bookmarkEnd w:id="900"/>
    <w:p w14:paraId="3784C328">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3.1 承包人的一般义务</w:t>
      </w:r>
    </w:p>
    <w:p w14:paraId="6FEC350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1</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sz w:val="18"/>
          <w:szCs w:val="18"/>
          <w:highlight w:val="none"/>
        </w:rPr>
        <w:t>承包人提交的竣工资料的内容：</w:t>
      </w:r>
      <w:r>
        <w:rPr>
          <w:rFonts w:hint="eastAsia" w:ascii="仿宋_GB2312" w:hAnsi="仿宋_GB2312" w:eastAsia="仿宋_GB2312" w:cs="仿宋_GB2312"/>
          <w:b/>
          <w:bCs/>
          <w:sz w:val="18"/>
          <w:szCs w:val="18"/>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仿宋_GB2312" w:hAnsi="仿宋_GB2312" w:eastAsia="仿宋_GB2312" w:cs="仿宋_GB2312"/>
          <w:color w:val="000000"/>
          <w:sz w:val="18"/>
          <w:szCs w:val="18"/>
          <w:highlight w:val="none"/>
        </w:rPr>
        <w:t>。</w:t>
      </w:r>
    </w:p>
    <w:p w14:paraId="14D753CF">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承包人需要提交的竣工资料套数：</w:t>
      </w:r>
      <w:r>
        <w:rPr>
          <w:rFonts w:hint="eastAsia" w:ascii="仿宋_GB2312" w:hAnsi="仿宋_GB2312" w:eastAsia="仿宋_GB2312" w:cs="仿宋_GB2312"/>
          <w:sz w:val="18"/>
          <w:szCs w:val="18"/>
          <w:highlight w:val="none"/>
          <w:u w:val="single"/>
        </w:rPr>
        <w:t>一式肆份，同时提供电子文档</w:t>
      </w:r>
      <w:r>
        <w:rPr>
          <w:rFonts w:hint="eastAsia" w:ascii="仿宋_GB2312" w:hAnsi="仿宋_GB2312" w:eastAsia="仿宋_GB2312" w:cs="仿宋_GB2312"/>
          <w:color w:val="000000"/>
          <w:sz w:val="18"/>
          <w:szCs w:val="18"/>
          <w:highlight w:val="none"/>
        </w:rPr>
        <w:t>。</w:t>
      </w:r>
    </w:p>
    <w:p w14:paraId="549EC112">
      <w:pPr>
        <w:ind w:left="638" w:leftChars="304"/>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承包人提交的竣工资料的费用承担：</w:t>
      </w:r>
      <w:r>
        <w:rPr>
          <w:rFonts w:hint="eastAsia" w:ascii="仿宋_GB2312" w:hAnsi="仿宋_GB2312" w:eastAsia="仿宋_GB2312" w:cs="仿宋_GB2312"/>
          <w:sz w:val="18"/>
          <w:szCs w:val="18"/>
          <w:highlight w:val="none"/>
          <w:u w:val="single"/>
        </w:rPr>
        <w:t>承包人承担</w:t>
      </w:r>
      <w:r>
        <w:rPr>
          <w:rFonts w:hint="eastAsia" w:ascii="仿宋_GB2312" w:hAnsi="仿宋_GB2312" w:eastAsia="仿宋_GB2312" w:cs="仿宋_GB2312"/>
          <w:color w:val="000000"/>
          <w:sz w:val="18"/>
          <w:szCs w:val="18"/>
          <w:highlight w:val="none"/>
        </w:rPr>
        <w:t>。</w:t>
      </w:r>
    </w:p>
    <w:p w14:paraId="238CCB9A">
      <w:pPr>
        <w:ind w:left="638" w:leftChars="304"/>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承包人提交的竣工资料移交时间：</w:t>
      </w:r>
      <w:r>
        <w:rPr>
          <w:rFonts w:hint="eastAsia" w:ascii="仿宋_GB2312" w:hAnsi="仿宋_GB2312" w:eastAsia="仿宋_GB2312" w:cs="仿宋_GB2312"/>
          <w:sz w:val="18"/>
          <w:szCs w:val="18"/>
          <w:highlight w:val="none"/>
          <w:u w:val="single"/>
        </w:rPr>
        <w:t>合同规定的工程竣工前7天</w:t>
      </w:r>
      <w:r>
        <w:rPr>
          <w:rFonts w:hint="eastAsia" w:ascii="仿宋_GB2312" w:hAnsi="仿宋_GB2312" w:eastAsia="仿宋_GB2312" w:cs="仿宋_GB2312"/>
          <w:color w:val="000000"/>
          <w:sz w:val="18"/>
          <w:szCs w:val="18"/>
          <w:highlight w:val="none"/>
        </w:rPr>
        <w:t>。</w:t>
      </w:r>
    </w:p>
    <w:p w14:paraId="4347E8E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承包人提交的竣工资料形式要求：</w:t>
      </w:r>
      <w:r>
        <w:rPr>
          <w:rFonts w:hint="eastAsia" w:ascii="仿宋_GB2312" w:hAnsi="仿宋_GB2312" w:eastAsia="仿宋_GB2312" w:cs="仿宋_GB2312"/>
          <w:sz w:val="18"/>
          <w:szCs w:val="18"/>
          <w:highlight w:val="none"/>
          <w:u w:val="single"/>
        </w:rPr>
        <w:t>向发包方提供竣工图、竣工资料及竣工验收报告，并附光盘（含影像资料、图片等）</w:t>
      </w:r>
      <w:r>
        <w:rPr>
          <w:rFonts w:hint="eastAsia" w:ascii="仿宋_GB2312" w:hAnsi="仿宋_GB2312" w:eastAsia="仿宋_GB2312" w:cs="仿宋_GB2312"/>
          <w:color w:val="000000"/>
          <w:sz w:val="18"/>
          <w:szCs w:val="18"/>
          <w:highlight w:val="none"/>
        </w:rPr>
        <w:t>。</w:t>
      </w:r>
    </w:p>
    <w:p w14:paraId="678A2485">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）承包人应履行的其他义务：</w:t>
      </w:r>
    </w:p>
    <w:p w14:paraId="1C2CD8B9">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① 根据工程需要，提供和维修非夜间施工使用的照明、围栏设施，并负责安全保卫。</w:t>
      </w:r>
    </w:p>
    <w:p w14:paraId="622C4E52">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② 将施工所需的水、电、电讯线路接至施工场地，费用已包含在投标报价中。</w:t>
      </w:r>
    </w:p>
    <w:p w14:paraId="6F01F523">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③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C6BDDA1">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④ 施工场地清洁卫生要求：按浙江省、杭州市标化工地管理的有关要求、规定执行。所发生的各项清理费用、临时性收费、临时性占用场地费、临时性设施费及不可预见的费用，均已包括在合同总价内。</w:t>
      </w:r>
    </w:p>
    <w:p w14:paraId="71991525">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⑤ 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4ACCC75B">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⑥ 参加发包人召开的与本工程相关的会议，并作好会前有关资料的准备。在保修期内要及时做好回访工作，属保修责任范围的事项应及时按质检标准修好。</w:t>
      </w:r>
    </w:p>
    <w:p w14:paraId="63C3039A">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⑦ 在工程实施过程中，要自始至终将安全和质量管理放在首位；除按发包人要求做好安全质量管理外，应采取应急预警措施以确保本项目工程的安全和质量以及周边建筑物、构筑物及市政设施的安全。</w:t>
      </w:r>
    </w:p>
    <w:p w14:paraId="3212372C">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⑧ 由于承包人施工原因，引起第三方与发包人或承包人的纠纷或第三方向发包人或承包人提出的索赔等，由承包人全权负责解决并承担全部责任，由此引起的一切后果与发包人无关。</w:t>
      </w:r>
    </w:p>
    <w:p w14:paraId="6591E36A">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⑨ 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32D57764">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⑩ 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14:paraId="3046BAA3">
      <w:pPr>
        <w:ind w:firstLine="360" w:firstLineChars="200"/>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⑪ 上述（包括但不限于）各条款涉及的各类费用均已包括在合同价款内，发包人不再向承包人另行支付。且如果因此类原因导致工期延误，工期不予顺延，并由承包人承担相应的责任及费用。</w:t>
      </w:r>
    </w:p>
    <w:p w14:paraId="7439936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kern w:val="0"/>
          <w:sz w:val="18"/>
          <w:szCs w:val="18"/>
          <w:highlight w:val="none"/>
          <w:u w:val="single"/>
        </w:rPr>
        <w:t>⑫ 承包人对其递交的变更、签证、结算资料的合法性、真实性、完整性负责，并不由于发包人和监理人的签认免除承包人的责任</w:t>
      </w:r>
      <w:r>
        <w:rPr>
          <w:rFonts w:hint="eastAsia" w:ascii="仿宋_GB2312" w:hAnsi="仿宋_GB2312" w:eastAsia="仿宋_GB2312" w:cs="仿宋_GB2312"/>
          <w:sz w:val="18"/>
          <w:szCs w:val="18"/>
          <w:highlight w:val="none"/>
        </w:rPr>
        <w:t>。</w:t>
      </w:r>
    </w:p>
    <w:p w14:paraId="001F31D0">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kern w:val="0"/>
          <w:sz w:val="18"/>
          <w:szCs w:val="18"/>
          <w:highlight w:val="none"/>
          <w:u w:val="single"/>
        </w:rPr>
        <w:t xml:space="preserve">⑬ </w:t>
      </w:r>
      <w:r>
        <w:rPr>
          <w:rFonts w:hint="eastAsia" w:ascii="仿宋_GB2312" w:hAnsi="仿宋_GB2312" w:eastAsia="仿宋_GB2312" w:cs="仿宋_GB2312"/>
          <w:b/>
          <w:sz w:val="18"/>
          <w:szCs w:val="18"/>
          <w:highlight w:val="none"/>
          <w:u w:val="single"/>
          <w:lang w:val="zh-CN"/>
        </w:rPr>
        <w:t>未按要求落实安全文明施工措施的，如产生</w:t>
      </w:r>
      <w:r>
        <w:rPr>
          <w:rFonts w:hint="eastAsia" w:ascii="仿宋_GB2312" w:hAnsi="仿宋_GB2312" w:eastAsia="仿宋_GB2312" w:cs="仿宋_GB2312"/>
          <w:b/>
          <w:sz w:val="18"/>
          <w:szCs w:val="18"/>
          <w:highlight w:val="none"/>
          <w:u w:val="single"/>
          <w:lang w:val="en-US" w:eastAsia="zh-CN"/>
        </w:rPr>
        <w:t>被</w:t>
      </w:r>
      <w:r>
        <w:rPr>
          <w:rFonts w:hint="eastAsia" w:ascii="仿宋_GB2312" w:hAnsi="仿宋_GB2312" w:eastAsia="仿宋_GB2312" w:cs="仿宋_GB2312"/>
          <w:b/>
          <w:sz w:val="18"/>
          <w:szCs w:val="18"/>
          <w:highlight w:val="none"/>
          <w:u w:val="single"/>
          <w:lang w:val="zh-CN"/>
        </w:rPr>
        <w:t>数字城管或其他方式被投诉反映的</w:t>
      </w:r>
      <w:r>
        <w:rPr>
          <w:rFonts w:hint="eastAsia" w:ascii="仿宋_GB2312" w:hAnsi="仿宋_GB2312" w:eastAsia="仿宋_GB2312" w:cs="仿宋_GB2312"/>
          <w:b/>
          <w:sz w:val="18"/>
          <w:szCs w:val="18"/>
          <w:highlight w:val="none"/>
          <w:u w:val="single"/>
          <w:lang w:val="en-US" w:eastAsia="zh-CN"/>
        </w:rPr>
        <w:t>情况</w:t>
      </w:r>
      <w:r>
        <w:rPr>
          <w:rFonts w:hint="eastAsia" w:ascii="仿宋_GB2312" w:hAnsi="仿宋_GB2312" w:eastAsia="仿宋_GB2312" w:cs="仿宋_GB2312"/>
          <w:b/>
          <w:sz w:val="18"/>
          <w:szCs w:val="18"/>
          <w:highlight w:val="none"/>
          <w:u w:val="single"/>
          <w:lang w:val="zh-CN"/>
        </w:rPr>
        <w:t>，接到通知后2个小时内进行现场核实确认，确认后必须在限定时间内整改到位并进行回复。未及时整改或整改不到位或被二次投诉的，每发生一起</w:t>
      </w:r>
      <w:r>
        <w:rPr>
          <w:rFonts w:hint="eastAsia" w:ascii="仿宋_GB2312" w:hAnsi="仿宋_GB2312" w:eastAsia="仿宋_GB2312" w:cs="仿宋_GB2312"/>
          <w:b/>
          <w:sz w:val="18"/>
          <w:szCs w:val="18"/>
          <w:highlight w:val="none"/>
          <w:u w:val="single"/>
          <w:lang w:val="en-US" w:eastAsia="zh-CN"/>
        </w:rPr>
        <w:t>支付违约金</w:t>
      </w:r>
      <w:r>
        <w:rPr>
          <w:rFonts w:hint="eastAsia" w:ascii="仿宋_GB2312" w:hAnsi="仿宋_GB2312" w:eastAsia="仿宋_GB2312" w:cs="仿宋_GB2312"/>
          <w:b/>
          <w:sz w:val="18"/>
          <w:szCs w:val="18"/>
          <w:highlight w:val="none"/>
          <w:u w:val="single"/>
          <w:lang w:val="zh-CN"/>
        </w:rPr>
        <w:t>1000元（多次同个地点投拆，扣款累计3次）；拒绝整改的，每发生一起</w:t>
      </w:r>
      <w:r>
        <w:rPr>
          <w:rFonts w:hint="eastAsia" w:ascii="仿宋_GB2312" w:hAnsi="仿宋_GB2312" w:eastAsia="仿宋_GB2312" w:cs="仿宋_GB2312"/>
          <w:b/>
          <w:sz w:val="18"/>
          <w:szCs w:val="18"/>
          <w:highlight w:val="none"/>
          <w:u w:val="single"/>
          <w:lang w:val="en-US" w:eastAsia="zh-CN"/>
        </w:rPr>
        <w:t>支付违约金</w:t>
      </w:r>
      <w:r>
        <w:rPr>
          <w:rFonts w:hint="eastAsia" w:ascii="仿宋_GB2312" w:hAnsi="仿宋_GB2312" w:eastAsia="仿宋_GB2312" w:cs="仿宋_GB2312"/>
          <w:b/>
          <w:sz w:val="18"/>
          <w:szCs w:val="18"/>
          <w:highlight w:val="none"/>
          <w:u w:val="single"/>
          <w:lang w:val="zh-CN"/>
        </w:rPr>
        <w:t>5000元；该笔</w:t>
      </w:r>
      <w:r>
        <w:rPr>
          <w:rFonts w:hint="eastAsia" w:ascii="仿宋_GB2312" w:hAnsi="仿宋_GB2312" w:eastAsia="仿宋_GB2312" w:cs="仿宋_GB2312"/>
          <w:b/>
          <w:sz w:val="18"/>
          <w:szCs w:val="18"/>
          <w:highlight w:val="none"/>
          <w:u w:val="single"/>
          <w:lang w:val="en-US" w:eastAsia="zh-CN"/>
        </w:rPr>
        <w:t>违约金</w:t>
      </w:r>
      <w:r>
        <w:rPr>
          <w:rFonts w:hint="eastAsia" w:ascii="仿宋_GB2312" w:hAnsi="仿宋_GB2312" w:eastAsia="仿宋_GB2312" w:cs="仿宋_GB2312"/>
          <w:b/>
          <w:sz w:val="18"/>
          <w:szCs w:val="18"/>
          <w:highlight w:val="none"/>
          <w:u w:val="single"/>
          <w:lang w:val="zh-CN"/>
        </w:rPr>
        <w:t>从合同中扣除并作为委托其他单位代整改费用。</w:t>
      </w:r>
    </w:p>
    <w:p w14:paraId="1629EED8">
      <w:pPr>
        <w:ind w:firstLine="361" w:firstLineChars="200"/>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其他：承包人应当在工程开工建设前，到项目所在地商业银行开设农民工工资专用账户，专项用于支付该工程建设项目农民工工资。</w:t>
      </w:r>
    </w:p>
    <w:p w14:paraId="35CEE8C8">
      <w:pPr>
        <w:ind w:firstLine="361" w:firstLineChars="200"/>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承包人应建立实名制电子考勤系统，做好与杭州市智慧工地实名制管理应用系统以及全国建筑工人管理服务信息平台的数据对接工作。</w:t>
      </w:r>
    </w:p>
    <w:p w14:paraId="16A8CEF6">
      <w:pPr>
        <w:ind w:firstLine="361" w:firstLineChars="200"/>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承包人应及时向项目所在地保证金管理部门缴存农民工工资保证金，并做好分包单位农民工工资保证金缴存的查验工作。</w:t>
      </w:r>
    </w:p>
    <w:p w14:paraId="404F7E85">
      <w:pPr>
        <w:ind w:firstLine="361" w:firstLineChars="200"/>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77944FEB">
      <w:pPr>
        <w:ind w:firstLine="361" w:firstLineChars="200"/>
        <w:rPr>
          <w:rFonts w:hint="eastAsia"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E266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none"/>
          <w:u w:val="single"/>
          <w:lang w:val="zh-CN"/>
        </w:rPr>
      </w:pPr>
      <w:r>
        <w:rPr>
          <w:rFonts w:hint="eastAsia" w:ascii="仿宋_GB2312" w:hAnsi="仿宋_GB2312" w:eastAsia="仿宋_GB2312" w:cs="仿宋_GB2312"/>
          <w:b/>
          <w:i w:val="0"/>
          <w:iCs w:val="0"/>
          <w:caps w:val="0"/>
          <w:color w:val="021EAA"/>
          <w:spacing w:val="0"/>
          <w:sz w:val="18"/>
          <w:szCs w:val="18"/>
          <w:highlight w:val="none"/>
          <w:u w:val="single"/>
          <w:shd w:val="clear" w:fill="FFFFFF"/>
          <w:lang w:val="zh-CN"/>
        </w:rPr>
        <w:t>承包人应规范建筑垃圾处置分包合同管理，建筑垃圾运输业务应当发包给本工程建筑垃圾处置证核准确定的运输单位。</w:t>
      </w:r>
    </w:p>
    <w:p w14:paraId="738252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none"/>
          <w:u w:val="single"/>
          <w:lang w:val="zh-CN"/>
        </w:rPr>
      </w:pPr>
      <w:r>
        <w:rPr>
          <w:rFonts w:hint="eastAsia" w:ascii="仿宋_GB2312" w:hAnsi="仿宋_GB2312" w:eastAsia="仿宋_GB2312" w:cs="仿宋_GB2312"/>
          <w:b/>
          <w:i w:val="0"/>
          <w:iCs w:val="0"/>
          <w:caps w:val="0"/>
          <w:color w:val="021EAA"/>
          <w:spacing w:val="0"/>
          <w:sz w:val="18"/>
          <w:szCs w:val="18"/>
          <w:highlight w:val="none"/>
          <w:u w:val="single"/>
          <w:shd w:val="clear" w:fill="FFFFFF"/>
          <w:lang w:val="zh-CN"/>
        </w:rPr>
        <w:t>承包人负责根据施工合同约定和相关法律法规要求，编制工程建筑垃圾处置方案，向项目所在地城管部门进行备案，并在工地出入口做好公示及日常维护工作。</w:t>
      </w:r>
    </w:p>
    <w:p w14:paraId="79ECD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1" w:firstLineChars="200"/>
        <w:jc w:val="both"/>
        <w:rPr>
          <w:rFonts w:hint="eastAsia" w:ascii="仿宋_GB2312" w:hAnsi="仿宋_GB2312" w:eastAsia="仿宋_GB2312" w:cs="仿宋_GB2312"/>
          <w:b/>
          <w:i w:val="0"/>
          <w:iCs w:val="0"/>
          <w:caps w:val="0"/>
          <w:spacing w:val="0"/>
          <w:sz w:val="18"/>
          <w:szCs w:val="18"/>
          <w:highlight w:val="none"/>
          <w:u w:val="single"/>
          <w:lang w:val="zh-CN"/>
        </w:rPr>
      </w:pPr>
      <w:r>
        <w:rPr>
          <w:rFonts w:hint="eastAsia" w:ascii="仿宋_GB2312" w:hAnsi="仿宋_GB2312" w:eastAsia="仿宋_GB2312" w:cs="仿宋_GB2312"/>
          <w:b/>
          <w:i w:val="0"/>
          <w:iCs w:val="0"/>
          <w:caps w:val="0"/>
          <w:color w:val="021EAA"/>
          <w:spacing w:val="0"/>
          <w:sz w:val="18"/>
          <w:szCs w:val="18"/>
          <w:highlight w:val="none"/>
          <w:u w:val="single"/>
          <w:shd w:val="clear" w:fill="FFFFFF"/>
          <w:lang w:val="zh-CN"/>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7C69092A">
      <w:pPr>
        <w:ind w:firstLine="361" w:firstLineChars="200"/>
        <w:rPr>
          <w:rFonts w:hint="eastAsia" w:ascii="仿宋_GB2312" w:hAnsi="仿宋_GB2312" w:eastAsia="仿宋_GB2312" w:cs="仿宋_GB2312"/>
          <w:b/>
          <w:i w:val="0"/>
          <w:iCs w:val="0"/>
          <w:caps w:val="0"/>
          <w:spacing w:val="0"/>
          <w:sz w:val="18"/>
          <w:szCs w:val="18"/>
          <w:highlight w:val="none"/>
          <w:u w:val="single"/>
          <w:shd w:val="clear"/>
          <w:lang w:val="zh-CN"/>
        </w:rPr>
      </w:pPr>
      <w:r>
        <w:rPr>
          <w:rFonts w:hint="eastAsia" w:ascii="仿宋_GB2312" w:hAnsi="仿宋_GB2312" w:eastAsia="仿宋_GB2312" w:cs="仿宋_GB2312"/>
          <w:b/>
          <w:i w:val="0"/>
          <w:iCs w:val="0"/>
          <w:caps w:val="0"/>
          <w:color w:val="021EAA"/>
          <w:spacing w:val="0"/>
          <w:sz w:val="18"/>
          <w:szCs w:val="18"/>
          <w:highlight w:val="none"/>
          <w:u w:val="single"/>
          <w:shd w:val="clear" w:fill="FFFFFF"/>
          <w:lang w:val="zh-CN"/>
        </w:rPr>
        <w:t>承包人与运输、处置单位结算相关费用前应当查验接纳回执。</w:t>
      </w:r>
    </w:p>
    <w:p w14:paraId="052EC44D">
      <w:pPr>
        <w:pStyle w:val="42"/>
        <w:rPr>
          <w:highlight w:val="none"/>
          <w:lang w:val="zh-CN"/>
        </w:rPr>
      </w:pPr>
    </w:p>
    <w:p w14:paraId="5C794F17">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3.2 项目经理</w:t>
      </w:r>
    </w:p>
    <w:p w14:paraId="149DD35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 xml:space="preserve">3.2.1 </w:t>
      </w:r>
      <w:r>
        <w:rPr>
          <w:rFonts w:hint="eastAsia" w:ascii="仿宋_GB2312" w:hAnsi="仿宋_GB2312" w:eastAsia="仿宋_GB2312" w:cs="仿宋_GB2312"/>
          <w:color w:val="000000"/>
          <w:sz w:val="18"/>
          <w:szCs w:val="18"/>
          <w:highlight w:val="none"/>
        </w:rPr>
        <w:t>项目经理</w:t>
      </w:r>
      <w:r>
        <w:rPr>
          <w:rFonts w:hint="eastAsia" w:ascii="仿宋_GB2312" w:hAnsi="仿宋_GB2312" w:eastAsia="仿宋_GB2312" w:cs="仿宋_GB2312"/>
          <w:kern w:val="0"/>
          <w:sz w:val="18"/>
          <w:szCs w:val="18"/>
          <w:highlight w:val="none"/>
        </w:rPr>
        <w:t>（以下必须填写）</w:t>
      </w:r>
      <w:r>
        <w:rPr>
          <w:rFonts w:hint="eastAsia" w:ascii="仿宋_GB2312" w:hAnsi="仿宋_GB2312" w:eastAsia="仿宋_GB2312" w:cs="仿宋_GB2312"/>
          <w:color w:val="000000"/>
          <w:sz w:val="18"/>
          <w:szCs w:val="18"/>
          <w:highlight w:val="none"/>
        </w:rPr>
        <w:t>：</w:t>
      </w:r>
    </w:p>
    <w:p w14:paraId="761C1293">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姓    名：</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       </w:t>
      </w:r>
      <w:r>
        <w:rPr>
          <w:rFonts w:hint="eastAsia" w:ascii="仿宋_GB2312" w:hAnsi="仿宋_GB2312" w:eastAsia="仿宋_GB2312" w:cs="仿宋_GB2312"/>
          <w:color w:val="000000"/>
          <w:sz w:val="18"/>
          <w:szCs w:val="18"/>
          <w:highlight w:val="none"/>
        </w:rPr>
        <w:t>；</w:t>
      </w:r>
    </w:p>
    <w:p w14:paraId="36269278">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身份证号：</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39F67E0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建造师执业资格等级：</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rPr>
        <w:t>；</w:t>
      </w:r>
    </w:p>
    <w:p w14:paraId="717D7B3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建造师注册证书号：</w:t>
      </w:r>
      <w:r>
        <w:rPr>
          <w:rFonts w:hint="eastAsia" w:ascii="仿宋_GB2312" w:hAnsi="仿宋_GB2312" w:eastAsia="仿宋_GB2312" w:cs="仿宋_GB2312"/>
          <w:color w:val="000000"/>
          <w:sz w:val="18"/>
          <w:szCs w:val="18"/>
          <w:highlight w:val="none"/>
          <w:u w:val="single"/>
        </w:rPr>
        <w:t></w:t>
      </w:r>
      <w:r>
        <w:rPr>
          <w:rFonts w:hint="eastAsia" w:ascii="仿宋_GB2312" w:hAnsi="仿宋_GB2312" w:eastAsia="仿宋_GB2312" w:cs="仿宋_GB2312"/>
          <w:color w:val="000000"/>
          <w:sz w:val="18"/>
          <w:szCs w:val="18"/>
          <w:highlight w:val="none"/>
          <w:u w:val="single"/>
          <w:lang w:val="en-US" w:eastAsia="zh-CN"/>
        </w:rPr>
        <w:t xml:space="preserve">                         </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3F44263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建造师执业印章号：</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sz w:val="18"/>
          <w:szCs w:val="18"/>
          <w:highlight w:val="none"/>
        </w:rPr>
        <w:t>；</w:t>
      </w:r>
    </w:p>
    <w:p w14:paraId="7818AEAC">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安全生产考核合格证书号：</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sz w:val="18"/>
          <w:szCs w:val="18"/>
          <w:highlight w:val="none"/>
        </w:rPr>
        <w:t>；</w:t>
      </w:r>
    </w:p>
    <w:p w14:paraId="6C88758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         </w:t>
      </w:r>
      <w:r>
        <w:rPr>
          <w:rFonts w:hint="eastAsia" w:ascii="仿宋_GB2312" w:hAnsi="仿宋_GB2312" w:eastAsia="仿宋_GB2312" w:cs="仿宋_GB2312"/>
          <w:color w:val="000000"/>
          <w:sz w:val="18"/>
          <w:szCs w:val="18"/>
          <w:highlight w:val="none"/>
        </w:rPr>
        <w:t>；</w:t>
      </w:r>
    </w:p>
    <w:p w14:paraId="3A7B2375">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2485228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71CC5117">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承包人对项目经理的授权范围如下：</w:t>
      </w:r>
      <w:r>
        <w:rPr>
          <w:rFonts w:hint="eastAsia" w:ascii="仿宋_GB2312" w:hAnsi="仿宋_GB2312" w:eastAsia="仿宋_GB2312" w:cs="仿宋_GB2312"/>
          <w:sz w:val="18"/>
          <w:szCs w:val="18"/>
          <w:highlight w:val="none"/>
          <w:u w:val="single"/>
        </w:rPr>
        <w:t>全面负责本工程的质量、安全、工期及成本控制</w:t>
      </w:r>
      <w:r>
        <w:rPr>
          <w:rFonts w:hint="eastAsia" w:ascii="仿宋_GB2312" w:hAnsi="仿宋_GB2312" w:eastAsia="仿宋_GB2312" w:cs="仿宋_GB2312"/>
          <w:color w:val="000000"/>
          <w:sz w:val="18"/>
          <w:szCs w:val="18"/>
          <w:highlight w:val="none"/>
        </w:rPr>
        <w:t>。</w:t>
      </w:r>
    </w:p>
    <w:p w14:paraId="46E4A6D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关于项目经理每月在施工现场的时间要求：</w:t>
      </w:r>
      <w:r>
        <w:rPr>
          <w:rFonts w:hint="eastAsia" w:ascii="仿宋_GB2312" w:hAnsi="仿宋_GB2312" w:eastAsia="仿宋_GB2312" w:cs="仿宋_GB2312"/>
          <w:sz w:val="18"/>
          <w:szCs w:val="18"/>
          <w:highlight w:val="none"/>
          <w:u w:val="single"/>
        </w:rPr>
        <w:t>到位率为80%以上(按每月25天，每天工作8小时考勤)，重要施工工序或环节时项目经理、技术负责人等必须到场</w:t>
      </w:r>
      <w:r>
        <w:rPr>
          <w:rFonts w:hint="eastAsia" w:ascii="仿宋_GB2312" w:hAnsi="仿宋_GB2312" w:eastAsia="仿宋_GB2312" w:cs="仿宋_GB2312"/>
          <w:color w:val="000000"/>
          <w:sz w:val="18"/>
          <w:szCs w:val="18"/>
          <w:highlight w:val="none"/>
        </w:rPr>
        <w:t>。</w:t>
      </w:r>
    </w:p>
    <w:p w14:paraId="610E1D32">
      <w:pPr>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承包人未提交劳动合同，</w:t>
      </w:r>
      <w:r>
        <w:rPr>
          <w:rFonts w:hint="eastAsia" w:ascii="仿宋_GB2312" w:hAnsi="仿宋_GB2312" w:eastAsia="仿宋_GB2312" w:cs="仿宋_GB2312"/>
          <w:color w:val="000000"/>
          <w:kern w:val="0"/>
          <w:sz w:val="18"/>
          <w:szCs w:val="18"/>
          <w:highlight w:val="none"/>
          <w:lang w:val="en-US" w:eastAsia="zh-CN"/>
        </w:rPr>
        <w:t>或者</w:t>
      </w:r>
      <w:r>
        <w:rPr>
          <w:rFonts w:hint="eastAsia" w:ascii="仿宋_GB2312" w:hAnsi="仿宋_GB2312" w:eastAsia="仿宋_GB2312" w:cs="仿宋_GB2312"/>
          <w:color w:val="000000"/>
          <w:kern w:val="0"/>
          <w:sz w:val="18"/>
          <w:szCs w:val="18"/>
          <w:highlight w:val="none"/>
        </w:rPr>
        <w:t>没有为项目经理缴纳社会保险证明的违约责任：</w:t>
      </w:r>
      <w:r>
        <w:rPr>
          <w:rFonts w:hint="eastAsia" w:ascii="仿宋_GB2312" w:hAnsi="仿宋_GB2312" w:eastAsia="仿宋_GB2312" w:cs="仿宋_GB2312"/>
          <w:color w:val="000000"/>
          <w:kern w:val="0"/>
          <w:sz w:val="18"/>
          <w:szCs w:val="18"/>
          <w:highlight w:val="none"/>
          <w:lang w:val="en-US" w:eastAsia="zh-CN"/>
        </w:rPr>
        <w:t>发包人有权</w:t>
      </w:r>
      <w:r>
        <w:rPr>
          <w:rFonts w:hint="eastAsia" w:ascii="仿宋_GB2312" w:hAnsi="仿宋_GB2312" w:eastAsia="仿宋_GB2312" w:cs="仿宋_GB2312"/>
          <w:sz w:val="18"/>
          <w:szCs w:val="18"/>
          <w:highlight w:val="none"/>
          <w:u w:val="single"/>
        </w:rPr>
        <w:t>责令承包人</w:t>
      </w:r>
      <w:r>
        <w:rPr>
          <w:rFonts w:hint="eastAsia" w:ascii="仿宋_GB2312" w:hAnsi="仿宋_GB2312" w:eastAsia="仿宋_GB2312" w:cs="仿宋_GB2312"/>
          <w:sz w:val="18"/>
          <w:szCs w:val="18"/>
          <w:highlight w:val="none"/>
          <w:u w:val="single"/>
          <w:lang w:val="en-US" w:eastAsia="zh-CN"/>
        </w:rPr>
        <w:t>第一时间</w:t>
      </w:r>
      <w:r>
        <w:rPr>
          <w:rFonts w:hint="eastAsia" w:ascii="仿宋_GB2312" w:hAnsi="仿宋_GB2312" w:eastAsia="仿宋_GB2312" w:cs="仿宋_GB2312"/>
          <w:sz w:val="18"/>
          <w:szCs w:val="18"/>
          <w:highlight w:val="none"/>
          <w:u w:val="single"/>
        </w:rPr>
        <w:t>改正，并从结算款中扣除1万元的违约金</w:t>
      </w:r>
      <w:r>
        <w:rPr>
          <w:rFonts w:hint="eastAsia" w:ascii="仿宋_GB2312" w:hAnsi="仿宋_GB2312" w:eastAsia="仿宋_GB2312" w:cs="仿宋_GB2312"/>
          <w:color w:val="000000"/>
          <w:sz w:val="18"/>
          <w:szCs w:val="18"/>
          <w:highlight w:val="none"/>
        </w:rPr>
        <w:t>。</w:t>
      </w:r>
    </w:p>
    <w:p w14:paraId="0E4ADFAA">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kern w:val="0"/>
          <w:sz w:val="18"/>
          <w:szCs w:val="18"/>
          <w:highlight w:val="none"/>
        </w:rPr>
        <w:t>项目经理未经批准，擅自离开施工现场的违约责任：</w:t>
      </w:r>
      <w:r>
        <w:rPr>
          <w:rFonts w:hint="eastAsia" w:ascii="仿宋_GB2312" w:hAnsi="仿宋_GB2312" w:eastAsia="仿宋_GB2312" w:cs="仿宋_GB2312"/>
          <w:sz w:val="18"/>
          <w:szCs w:val="18"/>
          <w:highlight w:val="none"/>
          <w:u w:val="single"/>
        </w:rPr>
        <w:t>按违约金人民币2000元/天从结算款中扣除</w:t>
      </w:r>
      <w:r>
        <w:rPr>
          <w:rFonts w:hint="eastAsia" w:ascii="仿宋_GB2312" w:hAnsi="仿宋_GB2312" w:eastAsia="仿宋_GB2312" w:cs="仿宋_GB2312"/>
          <w:color w:val="000000"/>
          <w:sz w:val="18"/>
          <w:szCs w:val="18"/>
          <w:highlight w:val="none"/>
        </w:rPr>
        <w:t>。</w:t>
      </w:r>
    </w:p>
    <w:p w14:paraId="33B85F3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3.2.</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承包人擅自更换项目经理的违约责任：</w:t>
      </w:r>
    </w:p>
    <w:p w14:paraId="33D19C2E">
      <w:pPr>
        <w:ind w:firstLine="361" w:firstLineChars="200"/>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（1）</w:t>
      </w:r>
      <w:r>
        <w:rPr>
          <w:rFonts w:hint="eastAsia" w:ascii="仿宋_GB2312" w:hAnsi="仿宋_GB2312" w:eastAsia="仿宋_GB2312" w:cs="仿宋_GB2312"/>
          <w:b/>
          <w:kern w:val="0"/>
          <w:sz w:val="18"/>
          <w:szCs w:val="18"/>
          <w:highlight w:val="none"/>
        </w:rPr>
        <w:t>承包人确需更换项目经理的，继任项目经理注册执业资格、管理经验的约定：</w:t>
      </w:r>
      <w:r>
        <w:rPr>
          <w:rFonts w:hint="eastAsia" w:ascii="仿宋_GB2312" w:hAnsi="仿宋_GB2312" w:eastAsia="仿宋_GB2312" w:cs="仿宋_GB2312"/>
          <w:b/>
          <w:kern w:val="0"/>
          <w:sz w:val="18"/>
          <w:szCs w:val="18"/>
          <w:highlight w:val="none"/>
          <w:u w:val="single"/>
        </w:rPr>
        <w:t>不得低于原项目经理的注册执业资格、管理经验</w:t>
      </w:r>
      <w:r>
        <w:rPr>
          <w:rFonts w:hint="eastAsia" w:ascii="仿宋_GB2312" w:hAnsi="仿宋_GB2312" w:eastAsia="仿宋_GB2312" w:cs="仿宋_GB2312"/>
          <w:b/>
          <w:bCs/>
          <w:color w:val="000000"/>
          <w:sz w:val="18"/>
          <w:szCs w:val="18"/>
          <w:highlight w:val="none"/>
          <w:u w:val="single"/>
        </w:rPr>
        <w:t>且需提前7日书面通知发包人</w:t>
      </w:r>
      <w:r>
        <w:rPr>
          <w:rFonts w:hint="eastAsia" w:ascii="仿宋_GB2312" w:hAnsi="仿宋_GB2312" w:eastAsia="仿宋_GB2312" w:cs="仿宋_GB2312"/>
          <w:b/>
          <w:kern w:val="0"/>
          <w:sz w:val="18"/>
          <w:szCs w:val="18"/>
          <w:highlight w:val="none"/>
        </w:rPr>
        <w:t>。</w:t>
      </w:r>
    </w:p>
    <w:p w14:paraId="54BD41C5">
      <w:pPr>
        <w:rPr>
          <w:rFonts w:ascii="仿宋_GB2312" w:hAnsi="仿宋_GB2312" w:eastAsia="仿宋_GB2312" w:cs="仿宋_GB2312"/>
          <w:sz w:val="18"/>
          <w:szCs w:val="18"/>
          <w:highlight w:val="none"/>
        </w:rPr>
      </w:pPr>
      <w:r>
        <w:rPr>
          <w:rFonts w:hint="eastAsia" w:ascii="仿宋_GB2312" w:hAnsi="仿宋_GB2312" w:eastAsia="仿宋_GB2312" w:cs="仿宋_GB2312"/>
          <w:kern w:val="0"/>
          <w:sz w:val="18"/>
          <w:szCs w:val="18"/>
          <w:highlight w:val="none"/>
        </w:rPr>
        <w:t xml:space="preserve">   （2）</w:t>
      </w:r>
      <w:r>
        <w:rPr>
          <w:rFonts w:hint="eastAsia" w:ascii="仿宋_GB2312" w:hAnsi="仿宋_GB2312" w:eastAsia="仿宋_GB2312" w:cs="仿宋_GB2312"/>
          <w:sz w:val="18"/>
          <w:szCs w:val="18"/>
          <w:highlight w:val="none"/>
        </w:rPr>
        <w:t>承包人擅自更换项目经理的违约责任：</w:t>
      </w:r>
      <w:r>
        <w:rPr>
          <w:rFonts w:hint="eastAsia" w:ascii="仿宋_GB2312" w:hAnsi="仿宋_GB2312" w:eastAsia="仿宋_GB2312" w:cs="仿宋_GB2312"/>
          <w:sz w:val="18"/>
          <w:szCs w:val="18"/>
          <w:highlight w:val="none"/>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仿宋_GB2312" w:hAnsi="仿宋_GB2312" w:eastAsia="仿宋_GB2312" w:cs="仿宋_GB2312"/>
          <w:sz w:val="18"/>
          <w:szCs w:val="18"/>
          <w:highlight w:val="none"/>
        </w:rPr>
        <w:t>。</w:t>
      </w:r>
    </w:p>
    <w:p w14:paraId="7E4E8E68">
      <w:pPr>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xml:space="preserve">    3.2.</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承包人无正当理由拒绝更换项目经理的违约责任：</w:t>
      </w:r>
      <w:r>
        <w:rPr>
          <w:rFonts w:hint="eastAsia" w:ascii="仿宋_GB2312" w:hAnsi="仿宋_GB2312" w:eastAsia="仿宋_GB2312" w:cs="仿宋_GB2312"/>
          <w:sz w:val="18"/>
          <w:szCs w:val="18"/>
          <w:highlight w:val="none"/>
          <w:u w:val="single"/>
        </w:rPr>
        <w:t>从结算款中扣除5万元/人/次的违约金</w:t>
      </w:r>
      <w:r>
        <w:rPr>
          <w:rFonts w:hint="eastAsia" w:ascii="仿宋_GB2312" w:hAnsi="仿宋_GB2312" w:eastAsia="仿宋_GB2312" w:cs="仿宋_GB2312"/>
          <w:color w:val="000000"/>
          <w:sz w:val="18"/>
          <w:szCs w:val="18"/>
          <w:highlight w:val="none"/>
        </w:rPr>
        <w:t>。</w:t>
      </w:r>
    </w:p>
    <w:p w14:paraId="08C38883">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3.3 承包人人员</w:t>
      </w:r>
    </w:p>
    <w:p w14:paraId="2940A1BD">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3.3.1 承包人提交项目管理机构及施工现场管理人员安排报告的期限：</w:t>
      </w:r>
      <w:r>
        <w:rPr>
          <w:rFonts w:hint="eastAsia" w:ascii="仿宋_GB2312" w:hAnsi="仿宋_GB2312" w:eastAsia="仿宋_GB2312" w:cs="仿宋_GB2312"/>
          <w:sz w:val="18"/>
          <w:szCs w:val="18"/>
          <w:highlight w:val="none"/>
          <w:u w:val="single"/>
        </w:rPr>
        <w:t>合同生效后7天内</w:t>
      </w:r>
      <w:r>
        <w:rPr>
          <w:rFonts w:hint="eastAsia" w:ascii="仿宋_GB2312" w:hAnsi="仿宋_GB2312" w:eastAsia="仿宋_GB2312" w:cs="仿宋_GB2312"/>
          <w:color w:val="000000"/>
          <w:sz w:val="18"/>
          <w:szCs w:val="18"/>
          <w:highlight w:val="none"/>
        </w:rPr>
        <w:t>。</w:t>
      </w:r>
    </w:p>
    <w:p w14:paraId="1BA09B44">
      <w:pPr>
        <w:ind w:firstLine="361" w:firstLineChars="200"/>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sz w:val="18"/>
          <w:szCs w:val="18"/>
          <w:highlight w:val="none"/>
        </w:rPr>
        <w:t>3.3.2 承包人需更换主要施工管理人员的，继任人员的数量、注册执业资格、管理经验的约定：</w:t>
      </w:r>
      <w:r>
        <w:rPr>
          <w:rFonts w:hint="eastAsia" w:ascii="仿宋_GB2312" w:hAnsi="仿宋_GB2312" w:eastAsia="仿宋_GB2312" w:cs="仿宋_GB2312"/>
          <w:b/>
          <w:color w:val="000000"/>
          <w:sz w:val="18"/>
          <w:szCs w:val="18"/>
          <w:highlight w:val="none"/>
          <w:u w:val="single"/>
        </w:rPr>
        <w:t>不得低于原主要施工管理人员的数量、注册执业资格、管理经验。</w:t>
      </w:r>
    </w:p>
    <w:p w14:paraId="3AC2566A">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3.3.3 承包人无正当理由拒绝撤换主要施工管理人员的违约责任：</w:t>
      </w:r>
      <w:r>
        <w:rPr>
          <w:rFonts w:hint="eastAsia" w:ascii="仿宋_GB2312" w:hAnsi="仿宋_GB2312" w:eastAsia="仿宋_GB2312" w:cs="仿宋_GB2312"/>
          <w:color w:val="000000"/>
          <w:sz w:val="18"/>
          <w:szCs w:val="18"/>
          <w:highlight w:val="none"/>
          <w:u w:val="single"/>
        </w:rPr>
        <w:t>从结算款中扣除2万元/人/次的违约金。</w:t>
      </w:r>
    </w:p>
    <w:p w14:paraId="50CE747F">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3.3.4 承包人主要施工管理人员离开施工现场的批准要求：</w:t>
      </w:r>
      <w:r>
        <w:rPr>
          <w:rFonts w:hint="eastAsia" w:ascii="仿宋_GB2312" w:hAnsi="仿宋_GB2312" w:eastAsia="仿宋_GB2312" w:cs="仿宋_GB2312"/>
          <w:color w:val="000000"/>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724B099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3.3.5承包人擅自更换主要施工管理人员的违约责任：</w:t>
      </w:r>
      <w:r>
        <w:rPr>
          <w:rFonts w:hint="eastAsia" w:ascii="仿宋_GB2312" w:hAnsi="仿宋_GB2312" w:eastAsia="仿宋_GB2312" w:cs="仿宋_GB2312"/>
          <w:sz w:val="18"/>
          <w:szCs w:val="18"/>
          <w:highlight w:val="none"/>
          <w:u w:val="single"/>
        </w:rPr>
        <w:t>在施工期间不准更换，特殊情况要求更换的，须经发包人同意备案。承包人更换技术负责人、施工员的将被视为承包人违约，并按照2000元/人/次付给发包人违约金</w:t>
      </w:r>
      <w:r>
        <w:rPr>
          <w:rFonts w:hint="eastAsia" w:ascii="仿宋_GB2312" w:hAnsi="仿宋_GB2312" w:eastAsia="仿宋_GB2312" w:cs="仿宋_GB2312"/>
          <w:sz w:val="18"/>
          <w:szCs w:val="18"/>
          <w:highlight w:val="none"/>
        </w:rPr>
        <w:t>。</w:t>
      </w:r>
    </w:p>
    <w:p w14:paraId="06235A11">
      <w:pPr>
        <w:ind w:firstLine="360" w:firstLineChars="200"/>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lang w:val="en-US" w:eastAsia="zh-CN"/>
        </w:rPr>
        <w:t>3.3.6</w:t>
      </w:r>
      <w:r>
        <w:rPr>
          <w:rFonts w:hint="eastAsia" w:ascii="仿宋_GB2312" w:hAnsi="仿宋_GB2312" w:eastAsia="仿宋_GB2312" w:cs="仿宋_GB2312"/>
          <w:color w:val="000000"/>
          <w:sz w:val="18"/>
          <w:szCs w:val="18"/>
          <w:highlight w:val="none"/>
        </w:rPr>
        <w:t>承包人主要施工管理人员擅自离开施工现场的违约责任：</w:t>
      </w:r>
      <w:r>
        <w:rPr>
          <w:rFonts w:hint="eastAsia" w:ascii="仿宋_GB2312" w:hAnsi="仿宋_GB2312" w:eastAsia="仿宋_GB2312" w:cs="仿宋_GB2312"/>
          <w:sz w:val="18"/>
          <w:szCs w:val="18"/>
          <w:highlight w:val="none"/>
          <w:u w:val="single"/>
        </w:rPr>
        <w:t>若技术负责人、施工员出勤率不足投标承诺，支付违约金1000元人民币/天/人；安全员、质检员、材料员出勤率不足投标承诺，支付违约金800元人民币/天/人</w:t>
      </w:r>
      <w:r>
        <w:rPr>
          <w:rFonts w:hint="eastAsia" w:ascii="仿宋_GB2312" w:hAnsi="仿宋_GB2312" w:eastAsia="仿宋_GB2312" w:cs="仿宋_GB2312"/>
          <w:sz w:val="18"/>
          <w:szCs w:val="18"/>
          <w:highlight w:val="none"/>
        </w:rPr>
        <w:t>。</w:t>
      </w:r>
    </w:p>
    <w:p w14:paraId="119D3316">
      <w:pPr>
        <w:ind w:firstLine="360" w:firstLineChars="200"/>
        <w:rPr>
          <w:highlight w:val="none"/>
        </w:rPr>
      </w:pPr>
      <w:r>
        <w:rPr>
          <w:rFonts w:hint="eastAsia" w:ascii="仿宋_GB2312" w:hAnsi="仿宋_GB2312" w:eastAsia="仿宋_GB2312" w:cs="仿宋_GB2312"/>
          <w:color w:val="000000"/>
          <w:sz w:val="18"/>
          <w:szCs w:val="18"/>
          <w:highlight w:val="none"/>
          <w:lang w:val="en-US" w:eastAsia="zh-CN"/>
        </w:rPr>
        <w:t>3.3.7</w:t>
      </w:r>
      <w:r>
        <w:rPr>
          <w:rFonts w:hint="eastAsia" w:ascii="仿宋_GB2312" w:hAnsi="仿宋_GB2312" w:eastAsia="仿宋_GB2312" w:cs="仿宋_GB2312"/>
          <w:color w:val="000000"/>
          <w:sz w:val="18"/>
          <w:szCs w:val="18"/>
          <w:highlight w:val="none"/>
        </w:rPr>
        <w:t>承包人</w:t>
      </w:r>
      <w:r>
        <w:rPr>
          <w:rFonts w:hint="eastAsia" w:ascii="仿宋_GB2312" w:hAnsi="仿宋_GB2312" w:eastAsia="仿宋_GB2312" w:cs="仿宋_GB2312"/>
          <w:color w:val="000000"/>
          <w:sz w:val="18"/>
          <w:szCs w:val="18"/>
          <w:highlight w:val="none"/>
          <w:lang w:val="en-US" w:eastAsia="zh-CN"/>
        </w:rPr>
        <w:t>应确保工程现场项目经理、技术负责人等实际管理人员与投标文件内容一致，并对所提交的施工组织设计、专项方案等资料进行仔细核对，若出现现场实际人员与投标文件不一致，或相关资料上出现负责人于投标文件不一致的，发包人可将上述行为视为承包人未经发包人同意擅自更换项目经理，有权对承包人进行相应处罚。</w:t>
      </w:r>
    </w:p>
    <w:p w14:paraId="3752254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w:t>
      </w:r>
      <w:bookmarkStart w:id="901" w:name="_Toc296347158"/>
      <w:bookmarkStart w:id="902" w:name="_Toc297120459"/>
      <w:bookmarkStart w:id="903" w:name="_Toc296503159"/>
      <w:bookmarkStart w:id="904" w:name="_Toc297216151"/>
      <w:bookmarkStart w:id="905" w:name="_Toc304295523"/>
      <w:bookmarkStart w:id="906" w:name="_Toc292559869"/>
      <w:bookmarkStart w:id="907" w:name="_Toc296944498"/>
      <w:bookmarkStart w:id="908" w:name="_Toc312677988"/>
      <w:bookmarkStart w:id="909" w:name="_Toc296891199"/>
      <w:bookmarkStart w:id="910" w:name="_Toc296346660"/>
      <w:bookmarkStart w:id="911" w:name="_Toc297048345"/>
      <w:bookmarkStart w:id="912" w:name="_Toc297123492"/>
      <w:bookmarkStart w:id="913" w:name="_Toc300934945"/>
      <w:bookmarkStart w:id="914" w:name="_Toc292559364"/>
      <w:bookmarkStart w:id="915" w:name="_Toc296890987"/>
      <w:bookmarkStart w:id="916" w:name="_Toc303539102"/>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4</w:t>
      </w:r>
      <w:r>
        <w:rPr>
          <w:rFonts w:hint="eastAsia" w:ascii="仿宋_GB2312" w:hAnsi="仿宋_GB2312" w:eastAsia="仿宋_GB2312" w:cs="仿宋_GB2312"/>
          <w:color w:val="000000"/>
          <w:sz w:val="18"/>
          <w:szCs w:val="18"/>
          <w:highlight w:val="none"/>
        </w:rPr>
        <w:t xml:space="preserve"> 分包</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36CB02D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bookmarkStart w:id="917" w:name="_Toc297120460"/>
      <w:bookmarkStart w:id="918" w:name="_Toc296347159"/>
      <w:bookmarkStart w:id="919" w:name="_Toc297048346"/>
      <w:bookmarkStart w:id="920" w:name="_Toc297216152"/>
      <w:bookmarkStart w:id="921" w:name="_Toc292559870"/>
      <w:bookmarkStart w:id="922" w:name="_Toc297123493"/>
      <w:bookmarkStart w:id="923" w:name="_Toc303539103"/>
      <w:bookmarkStart w:id="924" w:name="_Toc296891200"/>
      <w:bookmarkStart w:id="925" w:name="_Toc296346661"/>
      <w:bookmarkStart w:id="926" w:name="_Toc292559365"/>
      <w:bookmarkStart w:id="927" w:name="_Toc296944499"/>
      <w:bookmarkStart w:id="928" w:name="_Toc300934946"/>
      <w:bookmarkStart w:id="929" w:name="_Toc296503160"/>
      <w:bookmarkStart w:id="930" w:name="_Toc304295524"/>
      <w:bookmarkStart w:id="931" w:name="_Toc296890988"/>
      <w:bookmarkStart w:id="932" w:name="_Toc312677989"/>
      <w:bookmarkStart w:id="933" w:name="_Toc318581158"/>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.1 分包的一般约定</w:t>
      </w:r>
    </w:p>
    <w:p w14:paraId="1E3439B9">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禁止分包的工程包括：</w:t>
      </w:r>
      <w:r>
        <w:rPr>
          <w:rFonts w:hint="eastAsia" w:ascii="仿宋_GB2312" w:hAnsi="仿宋_GB2312" w:eastAsia="仿宋_GB2312" w:cs="仿宋_GB2312"/>
          <w:sz w:val="18"/>
          <w:szCs w:val="18"/>
          <w:highlight w:val="none"/>
          <w:u w:val="single"/>
        </w:rPr>
        <w:t>主体结构、关键性工作</w:t>
      </w:r>
      <w:r>
        <w:rPr>
          <w:rFonts w:hint="eastAsia" w:ascii="仿宋_GB2312" w:hAnsi="仿宋_GB2312" w:eastAsia="仿宋_GB2312" w:cs="仿宋_GB2312"/>
          <w:color w:val="000000"/>
          <w:sz w:val="18"/>
          <w:szCs w:val="18"/>
          <w:highlight w:val="none"/>
        </w:rPr>
        <w:t>。</w:t>
      </w:r>
    </w:p>
    <w:p w14:paraId="2DE909DC">
      <w:pPr>
        <w:ind w:firstLine="360" w:firstLineChars="200"/>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sz w:val="18"/>
          <w:szCs w:val="18"/>
          <w:highlight w:val="none"/>
        </w:rPr>
        <w:t>主体结构、关键性工作的范围：</w:t>
      </w:r>
      <w:r>
        <w:rPr>
          <w:rFonts w:hint="eastAsia" w:ascii="仿宋_GB2312" w:hAnsi="仿宋_GB2312" w:eastAsia="仿宋_GB2312" w:cs="仿宋_GB2312"/>
          <w:sz w:val="18"/>
          <w:szCs w:val="18"/>
          <w:highlight w:val="none"/>
          <w:u w:val="single"/>
        </w:rPr>
        <w:t>发生时双方协商确定</w:t>
      </w:r>
      <w:r>
        <w:rPr>
          <w:rFonts w:hint="eastAsia" w:ascii="仿宋_GB2312" w:hAnsi="仿宋_GB2312" w:eastAsia="仿宋_GB2312" w:cs="仿宋_GB2312"/>
          <w:color w:val="000000"/>
          <w:sz w:val="18"/>
          <w:szCs w:val="18"/>
          <w:highlight w:val="none"/>
        </w:rPr>
        <w:t>。</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Start w:id="934" w:name="_Toc297216153"/>
      <w:bookmarkStart w:id="935" w:name="_Toc297120461"/>
      <w:bookmarkStart w:id="936" w:name="_Toc296891201"/>
      <w:bookmarkStart w:id="937" w:name="_Toc296944500"/>
      <w:bookmarkStart w:id="938" w:name="_Toc296347160"/>
      <w:bookmarkStart w:id="939" w:name="_Toc296503161"/>
      <w:bookmarkStart w:id="940" w:name="_Toc296346662"/>
      <w:bookmarkStart w:id="941" w:name="_Toc296890989"/>
      <w:bookmarkStart w:id="942" w:name="_Toc297048347"/>
      <w:bookmarkStart w:id="943" w:name="_Toc304295525"/>
      <w:bookmarkStart w:id="944" w:name="_Toc303539104"/>
      <w:bookmarkStart w:id="945" w:name="_Toc300934947"/>
      <w:bookmarkStart w:id="946" w:name="_Toc297123494"/>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2C783F2">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    3</w:t>
      </w:r>
      <w:bookmarkStart w:id="947" w:name="_Toc318581159"/>
      <w:bookmarkStart w:id="948" w:name="_Toc312677990"/>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.2分包的确定</w:t>
      </w:r>
    </w:p>
    <w:p w14:paraId="15389AFB">
      <w:pPr>
        <w:ind w:firstLine="360" w:firstLineChars="200"/>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sz w:val="18"/>
          <w:szCs w:val="18"/>
          <w:highlight w:val="none"/>
        </w:rPr>
        <w:t>允许分包的专业工程包括：</w:t>
      </w:r>
      <w:r>
        <w:rPr>
          <w:rFonts w:hint="eastAsia" w:ascii="仿宋_GB2312" w:hAnsi="仿宋_GB2312" w:eastAsia="仿宋_GB2312" w:cs="仿宋_GB2312"/>
          <w:sz w:val="18"/>
          <w:szCs w:val="18"/>
          <w:highlight w:val="none"/>
          <w:u w:val="single"/>
        </w:rPr>
        <w:t>未经发包人同意，承包人不得将承包工程的任何部分分包，如发现擅自分包，除立即取消分包人的分包资格外，承包人还应按合同价的10%向发包人支付违约金</w:t>
      </w:r>
      <w:r>
        <w:rPr>
          <w:rFonts w:hint="eastAsia" w:ascii="仿宋_GB2312" w:hAnsi="仿宋_GB2312" w:eastAsia="仿宋_GB2312" w:cs="仿宋_GB2312"/>
          <w:color w:val="000000"/>
          <w:sz w:val="18"/>
          <w:szCs w:val="18"/>
          <w:highlight w:val="none"/>
        </w:rPr>
        <w:t>。</w:t>
      </w:r>
    </w:p>
    <w:p w14:paraId="64989AD1">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其他关于分包的约定：</w:t>
      </w:r>
      <w:r>
        <w:rPr>
          <w:rFonts w:hint="eastAsia" w:ascii="仿宋_GB2312" w:hAnsi="仿宋_GB2312" w:eastAsia="仿宋_GB2312" w:cs="仿宋_GB2312"/>
          <w:sz w:val="18"/>
          <w:szCs w:val="18"/>
          <w:highlight w:val="none"/>
          <w:u w:val="single"/>
        </w:rPr>
        <w:t xml:space="preserve">/  </w:t>
      </w:r>
      <w:r>
        <w:rPr>
          <w:rFonts w:hint="eastAsia" w:ascii="仿宋_GB2312" w:hAnsi="仿宋_GB2312" w:eastAsia="仿宋_GB2312" w:cs="仿宋_GB2312"/>
          <w:color w:val="000000"/>
          <w:sz w:val="18"/>
          <w:szCs w:val="18"/>
          <w:highlight w:val="none"/>
        </w:rPr>
        <w:t>。</w:t>
      </w:r>
    </w:p>
    <w:p w14:paraId="7440E063">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 xml:space="preserve"> 分包合同价款</w:t>
      </w:r>
    </w:p>
    <w:p w14:paraId="4320044D">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关于分包合同价款支付的约定：</w:t>
      </w:r>
      <w:r>
        <w:rPr>
          <w:rFonts w:hint="eastAsia" w:ascii="仿宋_GB2312" w:hAnsi="仿宋_GB2312" w:eastAsia="仿宋_GB2312" w:cs="仿宋_GB2312"/>
          <w:b/>
          <w:sz w:val="18"/>
          <w:szCs w:val="18"/>
          <w:highlight w:val="none"/>
          <w:u w:val="single"/>
        </w:rPr>
        <w:t></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bookmarkEnd w:id="947"/>
    <w:bookmarkEnd w:id="948"/>
    <w:p w14:paraId="1CEBD6C0">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（实行分包单位农民工工资委托施工总承包单位代发制度）。</w:t>
      </w:r>
    </w:p>
    <w:p w14:paraId="6BE7C859">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 xml:space="preserve"> 工程照管与成品、半成品保护</w:t>
      </w:r>
    </w:p>
    <w:p w14:paraId="4880776E">
      <w:pPr>
        <w:spacing w:before="120" w:after="120"/>
        <w:ind w:firstLine="360" w:firstLineChars="200"/>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kern w:val="0"/>
          <w:sz w:val="18"/>
          <w:szCs w:val="18"/>
          <w:highlight w:val="none"/>
        </w:rPr>
        <w:t>承包人负责照管工程及工程相关的材料、工程设备的起始时间：</w:t>
      </w:r>
      <w:r>
        <w:rPr>
          <w:rFonts w:hint="eastAsia" w:ascii="仿宋_GB2312" w:hAnsi="仿宋_GB2312" w:eastAsia="仿宋_GB2312" w:cs="仿宋_GB2312"/>
          <w:kern w:val="0"/>
          <w:sz w:val="18"/>
          <w:szCs w:val="18"/>
          <w:highlight w:val="none"/>
          <w:u w:val="single"/>
        </w:rPr>
        <w:t>按通用条款执行</w:t>
      </w:r>
      <w:r>
        <w:rPr>
          <w:rFonts w:hint="eastAsia" w:ascii="仿宋_GB2312" w:hAnsi="仿宋_GB2312" w:eastAsia="仿宋_GB2312" w:cs="仿宋_GB2312"/>
          <w:color w:val="000000"/>
          <w:kern w:val="0"/>
          <w:sz w:val="18"/>
          <w:szCs w:val="18"/>
          <w:highlight w:val="none"/>
        </w:rPr>
        <w:t>。</w:t>
      </w:r>
    </w:p>
    <w:p w14:paraId="097D02B9">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w:t>
      </w:r>
      <w:r>
        <w:rPr>
          <w:rFonts w:hint="eastAsia" w:ascii="仿宋_GB2312" w:hAnsi="仿宋_GB2312" w:eastAsia="仿宋_GB2312" w:cs="仿宋_GB2312"/>
          <w:color w:val="000000"/>
          <w:sz w:val="18"/>
          <w:szCs w:val="18"/>
          <w:highlight w:val="none"/>
          <w:lang w:val="en-US" w:eastAsia="zh-CN"/>
        </w:rPr>
        <w:t>6</w:t>
      </w:r>
      <w:r>
        <w:rPr>
          <w:rFonts w:hint="eastAsia" w:ascii="仿宋_GB2312" w:hAnsi="仿宋_GB2312" w:eastAsia="仿宋_GB2312" w:cs="仿宋_GB2312"/>
          <w:color w:val="000000"/>
          <w:sz w:val="18"/>
          <w:szCs w:val="18"/>
          <w:highlight w:val="none"/>
        </w:rPr>
        <w:t xml:space="preserve"> 履约担保</w:t>
      </w:r>
    </w:p>
    <w:p w14:paraId="0D9A6DF3">
      <w:pPr>
        <w:ind w:firstLine="361"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b/>
          <w:bCs/>
          <w:color w:val="000000"/>
          <w:sz w:val="18"/>
          <w:szCs w:val="18"/>
          <w:highlight w:val="none"/>
        </w:rPr>
        <w:t>承包人是否提供履约担保：</w:t>
      </w:r>
      <w:r>
        <w:rPr>
          <w:rFonts w:hint="eastAsia" w:ascii="仿宋_GB2312" w:hAnsi="仿宋_GB2312" w:eastAsia="仿宋_GB2312" w:cs="仿宋_GB2312"/>
          <w:b/>
          <w:bCs/>
          <w:kern w:val="0"/>
          <w:sz w:val="18"/>
          <w:szCs w:val="18"/>
          <w:highlight w:val="none"/>
          <w:u w:val="single"/>
        </w:rPr>
        <w:t>在合同签订前，提交合同价款2%的</w:t>
      </w:r>
      <w:r>
        <w:rPr>
          <w:rFonts w:hint="eastAsia" w:ascii="仿宋_GB2312" w:hAnsi="仿宋_GB2312" w:eastAsia="仿宋_GB2312" w:cs="仿宋_GB2312"/>
          <w:b/>
          <w:bCs/>
          <w:kern w:val="0"/>
          <w:sz w:val="18"/>
          <w:szCs w:val="18"/>
          <w:highlight w:val="none"/>
          <w:u w:val="single"/>
          <w:lang w:val="en-US" w:eastAsia="zh-CN"/>
        </w:rPr>
        <w:t>履约保证金或</w:t>
      </w:r>
      <w:r>
        <w:rPr>
          <w:rFonts w:hint="eastAsia" w:ascii="仿宋_GB2312" w:hAnsi="仿宋_GB2312" w:eastAsia="仿宋_GB2312" w:cs="仿宋_GB2312"/>
          <w:b/>
          <w:bCs/>
          <w:kern w:val="0"/>
          <w:sz w:val="18"/>
          <w:szCs w:val="18"/>
          <w:highlight w:val="none"/>
          <w:u w:val="single"/>
        </w:rPr>
        <w:t>履约保函及投标风险保证金（若有</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color w:val="000000"/>
          <w:sz w:val="18"/>
          <w:szCs w:val="18"/>
          <w:highlight w:val="none"/>
        </w:rPr>
        <w:t>。</w:t>
      </w:r>
    </w:p>
    <w:p w14:paraId="4F923A5B">
      <w:pPr>
        <w:ind w:firstLine="361"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b/>
          <w:color w:val="000000"/>
          <w:sz w:val="18"/>
          <w:szCs w:val="18"/>
          <w:highlight w:val="none"/>
        </w:rPr>
        <w:t>承包人提供履约担保的形式、金额及期限的：</w:t>
      </w:r>
      <w:r>
        <w:rPr>
          <w:rFonts w:hint="eastAsia" w:ascii="仿宋_GB2312" w:hAnsi="仿宋_GB2312" w:eastAsia="仿宋_GB2312" w:cs="仿宋_GB2312"/>
          <w:b/>
          <w:kern w:val="0"/>
          <w:sz w:val="18"/>
          <w:szCs w:val="18"/>
          <w:highlight w:val="none"/>
          <w:u w:val="single"/>
        </w:rPr>
        <w:t>在合同生效前，中标人应按中标价的2%的金额以转账支票、电汇</w:t>
      </w:r>
      <w:r>
        <w:rPr>
          <w:rFonts w:hint="eastAsia" w:ascii="仿宋_GB2312" w:hAnsi="仿宋_GB2312" w:eastAsia="仿宋_GB2312" w:cs="仿宋_GB2312"/>
          <w:b/>
          <w:kern w:val="0"/>
          <w:sz w:val="18"/>
          <w:szCs w:val="18"/>
          <w:highlight w:val="none"/>
          <w:u w:val="single"/>
          <w:lang w:eastAsia="zh-CN"/>
        </w:rPr>
        <w:t>、</w:t>
      </w:r>
      <w:r>
        <w:rPr>
          <w:rFonts w:hint="eastAsia" w:ascii="仿宋_GB2312" w:hAnsi="仿宋_GB2312" w:eastAsia="仿宋_GB2312" w:cs="仿宋_GB2312"/>
          <w:b/>
          <w:kern w:val="0"/>
          <w:sz w:val="18"/>
          <w:szCs w:val="18"/>
          <w:highlight w:val="none"/>
          <w:u w:val="single"/>
        </w:rPr>
        <w:t>银行保函</w:t>
      </w:r>
      <w:r>
        <w:rPr>
          <w:rFonts w:hint="eastAsia" w:ascii="仿宋_GB2312" w:hAnsi="仿宋_GB2312" w:eastAsia="仿宋_GB2312" w:cs="仿宋_GB2312"/>
          <w:b/>
          <w:kern w:val="0"/>
          <w:sz w:val="18"/>
          <w:szCs w:val="18"/>
          <w:highlight w:val="none"/>
          <w:u w:val="single"/>
          <w:lang w:eastAsia="zh-CN"/>
        </w:rPr>
        <w:t>、</w:t>
      </w:r>
      <w:r>
        <w:rPr>
          <w:rFonts w:hint="eastAsia" w:ascii="仿宋_GB2312" w:hAnsi="仿宋_GB2312" w:eastAsia="仿宋_GB2312" w:cs="仿宋_GB2312"/>
          <w:b/>
          <w:kern w:val="0"/>
          <w:sz w:val="18"/>
          <w:szCs w:val="18"/>
          <w:highlight w:val="none"/>
          <w:u w:val="single"/>
          <w:lang w:val="en-US" w:eastAsia="zh-CN"/>
        </w:rPr>
        <w:t>保险机构保证保险保单或融资担保公司保函</w:t>
      </w:r>
      <w:r>
        <w:rPr>
          <w:rFonts w:hint="eastAsia" w:ascii="仿宋_GB2312" w:hAnsi="仿宋_GB2312" w:eastAsia="仿宋_GB2312" w:cs="仿宋_GB2312"/>
          <w:b/>
          <w:kern w:val="0"/>
          <w:sz w:val="18"/>
          <w:szCs w:val="18"/>
          <w:highlight w:val="none"/>
          <w:u w:val="single"/>
        </w:rPr>
        <w:t>的形式向发包人提交履约担保，保函期限为合同工期加6个月（实际时间自工程开工之日起至工程决算送审）</w:t>
      </w:r>
      <w:r>
        <w:rPr>
          <w:rFonts w:hint="eastAsia" w:ascii="仿宋_GB2312" w:hAnsi="仿宋_GB2312" w:eastAsia="仿宋_GB2312" w:cs="仿宋_GB2312"/>
          <w:color w:val="000000"/>
          <w:sz w:val="18"/>
          <w:szCs w:val="18"/>
          <w:highlight w:val="none"/>
        </w:rPr>
        <w:t>。</w:t>
      </w:r>
    </w:p>
    <w:p w14:paraId="4466060A">
      <w:pPr>
        <w:ind w:firstLine="361" w:firstLineChars="200"/>
        <w:jc w:val="left"/>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sz w:val="18"/>
          <w:szCs w:val="18"/>
          <w:highlight w:val="none"/>
        </w:rPr>
        <w:t>若承包人未提供履约担保，则发包人有权拒付工程款（包括预付款）。</w:t>
      </w:r>
    </w:p>
    <w:p w14:paraId="3733575B">
      <w:pPr>
        <w:pStyle w:val="5"/>
        <w:spacing w:before="120" w:after="120" w:line="240" w:lineRule="auto"/>
        <w:rPr>
          <w:rFonts w:ascii="仿宋_GB2312" w:hAnsi="仿宋_GB2312" w:eastAsia="仿宋_GB2312" w:cs="仿宋_GB2312"/>
          <w:b w:val="0"/>
          <w:color w:val="000000"/>
          <w:sz w:val="18"/>
          <w:szCs w:val="18"/>
          <w:highlight w:val="none"/>
        </w:rPr>
      </w:pPr>
      <w:bookmarkStart w:id="949" w:name="_Toc351203636"/>
      <w:r>
        <w:rPr>
          <w:rFonts w:hint="eastAsia" w:ascii="仿宋_GB2312" w:hAnsi="仿宋_GB2312" w:eastAsia="仿宋_GB2312" w:cs="仿宋_GB2312"/>
          <w:b w:val="0"/>
          <w:color w:val="000000"/>
          <w:sz w:val="18"/>
          <w:szCs w:val="18"/>
          <w:highlight w:val="none"/>
        </w:rPr>
        <w:t>4</w:t>
      </w:r>
      <w:bookmarkStart w:id="950" w:name="_Toc296347161"/>
      <w:bookmarkStart w:id="951" w:name="_Toc296346663"/>
      <w:bookmarkStart w:id="952" w:name="_Toc296944501"/>
      <w:bookmarkStart w:id="953" w:name="_Toc292559871"/>
      <w:bookmarkStart w:id="954" w:name="_Toc297048348"/>
      <w:bookmarkStart w:id="955" w:name="_Toc296891202"/>
      <w:bookmarkStart w:id="956" w:name="_Toc296503162"/>
      <w:bookmarkStart w:id="957" w:name="_Toc297120462"/>
      <w:bookmarkStart w:id="958" w:name="_Toc267251413"/>
      <w:bookmarkStart w:id="959" w:name="_Toc292559366"/>
      <w:bookmarkStart w:id="960" w:name="_Toc296890990"/>
      <w:r>
        <w:rPr>
          <w:rFonts w:hint="eastAsia" w:ascii="仿宋_GB2312" w:hAnsi="仿宋_GB2312" w:eastAsia="仿宋_GB2312" w:cs="仿宋_GB2312"/>
          <w:b w:val="0"/>
          <w:color w:val="000000"/>
          <w:sz w:val="18"/>
          <w:szCs w:val="18"/>
          <w:highlight w:val="none"/>
        </w:rPr>
        <w:t>. 监</w:t>
      </w:r>
      <w:bookmarkEnd w:id="950"/>
      <w:bookmarkEnd w:id="951"/>
      <w:bookmarkEnd w:id="952"/>
      <w:bookmarkEnd w:id="953"/>
      <w:bookmarkEnd w:id="954"/>
      <w:bookmarkEnd w:id="955"/>
      <w:bookmarkEnd w:id="956"/>
      <w:bookmarkEnd w:id="957"/>
      <w:bookmarkEnd w:id="958"/>
      <w:bookmarkEnd w:id="959"/>
      <w:bookmarkEnd w:id="960"/>
      <w:r>
        <w:rPr>
          <w:rFonts w:hint="eastAsia" w:ascii="仿宋_GB2312" w:hAnsi="仿宋_GB2312" w:eastAsia="仿宋_GB2312" w:cs="仿宋_GB2312"/>
          <w:b w:val="0"/>
          <w:color w:val="000000"/>
          <w:sz w:val="18"/>
          <w:szCs w:val="18"/>
          <w:highlight w:val="none"/>
        </w:rPr>
        <w:t>理人</w:t>
      </w:r>
      <w:bookmarkEnd w:id="949"/>
    </w:p>
    <w:p w14:paraId="387022BB">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4.1监理人的一般规定</w:t>
      </w:r>
    </w:p>
    <w:p w14:paraId="5791984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关于监理人的监理内容：</w:t>
      </w:r>
      <w:r>
        <w:rPr>
          <w:rFonts w:hint="eastAsia" w:ascii="仿宋_GB2312" w:hAnsi="仿宋_GB2312" w:eastAsia="仿宋_GB2312" w:cs="仿宋_GB2312"/>
          <w:sz w:val="18"/>
          <w:szCs w:val="18"/>
          <w:highlight w:val="none"/>
          <w:u w:val="single"/>
        </w:rPr>
        <w:t>按监理合同约定实行</w:t>
      </w:r>
      <w:r>
        <w:rPr>
          <w:rFonts w:hint="eastAsia" w:ascii="仿宋_GB2312" w:hAnsi="仿宋_GB2312" w:eastAsia="仿宋_GB2312" w:cs="仿宋_GB2312"/>
          <w:color w:val="000000"/>
          <w:sz w:val="18"/>
          <w:szCs w:val="18"/>
          <w:highlight w:val="none"/>
        </w:rPr>
        <w:t>。</w:t>
      </w:r>
    </w:p>
    <w:p w14:paraId="226787B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关于监理人的监理权限：</w:t>
      </w:r>
      <w:r>
        <w:rPr>
          <w:rFonts w:hint="eastAsia" w:ascii="仿宋_GB2312" w:hAnsi="仿宋_GB2312" w:eastAsia="仿宋_GB2312" w:cs="仿宋_GB2312"/>
          <w:sz w:val="18"/>
          <w:szCs w:val="18"/>
          <w:highlight w:val="none"/>
          <w:u w:val="single"/>
        </w:rPr>
        <w:t>按监理合同约定实行</w:t>
      </w:r>
      <w:r>
        <w:rPr>
          <w:rFonts w:hint="eastAsia" w:ascii="仿宋_GB2312" w:hAnsi="仿宋_GB2312" w:eastAsia="仿宋_GB2312" w:cs="仿宋_GB2312"/>
          <w:color w:val="000000"/>
          <w:sz w:val="18"/>
          <w:szCs w:val="18"/>
          <w:highlight w:val="none"/>
        </w:rPr>
        <w:t xml:space="preserve">。 </w:t>
      </w:r>
    </w:p>
    <w:p w14:paraId="5420238E">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关于监理人在施工现场的办公场所、生活场所的提供和费用承担的约定：</w:t>
      </w:r>
      <w:r>
        <w:rPr>
          <w:rFonts w:hint="eastAsia" w:ascii="仿宋_GB2312" w:hAnsi="仿宋_GB2312" w:eastAsia="仿宋_GB2312" w:cs="仿宋_GB2312"/>
          <w:sz w:val="18"/>
          <w:szCs w:val="18"/>
          <w:highlight w:val="none"/>
          <w:u w:val="single"/>
        </w:rPr>
        <w:t>监理人在施工现场的办公场所、生活场所由承包人免费提供，如有其它费用由监理人自行承担</w:t>
      </w:r>
      <w:r>
        <w:rPr>
          <w:rFonts w:hint="eastAsia" w:ascii="仿宋_GB2312" w:hAnsi="仿宋_GB2312" w:eastAsia="仿宋_GB2312" w:cs="仿宋_GB2312"/>
          <w:color w:val="000000"/>
          <w:sz w:val="18"/>
          <w:szCs w:val="18"/>
          <w:highlight w:val="none"/>
        </w:rPr>
        <w:t>。</w:t>
      </w:r>
    </w:p>
    <w:p w14:paraId="0E3EEBB8">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4.2 监理人员</w:t>
      </w:r>
    </w:p>
    <w:p w14:paraId="73123E10">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总监理工程师</w:t>
      </w:r>
      <w:r>
        <w:rPr>
          <w:rFonts w:hint="eastAsia" w:ascii="仿宋_GB2312" w:hAnsi="仿宋_GB2312" w:eastAsia="仿宋_GB2312" w:cs="仿宋_GB2312"/>
          <w:kern w:val="0"/>
          <w:sz w:val="18"/>
          <w:szCs w:val="18"/>
          <w:highlight w:val="none"/>
        </w:rPr>
        <w:t>（以下必须填写）</w:t>
      </w:r>
      <w:r>
        <w:rPr>
          <w:rFonts w:hint="eastAsia" w:ascii="仿宋_GB2312" w:hAnsi="仿宋_GB2312" w:eastAsia="仿宋_GB2312" w:cs="仿宋_GB2312"/>
          <w:color w:val="000000"/>
          <w:sz w:val="18"/>
          <w:szCs w:val="18"/>
          <w:highlight w:val="none"/>
        </w:rPr>
        <w:t>：</w:t>
      </w:r>
    </w:p>
    <w:p w14:paraId="4CDF73F4">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姓    名：</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5C8469FD">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职    务：</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5940596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监理工程师执业资格证书号：</w:t>
      </w:r>
      <w:r>
        <w:rPr>
          <w:rFonts w:hint="eastAsia" w:ascii="仿宋_GB2312" w:hAnsi="仿宋_GB2312" w:eastAsia="仿宋_GB2312" w:cs="仿宋_GB2312"/>
          <w:color w:val="000000"/>
          <w:sz w:val="18"/>
          <w:szCs w:val="18"/>
          <w:highlight w:val="none"/>
          <w:u w:val="single"/>
        </w:rPr>
        <w:t> </w:t>
      </w:r>
      <w:r>
        <w:rPr>
          <w:rFonts w:hint="eastAsia" w:ascii="仿宋_GB2312" w:hAnsi="仿宋_GB2312" w:eastAsia="仿宋_GB2312" w:cs="仿宋_GB2312"/>
          <w:color w:val="000000"/>
          <w:sz w:val="18"/>
          <w:szCs w:val="18"/>
          <w:highlight w:val="none"/>
        </w:rPr>
        <w:t>；</w:t>
      </w:r>
    </w:p>
    <w:p w14:paraId="602B3E96">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联系电话：</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6D3956C8">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电子信箱：</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42E61B5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通信地址：</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425982D2">
      <w:pPr>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关于监理人的其他约定：</w:t>
      </w:r>
      <w:r>
        <w:rPr>
          <w:rFonts w:hint="eastAsia" w:ascii="仿宋_GB2312" w:hAnsi="仿宋_GB2312" w:eastAsia="仿宋_GB2312" w:cs="仿宋_GB2312"/>
          <w:color w:val="000000"/>
          <w:sz w:val="18"/>
          <w:szCs w:val="18"/>
          <w:highlight w:val="none"/>
          <w:u w:val="single"/>
        </w:rPr>
        <w:t>   </w:t>
      </w:r>
      <w:r>
        <w:rPr>
          <w:rFonts w:hint="eastAsia" w:ascii="仿宋_GB2312" w:hAnsi="仿宋_GB2312" w:eastAsia="仿宋_GB2312" w:cs="仿宋_GB2312"/>
          <w:color w:val="000000"/>
          <w:sz w:val="18"/>
          <w:szCs w:val="18"/>
          <w:highlight w:val="none"/>
        </w:rPr>
        <w:t>。</w:t>
      </w:r>
    </w:p>
    <w:p w14:paraId="7572D2B5">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4.</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商定或确定</w:t>
      </w:r>
    </w:p>
    <w:p w14:paraId="77F7194E">
      <w:pPr>
        <w:ind w:firstLine="360" w:firstLineChars="200"/>
        <w:rPr>
          <w:rFonts w:ascii="仿宋_GB2312" w:hAnsi="仿宋_GB2312" w:eastAsia="仿宋_GB2312" w:cs="仿宋_GB2312"/>
          <w:color w:val="000000"/>
          <w:sz w:val="18"/>
          <w:szCs w:val="18"/>
          <w:highlight w:val="none"/>
        </w:rPr>
      </w:pPr>
      <w:bookmarkStart w:id="961" w:name="_Toc267251418"/>
      <w:r>
        <w:rPr>
          <w:rFonts w:hint="eastAsia" w:ascii="仿宋_GB2312" w:hAnsi="仿宋_GB2312" w:eastAsia="仿宋_GB2312" w:cs="仿宋_GB2312"/>
          <w:color w:val="000000"/>
          <w:sz w:val="18"/>
          <w:szCs w:val="18"/>
          <w:highlight w:val="none"/>
        </w:rPr>
        <w:t>在发包人和承包人不能通过协商达成一致意见时，发包人授权监理人对以下事项进行确定：</w:t>
      </w:r>
    </w:p>
    <w:p w14:paraId="37D436C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03179A6E">
      <w:pPr>
        <w:pStyle w:val="5"/>
        <w:spacing w:before="120" w:after="120" w:line="240" w:lineRule="auto"/>
        <w:rPr>
          <w:rFonts w:ascii="仿宋_GB2312" w:hAnsi="仿宋_GB2312" w:eastAsia="仿宋_GB2312" w:cs="仿宋_GB2312"/>
          <w:b w:val="0"/>
          <w:color w:val="000000"/>
          <w:sz w:val="18"/>
          <w:szCs w:val="18"/>
          <w:highlight w:val="none"/>
        </w:rPr>
      </w:pPr>
      <w:bookmarkStart w:id="962" w:name="_Toc351203637"/>
      <w:r>
        <w:rPr>
          <w:rFonts w:hint="eastAsia" w:ascii="仿宋_GB2312" w:hAnsi="仿宋_GB2312" w:eastAsia="仿宋_GB2312" w:cs="仿宋_GB2312"/>
          <w:b w:val="0"/>
          <w:color w:val="000000"/>
          <w:sz w:val="18"/>
          <w:szCs w:val="18"/>
          <w:highlight w:val="none"/>
        </w:rPr>
        <w:t>5</w:t>
      </w:r>
      <w:bookmarkEnd w:id="961"/>
      <w:bookmarkStart w:id="963" w:name="_Toc297120463"/>
      <w:bookmarkStart w:id="964" w:name="_Toc296890991"/>
      <w:bookmarkStart w:id="965" w:name="_Toc296503163"/>
      <w:bookmarkStart w:id="966" w:name="_Toc292559367"/>
      <w:bookmarkStart w:id="967" w:name="_Toc296346664"/>
      <w:bookmarkStart w:id="968" w:name="_Toc296944502"/>
      <w:bookmarkStart w:id="969" w:name="_Toc296891203"/>
      <w:bookmarkStart w:id="970" w:name="_Toc296347162"/>
      <w:bookmarkStart w:id="971" w:name="_Toc297048349"/>
      <w:bookmarkStart w:id="972" w:name="_Toc292559872"/>
      <w:r>
        <w:rPr>
          <w:rFonts w:hint="eastAsia" w:ascii="仿宋_GB2312" w:hAnsi="仿宋_GB2312" w:eastAsia="仿宋_GB2312" w:cs="仿宋_GB2312"/>
          <w:b w:val="0"/>
          <w:color w:val="000000"/>
          <w:sz w:val="18"/>
          <w:szCs w:val="18"/>
          <w:highlight w:val="none"/>
        </w:rPr>
        <w:t>. 工程质量</w:t>
      </w:r>
      <w:bookmarkEnd w:id="962"/>
    </w:p>
    <w:p w14:paraId="52C4E0D1">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5.1 质量要求</w:t>
      </w:r>
    </w:p>
    <w:p w14:paraId="415C0C94">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5</w:t>
      </w:r>
      <w:bookmarkStart w:id="973" w:name="_Toc297216155"/>
      <w:bookmarkStart w:id="974" w:name="_Toc300934949"/>
      <w:bookmarkStart w:id="975" w:name="_Toc297123496"/>
      <w:bookmarkStart w:id="976" w:name="_Toc303539106"/>
      <w:bookmarkStart w:id="977" w:name="_Toc312677997"/>
      <w:bookmarkStart w:id="978" w:name="_Toc318581164"/>
      <w:bookmarkStart w:id="979" w:name="_Toc304295527"/>
      <w:r>
        <w:rPr>
          <w:rFonts w:hint="eastAsia" w:ascii="仿宋_GB2312" w:hAnsi="仿宋_GB2312" w:eastAsia="仿宋_GB2312" w:cs="仿宋_GB2312"/>
          <w:sz w:val="18"/>
          <w:szCs w:val="18"/>
          <w:highlight w:val="none"/>
        </w:rPr>
        <w:t>.1.1 特殊质量标准和要求：</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w:t>
      </w:r>
    </w:p>
    <w:p w14:paraId="02828B31">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关于工程奖项的约定：</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w:t>
      </w:r>
    </w:p>
    <w:p w14:paraId="4948FB68">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5.</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隐蔽工程检查</w:t>
      </w:r>
    </w:p>
    <w:p w14:paraId="47E73490">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.2承包人提前通知监理人隐蔽工程检查的期限的约定：</w:t>
      </w:r>
      <w:r>
        <w:rPr>
          <w:rFonts w:hint="eastAsia" w:ascii="仿宋_GB2312" w:hAnsi="仿宋_GB2312" w:eastAsia="仿宋_GB2312" w:cs="仿宋_GB2312"/>
          <w:sz w:val="18"/>
          <w:szCs w:val="18"/>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_GB2312" w:hAnsi="仿宋_GB2312" w:eastAsia="仿宋_GB2312" w:cs="仿宋_GB2312"/>
          <w:sz w:val="18"/>
          <w:szCs w:val="18"/>
          <w:highlight w:val="none"/>
        </w:rPr>
        <w:t>。</w:t>
      </w:r>
    </w:p>
    <w:p w14:paraId="7C9223F6">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监理人不能按时进行检查时，应提前</w:t>
      </w:r>
      <w:r>
        <w:rPr>
          <w:rFonts w:hint="eastAsia" w:ascii="仿宋_GB2312" w:hAnsi="仿宋_GB2312" w:eastAsia="仿宋_GB2312" w:cs="仿宋_GB2312"/>
          <w:sz w:val="18"/>
          <w:szCs w:val="18"/>
          <w:highlight w:val="none"/>
          <w:u w:val="single"/>
        </w:rPr>
        <w:t xml:space="preserve">  24  </w:t>
      </w:r>
      <w:r>
        <w:rPr>
          <w:rFonts w:hint="eastAsia" w:ascii="仿宋_GB2312" w:hAnsi="仿宋_GB2312" w:eastAsia="仿宋_GB2312" w:cs="仿宋_GB2312"/>
          <w:sz w:val="18"/>
          <w:szCs w:val="18"/>
          <w:highlight w:val="none"/>
        </w:rPr>
        <w:t>小时向发包人与承包人提交书面延期要求。</w:t>
      </w:r>
    </w:p>
    <w:p w14:paraId="74337375">
      <w:pPr>
        <w:ind w:firstLine="360" w:firstLineChars="200"/>
        <w:jc w:val="left"/>
        <w:rPr>
          <w:rFonts w:hint="default" w:eastAsia="仿宋_GB2312"/>
          <w:highlight w:val="none"/>
          <w:lang w:val="en-US" w:eastAsia="zh-CN"/>
        </w:rPr>
      </w:pPr>
      <w:r>
        <w:rPr>
          <w:rFonts w:hint="eastAsia" w:ascii="仿宋_GB2312" w:hAnsi="仿宋_GB2312" w:eastAsia="仿宋_GB2312" w:cs="仿宋_GB2312"/>
          <w:sz w:val="18"/>
          <w:szCs w:val="18"/>
          <w:highlight w:val="none"/>
        </w:rPr>
        <w:t>关于监理人不能按时进行检查而延期</w:t>
      </w:r>
      <w:r>
        <w:rPr>
          <w:rFonts w:hint="eastAsia" w:ascii="仿宋_GB2312" w:hAnsi="仿宋_GB2312" w:eastAsia="仿宋_GB2312" w:cs="仿宋_GB2312"/>
          <w:sz w:val="18"/>
          <w:szCs w:val="18"/>
          <w:highlight w:val="none"/>
          <w:lang w:val="en-US" w:eastAsia="zh-CN"/>
        </w:rPr>
        <w:t>的</w:t>
      </w:r>
      <w:r>
        <w:rPr>
          <w:rFonts w:hint="eastAsia" w:ascii="仿宋_GB2312" w:hAnsi="仿宋_GB2312" w:eastAsia="仿宋_GB2312" w:cs="仿宋_GB2312"/>
          <w:sz w:val="18"/>
          <w:szCs w:val="18"/>
          <w:highlight w:val="none"/>
        </w:rPr>
        <w:t>最长</w:t>
      </w:r>
      <w:r>
        <w:rPr>
          <w:rFonts w:hint="eastAsia" w:ascii="仿宋_GB2312" w:hAnsi="仿宋_GB2312" w:eastAsia="仿宋_GB2312" w:cs="仿宋_GB2312"/>
          <w:sz w:val="18"/>
          <w:szCs w:val="18"/>
          <w:highlight w:val="none"/>
          <w:lang w:val="en-US" w:eastAsia="zh-CN"/>
        </w:rPr>
        <w:t>时间</w:t>
      </w:r>
      <w:r>
        <w:rPr>
          <w:rFonts w:hint="eastAsia" w:ascii="仿宋_GB2312" w:hAnsi="仿宋_GB2312" w:eastAsia="仿宋_GB2312" w:cs="仿宋_GB2312"/>
          <w:sz w:val="18"/>
          <w:szCs w:val="18"/>
          <w:highlight w:val="none"/>
        </w:rPr>
        <w:t>不得超过：</w:t>
      </w:r>
      <w:r>
        <w:rPr>
          <w:rFonts w:hint="eastAsia" w:ascii="仿宋_GB2312" w:hAnsi="仿宋_GB2312" w:eastAsia="仿宋_GB2312" w:cs="仿宋_GB2312"/>
          <w:sz w:val="18"/>
          <w:szCs w:val="18"/>
          <w:highlight w:val="none"/>
          <w:u w:val="single"/>
        </w:rPr>
        <w:t xml:space="preserve">   48    </w:t>
      </w:r>
      <w:r>
        <w:rPr>
          <w:rFonts w:hint="eastAsia" w:ascii="仿宋_GB2312" w:hAnsi="仿宋_GB2312" w:eastAsia="仿宋_GB2312" w:cs="仿宋_GB2312"/>
          <w:sz w:val="18"/>
          <w:szCs w:val="18"/>
          <w:highlight w:val="none"/>
        </w:rPr>
        <w:t>小时（</w:t>
      </w:r>
      <w:r>
        <w:rPr>
          <w:rFonts w:ascii="仿宋_GB2312" w:hAnsi="仿宋_GB2312" w:eastAsia="仿宋_GB2312" w:cs="仿宋_GB2312"/>
          <w:sz w:val="18"/>
          <w:szCs w:val="18"/>
          <w:highlight w:val="none"/>
          <w:u w:val="single"/>
        </w:rPr>
        <w:t>自</w:t>
      </w:r>
      <w:r>
        <w:rPr>
          <w:rFonts w:hint="eastAsia" w:ascii="仿宋_GB2312" w:hAnsi="仿宋_GB2312" w:eastAsia="仿宋_GB2312" w:cs="仿宋_GB2312"/>
          <w:sz w:val="18"/>
          <w:szCs w:val="18"/>
          <w:highlight w:val="none"/>
          <w:u w:val="single"/>
          <w:lang w:val="en-US" w:eastAsia="zh-CN"/>
        </w:rPr>
        <w:t>检查通知中确定的</w:t>
      </w:r>
      <w:r>
        <w:rPr>
          <w:rFonts w:hint="eastAsia" w:ascii="仿宋_GB2312" w:hAnsi="仿宋_GB2312" w:eastAsia="仿宋_GB2312" w:cs="仿宋_GB2312"/>
          <w:sz w:val="18"/>
          <w:szCs w:val="18"/>
          <w:highlight w:val="none"/>
          <w:u w:val="single"/>
        </w:rPr>
        <w:t>检查</w:t>
      </w:r>
      <w:r>
        <w:rPr>
          <w:rFonts w:hint="eastAsia" w:ascii="仿宋_GB2312" w:hAnsi="仿宋_GB2312" w:eastAsia="仿宋_GB2312" w:cs="仿宋_GB2312"/>
          <w:sz w:val="18"/>
          <w:szCs w:val="18"/>
          <w:highlight w:val="none"/>
          <w:u w:val="single"/>
          <w:lang w:val="en-US" w:eastAsia="zh-CN"/>
        </w:rPr>
        <w:t>之日</w:t>
      </w:r>
      <w:r>
        <w:rPr>
          <w:rFonts w:ascii="仿宋_GB2312" w:hAnsi="仿宋_GB2312" w:eastAsia="仿宋_GB2312" w:cs="仿宋_GB2312"/>
          <w:sz w:val="18"/>
          <w:szCs w:val="18"/>
          <w:highlight w:val="none"/>
          <w:u w:val="single"/>
        </w:rPr>
        <w:t>起算</w:t>
      </w:r>
      <w:r>
        <w:rPr>
          <w:rFonts w:hint="eastAsia" w:ascii="仿宋_GB2312" w:hAnsi="仿宋_GB2312" w:eastAsia="仿宋_GB2312" w:cs="仿宋_GB2312"/>
          <w:sz w:val="18"/>
          <w:szCs w:val="18"/>
          <w:highlight w:val="none"/>
        </w:rPr>
        <w:t>）。</w:t>
      </w:r>
    </w:p>
    <w:p w14:paraId="6D34B792">
      <w:pPr>
        <w:pStyle w:val="5"/>
        <w:spacing w:before="120" w:after="120" w:line="240" w:lineRule="auto"/>
        <w:rPr>
          <w:rFonts w:ascii="仿宋_GB2312" w:hAnsi="仿宋_GB2312" w:eastAsia="仿宋_GB2312" w:cs="仿宋_GB2312"/>
          <w:b w:val="0"/>
          <w:color w:val="000000"/>
          <w:sz w:val="18"/>
          <w:szCs w:val="18"/>
          <w:highlight w:val="none"/>
        </w:rPr>
      </w:pPr>
      <w:bookmarkStart w:id="980" w:name="_Toc351203638"/>
      <w:r>
        <w:rPr>
          <w:rFonts w:hint="eastAsia" w:ascii="仿宋_GB2312" w:hAnsi="仿宋_GB2312" w:eastAsia="仿宋_GB2312" w:cs="仿宋_GB2312"/>
          <w:b w:val="0"/>
          <w:color w:val="000000"/>
          <w:sz w:val="18"/>
          <w:szCs w:val="18"/>
          <w:highlight w:val="none"/>
        </w:rPr>
        <w:t>6. 安全文明施工与环境保护</w:t>
      </w:r>
      <w:bookmarkEnd w:id="980"/>
    </w:p>
    <w:p w14:paraId="2837189D">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6.1安全文明施工</w:t>
      </w:r>
    </w:p>
    <w:p w14:paraId="2BFFC3C2">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6.1.1</w:t>
      </w:r>
      <w:r>
        <w:rPr>
          <w:rFonts w:hint="eastAsia" w:ascii="仿宋_GB2312" w:hAnsi="仿宋_GB2312" w:eastAsia="仿宋_GB2312" w:cs="仿宋_GB2312"/>
          <w:color w:val="000000"/>
          <w:sz w:val="18"/>
          <w:szCs w:val="18"/>
          <w:highlight w:val="none"/>
        </w:rPr>
        <w:t xml:space="preserve"> 项目安全生产的达标目标及相应事项的约定：</w:t>
      </w:r>
      <w:r>
        <w:rPr>
          <w:rFonts w:hint="eastAsia" w:ascii="仿宋_GB2312" w:hAnsi="仿宋_GB2312" w:eastAsia="仿宋_GB2312" w:cs="仿宋_GB2312"/>
          <w:b/>
          <w:sz w:val="18"/>
          <w:szCs w:val="18"/>
          <w:highlight w:val="none"/>
          <w:u w:val="single"/>
        </w:rPr>
        <w:t>施工现场按照《建筑施工安全检查标准》（JGJ59-2011）评定达到“合格”标准。《建设工程质量安全文明施工责任书》、《工程廉政责任书》作为施工合同附件，由施工合同的发包人、承包人双方共同签署。</w:t>
      </w:r>
      <w:r>
        <w:rPr>
          <w:rFonts w:hint="eastAsia" w:ascii="仿宋_GB2312" w:hAnsi="仿宋_GB2312" w:eastAsia="仿宋_GB2312" w:cs="仿宋_GB2312"/>
          <w:sz w:val="18"/>
          <w:szCs w:val="18"/>
          <w:highlight w:val="none"/>
        </w:rPr>
        <w:t>。</w:t>
      </w:r>
    </w:p>
    <w:p w14:paraId="28F0542F">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6.1.</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 xml:space="preserve"> 关于治安保卫的特别约定：</w:t>
      </w:r>
      <w:r>
        <w:rPr>
          <w:rFonts w:hint="eastAsia" w:ascii="仿宋_GB2312" w:hAnsi="仿宋_GB2312" w:eastAsia="仿宋_GB2312" w:cs="仿宋_GB2312"/>
          <w:sz w:val="18"/>
          <w:szCs w:val="18"/>
          <w:highlight w:val="none"/>
          <w:u w:val="single"/>
        </w:rPr>
        <w:t xml:space="preserve">按通用条款执行   </w:t>
      </w:r>
      <w:r>
        <w:rPr>
          <w:rFonts w:hint="eastAsia" w:ascii="仿宋_GB2312" w:hAnsi="仿宋_GB2312" w:eastAsia="仿宋_GB2312" w:cs="仿宋_GB2312"/>
          <w:sz w:val="18"/>
          <w:szCs w:val="18"/>
          <w:highlight w:val="none"/>
        </w:rPr>
        <w:t>。</w:t>
      </w:r>
    </w:p>
    <w:p w14:paraId="483FE690">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关于编制施工场地治安管理计划的约定：</w:t>
      </w:r>
      <w:r>
        <w:rPr>
          <w:rFonts w:hint="eastAsia" w:ascii="仿宋_GB2312" w:hAnsi="仿宋_GB2312" w:eastAsia="仿宋_GB2312" w:cs="仿宋_GB2312"/>
          <w:sz w:val="18"/>
          <w:szCs w:val="18"/>
          <w:highlight w:val="none"/>
          <w:u w:val="single"/>
        </w:rPr>
        <w:t xml:space="preserve">按通用条款执行   </w:t>
      </w:r>
      <w:r>
        <w:rPr>
          <w:rFonts w:hint="eastAsia" w:ascii="仿宋_GB2312" w:hAnsi="仿宋_GB2312" w:eastAsia="仿宋_GB2312" w:cs="仿宋_GB2312"/>
          <w:sz w:val="18"/>
          <w:szCs w:val="18"/>
          <w:highlight w:val="none"/>
        </w:rPr>
        <w:t>。</w:t>
      </w:r>
    </w:p>
    <w:p w14:paraId="788222E3">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6.1.</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 xml:space="preserve"> 文明施工</w:t>
      </w:r>
    </w:p>
    <w:p w14:paraId="2D8427EC">
      <w:pPr>
        <w:ind w:firstLine="356" w:firstLineChars="198"/>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合同当事人对文明施工的要求：</w:t>
      </w:r>
    </w:p>
    <w:p w14:paraId="6B0FF37B">
      <w:pPr>
        <w:ind w:firstLine="358" w:firstLineChars="198"/>
        <w:jc w:val="left"/>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rPr>
        <w:t>（1）</w:t>
      </w:r>
      <w:r>
        <w:rPr>
          <w:rFonts w:hint="eastAsia" w:ascii="仿宋_GB2312" w:hAnsi="仿宋_GB2312" w:eastAsia="仿宋_GB2312" w:cs="仿宋_GB2312"/>
          <w:b/>
          <w:sz w:val="18"/>
          <w:szCs w:val="18"/>
          <w:highlight w:val="none"/>
          <w:u w:val="single"/>
          <w:lang w:val="zh-CN"/>
        </w:rPr>
        <w:t>遵守地方政府和有关部门对施工场地交通、环卫、安全和施工噪音等管理规定，并办理相关审批手续</w:t>
      </w:r>
      <w:r>
        <w:rPr>
          <w:rFonts w:hint="eastAsia" w:ascii="仿宋_GB2312" w:hAnsi="仿宋_GB2312" w:eastAsia="仿宋_GB2312" w:cs="仿宋_GB2312"/>
          <w:b/>
          <w:sz w:val="18"/>
          <w:szCs w:val="18"/>
          <w:highlight w:val="none"/>
          <w:lang w:val="zh-CN"/>
        </w:rPr>
        <w:t>。</w:t>
      </w:r>
    </w:p>
    <w:p w14:paraId="6B812742">
      <w:pPr>
        <w:ind w:firstLine="358" w:firstLineChars="198"/>
        <w:jc w:val="left"/>
        <w:rPr>
          <w:rFonts w:ascii="仿宋_GB2312" w:hAnsi="仿宋_GB2312" w:eastAsia="仿宋_GB2312" w:cs="仿宋_GB2312"/>
          <w:b/>
          <w:sz w:val="18"/>
          <w:szCs w:val="18"/>
          <w:highlight w:val="none"/>
          <w:lang w:val="zh-CN"/>
        </w:rPr>
      </w:pPr>
      <w:r>
        <w:rPr>
          <w:rFonts w:hint="eastAsia" w:ascii="仿宋_GB2312" w:hAnsi="仿宋_GB2312" w:eastAsia="仿宋_GB2312" w:cs="仿宋_GB2312"/>
          <w:b/>
          <w:sz w:val="18"/>
          <w:szCs w:val="18"/>
          <w:highlight w:val="none"/>
          <w:u w:val="single"/>
          <w:lang w:val="zh-CN"/>
        </w:rPr>
        <w:t>（2）承包人应采取有效措施尽量减小尘土和噪音污染，需要进行夜间作业时应经有关部门批准</w:t>
      </w:r>
      <w:r>
        <w:rPr>
          <w:rFonts w:hint="eastAsia" w:ascii="仿宋_GB2312" w:hAnsi="仿宋_GB2312" w:eastAsia="仿宋_GB2312" w:cs="仿宋_GB2312"/>
          <w:b/>
          <w:sz w:val="18"/>
          <w:szCs w:val="18"/>
          <w:highlight w:val="none"/>
          <w:lang w:val="zh-CN"/>
        </w:rPr>
        <w:t>。</w:t>
      </w:r>
    </w:p>
    <w:p w14:paraId="10C42A88">
      <w:pPr>
        <w:ind w:firstLine="358" w:firstLineChars="198"/>
        <w:jc w:val="left"/>
        <w:rPr>
          <w:rFonts w:ascii="仿宋_GB2312" w:hAnsi="仿宋_GB2312" w:eastAsia="仿宋_GB2312" w:cs="仿宋_GB2312"/>
          <w:b/>
          <w:sz w:val="18"/>
          <w:szCs w:val="18"/>
          <w:highlight w:val="none"/>
          <w:u w:val="single"/>
          <w:lang w:val="zh-CN"/>
        </w:rPr>
      </w:pPr>
      <w:r>
        <w:rPr>
          <w:rFonts w:hint="eastAsia" w:ascii="仿宋_GB2312" w:hAnsi="仿宋_GB2312" w:eastAsia="仿宋_GB2312" w:cs="仿宋_GB2312"/>
          <w:b/>
          <w:sz w:val="18"/>
          <w:szCs w:val="18"/>
          <w:highlight w:val="none"/>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仿宋_GB2312" w:hAnsi="仿宋_GB2312" w:eastAsia="仿宋_GB2312" w:cs="仿宋_GB2312"/>
          <w:b/>
          <w:sz w:val="18"/>
          <w:szCs w:val="18"/>
          <w:highlight w:val="none"/>
          <w:lang w:val="zh-CN"/>
        </w:rPr>
        <w:t xml:space="preserve">。 </w:t>
      </w:r>
    </w:p>
    <w:p w14:paraId="2C901573">
      <w:pPr>
        <w:ind w:firstLine="358" w:firstLineChars="198"/>
        <w:jc w:val="left"/>
        <w:outlineLvl w:val="0"/>
        <w:rPr>
          <w:rFonts w:ascii="仿宋_GB2312" w:hAnsi="仿宋_GB2312" w:eastAsia="仿宋_GB2312" w:cs="仿宋_GB2312"/>
          <w:b/>
          <w:sz w:val="18"/>
          <w:szCs w:val="18"/>
          <w:highlight w:val="none"/>
          <w:u w:val="single"/>
          <w:lang w:val="zh-CN"/>
        </w:rPr>
      </w:pPr>
      <w:bookmarkStart w:id="981" w:name="_Toc8494"/>
      <w:bookmarkStart w:id="982" w:name="_Toc23269"/>
      <w:r>
        <w:rPr>
          <w:rFonts w:hint="eastAsia" w:ascii="仿宋_GB2312" w:hAnsi="仿宋_GB2312" w:eastAsia="仿宋_GB2312" w:cs="仿宋_GB2312"/>
          <w:b/>
          <w:sz w:val="18"/>
          <w:szCs w:val="18"/>
          <w:highlight w:val="none"/>
          <w:u w:val="single"/>
          <w:lang w:val="zh-CN"/>
        </w:rPr>
        <w:t>（4）上述手续办理费用约定如下： 由承包人支付。</w:t>
      </w:r>
      <w:bookmarkEnd w:id="981"/>
      <w:bookmarkEnd w:id="982"/>
    </w:p>
    <w:p w14:paraId="246D1E52">
      <w:pPr>
        <w:ind w:firstLine="361" w:firstLineChars="200"/>
        <w:jc w:val="left"/>
        <w:rPr>
          <w:rFonts w:ascii="仿宋_GB2312" w:hAnsi="仿宋_GB2312" w:eastAsia="仿宋_GB2312" w:cs="仿宋_GB2312"/>
          <w:b/>
          <w:sz w:val="18"/>
          <w:szCs w:val="18"/>
          <w:highlight w:val="none"/>
        </w:rPr>
      </w:pPr>
      <w:r>
        <w:rPr>
          <w:rFonts w:hint="eastAsia" w:ascii="仿宋_GB2312" w:hAnsi="仿宋_GB2312" w:eastAsia="仿宋_GB2312" w:cs="仿宋_GB2312"/>
          <w:b/>
          <w:kern w:val="0"/>
          <w:sz w:val="18"/>
          <w:szCs w:val="18"/>
          <w:highlight w:val="none"/>
          <w:u w:val="single"/>
        </w:rPr>
        <w:t xml:space="preserve">（5）其他：                                        </w:t>
      </w:r>
      <w:r>
        <w:rPr>
          <w:rFonts w:hint="eastAsia" w:ascii="仿宋_GB2312" w:hAnsi="仿宋_GB2312" w:eastAsia="仿宋_GB2312" w:cs="仿宋_GB2312"/>
          <w:b/>
          <w:kern w:val="0"/>
          <w:sz w:val="18"/>
          <w:szCs w:val="18"/>
          <w:highlight w:val="none"/>
        </w:rPr>
        <w:t>。</w:t>
      </w:r>
    </w:p>
    <w:p w14:paraId="025FEBA7">
      <w:pPr>
        <w:ind w:firstLine="360" w:firstLineChars="20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6.1.</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关于安全文明施工费支付比例和支付期限的约定：</w:t>
      </w:r>
      <w:r>
        <w:rPr>
          <w:rFonts w:hint="eastAsia" w:ascii="仿宋_GB2312" w:hAnsi="仿宋_GB2312" w:eastAsia="仿宋_GB2312" w:cs="仿宋_GB2312"/>
          <w:sz w:val="18"/>
          <w:szCs w:val="18"/>
          <w:highlight w:val="none"/>
          <w:u w:val="single"/>
        </w:rPr>
        <w:t xml:space="preserve">不单独拆分支付安全文明施工费 </w:t>
      </w:r>
      <w:r>
        <w:rPr>
          <w:rFonts w:hint="eastAsia" w:ascii="仿宋_GB2312" w:hAnsi="仿宋_GB2312" w:eastAsia="仿宋_GB2312" w:cs="仿宋_GB2312"/>
          <w:sz w:val="18"/>
          <w:szCs w:val="18"/>
          <w:highlight w:val="none"/>
        </w:rPr>
        <w:t>。</w:t>
      </w:r>
    </w:p>
    <w:p w14:paraId="047C81D3">
      <w:pPr>
        <w:pStyle w:val="42"/>
        <w:ind w:firstLine="360" w:firstLineChars="200"/>
        <w:rPr>
          <w:rFonts w:hint="default" w:eastAsia="仿宋_GB2312"/>
          <w:highlight w:val="none"/>
          <w:lang w:val="en-US" w:eastAsia="zh-CN"/>
        </w:rPr>
      </w:pPr>
      <w:r>
        <w:rPr>
          <w:rFonts w:hint="eastAsia" w:ascii="仿宋_GB2312" w:hAnsi="仿宋_GB2312" w:eastAsia="仿宋_GB2312" w:cs="仿宋_GB2312"/>
          <w:sz w:val="18"/>
          <w:szCs w:val="18"/>
          <w:highlight w:val="none"/>
        </w:rPr>
        <w:t>6.1.</w:t>
      </w:r>
      <w:r>
        <w:rPr>
          <w:rFonts w:hint="eastAsia" w:ascii="仿宋_GB2312" w:hAnsi="仿宋_GB2312" w:eastAsia="仿宋_GB2312" w:cs="仿宋_GB2312"/>
          <w:sz w:val="18"/>
          <w:szCs w:val="18"/>
          <w:highlight w:val="none"/>
          <w:lang w:val="en-US" w:eastAsia="zh-CN"/>
        </w:rPr>
        <w:t>5发包人或监理单位在日常巡查、抽检、飞检中发现有安全文明施工不符合相关要求的，或被数字城管以案卷形式及各类投诉反映的安全文明施工问题，以500元/次/处进行处罚；相同或类似问题重复出现、情况严重、产生恶劣影响、或被市区级相关部门通报的，以5000元/次/处进行处罚；相关问题出现3次及以上，发包人有权单方解除合同，一切损失由承包人自行承担。</w:t>
      </w:r>
    </w:p>
    <w:bookmarkEnd w:id="973"/>
    <w:bookmarkEnd w:id="974"/>
    <w:bookmarkEnd w:id="975"/>
    <w:bookmarkEnd w:id="976"/>
    <w:bookmarkEnd w:id="977"/>
    <w:bookmarkEnd w:id="978"/>
    <w:bookmarkEnd w:id="979"/>
    <w:p w14:paraId="01D7260F">
      <w:pPr>
        <w:pStyle w:val="5"/>
        <w:spacing w:before="120" w:after="120" w:line="240" w:lineRule="auto"/>
        <w:rPr>
          <w:rFonts w:ascii="仿宋_GB2312" w:hAnsi="仿宋_GB2312" w:eastAsia="仿宋_GB2312" w:cs="仿宋_GB2312"/>
          <w:b w:val="0"/>
          <w:color w:val="000000"/>
          <w:sz w:val="18"/>
          <w:szCs w:val="18"/>
          <w:highlight w:val="none"/>
        </w:rPr>
      </w:pPr>
      <w:bookmarkStart w:id="983" w:name="_Toc351203639"/>
      <w:r>
        <w:rPr>
          <w:rFonts w:hint="eastAsia" w:ascii="仿宋_GB2312" w:hAnsi="仿宋_GB2312" w:eastAsia="仿宋_GB2312" w:cs="仿宋_GB2312"/>
          <w:b w:val="0"/>
          <w:color w:val="000000"/>
          <w:sz w:val="18"/>
          <w:szCs w:val="18"/>
          <w:highlight w:val="none"/>
        </w:rPr>
        <w:t>7. 工期和进度</w:t>
      </w:r>
      <w:bookmarkEnd w:id="983"/>
    </w:p>
    <w:p w14:paraId="5A54D09F">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7.1 施工组织设计</w:t>
      </w:r>
    </w:p>
    <w:p w14:paraId="124EE3A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 xml:space="preserve">7.1.1 </w:t>
      </w:r>
      <w:r>
        <w:rPr>
          <w:rFonts w:hint="eastAsia" w:ascii="仿宋_GB2312" w:hAnsi="仿宋_GB2312" w:eastAsia="仿宋_GB2312" w:cs="仿宋_GB2312"/>
          <w:color w:val="000000"/>
          <w:sz w:val="18"/>
          <w:szCs w:val="18"/>
          <w:highlight w:val="none"/>
        </w:rPr>
        <w:t>合</w:t>
      </w:r>
      <w:r>
        <w:rPr>
          <w:rFonts w:hint="eastAsia" w:ascii="仿宋_GB2312" w:hAnsi="仿宋_GB2312" w:eastAsia="仿宋_GB2312" w:cs="仿宋_GB2312"/>
          <w:color w:val="000000"/>
          <w:kern w:val="0"/>
          <w:sz w:val="18"/>
          <w:szCs w:val="18"/>
          <w:highlight w:val="none"/>
        </w:rPr>
        <w:t>同当事人约定的施工组织设计应包括的其他内容：</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sz w:val="18"/>
          <w:szCs w:val="18"/>
          <w:highlight w:val="none"/>
        </w:rPr>
        <w:t>。</w:t>
      </w:r>
    </w:p>
    <w:p w14:paraId="3485F60C">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7.1.2</w:t>
      </w:r>
      <w:r>
        <w:rPr>
          <w:rFonts w:hint="eastAsia" w:ascii="仿宋_GB2312" w:hAnsi="仿宋_GB2312" w:eastAsia="仿宋_GB2312" w:cs="仿宋_GB2312"/>
          <w:color w:val="000000"/>
          <w:kern w:val="0"/>
          <w:sz w:val="18"/>
          <w:szCs w:val="18"/>
          <w:highlight w:val="none"/>
        </w:rPr>
        <w:t>施工组织设计的提交和修改</w:t>
      </w:r>
    </w:p>
    <w:p w14:paraId="141A3F55">
      <w:pPr>
        <w:autoSpaceDE w:val="0"/>
        <w:autoSpaceDN w:val="0"/>
        <w:adjustRightInd w:val="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承包人提交详细施工组织设计的期限的约定：</w:t>
      </w:r>
      <w:r>
        <w:rPr>
          <w:rFonts w:hint="eastAsia" w:ascii="仿宋_GB2312" w:hAnsi="仿宋_GB2312" w:eastAsia="仿宋_GB2312" w:cs="仿宋_GB2312"/>
          <w:b/>
          <w:sz w:val="18"/>
          <w:szCs w:val="18"/>
          <w:highlight w:val="none"/>
          <w:u w:val="single"/>
        </w:rPr>
        <w:t>合同签订后 7 天内提供</w:t>
      </w:r>
      <w:r>
        <w:rPr>
          <w:rFonts w:hint="eastAsia" w:ascii="仿宋_GB2312" w:hAnsi="仿宋_GB2312" w:eastAsia="仿宋_GB2312" w:cs="仿宋_GB2312"/>
          <w:b/>
          <w:kern w:val="0"/>
          <w:sz w:val="18"/>
          <w:szCs w:val="18"/>
          <w:highlight w:val="none"/>
          <w:u w:val="single"/>
        </w:rPr>
        <w:t>详细</w:t>
      </w:r>
      <w:r>
        <w:rPr>
          <w:rFonts w:hint="eastAsia" w:ascii="仿宋_GB2312" w:hAnsi="仿宋_GB2312" w:eastAsia="仿宋_GB2312" w:cs="仿宋_GB2312"/>
          <w:b/>
          <w:sz w:val="18"/>
          <w:szCs w:val="18"/>
          <w:highlight w:val="none"/>
          <w:u w:val="single"/>
        </w:rPr>
        <w:t xml:space="preserve">施工组织设计（施工方案）和进度计划   </w:t>
      </w:r>
      <w:r>
        <w:rPr>
          <w:rFonts w:hint="eastAsia" w:ascii="仿宋_GB2312" w:hAnsi="仿宋_GB2312" w:eastAsia="仿宋_GB2312" w:cs="仿宋_GB2312"/>
          <w:sz w:val="18"/>
          <w:szCs w:val="18"/>
          <w:highlight w:val="none"/>
        </w:rPr>
        <w:t>。</w:t>
      </w:r>
    </w:p>
    <w:p w14:paraId="24CA40A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发包人和监理人在收到详细的施工组织设计后确认或提出修改意见的期限：</w:t>
      </w:r>
      <w:r>
        <w:rPr>
          <w:rFonts w:hint="eastAsia" w:ascii="仿宋_GB2312" w:hAnsi="仿宋_GB2312" w:eastAsia="仿宋_GB2312" w:cs="仿宋_GB2312"/>
          <w:b/>
          <w:sz w:val="18"/>
          <w:szCs w:val="18"/>
          <w:highlight w:val="none"/>
          <w:u w:val="single"/>
        </w:rPr>
        <w:t>收到施工组织设计后 7天内</w:t>
      </w:r>
      <w:r>
        <w:rPr>
          <w:rFonts w:hint="eastAsia" w:ascii="仿宋_GB2312" w:hAnsi="仿宋_GB2312" w:eastAsia="仿宋_GB2312" w:cs="仿宋_GB2312"/>
          <w:sz w:val="18"/>
          <w:szCs w:val="18"/>
          <w:highlight w:val="none"/>
        </w:rPr>
        <w:t>。</w:t>
      </w:r>
    </w:p>
    <w:p w14:paraId="713AE03E">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w:t>
      </w:r>
      <w:bookmarkStart w:id="984" w:name="_Toc312678005"/>
      <w:bookmarkStart w:id="985" w:name="_Toc297216173"/>
      <w:bookmarkStart w:id="986" w:name="_Toc304295541"/>
      <w:bookmarkStart w:id="987" w:name="_Toc297123514"/>
      <w:bookmarkStart w:id="988" w:name="_Toc312677479"/>
      <w:bookmarkStart w:id="989" w:name="_Toc300934966"/>
      <w:bookmarkStart w:id="990" w:name="_Toc303539123"/>
      <w:r>
        <w:rPr>
          <w:rFonts w:hint="eastAsia" w:ascii="仿宋_GB2312" w:hAnsi="仿宋_GB2312" w:eastAsia="仿宋_GB2312" w:cs="仿宋_GB2312"/>
          <w:color w:val="000000"/>
          <w:sz w:val="18"/>
          <w:szCs w:val="18"/>
          <w:highlight w:val="none"/>
        </w:rPr>
        <w:t>.2 施工进度计划</w:t>
      </w:r>
    </w:p>
    <w:p w14:paraId="2C8F762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7.2.</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 xml:space="preserve"> 施工进度计划的修订</w:t>
      </w:r>
    </w:p>
    <w:p w14:paraId="74F56F4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发包人和监理人在收到修订的施工进度计划后确认或提出修改意见的期限：</w:t>
      </w:r>
      <w:r>
        <w:rPr>
          <w:rFonts w:hint="eastAsia" w:ascii="仿宋_GB2312" w:hAnsi="仿宋_GB2312" w:eastAsia="仿宋_GB2312" w:cs="仿宋_GB2312"/>
          <w:sz w:val="18"/>
          <w:szCs w:val="18"/>
          <w:highlight w:val="none"/>
          <w:u w:val="single"/>
        </w:rPr>
        <w:t>收到修订的施工进度计划后7 天内</w:t>
      </w:r>
      <w:r>
        <w:rPr>
          <w:rFonts w:hint="eastAsia" w:ascii="仿宋_GB2312" w:hAnsi="仿宋_GB2312" w:eastAsia="仿宋_GB2312" w:cs="仿宋_GB2312"/>
          <w:sz w:val="18"/>
          <w:szCs w:val="18"/>
          <w:highlight w:val="none"/>
        </w:rPr>
        <w:t>。</w:t>
      </w:r>
    </w:p>
    <w:p w14:paraId="65CE1D21">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7.3 开工</w:t>
      </w:r>
    </w:p>
    <w:p w14:paraId="1D7360CA">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7.3.1 开工准备</w:t>
      </w:r>
    </w:p>
    <w:p w14:paraId="7812E911">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color w:val="000000"/>
          <w:sz w:val="18"/>
          <w:szCs w:val="18"/>
          <w:highlight w:val="none"/>
        </w:rPr>
        <w:t>关于承包人提交</w:t>
      </w:r>
      <w:r>
        <w:rPr>
          <w:rFonts w:hint="eastAsia" w:ascii="仿宋_GB2312" w:hAnsi="仿宋_GB2312" w:eastAsia="仿宋_GB2312" w:cs="仿宋_GB2312"/>
          <w:color w:val="000000"/>
          <w:kern w:val="0"/>
          <w:sz w:val="18"/>
          <w:szCs w:val="18"/>
          <w:highlight w:val="none"/>
        </w:rPr>
        <w:t>工程开工报审表的期限：</w:t>
      </w:r>
      <w:r>
        <w:rPr>
          <w:rFonts w:hint="eastAsia" w:ascii="仿宋_GB2312" w:hAnsi="仿宋_GB2312" w:eastAsia="仿宋_GB2312" w:cs="仿宋_GB2312"/>
          <w:sz w:val="18"/>
          <w:szCs w:val="18"/>
          <w:highlight w:val="none"/>
          <w:u w:val="single"/>
        </w:rPr>
        <w:t>开工前 3天</w:t>
      </w:r>
      <w:r>
        <w:rPr>
          <w:rFonts w:hint="eastAsia" w:ascii="仿宋_GB2312" w:hAnsi="仿宋_GB2312" w:eastAsia="仿宋_GB2312" w:cs="仿宋_GB2312"/>
          <w:sz w:val="18"/>
          <w:szCs w:val="18"/>
          <w:highlight w:val="none"/>
        </w:rPr>
        <w:t>。</w:t>
      </w:r>
    </w:p>
    <w:p w14:paraId="70D1CC9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关于发包人应完成的其他开工准备工作及期限：</w:t>
      </w:r>
      <w:r>
        <w:rPr>
          <w:rFonts w:hint="eastAsia" w:ascii="仿宋_GB2312" w:hAnsi="仿宋_GB2312" w:eastAsia="仿宋_GB2312" w:cs="仿宋_GB2312"/>
          <w:sz w:val="18"/>
          <w:szCs w:val="18"/>
          <w:highlight w:val="none"/>
          <w:u w:val="single"/>
        </w:rPr>
        <w:t>开工前 3天</w:t>
      </w:r>
      <w:r>
        <w:rPr>
          <w:rFonts w:hint="eastAsia" w:ascii="仿宋_GB2312" w:hAnsi="仿宋_GB2312" w:eastAsia="仿宋_GB2312" w:cs="仿宋_GB2312"/>
          <w:sz w:val="18"/>
          <w:szCs w:val="18"/>
          <w:highlight w:val="none"/>
        </w:rPr>
        <w:t>。</w:t>
      </w:r>
    </w:p>
    <w:p w14:paraId="459311AD">
      <w:pPr>
        <w:ind w:firstLine="360" w:firstLineChars="20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关于承包人应完成的其他开工准备工作及期限：</w:t>
      </w:r>
      <w:r>
        <w:rPr>
          <w:rFonts w:hint="eastAsia" w:ascii="仿宋_GB2312" w:hAnsi="仿宋_GB2312" w:eastAsia="仿宋_GB2312" w:cs="仿宋_GB2312"/>
          <w:sz w:val="18"/>
          <w:szCs w:val="18"/>
          <w:highlight w:val="none"/>
          <w:u w:val="single"/>
        </w:rPr>
        <w:t>开工前 3天</w:t>
      </w:r>
      <w:r>
        <w:rPr>
          <w:rFonts w:hint="eastAsia" w:ascii="仿宋_GB2312" w:hAnsi="仿宋_GB2312" w:eastAsia="仿宋_GB2312" w:cs="仿宋_GB2312"/>
          <w:sz w:val="18"/>
          <w:szCs w:val="18"/>
          <w:highlight w:val="none"/>
        </w:rPr>
        <w:t>。</w:t>
      </w:r>
    </w:p>
    <w:p w14:paraId="766131B0">
      <w:pPr>
        <w:pStyle w:val="42"/>
        <w:ind w:left="0" w:leftChars="0" w:firstLine="360" w:firstLineChars="200"/>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承包人应按合同进度计划的要求，在开工前及时配置施工设备和修建临时设施（本工程承包人需配置面积不小于200平方米的临时办公场所，场地由承包人自行解决）。</w:t>
      </w:r>
    </w:p>
    <w:p w14:paraId="49BBACC3">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7.3.2开工通知</w:t>
      </w:r>
    </w:p>
    <w:p w14:paraId="08DF7B6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因发包人原因造成监理人未能在计划开工日期之日起</w:t>
      </w:r>
      <w:r>
        <w:rPr>
          <w:rFonts w:hint="eastAsia" w:ascii="仿宋_GB2312" w:hAnsi="仿宋_GB2312" w:eastAsia="仿宋_GB2312" w:cs="仿宋_GB2312"/>
          <w:sz w:val="18"/>
          <w:szCs w:val="18"/>
          <w:highlight w:val="none"/>
          <w:u w:val="single"/>
        </w:rPr>
        <w:t xml:space="preserve">  90 </w:t>
      </w:r>
      <w:r>
        <w:rPr>
          <w:rFonts w:hint="eastAsia" w:ascii="仿宋_GB2312" w:hAnsi="仿宋_GB2312" w:eastAsia="仿宋_GB2312" w:cs="仿宋_GB2312"/>
          <w:color w:val="000000"/>
          <w:sz w:val="18"/>
          <w:szCs w:val="18"/>
          <w:highlight w:val="none"/>
        </w:rPr>
        <w:t>天内发出开工通知的，承包人有权提出价格调整要求，或者解除合同。</w:t>
      </w:r>
    </w:p>
    <w:bookmarkEnd w:id="984"/>
    <w:bookmarkEnd w:id="985"/>
    <w:bookmarkEnd w:id="986"/>
    <w:bookmarkEnd w:id="987"/>
    <w:bookmarkEnd w:id="988"/>
    <w:bookmarkEnd w:id="989"/>
    <w:bookmarkEnd w:id="990"/>
    <w:p w14:paraId="55D66693">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7.4 测量放线</w:t>
      </w:r>
    </w:p>
    <w:p w14:paraId="4E0F7405">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7.4.1发包人通过监理人向承包人提供测量基准点、基准线和水准点及其书面资料的期限：</w:t>
      </w:r>
      <w:r>
        <w:rPr>
          <w:rFonts w:hint="eastAsia" w:ascii="仿宋_GB2312" w:hAnsi="仿宋_GB2312" w:eastAsia="仿宋_GB2312" w:cs="仿宋_GB2312"/>
          <w:sz w:val="18"/>
          <w:szCs w:val="18"/>
          <w:highlight w:val="none"/>
          <w:u w:val="single"/>
        </w:rPr>
        <w:t>开工前 7 天</w:t>
      </w:r>
      <w:r>
        <w:rPr>
          <w:rFonts w:hint="eastAsia" w:ascii="仿宋_GB2312" w:hAnsi="仿宋_GB2312" w:eastAsia="仿宋_GB2312" w:cs="仿宋_GB2312"/>
          <w:sz w:val="18"/>
          <w:szCs w:val="18"/>
          <w:highlight w:val="none"/>
        </w:rPr>
        <w:t>。</w:t>
      </w:r>
    </w:p>
    <w:p w14:paraId="7AA26939">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w:t>
      </w:r>
      <w:bookmarkStart w:id="991" w:name="_Toc297123516"/>
      <w:bookmarkStart w:id="992" w:name="_Toc304295546"/>
      <w:bookmarkStart w:id="993" w:name="_Toc297216175"/>
      <w:bookmarkStart w:id="994" w:name="_Toc312678010"/>
      <w:bookmarkStart w:id="995" w:name="_Toc300934968"/>
      <w:bookmarkStart w:id="996" w:name="_Toc303539125"/>
      <w:bookmarkStart w:id="997" w:name="_Toc312677484"/>
      <w:r>
        <w:rPr>
          <w:rFonts w:hint="eastAsia" w:ascii="仿宋_GB2312" w:hAnsi="仿宋_GB2312" w:eastAsia="仿宋_GB2312" w:cs="仿宋_GB2312"/>
          <w:color w:val="000000"/>
          <w:sz w:val="18"/>
          <w:szCs w:val="18"/>
          <w:highlight w:val="none"/>
        </w:rPr>
        <w:t>.5 工期延误</w:t>
      </w:r>
    </w:p>
    <w:bookmarkEnd w:id="991"/>
    <w:bookmarkEnd w:id="992"/>
    <w:bookmarkEnd w:id="993"/>
    <w:bookmarkEnd w:id="994"/>
    <w:bookmarkEnd w:id="995"/>
    <w:bookmarkEnd w:id="996"/>
    <w:bookmarkEnd w:id="997"/>
    <w:p w14:paraId="4776AE16">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7.5.1 因发包人原因导致工期延误</w:t>
      </w:r>
    </w:p>
    <w:p w14:paraId="08A73C6B">
      <w:pPr>
        <w:ind w:firstLine="356" w:firstLineChars="198"/>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（7）因发包人原因导致工期延误的其他情形：</w:t>
      </w:r>
    </w:p>
    <w:p w14:paraId="610F4552">
      <w:pPr>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①重大设计变更引起的工期延误                        </w:t>
      </w:r>
      <w:r>
        <w:rPr>
          <w:rFonts w:hint="eastAsia" w:ascii="仿宋_GB2312" w:hAnsi="仿宋_GB2312" w:eastAsia="仿宋_GB2312" w:cs="仿宋_GB2312"/>
          <w:b/>
          <w:sz w:val="18"/>
          <w:szCs w:val="18"/>
          <w:highlight w:val="none"/>
        </w:rPr>
        <w:t>；</w:t>
      </w:r>
    </w:p>
    <w:p w14:paraId="53512941">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②其他： /                                        </w:t>
      </w:r>
      <w:r>
        <w:rPr>
          <w:rFonts w:hint="eastAsia" w:ascii="仿宋_GB2312" w:hAnsi="仿宋_GB2312" w:eastAsia="仿宋_GB2312" w:cs="仿宋_GB2312"/>
          <w:b/>
          <w:sz w:val="18"/>
          <w:szCs w:val="18"/>
          <w:highlight w:val="none"/>
        </w:rPr>
        <w:t>。</w:t>
      </w:r>
    </w:p>
    <w:p w14:paraId="324B572E">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bookmarkStart w:id="998" w:name="_Toc312677486"/>
      <w:bookmarkStart w:id="999" w:name="_Toc312678012"/>
      <w:bookmarkStart w:id="1000" w:name="_Toc318581169"/>
      <w:bookmarkStart w:id="1001" w:name="_Toc303539127"/>
      <w:bookmarkStart w:id="1002" w:name="_Toc297216177"/>
      <w:bookmarkStart w:id="1003" w:name="_Toc297123518"/>
      <w:bookmarkStart w:id="1004" w:name="_Toc300934970"/>
      <w:bookmarkStart w:id="1005" w:name="_Toc304295548"/>
      <w:r>
        <w:rPr>
          <w:rFonts w:hint="eastAsia" w:ascii="仿宋_GB2312" w:hAnsi="仿宋_GB2312" w:eastAsia="仿宋_GB2312" w:cs="仿宋_GB2312"/>
          <w:sz w:val="18"/>
          <w:szCs w:val="18"/>
          <w:highlight w:val="none"/>
        </w:rPr>
        <w:t>.5.2 因承包人原因导致工期延误</w:t>
      </w:r>
    </w:p>
    <w:bookmarkEnd w:id="998"/>
    <w:bookmarkEnd w:id="999"/>
    <w:bookmarkEnd w:id="1000"/>
    <w:p w14:paraId="60506BBE">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因</w:t>
      </w:r>
      <w:bookmarkStart w:id="1006" w:name="_Toc312677487"/>
      <w:bookmarkStart w:id="1007" w:name="_Toc312678013"/>
      <w:bookmarkStart w:id="1008" w:name="_Toc318581170"/>
      <w:r>
        <w:rPr>
          <w:rFonts w:hint="eastAsia" w:ascii="仿宋_GB2312" w:hAnsi="仿宋_GB2312" w:eastAsia="仿宋_GB2312" w:cs="仿宋_GB2312"/>
          <w:sz w:val="18"/>
          <w:szCs w:val="18"/>
          <w:highlight w:val="none"/>
        </w:rPr>
        <w:t>承包人原因造成工期延误，逾期竣工违约金的计算方法为：</w:t>
      </w:r>
    </w:p>
    <w:p w14:paraId="6BC46968">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u w:val="single"/>
        </w:rPr>
        <w:t>工期延误10天以内每延误一天，按0.5万/天向发包人支付违约金，延误10天以外20天以内每延误一天，按1万/天向发包人支付违约金，延迟</w:t>
      </w:r>
      <w:r>
        <w:rPr>
          <w:rFonts w:ascii="仿宋_GB2312" w:hAnsi="仿宋_GB2312" w:eastAsia="仿宋_GB2312" w:cs="仿宋_GB2312"/>
          <w:sz w:val="18"/>
          <w:szCs w:val="18"/>
          <w:highlight w:val="none"/>
          <w:u w:val="single"/>
        </w:rPr>
        <w:t>20天以外30天以内每延误一天，按1.5万/天向发包人支付违约金</w:t>
      </w:r>
      <w:r>
        <w:rPr>
          <w:rFonts w:hint="eastAsia" w:ascii="仿宋_GB2312" w:hAnsi="仿宋_GB2312" w:eastAsia="仿宋_GB2312" w:cs="仿宋_GB2312"/>
          <w:sz w:val="18"/>
          <w:szCs w:val="18"/>
          <w:highlight w:val="none"/>
          <w:u w:val="single"/>
          <w:lang w:eastAsia="zh-CN"/>
        </w:rPr>
        <w:t>，</w:t>
      </w:r>
      <w:r>
        <w:rPr>
          <w:rFonts w:hint="eastAsia" w:ascii="仿宋_GB2312" w:hAnsi="仿宋_GB2312" w:eastAsia="仿宋_GB2312" w:cs="仿宋_GB2312"/>
          <w:sz w:val="18"/>
          <w:szCs w:val="18"/>
          <w:highlight w:val="none"/>
          <w:u w:val="single"/>
        </w:rPr>
        <w:t>以此类推，按倍数支付违约金。工期延误超过60天的，发包人同时有权解除合同</w:t>
      </w:r>
      <w:r>
        <w:rPr>
          <w:rFonts w:hint="eastAsia" w:ascii="仿宋_GB2312" w:hAnsi="仿宋_GB2312" w:eastAsia="仿宋_GB2312" w:cs="仿宋_GB2312"/>
          <w:sz w:val="18"/>
          <w:szCs w:val="18"/>
          <w:highlight w:val="none"/>
        </w:rPr>
        <w:t>。</w:t>
      </w:r>
      <w:bookmarkEnd w:id="1001"/>
      <w:bookmarkEnd w:id="1002"/>
      <w:bookmarkEnd w:id="1003"/>
      <w:bookmarkEnd w:id="1004"/>
      <w:bookmarkEnd w:id="1005"/>
      <w:bookmarkEnd w:id="1006"/>
      <w:bookmarkEnd w:id="1007"/>
    </w:p>
    <w:bookmarkEnd w:id="1008"/>
    <w:p w14:paraId="53772DF9">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因承包人原因造成工期延误，逾</w:t>
      </w:r>
      <w:bookmarkStart w:id="1009" w:name="_Toc312678014"/>
      <w:bookmarkStart w:id="1010" w:name="_Toc318581171"/>
      <w:r>
        <w:rPr>
          <w:rFonts w:hint="eastAsia" w:ascii="仿宋_GB2312" w:hAnsi="仿宋_GB2312" w:eastAsia="仿宋_GB2312" w:cs="仿宋_GB2312"/>
          <w:sz w:val="18"/>
          <w:szCs w:val="18"/>
          <w:highlight w:val="none"/>
        </w:rPr>
        <w:t>期竣工违约金的上限</w:t>
      </w:r>
      <w:bookmarkEnd w:id="1009"/>
      <w:bookmarkEnd w:id="1010"/>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u w:val="single"/>
        </w:rPr>
        <w:t>合同总价的20%。</w:t>
      </w:r>
    </w:p>
    <w:p w14:paraId="3DBED41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w:t>
      </w:r>
      <w:bookmarkStart w:id="1011" w:name="_Toc303539128"/>
      <w:bookmarkStart w:id="1012" w:name="_Toc312678015"/>
      <w:bookmarkStart w:id="1013" w:name="_Toc297216178"/>
      <w:bookmarkStart w:id="1014" w:name="_Toc297123519"/>
      <w:bookmarkStart w:id="1015" w:name="_Toc300934971"/>
      <w:bookmarkStart w:id="1016" w:name="_Toc304295549"/>
      <w:r>
        <w:rPr>
          <w:rFonts w:hint="eastAsia" w:ascii="仿宋_GB2312" w:hAnsi="仿宋_GB2312" w:eastAsia="仿宋_GB2312" w:cs="仿宋_GB2312"/>
          <w:color w:val="000000"/>
          <w:sz w:val="18"/>
          <w:szCs w:val="18"/>
          <w:highlight w:val="none"/>
        </w:rPr>
        <w:t>.6 不</w:t>
      </w:r>
      <w:bookmarkEnd w:id="1011"/>
      <w:bookmarkEnd w:id="1012"/>
      <w:bookmarkEnd w:id="1013"/>
      <w:bookmarkEnd w:id="1014"/>
      <w:bookmarkEnd w:id="1015"/>
      <w:bookmarkEnd w:id="1016"/>
      <w:r>
        <w:rPr>
          <w:rFonts w:hint="eastAsia" w:ascii="仿宋_GB2312" w:hAnsi="仿宋_GB2312" w:eastAsia="仿宋_GB2312" w:cs="仿宋_GB2312"/>
          <w:color w:val="000000"/>
          <w:sz w:val="18"/>
          <w:szCs w:val="18"/>
          <w:highlight w:val="none"/>
        </w:rPr>
        <w:t>利物质条件</w:t>
      </w:r>
    </w:p>
    <w:p w14:paraId="567239CB">
      <w:pPr>
        <w:ind w:firstLine="356" w:firstLineChars="198"/>
        <w:jc w:val="left"/>
        <w:rPr>
          <w:rFonts w:ascii="仿宋_GB2312" w:hAnsi="仿宋_GB2312" w:eastAsia="仿宋_GB2312" w:cs="仿宋_GB2312"/>
          <w:sz w:val="18"/>
          <w:szCs w:val="18"/>
          <w:highlight w:val="none"/>
        </w:rPr>
      </w:pPr>
      <w:bookmarkStart w:id="1017" w:name="_Toc297123520"/>
      <w:bookmarkStart w:id="1018" w:name="_Toc318581172"/>
      <w:bookmarkStart w:id="1019" w:name="_Toc312678016"/>
      <w:bookmarkStart w:id="1020" w:name="_Toc300934972"/>
      <w:bookmarkStart w:id="1021" w:name="_Toc304295550"/>
      <w:bookmarkStart w:id="1022" w:name="_Toc297216179"/>
      <w:bookmarkStart w:id="1023" w:name="_Toc303539129"/>
      <w:r>
        <w:rPr>
          <w:rFonts w:hint="eastAsia" w:ascii="仿宋_GB2312" w:hAnsi="仿宋_GB2312" w:eastAsia="仿宋_GB2312" w:cs="仿宋_GB2312"/>
          <w:sz w:val="18"/>
          <w:szCs w:val="18"/>
          <w:highlight w:val="none"/>
        </w:rPr>
        <w:t>不利物质条件的其他情形和有关约定：</w:t>
      </w:r>
      <w:bookmarkEnd w:id="1017"/>
      <w:bookmarkEnd w:id="1018"/>
      <w:bookmarkEnd w:id="1019"/>
      <w:bookmarkEnd w:id="1020"/>
      <w:bookmarkEnd w:id="1021"/>
      <w:bookmarkEnd w:id="1022"/>
      <w:bookmarkEnd w:id="1023"/>
    </w:p>
    <w:p w14:paraId="023EF213">
      <w:pPr>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（1）施工场地周围地下管线                            </w:t>
      </w:r>
      <w:r>
        <w:rPr>
          <w:rFonts w:hint="eastAsia" w:ascii="仿宋_GB2312" w:hAnsi="仿宋_GB2312" w:eastAsia="仿宋_GB2312" w:cs="仿宋_GB2312"/>
          <w:b/>
          <w:sz w:val="18"/>
          <w:szCs w:val="18"/>
          <w:highlight w:val="none"/>
        </w:rPr>
        <w:t>；</w:t>
      </w:r>
    </w:p>
    <w:p w14:paraId="4B95DBD7">
      <w:pPr>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（2）地下障碍物和污染物                              </w:t>
      </w:r>
      <w:r>
        <w:rPr>
          <w:rFonts w:hint="eastAsia" w:ascii="仿宋_GB2312" w:hAnsi="仿宋_GB2312" w:eastAsia="仿宋_GB2312" w:cs="仿宋_GB2312"/>
          <w:b/>
          <w:sz w:val="18"/>
          <w:szCs w:val="18"/>
          <w:highlight w:val="none"/>
        </w:rPr>
        <w:t>；</w:t>
      </w:r>
    </w:p>
    <w:p w14:paraId="18B01659">
      <w:pPr>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（3）邻近建筑物、构筑物的保护要求                    </w:t>
      </w:r>
      <w:r>
        <w:rPr>
          <w:rFonts w:hint="eastAsia" w:ascii="仿宋_GB2312" w:hAnsi="仿宋_GB2312" w:eastAsia="仿宋_GB2312" w:cs="仿宋_GB2312"/>
          <w:b/>
          <w:sz w:val="18"/>
          <w:szCs w:val="18"/>
          <w:highlight w:val="none"/>
        </w:rPr>
        <w:t>；</w:t>
      </w:r>
    </w:p>
    <w:p w14:paraId="5FC7A792">
      <w:pPr>
        <w:ind w:firstLine="358" w:firstLineChars="198"/>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（4）其他：/                                        </w:t>
      </w:r>
      <w:r>
        <w:rPr>
          <w:rFonts w:hint="eastAsia" w:ascii="仿宋_GB2312" w:hAnsi="仿宋_GB2312" w:eastAsia="仿宋_GB2312" w:cs="仿宋_GB2312"/>
          <w:b/>
          <w:sz w:val="18"/>
          <w:szCs w:val="18"/>
          <w:highlight w:val="none"/>
        </w:rPr>
        <w:t>。</w:t>
      </w:r>
    </w:p>
    <w:p w14:paraId="0650F55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7</w:t>
      </w:r>
      <w:bookmarkStart w:id="1024" w:name="_Toc303539130"/>
      <w:bookmarkStart w:id="1025" w:name="_Toc297216180"/>
      <w:bookmarkStart w:id="1026" w:name="_Toc297123521"/>
      <w:bookmarkStart w:id="1027" w:name="_Toc304295551"/>
      <w:bookmarkStart w:id="1028" w:name="_Toc300934973"/>
      <w:bookmarkStart w:id="1029" w:name="_Toc312678017"/>
      <w:r>
        <w:rPr>
          <w:rFonts w:hint="eastAsia" w:ascii="仿宋_GB2312" w:hAnsi="仿宋_GB2312" w:eastAsia="仿宋_GB2312" w:cs="仿宋_GB2312"/>
          <w:color w:val="000000"/>
          <w:sz w:val="18"/>
          <w:szCs w:val="18"/>
          <w:highlight w:val="none"/>
        </w:rPr>
        <w:t>.7异常恶劣的气候条件</w:t>
      </w:r>
    </w:p>
    <w:bookmarkEnd w:id="1024"/>
    <w:bookmarkEnd w:id="1025"/>
    <w:bookmarkEnd w:id="1026"/>
    <w:bookmarkEnd w:id="1027"/>
    <w:bookmarkEnd w:id="1028"/>
    <w:bookmarkEnd w:id="1029"/>
    <w:p w14:paraId="593B7318">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发包人和承包人同意以下情形视为异常恶劣的气候条件：</w:t>
      </w:r>
    </w:p>
    <w:p w14:paraId="67BF2FCB">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u w:val="single"/>
        </w:rPr>
        <w:t>日最高气温达到40度及以上的天气；启动台风橙色及以上的预警的天气；启动防汛预案一级响应的天气；启动防冻预案一级响应的天气 。</w:t>
      </w:r>
      <w:r>
        <w:rPr>
          <w:rFonts w:hint="eastAsia" w:ascii="仿宋_GB2312" w:hAnsi="仿宋_GB2312" w:eastAsia="仿宋_GB2312" w:cs="仿宋_GB2312"/>
          <w:color w:val="000000"/>
          <w:sz w:val="18"/>
          <w:szCs w:val="18"/>
          <w:highlight w:val="none"/>
        </w:rPr>
        <w:t>7.9 提前竣工的奖励</w:t>
      </w:r>
    </w:p>
    <w:p w14:paraId="1572CE6F">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7.</w:t>
      </w:r>
      <w:r>
        <w:rPr>
          <w:rFonts w:hint="eastAsia" w:ascii="仿宋_GB2312" w:hAnsi="仿宋_GB2312" w:eastAsia="仿宋_GB2312" w:cs="仿宋_GB2312"/>
          <w:sz w:val="18"/>
          <w:szCs w:val="18"/>
          <w:highlight w:val="none"/>
          <w:lang w:val="en-US" w:eastAsia="zh-CN"/>
        </w:rPr>
        <w:t>8</w:t>
      </w:r>
      <w:r>
        <w:rPr>
          <w:rFonts w:hint="eastAsia" w:ascii="仿宋_GB2312" w:hAnsi="仿宋_GB2312" w:eastAsia="仿宋_GB2312" w:cs="仿宋_GB2312"/>
          <w:sz w:val="18"/>
          <w:szCs w:val="18"/>
          <w:highlight w:val="none"/>
        </w:rPr>
        <w:t>提前竣工的奖励：</w:t>
      </w:r>
      <w:r>
        <w:rPr>
          <w:rFonts w:hint="eastAsia" w:ascii="仿宋_GB2312" w:hAnsi="仿宋_GB2312" w:eastAsia="仿宋_GB2312" w:cs="仿宋_GB2312"/>
          <w:sz w:val="18"/>
          <w:szCs w:val="18"/>
          <w:highlight w:val="none"/>
          <w:u w:val="single"/>
        </w:rPr>
        <w:t>建设单位在参建各方确认是否可行后，有权对项目实施提出合理的节点工期。如节点工期未完成的，可参照项目总工期相关处罚条款进行处置</w:t>
      </w:r>
      <w:r>
        <w:rPr>
          <w:rFonts w:hint="eastAsia" w:ascii="仿宋_GB2312" w:hAnsi="仿宋_GB2312" w:eastAsia="仿宋_GB2312" w:cs="仿宋_GB2312"/>
          <w:sz w:val="18"/>
          <w:szCs w:val="18"/>
          <w:highlight w:val="none"/>
        </w:rPr>
        <w:t>。</w:t>
      </w:r>
    </w:p>
    <w:p w14:paraId="292E74ED">
      <w:pPr>
        <w:pStyle w:val="5"/>
        <w:spacing w:before="120" w:after="120" w:line="240" w:lineRule="auto"/>
        <w:rPr>
          <w:rFonts w:ascii="仿宋_GB2312" w:hAnsi="仿宋_GB2312" w:eastAsia="仿宋_GB2312" w:cs="仿宋_GB2312"/>
          <w:b w:val="0"/>
          <w:color w:val="000000"/>
          <w:sz w:val="18"/>
          <w:szCs w:val="18"/>
          <w:highlight w:val="none"/>
        </w:rPr>
      </w:pPr>
      <w:bookmarkStart w:id="1030" w:name="_Toc351203640"/>
      <w:r>
        <w:rPr>
          <w:rFonts w:hint="eastAsia" w:ascii="仿宋_GB2312" w:hAnsi="仿宋_GB2312" w:eastAsia="仿宋_GB2312" w:cs="仿宋_GB2312"/>
          <w:b w:val="0"/>
          <w:color w:val="000000"/>
          <w:sz w:val="18"/>
          <w:szCs w:val="18"/>
          <w:highlight w:val="none"/>
        </w:rPr>
        <w:t>8. 材料与设备</w:t>
      </w:r>
      <w:bookmarkEnd w:id="1030"/>
    </w:p>
    <w:bookmarkEnd w:id="963"/>
    <w:bookmarkEnd w:id="964"/>
    <w:bookmarkEnd w:id="965"/>
    <w:bookmarkEnd w:id="966"/>
    <w:bookmarkEnd w:id="967"/>
    <w:bookmarkEnd w:id="968"/>
    <w:bookmarkEnd w:id="969"/>
    <w:bookmarkEnd w:id="970"/>
    <w:bookmarkEnd w:id="971"/>
    <w:bookmarkEnd w:id="972"/>
    <w:p w14:paraId="5B05DAB1">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8</w:t>
      </w:r>
      <w:bookmarkStart w:id="1031" w:name="_Toc296347166"/>
      <w:bookmarkStart w:id="1032" w:name="_Toc292559877"/>
      <w:bookmarkStart w:id="1033" w:name="_Toc296503167"/>
      <w:bookmarkStart w:id="1034" w:name="_Toc280868654"/>
      <w:bookmarkStart w:id="1035" w:name="_Toc303539136"/>
      <w:bookmarkStart w:id="1036" w:name="_Toc296891207"/>
      <w:bookmarkStart w:id="1037" w:name="_Toc312677493"/>
      <w:bookmarkStart w:id="1038" w:name="_Toc304295556"/>
      <w:bookmarkStart w:id="1039" w:name="_Toc297216186"/>
      <w:bookmarkStart w:id="1040" w:name="_Toc296944506"/>
      <w:bookmarkStart w:id="1041" w:name="_Toc312678019"/>
      <w:bookmarkStart w:id="1042" w:name="_Toc296890995"/>
      <w:bookmarkStart w:id="1043" w:name="_Toc297048353"/>
      <w:bookmarkStart w:id="1044" w:name="_Toc292559372"/>
      <w:bookmarkStart w:id="1045" w:name="_Toc297123527"/>
      <w:bookmarkStart w:id="1046" w:name="_Toc297120467"/>
      <w:bookmarkStart w:id="1047" w:name="_Toc296346668"/>
      <w:bookmarkStart w:id="1048" w:name="_Toc300934979"/>
      <w:bookmarkStart w:id="1049" w:name="_Toc280868656"/>
      <w:bookmarkStart w:id="1050" w:name="_Toc280868655"/>
      <w:bookmarkStart w:id="1051" w:name="_Toc267251424"/>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材料与工程设备的保管与使用</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65AACBAC">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bookmarkStart w:id="1052" w:name="_Toc292559373"/>
      <w:bookmarkStart w:id="1053" w:name="_Toc292559878"/>
      <w:bookmarkStart w:id="1054" w:name="_Toc296346669"/>
      <w:bookmarkStart w:id="1055" w:name="_Toc297216187"/>
      <w:bookmarkStart w:id="1056" w:name="_Toc312678020"/>
      <w:bookmarkStart w:id="1057" w:name="_Toc297048354"/>
      <w:bookmarkStart w:id="1058" w:name="_Toc304295557"/>
      <w:bookmarkStart w:id="1059" w:name="_Toc318581173"/>
      <w:bookmarkStart w:id="1060" w:name="_Toc297120468"/>
      <w:bookmarkStart w:id="1061" w:name="_Toc297123528"/>
      <w:bookmarkStart w:id="1062" w:name="_Toc296890996"/>
      <w:bookmarkStart w:id="1063" w:name="_Toc296891208"/>
      <w:bookmarkStart w:id="1064" w:name="_Toc296347167"/>
      <w:bookmarkStart w:id="1065" w:name="_Toc300934980"/>
      <w:bookmarkStart w:id="1066" w:name="_Toc312677494"/>
      <w:bookmarkStart w:id="1067" w:name="_Toc296944507"/>
      <w:bookmarkStart w:id="1068" w:name="_Toc296503168"/>
      <w:bookmarkStart w:id="1069" w:name="_Toc303539137"/>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.1发包人供应的材料设备的保管费用的承担：</w:t>
      </w:r>
      <w:r>
        <w:rPr>
          <w:rFonts w:hint="eastAsia" w:ascii="仿宋_GB2312" w:hAnsi="仿宋_GB2312" w:eastAsia="仿宋_GB2312" w:cs="仿宋_GB2312"/>
          <w:sz w:val="18"/>
          <w:szCs w:val="18"/>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仿宋_GB2312" w:hAnsi="仿宋_GB2312" w:eastAsia="仿宋_GB2312" w:cs="仿宋_GB2312"/>
          <w:sz w:val="18"/>
          <w:szCs w:val="18"/>
          <w:highlight w:val="none"/>
        </w:rPr>
        <w:t>。</w:t>
      </w:r>
      <w:bookmarkEnd w:id="1052"/>
      <w:bookmarkEnd w:id="1053"/>
    </w:p>
    <w:p w14:paraId="6ECA61B5">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8.</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样品</w:t>
      </w:r>
    </w:p>
    <w:p w14:paraId="3590FFF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8.</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.1</w:t>
      </w:r>
      <w:r>
        <w:rPr>
          <w:rFonts w:hint="eastAsia" w:ascii="仿宋_GB2312" w:hAnsi="仿宋_GB2312" w:eastAsia="仿宋_GB2312" w:cs="仿宋_GB2312"/>
          <w:color w:val="000000"/>
          <w:kern w:val="0"/>
          <w:sz w:val="18"/>
          <w:szCs w:val="18"/>
          <w:highlight w:val="none"/>
        </w:rPr>
        <w:tab/>
      </w:r>
      <w:r>
        <w:rPr>
          <w:rFonts w:hint="eastAsia" w:ascii="仿宋_GB2312" w:hAnsi="仿宋_GB2312" w:eastAsia="仿宋_GB2312" w:cs="仿宋_GB2312"/>
          <w:color w:val="000000"/>
          <w:kern w:val="0"/>
          <w:sz w:val="18"/>
          <w:szCs w:val="18"/>
          <w:highlight w:val="none"/>
        </w:rPr>
        <w:t>样品的报送与封存</w:t>
      </w:r>
    </w:p>
    <w:p w14:paraId="4405EF4B">
      <w:pPr>
        <w:autoSpaceDE w:val="0"/>
        <w:autoSpaceDN w:val="0"/>
        <w:adjustRightInd w:val="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需要承包人报送样品的材料或工程设备，样品的种类、名称、规格、数量要求：</w:t>
      </w:r>
      <w:r>
        <w:rPr>
          <w:rFonts w:hint="eastAsia" w:ascii="仿宋_GB2312" w:hAnsi="仿宋_GB2312" w:eastAsia="仿宋_GB2312" w:cs="仿宋_GB2312"/>
          <w:sz w:val="18"/>
          <w:szCs w:val="18"/>
          <w:highlight w:val="none"/>
          <w:u w:val="single"/>
        </w:rPr>
        <w:t>按有关规定和监理人要求执行</w:t>
      </w:r>
      <w:r>
        <w:rPr>
          <w:rFonts w:hint="eastAsia" w:ascii="仿宋_GB2312" w:hAnsi="仿宋_GB2312" w:eastAsia="仿宋_GB2312" w:cs="仿宋_GB2312"/>
          <w:sz w:val="18"/>
          <w:szCs w:val="18"/>
          <w:highlight w:val="none"/>
        </w:rPr>
        <w:t>。</w:t>
      </w:r>
    </w:p>
    <w:p w14:paraId="5935FFB2">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8.</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施工设备和临时设施</w:t>
      </w:r>
    </w:p>
    <w:p w14:paraId="2D8CE294">
      <w:pPr>
        <w:autoSpaceDE w:val="0"/>
        <w:autoSpaceDN w:val="0"/>
        <w:adjustRightInd w:val="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8.</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.1 承包人提供的施工设备和临时设施</w:t>
      </w:r>
    </w:p>
    <w:p w14:paraId="31DAA6C1">
      <w:pPr>
        <w:autoSpaceDE w:val="0"/>
        <w:autoSpaceDN w:val="0"/>
        <w:adjustRightInd w:val="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关于修建临时设施费用承担的约定：</w:t>
      </w:r>
      <w:r>
        <w:rPr>
          <w:rFonts w:hint="eastAsia" w:ascii="仿宋_GB2312" w:hAnsi="仿宋_GB2312" w:eastAsia="仿宋_GB2312" w:cs="仿宋_GB2312"/>
          <w:sz w:val="18"/>
          <w:szCs w:val="18"/>
          <w:highlight w:val="none"/>
          <w:u w:val="single"/>
        </w:rPr>
        <w:t>按通用合同条款约定</w:t>
      </w:r>
      <w:r>
        <w:rPr>
          <w:rFonts w:hint="eastAsia" w:ascii="仿宋_GB2312" w:hAnsi="仿宋_GB2312" w:eastAsia="仿宋_GB2312" w:cs="仿宋_GB2312"/>
          <w:sz w:val="18"/>
          <w:szCs w:val="18"/>
          <w:highlight w:val="none"/>
        </w:rPr>
        <w:t>。</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14:paraId="6BD569F1">
      <w:pPr>
        <w:pStyle w:val="5"/>
        <w:spacing w:before="120" w:after="120" w:line="240" w:lineRule="auto"/>
        <w:rPr>
          <w:rFonts w:ascii="仿宋_GB2312" w:hAnsi="仿宋_GB2312" w:eastAsia="仿宋_GB2312" w:cs="仿宋_GB2312"/>
          <w:b w:val="0"/>
          <w:color w:val="000000"/>
          <w:sz w:val="18"/>
          <w:szCs w:val="18"/>
          <w:highlight w:val="none"/>
        </w:rPr>
      </w:pPr>
      <w:bookmarkStart w:id="1070" w:name="_Toc351203641"/>
      <w:r>
        <w:rPr>
          <w:rFonts w:hint="eastAsia" w:ascii="仿宋_GB2312" w:hAnsi="仿宋_GB2312" w:eastAsia="仿宋_GB2312" w:cs="仿宋_GB2312"/>
          <w:b w:val="0"/>
          <w:color w:val="000000"/>
          <w:sz w:val="18"/>
          <w:szCs w:val="18"/>
          <w:highlight w:val="none"/>
        </w:rPr>
        <w:t>9</w:t>
      </w:r>
      <w:bookmarkEnd w:id="1049"/>
      <w:bookmarkEnd w:id="1050"/>
      <w:bookmarkEnd w:id="1051"/>
      <w:bookmarkStart w:id="1071" w:name="_Toc312677495"/>
      <w:bookmarkStart w:id="1072" w:name="_Toc297216192"/>
      <w:bookmarkStart w:id="1073" w:name="_Toc304295559"/>
      <w:bookmarkStart w:id="1074" w:name="_Toc312678021"/>
      <w:bookmarkStart w:id="1075" w:name="_Toc297123533"/>
      <w:bookmarkStart w:id="1076" w:name="_Toc303539139"/>
      <w:bookmarkStart w:id="1077" w:name="_Toc300934982"/>
      <w:bookmarkStart w:id="1078" w:name="_Toc296891213"/>
      <w:bookmarkStart w:id="1079" w:name="_Toc296944512"/>
      <w:bookmarkStart w:id="1080" w:name="_Toc297048359"/>
      <w:bookmarkStart w:id="1081" w:name="_Toc296503173"/>
      <w:bookmarkStart w:id="1082" w:name="_Toc296347172"/>
      <w:bookmarkStart w:id="1083" w:name="_Toc292559883"/>
      <w:bookmarkStart w:id="1084" w:name="_Toc297120473"/>
      <w:bookmarkStart w:id="1085" w:name="_Toc296346674"/>
      <w:bookmarkStart w:id="1086" w:name="_Toc267251428"/>
      <w:bookmarkStart w:id="1087" w:name="_Toc267251427"/>
      <w:bookmarkStart w:id="1088" w:name="_Toc292559378"/>
      <w:bookmarkStart w:id="1089" w:name="_Toc296891001"/>
      <w:r>
        <w:rPr>
          <w:rFonts w:hint="eastAsia" w:ascii="仿宋_GB2312" w:hAnsi="仿宋_GB2312" w:eastAsia="仿宋_GB2312" w:cs="仿宋_GB2312"/>
          <w:b w:val="0"/>
          <w:color w:val="000000"/>
          <w:sz w:val="18"/>
          <w:szCs w:val="18"/>
          <w:highlight w:val="none"/>
        </w:rPr>
        <w:t>. 试验与检验</w:t>
      </w:r>
      <w:bookmarkEnd w:id="1070"/>
    </w:p>
    <w:bookmarkEnd w:id="1071"/>
    <w:bookmarkEnd w:id="1072"/>
    <w:bookmarkEnd w:id="1073"/>
    <w:bookmarkEnd w:id="1074"/>
    <w:bookmarkEnd w:id="1075"/>
    <w:bookmarkEnd w:id="1076"/>
    <w:bookmarkEnd w:id="1077"/>
    <w:p w14:paraId="24EF1F4B">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9</w:t>
      </w:r>
      <w:bookmarkStart w:id="1090" w:name="_Toc300934983"/>
      <w:bookmarkStart w:id="1091" w:name="_Toc297123534"/>
      <w:bookmarkStart w:id="1092" w:name="_Toc297216193"/>
      <w:bookmarkStart w:id="1093" w:name="_Toc312677496"/>
      <w:bookmarkStart w:id="1094" w:name="_Toc304295560"/>
      <w:bookmarkStart w:id="1095" w:name="_Toc303539140"/>
      <w:bookmarkStart w:id="1096" w:name="_Toc312678022"/>
      <w:r>
        <w:rPr>
          <w:rFonts w:hint="eastAsia" w:ascii="仿宋_GB2312" w:hAnsi="仿宋_GB2312" w:eastAsia="仿宋_GB2312" w:cs="仿宋_GB2312"/>
          <w:color w:val="000000"/>
          <w:sz w:val="18"/>
          <w:szCs w:val="18"/>
          <w:highlight w:val="none"/>
        </w:rPr>
        <w:t>.1试验设备与试验人员</w:t>
      </w:r>
    </w:p>
    <w:bookmarkEnd w:id="1090"/>
    <w:bookmarkEnd w:id="1091"/>
    <w:bookmarkEnd w:id="1092"/>
    <w:bookmarkEnd w:id="1093"/>
    <w:bookmarkEnd w:id="1094"/>
    <w:bookmarkEnd w:id="1095"/>
    <w:bookmarkEnd w:id="1096"/>
    <w:p w14:paraId="1A5E485F">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w:t>
      </w:r>
      <w:bookmarkStart w:id="1097" w:name="_Toc297216194"/>
      <w:bookmarkStart w:id="1098" w:name="_Toc303539141"/>
      <w:bookmarkStart w:id="1099" w:name="_Toc312678023"/>
      <w:bookmarkStart w:id="1100" w:name="_Toc312677497"/>
      <w:bookmarkStart w:id="1101" w:name="_Toc297123535"/>
      <w:bookmarkStart w:id="1102" w:name="_Toc304295561"/>
      <w:bookmarkStart w:id="1103" w:name="_Toc300934984"/>
      <w:bookmarkStart w:id="1104" w:name="_Toc318581174"/>
      <w:r>
        <w:rPr>
          <w:rFonts w:hint="eastAsia" w:ascii="仿宋_GB2312" w:hAnsi="仿宋_GB2312" w:eastAsia="仿宋_GB2312" w:cs="仿宋_GB2312"/>
          <w:sz w:val="18"/>
          <w:szCs w:val="18"/>
          <w:highlight w:val="none"/>
        </w:rPr>
        <w:t>.1.</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 xml:space="preserve"> 试验设备</w:t>
      </w:r>
    </w:p>
    <w:p w14:paraId="159BF3FA">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施工现场需要配置的试验场所：</w:t>
      </w:r>
      <w:bookmarkEnd w:id="1097"/>
      <w:bookmarkEnd w:id="1098"/>
      <w:bookmarkEnd w:id="1099"/>
      <w:bookmarkEnd w:id="1100"/>
      <w:bookmarkEnd w:id="1101"/>
      <w:bookmarkEnd w:id="1102"/>
      <w:bookmarkEnd w:id="1103"/>
      <w:bookmarkStart w:id="1105" w:name="_Toc312677498"/>
      <w:bookmarkStart w:id="1106" w:name="_Toc312678024"/>
      <w:bookmarkStart w:id="1107" w:name="_Toc297123536"/>
      <w:bookmarkStart w:id="1108" w:name="_Toc304295562"/>
      <w:bookmarkStart w:id="1109" w:name="_Toc300934985"/>
      <w:bookmarkStart w:id="1110" w:name="_Toc297216195"/>
      <w:bookmarkStart w:id="1111" w:name="_Toc303539142"/>
      <w:r>
        <w:rPr>
          <w:rFonts w:hint="eastAsia" w:ascii="仿宋_GB2312" w:hAnsi="仿宋_GB2312" w:eastAsia="仿宋_GB2312" w:cs="仿宋_GB2312"/>
          <w:sz w:val="18"/>
          <w:szCs w:val="18"/>
          <w:highlight w:val="none"/>
          <w:u w:val="single"/>
        </w:rPr>
        <w:t>按有关规定和监理人要求执行</w:t>
      </w:r>
      <w:r>
        <w:rPr>
          <w:rFonts w:hint="eastAsia" w:ascii="仿宋_GB2312" w:hAnsi="仿宋_GB2312" w:eastAsia="仿宋_GB2312" w:cs="仿宋_GB2312"/>
          <w:sz w:val="18"/>
          <w:szCs w:val="18"/>
          <w:highlight w:val="none"/>
        </w:rPr>
        <w:t xml:space="preserve">。 </w:t>
      </w:r>
    </w:p>
    <w:p w14:paraId="2D40A88D">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施工现场需要配备的试验设备：</w:t>
      </w:r>
      <w:r>
        <w:rPr>
          <w:rFonts w:hint="eastAsia" w:ascii="仿宋_GB2312" w:hAnsi="仿宋_GB2312" w:eastAsia="仿宋_GB2312" w:cs="仿宋_GB2312"/>
          <w:sz w:val="18"/>
          <w:szCs w:val="18"/>
          <w:highlight w:val="none"/>
          <w:u w:val="single"/>
        </w:rPr>
        <w:t>按有关规定和监理人要求执行</w:t>
      </w:r>
      <w:r>
        <w:rPr>
          <w:rFonts w:hint="eastAsia" w:ascii="仿宋_GB2312" w:hAnsi="仿宋_GB2312" w:eastAsia="仿宋_GB2312" w:cs="仿宋_GB2312"/>
          <w:sz w:val="18"/>
          <w:szCs w:val="18"/>
          <w:highlight w:val="none"/>
        </w:rPr>
        <w:t>。</w:t>
      </w:r>
    </w:p>
    <w:p w14:paraId="623E9393">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施工现场需要具备的其他试验条件：</w:t>
      </w:r>
      <w:r>
        <w:rPr>
          <w:rFonts w:hint="eastAsia" w:ascii="仿宋_GB2312" w:hAnsi="仿宋_GB2312" w:eastAsia="仿宋_GB2312" w:cs="仿宋_GB2312"/>
          <w:sz w:val="18"/>
          <w:szCs w:val="18"/>
          <w:highlight w:val="none"/>
          <w:u w:val="single"/>
        </w:rPr>
        <w:t>按有关规定和监理人要求执行</w:t>
      </w:r>
      <w:r>
        <w:rPr>
          <w:rFonts w:hint="eastAsia" w:ascii="仿宋_GB2312" w:hAnsi="仿宋_GB2312" w:eastAsia="仿宋_GB2312" w:cs="仿宋_GB2312"/>
          <w:sz w:val="18"/>
          <w:szCs w:val="18"/>
          <w:highlight w:val="none"/>
        </w:rPr>
        <w:t>。</w:t>
      </w:r>
    </w:p>
    <w:p w14:paraId="502D5986">
      <w:pPr>
        <w:pStyle w:val="6"/>
        <w:spacing w:before="120" w:after="120"/>
        <w:ind w:left="0"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val="0"/>
          <w:bCs w:val="0"/>
          <w:color w:val="000000"/>
          <w:sz w:val="18"/>
          <w:szCs w:val="18"/>
          <w:highlight w:val="none"/>
        </w:rPr>
        <w:t>9.</w:t>
      </w:r>
      <w:r>
        <w:rPr>
          <w:rFonts w:hint="eastAsia" w:ascii="仿宋_GB2312" w:hAnsi="仿宋_GB2312" w:eastAsia="仿宋_GB2312" w:cs="仿宋_GB2312"/>
          <w:b w:val="0"/>
          <w:bCs w:val="0"/>
          <w:color w:val="000000"/>
          <w:sz w:val="18"/>
          <w:szCs w:val="18"/>
          <w:highlight w:val="none"/>
          <w:lang w:val="en-US" w:eastAsia="zh-CN"/>
        </w:rPr>
        <w:t>2</w:t>
      </w:r>
      <w:r>
        <w:rPr>
          <w:rFonts w:hint="eastAsia" w:ascii="仿宋_GB2312" w:hAnsi="仿宋_GB2312" w:eastAsia="仿宋_GB2312" w:cs="仿宋_GB2312"/>
          <w:sz w:val="18"/>
          <w:szCs w:val="18"/>
          <w:highlight w:val="none"/>
        </w:rPr>
        <w:t>材料、工程设备和工程的试验和检验</w:t>
      </w:r>
    </w:p>
    <w:p w14:paraId="1D1A0A9D">
      <w:pPr>
        <w:ind w:firstLine="342" w:firstLineChars="18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kern w:val="0"/>
          <w:sz w:val="18"/>
          <w:szCs w:val="18"/>
          <w:highlight w:val="none"/>
        </w:rPr>
        <w:t>试验、检测单位资质条件约定：</w:t>
      </w:r>
      <w:r>
        <w:rPr>
          <w:rFonts w:hint="eastAsia" w:ascii="仿宋_GB2312" w:hAnsi="仿宋_GB2312" w:eastAsia="仿宋_GB2312" w:cs="仿宋_GB2312"/>
          <w:b/>
          <w:sz w:val="18"/>
          <w:szCs w:val="18"/>
          <w:highlight w:val="none"/>
          <w:u w:val="single"/>
        </w:rPr>
        <w:t>按有关规定和监理人要求执行</w:t>
      </w:r>
      <w:r>
        <w:rPr>
          <w:rFonts w:hint="eastAsia" w:ascii="仿宋_GB2312" w:hAnsi="仿宋_GB2312" w:eastAsia="仿宋_GB2312" w:cs="仿宋_GB2312"/>
          <w:b/>
          <w:sz w:val="18"/>
          <w:szCs w:val="18"/>
          <w:highlight w:val="none"/>
        </w:rPr>
        <w:t>；</w:t>
      </w:r>
    </w:p>
    <w:p w14:paraId="7B630E68">
      <w:pPr>
        <w:ind w:firstLine="342" w:firstLineChars="18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kern w:val="0"/>
          <w:sz w:val="18"/>
          <w:szCs w:val="18"/>
          <w:highlight w:val="none"/>
        </w:rPr>
        <w:t>试验、检测单位选择约定：</w:t>
      </w:r>
      <w:r>
        <w:rPr>
          <w:rFonts w:hint="eastAsia" w:ascii="仿宋_GB2312" w:hAnsi="仿宋_GB2312" w:eastAsia="仿宋_GB2312" w:cs="仿宋_GB2312"/>
          <w:b/>
          <w:kern w:val="0"/>
          <w:sz w:val="18"/>
          <w:szCs w:val="18"/>
          <w:highlight w:val="none"/>
          <w:u w:val="single"/>
        </w:rPr>
        <w:t>承包人选择单位后报监理人、发包人审核，审核通过后方可确定试验、检测单位</w:t>
      </w:r>
      <w:r>
        <w:rPr>
          <w:rFonts w:hint="eastAsia" w:ascii="仿宋_GB2312" w:hAnsi="仿宋_GB2312" w:eastAsia="仿宋_GB2312" w:cs="仿宋_GB2312"/>
          <w:b/>
          <w:sz w:val="18"/>
          <w:szCs w:val="18"/>
          <w:highlight w:val="none"/>
        </w:rPr>
        <w:t>；</w:t>
      </w:r>
    </w:p>
    <w:p w14:paraId="6662FF67">
      <w:pPr>
        <w:ind w:firstLine="342" w:firstLineChars="189"/>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试验、检测费用约定：</w:t>
      </w:r>
      <w:r>
        <w:rPr>
          <w:rFonts w:hint="eastAsia" w:ascii="仿宋_GB2312" w:hAnsi="仿宋_GB2312" w:eastAsia="仿宋_GB2312" w:cs="仿宋_GB2312"/>
          <w:b/>
          <w:sz w:val="18"/>
          <w:szCs w:val="18"/>
          <w:highlight w:val="none"/>
          <w:u w:val="single"/>
        </w:rPr>
        <w:t>工程有关试验、检测费用由承包人承担（政府有关部门明确规定需要发包人支付的除外），并已包含在合同价款中，不再另行计算</w:t>
      </w:r>
      <w:r>
        <w:rPr>
          <w:rFonts w:hint="eastAsia" w:ascii="仿宋_GB2312" w:hAnsi="仿宋_GB2312" w:eastAsia="仿宋_GB2312" w:cs="仿宋_GB2312"/>
          <w:b/>
          <w:sz w:val="18"/>
          <w:szCs w:val="18"/>
          <w:highlight w:val="none"/>
        </w:rPr>
        <w:t>。</w:t>
      </w:r>
    </w:p>
    <w:p w14:paraId="1227A4B4">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9.</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现场工艺试验 </w:t>
      </w:r>
    </w:p>
    <w:p w14:paraId="654C913D">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现场工艺试验的有关约定：</w:t>
      </w:r>
      <w:r>
        <w:rPr>
          <w:rFonts w:hint="eastAsia" w:ascii="仿宋_GB2312" w:hAnsi="仿宋_GB2312" w:eastAsia="仿宋_GB2312" w:cs="仿宋_GB2312"/>
          <w:sz w:val="18"/>
          <w:szCs w:val="18"/>
          <w:highlight w:val="none"/>
          <w:u w:val="single"/>
        </w:rPr>
        <w:t>按有关规定和监理人要求执行</w:t>
      </w:r>
      <w:r>
        <w:rPr>
          <w:rFonts w:hint="eastAsia" w:ascii="仿宋_GB2312" w:hAnsi="仿宋_GB2312" w:eastAsia="仿宋_GB2312" w:cs="仿宋_GB2312"/>
          <w:sz w:val="18"/>
          <w:szCs w:val="18"/>
          <w:highlight w:val="none"/>
        </w:rPr>
        <w:t>。</w:t>
      </w:r>
    </w:p>
    <w:bookmarkEnd w:id="1104"/>
    <w:bookmarkEnd w:id="1105"/>
    <w:bookmarkEnd w:id="1106"/>
    <w:bookmarkEnd w:id="1107"/>
    <w:bookmarkEnd w:id="1108"/>
    <w:bookmarkEnd w:id="1109"/>
    <w:bookmarkEnd w:id="1110"/>
    <w:bookmarkEnd w:id="1111"/>
    <w:p w14:paraId="2C8D7093">
      <w:pPr>
        <w:pStyle w:val="5"/>
        <w:spacing w:before="120" w:after="120" w:line="240" w:lineRule="auto"/>
        <w:rPr>
          <w:rFonts w:ascii="仿宋_GB2312" w:hAnsi="仿宋_GB2312" w:eastAsia="仿宋_GB2312" w:cs="仿宋_GB2312"/>
          <w:b w:val="0"/>
          <w:color w:val="000000"/>
          <w:sz w:val="18"/>
          <w:szCs w:val="18"/>
          <w:highlight w:val="none"/>
        </w:rPr>
      </w:pPr>
      <w:bookmarkStart w:id="1112" w:name="_Toc351203642"/>
      <w:r>
        <w:rPr>
          <w:rFonts w:hint="eastAsia" w:ascii="仿宋_GB2312" w:hAnsi="仿宋_GB2312" w:eastAsia="仿宋_GB2312" w:cs="仿宋_GB2312"/>
          <w:b w:val="0"/>
          <w:color w:val="000000"/>
          <w:sz w:val="18"/>
          <w:szCs w:val="18"/>
          <w:highlight w:val="none"/>
        </w:rPr>
        <w:t>1</w:t>
      </w:r>
      <w:bookmarkEnd w:id="1078"/>
      <w:bookmarkEnd w:id="1079"/>
      <w:bookmarkEnd w:id="1080"/>
      <w:bookmarkEnd w:id="1081"/>
      <w:bookmarkEnd w:id="1082"/>
      <w:bookmarkEnd w:id="1083"/>
      <w:bookmarkEnd w:id="1084"/>
      <w:bookmarkEnd w:id="1085"/>
      <w:bookmarkEnd w:id="1086"/>
      <w:bookmarkEnd w:id="1087"/>
      <w:bookmarkEnd w:id="1088"/>
      <w:bookmarkEnd w:id="1089"/>
      <w:bookmarkStart w:id="1113" w:name="_Toc292559903"/>
      <w:bookmarkStart w:id="1114" w:name="_Toc297120493"/>
      <w:bookmarkStart w:id="1115" w:name="_Toc297123540"/>
      <w:bookmarkStart w:id="1116" w:name="_Toc296503193"/>
      <w:bookmarkStart w:id="1117" w:name="_Toc292559398"/>
      <w:bookmarkStart w:id="1118" w:name="_Toc296891021"/>
      <w:bookmarkStart w:id="1119" w:name="_Toc297216199"/>
      <w:bookmarkStart w:id="1120" w:name="_Toc297048379"/>
      <w:bookmarkStart w:id="1121" w:name="_Toc303539146"/>
      <w:bookmarkStart w:id="1122" w:name="_Toc304295566"/>
      <w:bookmarkStart w:id="1123" w:name="_Toc296346694"/>
      <w:bookmarkStart w:id="1124" w:name="_Toc296891233"/>
      <w:bookmarkStart w:id="1125" w:name="_Toc296347192"/>
      <w:bookmarkStart w:id="1126" w:name="_Toc296944532"/>
      <w:bookmarkStart w:id="1127" w:name="_Toc300934989"/>
      <w:bookmarkStart w:id="1128" w:name="_Toc312678025"/>
      <w:bookmarkStart w:id="1129" w:name="_Toc312677499"/>
      <w:bookmarkStart w:id="1130" w:name="_Toc267251440"/>
      <w:bookmarkStart w:id="1131" w:name="_Toc267251435"/>
      <w:bookmarkStart w:id="1132" w:name="_Toc267251441"/>
      <w:bookmarkStart w:id="1133" w:name="_Toc267251433"/>
      <w:bookmarkStart w:id="1134" w:name="_Toc267251437"/>
      <w:bookmarkStart w:id="1135" w:name="_Toc267251439"/>
      <w:bookmarkStart w:id="1136" w:name="_Toc267251442"/>
      <w:r>
        <w:rPr>
          <w:rFonts w:hint="eastAsia" w:ascii="仿宋_GB2312" w:hAnsi="仿宋_GB2312" w:eastAsia="仿宋_GB2312" w:cs="仿宋_GB2312"/>
          <w:b w:val="0"/>
          <w:color w:val="000000"/>
          <w:sz w:val="18"/>
          <w:szCs w:val="18"/>
          <w:highlight w:val="none"/>
        </w:rPr>
        <w:t>0. 变更</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bookmarkEnd w:id="1128"/>
    <w:bookmarkEnd w:id="1129"/>
    <w:p w14:paraId="31AC33A7">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bookmarkStart w:id="1137" w:name="_Toc297048380"/>
      <w:bookmarkStart w:id="1138" w:name="_Toc297123541"/>
      <w:bookmarkStart w:id="1139" w:name="_Toc297216200"/>
      <w:bookmarkStart w:id="1140" w:name="_Toc296503194"/>
      <w:bookmarkStart w:id="1141" w:name="_Toc304295567"/>
      <w:bookmarkStart w:id="1142" w:name="_Toc297120494"/>
      <w:bookmarkStart w:id="1143" w:name="_Toc296944533"/>
      <w:bookmarkStart w:id="1144" w:name="_Toc300934990"/>
      <w:bookmarkStart w:id="1145" w:name="_Toc296891022"/>
      <w:bookmarkStart w:id="1146" w:name="_Toc303539147"/>
      <w:bookmarkStart w:id="1147" w:name="_Toc312678026"/>
      <w:bookmarkStart w:id="1148" w:name="_Toc292559904"/>
      <w:bookmarkStart w:id="1149" w:name="_Toc296891234"/>
      <w:bookmarkStart w:id="1150" w:name="_Toc312677500"/>
      <w:bookmarkStart w:id="1151" w:name="_Toc296347193"/>
      <w:bookmarkStart w:id="1152" w:name="_Toc292559399"/>
      <w:bookmarkStart w:id="1153" w:name="_Toc296346695"/>
      <w:r>
        <w:rPr>
          <w:rFonts w:hint="eastAsia" w:ascii="仿宋_GB2312" w:hAnsi="仿宋_GB2312" w:eastAsia="仿宋_GB2312" w:cs="仿宋_GB2312"/>
          <w:color w:val="000000"/>
          <w:sz w:val="18"/>
          <w:szCs w:val="18"/>
          <w:highlight w:val="none"/>
        </w:rPr>
        <w:t>0.1变更的范围</w:t>
      </w:r>
    </w:p>
    <w:p w14:paraId="769E208A">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关于变更的范围的约定：</w:t>
      </w:r>
      <w:r>
        <w:rPr>
          <w:rFonts w:hint="eastAsia" w:ascii="仿宋_GB2312" w:hAnsi="仿宋_GB2312" w:eastAsia="仿宋_GB2312" w:cs="仿宋_GB2312"/>
          <w:b/>
          <w:sz w:val="18"/>
          <w:szCs w:val="18"/>
          <w:highlight w:val="none"/>
          <w:u w:val="single"/>
        </w:rPr>
        <w:t>按通用合同条款约定</w:t>
      </w:r>
      <w:r>
        <w:rPr>
          <w:rFonts w:hint="eastAsia" w:ascii="仿宋_GB2312" w:hAnsi="仿宋_GB2312" w:eastAsia="仿宋_GB2312" w:cs="仿宋_GB2312"/>
          <w:color w:val="000000"/>
          <w:sz w:val="18"/>
          <w:szCs w:val="18"/>
          <w:highlight w:val="none"/>
        </w:rPr>
        <w:t>。</w:t>
      </w:r>
    </w:p>
    <w:p w14:paraId="3CCC6D5D">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变更估价</w:t>
      </w:r>
    </w:p>
    <w:p w14:paraId="4889C0AD">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.1 变更估价原则</w:t>
      </w:r>
    </w:p>
    <w:p w14:paraId="490969B3">
      <w:pPr>
        <w:autoSpaceDE w:val="0"/>
        <w:autoSpaceDN w:val="0"/>
        <w:adjustRightInd w:val="0"/>
        <w:ind w:firstLine="266" w:firstLineChars="148"/>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关于变更估价的约定:</w:t>
      </w:r>
    </w:p>
    <w:p w14:paraId="770D306F">
      <w:pPr>
        <w:autoSpaceDE w:val="0"/>
        <w:autoSpaceDN w:val="0"/>
        <w:adjustRightInd w:val="0"/>
        <w:ind w:firstLine="267" w:firstLineChars="14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（1）已标价工程量清单或预算书有相同项目的，按照相同项目单价确定</w:t>
      </w:r>
      <w:r>
        <w:rPr>
          <w:rFonts w:hint="eastAsia" w:ascii="仿宋_GB2312" w:hAnsi="仿宋_GB2312" w:eastAsia="仿宋_GB2312" w:cs="仿宋_GB2312"/>
          <w:b/>
          <w:kern w:val="0"/>
          <w:sz w:val="18"/>
          <w:szCs w:val="18"/>
          <w:highlight w:val="none"/>
        </w:rPr>
        <w:t>。</w:t>
      </w:r>
    </w:p>
    <w:p w14:paraId="06BCC37D">
      <w:pPr>
        <w:autoSpaceDE w:val="0"/>
        <w:autoSpaceDN w:val="0"/>
        <w:adjustRightInd w:val="0"/>
        <w:ind w:firstLine="267" w:firstLineChars="14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（2）已标价工程量清单或预算书中无相同项目，但有类似项目的，参照类似项目的单价确定</w:t>
      </w:r>
      <w:r>
        <w:rPr>
          <w:rFonts w:hint="eastAsia" w:ascii="仿宋_GB2312" w:hAnsi="仿宋_GB2312" w:eastAsia="仿宋_GB2312" w:cs="仿宋_GB2312"/>
          <w:b/>
          <w:kern w:val="0"/>
          <w:sz w:val="18"/>
          <w:szCs w:val="18"/>
          <w:highlight w:val="none"/>
        </w:rPr>
        <w:t>。</w:t>
      </w:r>
    </w:p>
    <w:p w14:paraId="2C22229E">
      <w:pPr>
        <w:autoSpaceDE w:val="0"/>
        <w:autoSpaceDN w:val="0"/>
        <w:adjustRightInd w:val="0"/>
        <w:ind w:firstLine="267" w:firstLineChars="148"/>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（3）已标价工程量清单或预算书中无相同项目及类似项目单价的，其单价的确定，按以下约定：</w:t>
      </w:r>
      <w:r>
        <w:rPr>
          <w:rFonts w:hint="eastAsia" w:ascii="仿宋_GB2312" w:hAnsi="仿宋_GB2312" w:eastAsia="仿宋_GB2312" w:cs="仿宋_GB2312"/>
          <w:kern w:val="0"/>
          <w:sz w:val="18"/>
          <w:szCs w:val="18"/>
          <w:highlight w:val="none"/>
          <w:u w:val="single"/>
        </w:rPr>
        <w:t>直接费按浙江省市政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施工取费定额2018版按相应类别工程费率取下值计算，由承包人提出经发包人审核确认后进入结算</w:t>
      </w:r>
      <w:r>
        <w:rPr>
          <w:rFonts w:hint="eastAsia" w:ascii="仿宋_GB2312" w:hAnsi="仿宋_GB2312" w:eastAsia="仿宋_GB2312" w:cs="仿宋_GB2312"/>
          <w:kern w:val="0"/>
          <w:sz w:val="18"/>
          <w:szCs w:val="18"/>
          <w:highlight w:val="none"/>
        </w:rPr>
        <w:t>。</w:t>
      </w:r>
    </w:p>
    <w:p w14:paraId="6DD3C5F7">
      <w:pPr>
        <w:ind w:firstLine="267" w:firstLineChars="148"/>
        <w:jc w:val="left"/>
        <w:rPr>
          <w:rFonts w:ascii="仿宋_GB2312" w:hAnsi="仿宋_GB2312" w:eastAsia="仿宋_GB2312" w:cs="仿宋_GB2312"/>
          <w:b/>
          <w:kern w:val="0"/>
          <w:sz w:val="18"/>
          <w:szCs w:val="18"/>
          <w:highlight w:val="none"/>
        </w:rPr>
      </w:pPr>
      <w:r>
        <w:rPr>
          <w:rFonts w:hint="eastAsia" w:ascii="仿宋_GB2312" w:hAnsi="仿宋_GB2312" w:eastAsia="仿宋_GB2312" w:cs="仿宋_GB2312"/>
          <w:b/>
          <w:sz w:val="18"/>
          <w:szCs w:val="18"/>
          <w:highlight w:val="none"/>
          <w:u w:val="single"/>
        </w:rPr>
        <w:t>（4）工程量清单错误和（或）设计</w:t>
      </w:r>
      <w:r>
        <w:rPr>
          <w:rFonts w:hint="eastAsia" w:ascii="仿宋_GB2312" w:hAnsi="仿宋_GB2312" w:eastAsia="仿宋_GB2312" w:cs="仿宋_GB2312"/>
          <w:b/>
          <w:kern w:val="0"/>
          <w:sz w:val="18"/>
          <w:szCs w:val="18"/>
          <w:highlight w:val="none"/>
          <w:u w:val="single"/>
        </w:rPr>
        <w:t>变更导致实际完成的工程量与已标价工程量清单或预算书中列明的该项目工程量的变化幅度超过以下情况的，其单价允许调整：</w:t>
      </w:r>
      <w:r>
        <w:rPr>
          <w:rFonts w:hint="eastAsia" w:ascii="仿宋_GB2312" w:hAnsi="仿宋_GB2312" w:eastAsia="仿宋_GB2312" w:cs="仿宋_GB2312"/>
          <w:b/>
          <w:sz w:val="18"/>
          <w:szCs w:val="18"/>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hAnsi="仿宋_GB2312" w:eastAsia="仿宋_GB2312" w:cs="仿宋_GB2312"/>
          <w:b/>
          <w:kern w:val="0"/>
          <w:sz w:val="18"/>
          <w:szCs w:val="18"/>
          <w:highlight w:val="none"/>
          <w:u w:val="single"/>
        </w:rPr>
        <w:t>工程量偏差</w:t>
      </w:r>
      <w:r>
        <w:rPr>
          <w:rFonts w:hint="eastAsia" w:ascii="仿宋_GB2312" w:hAnsi="仿宋_GB2312" w:eastAsia="仿宋_GB2312" w:cs="仿宋_GB2312"/>
          <w:b/>
          <w:sz w:val="18"/>
          <w:szCs w:val="18"/>
          <w:highlight w:val="none"/>
          <w:u w:val="single"/>
        </w:rPr>
        <w:t>超过上述变化幅度之外</w:t>
      </w:r>
      <w:r>
        <w:rPr>
          <w:rFonts w:hint="eastAsia" w:ascii="仿宋_GB2312" w:hAnsi="仿宋_GB2312" w:eastAsia="仿宋_GB2312" w:cs="仿宋_GB2312"/>
          <w:b/>
          <w:kern w:val="0"/>
          <w:sz w:val="18"/>
          <w:szCs w:val="18"/>
          <w:highlight w:val="none"/>
          <w:u w:val="single"/>
        </w:rPr>
        <w:t>变动部分的相应单价调整方法按以下方式约定：</w:t>
      </w:r>
      <w:r>
        <w:rPr>
          <w:rFonts w:hint="eastAsia" w:ascii="仿宋_GB2312" w:hAnsi="仿宋_GB2312" w:eastAsia="仿宋_GB2312" w:cs="仿宋_GB2312"/>
          <w:kern w:val="0"/>
          <w:sz w:val="18"/>
          <w:szCs w:val="18"/>
          <w:highlight w:val="none"/>
          <w:u w:val="single"/>
        </w:rPr>
        <w:t>直接费按浙江省市政预算定额2018版计（若上述定额中缺项的，其他省份有相同或相似子目，定额含量可参照执行），主材按施工当期杭州市（杭州市无的，按浙江省）信息价，综合费用按浙江省建设工程施工取费定额2018版按相应类别工程费率取下值计算，由承包人提出经发包人审核确认后进入结算</w:t>
      </w:r>
      <w:r>
        <w:rPr>
          <w:rFonts w:hint="eastAsia" w:ascii="仿宋_GB2312" w:hAnsi="仿宋_GB2312" w:eastAsia="仿宋_GB2312" w:cs="仿宋_GB2312"/>
          <w:b/>
          <w:kern w:val="0"/>
          <w:sz w:val="18"/>
          <w:szCs w:val="18"/>
          <w:highlight w:val="none"/>
        </w:rPr>
        <w:t>。</w:t>
      </w:r>
    </w:p>
    <w:p w14:paraId="0465AD82">
      <w:pPr>
        <w:autoSpaceDE w:val="0"/>
        <w:autoSpaceDN w:val="0"/>
        <w:adjustRightInd w:val="0"/>
        <w:ind w:firstLine="267" w:firstLineChars="148"/>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b/>
          <w:kern w:val="0"/>
          <w:sz w:val="18"/>
          <w:szCs w:val="18"/>
          <w:highlight w:val="none"/>
          <w:u w:val="single"/>
        </w:rPr>
        <w:t>（5）其他</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rPr>
        <w:fldChar w:fldCharType="begin"/>
      </w:r>
      <w:r>
        <w:rPr>
          <w:rFonts w:hint="eastAsia" w:ascii="仿宋_GB2312" w:hAnsi="仿宋_GB2312" w:eastAsia="仿宋_GB2312" w:cs="仿宋_GB2312"/>
          <w:kern w:val="0"/>
          <w:sz w:val="18"/>
          <w:szCs w:val="18"/>
          <w:highlight w:val="none"/>
          <w:u w:val="single"/>
        </w:rPr>
        <w:instrText xml:space="preserve"> = 1 \* GB3 \* MERGEFORMAT </w:instrText>
      </w:r>
      <w:r>
        <w:rPr>
          <w:rFonts w:hint="eastAsia" w:ascii="仿宋_GB2312" w:hAnsi="仿宋_GB2312" w:eastAsia="仿宋_GB2312" w:cs="仿宋_GB2312"/>
          <w:kern w:val="0"/>
          <w:sz w:val="18"/>
          <w:szCs w:val="18"/>
          <w:highlight w:val="none"/>
          <w:u w:val="single"/>
        </w:rPr>
        <w:fldChar w:fldCharType="separate"/>
      </w:r>
      <w:r>
        <w:rPr>
          <w:rFonts w:hint="eastAsia" w:ascii="仿宋_GB2312" w:hAnsi="仿宋_GB2312" w:eastAsia="仿宋_GB2312" w:cs="仿宋_GB2312"/>
          <w:kern w:val="0"/>
          <w:sz w:val="18"/>
          <w:szCs w:val="18"/>
          <w:highlight w:val="none"/>
          <w:u w:val="single"/>
        </w:rPr>
        <w:t>①</w:t>
      </w:r>
      <w:r>
        <w:rPr>
          <w:rFonts w:hint="eastAsia" w:ascii="仿宋_GB2312" w:hAnsi="仿宋_GB2312" w:eastAsia="仿宋_GB2312" w:cs="仿宋_GB2312"/>
          <w:kern w:val="0"/>
          <w:sz w:val="18"/>
          <w:szCs w:val="18"/>
          <w:highlight w:val="none"/>
          <w:u w:val="single"/>
        </w:rPr>
        <w:fldChar w:fldCharType="end"/>
      </w:r>
      <w:r>
        <w:rPr>
          <w:rFonts w:hint="eastAsia" w:ascii="仿宋_GB2312" w:hAnsi="仿宋_GB2312" w:eastAsia="仿宋_GB2312" w:cs="仿宋_GB2312"/>
          <w:kern w:val="0"/>
          <w:sz w:val="18"/>
          <w:szCs w:val="18"/>
          <w:highlight w:val="none"/>
          <w:u w:val="single"/>
        </w:rPr>
        <w:t>施工组织措施费在招标范围未发生变化情况下，按投标报价包干。在招标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按上述方法予以扣除</w:t>
      </w:r>
      <w:r>
        <w:rPr>
          <w:rFonts w:hint="eastAsia" w:ascii="仿宋_GB2312" w:hAnsi="仿宋_GB2312" w:eastAsia="仿宋_GB2312" w:cs="仿宋_GB2312"/>
          <w:b/>
          <w:kern w:val="0"/>
          <w:sz w:val="18"/>
          <w:szCs w:val="18"/>
          <w:highlight w:val="none"/>
          <w:u w:val="single"/>
        </w:rPr>
        <w:t>，</w:t>
      </w:r>
      <w:r>
        <w:rPr>
          <w:rFonts w:hint="eastAsia" w:ascii="仿宋_GB2312" w:hAnsi="仿宋_GB2312" w:eastAsia="仿宋_GB2312" w:cs="仿宋_GB2312"/>
          <w:kern w:val="0"/>
          <w:sz w:val="18"/>
          <w:szCs w:val="18"/>
          <w:highlight w:val="none"/>
          <w:u w:val="single"/>
        </w:rPr>
        <w:t>直至扣除所有施工组织措施费用。</w:t>
      </w:r>
    </w:p>
    <w:p w14:paraId="1F695234">
      <w:pPr>
        <w:autoSpaceDE w:val="0"/>
        <w:autoSpaceDN w:val="0"/>
        <w:adjustRightInd w:val="0"/>
        <w:ind w:firstLine="266" w:firstLineChars="148"/>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②</w:t>
      </w:r>
      <w:r>
        <w:rPr>
          <w:rFonts w:hint="eastAsia" w:ascii="仿宋_GB2312" w:hAnsi="仿宋_GB2312" w:eastAsia="仿宋_GB2312" w:cs="仿宋_GB2312"/>
          <w:b/>
          <w:kern w:val="0"/>
          <w:sz w:val="18"/>
          <w:szCs w:val="18"/>
          <w:highlight w:val="none"/>
          <w:u w:val="single"/>
        </w:rPr>
        <w:t>技术措施费项目清单中已有的以项为单位的技术措施费包干（需提供监理签证现场发生的实际情况并附相关证明材料为准，偏差10%以上按实计入）；</w:t>
      </w:r>
      <w:r>
        <w:rPr>
          <w:rFonts w:hint="eastAsia" w:ascii="仿宋_GB2312" w:hAnsi="仿宋_GB2312" w:eastAsia="仿宋_GB2312" w:cs="仿宋_GB2312"/>
          <w:kern w:val="0"/>
          <w:sz w:val="18"/>
          <w:szCs w:val="18"/>
          <w:highlight w:val="none"/>
          <w:u w:val="single"/>
        </w:rPr>
        <w:t>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5BE7F632">
      <w:pPr>
        <w:autoSpaceDE w:val="0"/>
        <w:autoSpaceDN w:val="0"/>
        <w:adjustRightInd w:val="0"/>
        <w:ind w:firstLine="270" w:firstLineChars="15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27583184">
      <w:pPr>
        <w:autoSpaceDE w:val="0"/>
        <w:autoSpaceDN w:val="0"/>
        <w:adjustRightInd w:val="0"/>
        <w:ind w:firstLine="266" w:firstLineChars="148"/>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④当承包人的投标报价明显高于同期市场价格水平，发包人将保留重新估价的权力，其相应单价的计算方法具体按10.4.1款约定（3）执行。</w:t>
      </w:r>
    </w:p>
    <w:p w14:paraId="4175E09E">
      <w:pPr>
        <w:autoSpaceDE w:val="0"/>
        <w:autoSpaceDN w:val="0"/>
        <w:adjustRightInd w:val="0"/>
        <w:ind w:firstLine="266" w:firstLineChars="148"/>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⑤施工中如承包人遇材料因实际情况需要变更，不得降低品质，并且须经发包方、监理方、使用人同意，材料变更应在招标文件选定的品牌、规格范围内，单价不应突破原材料投标报价。</w:t>
      </w:r>
    </w:p>
    <w:p w14:paraId="2999B84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Start w:id="1154" w:name="_Toc297120497"/>
      <w:bookmarkStart w:id="1155" w:name="_Toc296891237"/>
      <w:bookmarkStart w:id="1156" w:name="_Toc303539150"/>
      <w:bookmarkStart w:id="1157" w:name="_Toc297123544"/>
      <w:bookmarkStart w:id="1158" w:name="_Toc296347196"/>
      <w:bookmarkStart w:id="1159" w:name="_Toc297216203"/>
      <w:bookmarkStart w:id="1160" w:name="_Toc292559907"/>
      <w:bookmarkStart w:id="1161" w:name="_Toc296503197"/>
      <w:bookmarkStart w:id="1162" w:name="_Toc297048383"/>
      <w:bookmarkStart w:id="1163" w:name="_Toc300934993"/>
      <w:bookmarkStart w:id="1164" w:name="_Toc296891025"/>
      <w:bookmarkStart w:id="1165" w:name="_Toc296944536"/>
      <w:bookmarkStart w:id="1166" w:name="_Toc292559402"/>
      <w:bookmarkStart w:id="1167" w:name="_Toc296346698"/>
      <w:bookmarkStart w:id="1168" w:name="_Toc312677503"/>
      <w:bookmarkStart w:id="1169" w:name="_Toc304295570"/>
      <w:bookmarkStart w:id="1170" w:name="_Toc312678029"/>
      <w:r>
        <w:rPr>
          <w:rFonts w:hint="eastAsia" w:ascii="仿宋_GB2312" w:hAnsi="仿宋_GB2312" w:eastAsia="仿宋_GB2312" w:cs="仿宋_GB2312"/>
          <w:color w:val="000000"/>
          <w:sz w:val="18"/>
          <w:szCs w:val="18"/>
          <w:highlight w:val="none"/>
        </w:rPr>
        <w:t>0.</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承</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Start w:id="1171" w:name="_Toc296347202"/>
      <w:bookmarkStart w:id="1172" w:name="_Toc303539151"/>
      <w:bookmarkStart w:id="1173" w:name="_Toc296944542"/>
      <w:bookmarkStart w:id="1174" w:name="_Toc296346704"/>
      <w:bookmarkStart w:id="1175" w:name="_Toc297216204"/>
      <w:bookmarkStart w:id="1176" w:name="_Toc296503203"/>
      <w:bookmarkStart w:id="1177" w:name="_Toc296891031"/>
      <w:bookmarkStart w:id="1178" w:name="_Toc296891243"/>
      <w:bookmarkStart w:id="1179" w:name="_Toc297120503"/>
      <w:bookmarkStart w:id="1180" w:name="_Toc300934994"/>
      <w:bookmarkStart w:id="1181" w:name="_Toc297123545"/>
      <w:bookmarkStart w:id="1182" w:name="_Toc292559408"/>
      <w:bookmarkStart w:id="1183" w:name="_Toc292559913"/>
      <w:bookmarkStart w:id="1184" w:name="_Toc297048389"/>
      <w:r>
        <w:rPr>
          <w:rFonts w:hint="eastAsia" w:ascii="仿宋_GB2312" w:hAnsi="仿宋_GB2312" w:eastAsia="仿宋_GB2312" w:cs="仿宋_GB2312"/>
          <w:color w:val="000000"/>
          <w:sz w:val="18"/>
          <w:szCs w:val="18"/>
          <w:highlight w:val="none"/>
        </w:rPr>
        <w:t>包人的合理化建议</w:t>
      </w:r>
    </w:p>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14:paraId="16AF99E2">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监理人审查承包人合理化建议的期限：</w:t>
      </w:r>
      <w:r>
        <w:rPr>
          <w:rFonts w:hint="eastAsia" w:ascii="仿宋_GB2312" w:hAnsi="仿宋_GB2312" w:eastAsia="仿宋_GB2312" w:cs="仿宋_GB2312"/>
          <w:sz w:val="18"/>
          <w:szCs w:val="18"/>
          <w:highlight w:val="none"/>
          <w:u w:val="single"/>
        </w:rPr>
        <w:t xml:space="preserve">按通用条款执行      </w:t>
      </w:r>
      <w:r>
        <w:rPr>
          <w:rFonts w:hint="eastAsia" w:ascii="仿宋_GB2312" w:hAnsi="仿宋_GB2312" w:eastAsia="仿宋_GB2312" w:cs="仿宋_GB2312"/>
          <w:sz w:val="18"/>
          <w:szCs w:val="18"/>
          <w:highlight w:val="none"/>
        </w:rPr>
        <w:t>。</w:t>
      </w:r>
    </w:p>
    <w:p w14:paraId="3EA8F132">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发包人审批承包人合理化建议的期限：</w:t>
      </w:r>
      <w:r>
        <w:rPr>
          <w:rFonts w:hint="eastAsia" w:ascii="仿宋_GB2312" w:hAnsi="仿宋_GB2312" w:eastAsia="仿宋_GB2312" w:cs="仿宋_GB2312"/>
          <w:sz w:val="18"/>
          <w:szCs w:val="18"/>
          <w:highlight w:val="none"/>
          <w:u w:val="single"/>
        </w:rPr>
        <w:t xml:space="preserve">按通用条款执行      </w:t>
      </w:r>
      <w:r>
        <w:rPr>
          <w:rFonts w:hint="eastAsia" w:ascii="仿宋_GB2312" w:hAnsi="仿宋_GB2312" w:eastAsia="仿宋_GB2312" w:cs="仿宋_GB2312"/>
          <w:sz w:val="18"/>
          <w:szCs w:val="18"/>
          <w:highlight w:val="none"/>
        </w:rPr>
        <w:t>。</w:t>
      </w:r>
    </w:p>
    <w:p w14:paraId="2F2E7303">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承</w:t>
      </w:r>
      <w:bookmarkStart w:id="1185" w:name="_Toc296944543"/>
      <w:bookmarkStart w:id="1186" w:name="_Toc304295571"/>
      <w:bookmarkStart w:id="1187" w:name="_Toc296891244"/>
      <w:bookmarkStart w:id="1188" w:name="_Toc300934995"/>
      <w:bookmarkStart w:id="1189" w:name="_Toc296347203"/>
      <w:bookmarkStart w:id="1190" w:name="_Toc318581175"/>
      <w:bookmarkStart w:id="1191" w:name="_Toc292559409"/>
      <w:bookmarkStart w:id="1192" w:name="_Toc297123546"/>
      <w:bookmarkStart w:id="1193" w:name="_Toc312678030"/>
      <w:bookmarkStart w:id="1194" w:name="_Toc292559914"/>
      <w:bookmarkStart w:id="1195" w:name="_Toc297048390"/>
      <w:bookmarkStart w:id="1196" w:name="_Toc296346705"/>
      <w:bookmarkStart w:id="1197" w:name="_Toc303539152"/>
      <w:bookmarkStart w:id="1198" w:name="_Toc296503204"/>
      <w:bookmarkStart w:id="1199" w:name="_Toc296891032"/>
      <w:bookmarkStart w:id="1200" w:name="_Toc297216205"/>
      <w:bookmarkStart w:id="1201" w:name="_Toc312677504"/>
      <w:bookmarkStart w:id="1202" w:name="_Toc297120504"/>
      <w:r>
        <w:rPr>
          <w:rFonts w:hint="eastAsia" w:ascii="仿宋_GB2312" w:hAnsi="仿宋_GB2312" w:eastAsia="仿宋_GB2312" w:cs="仿宋_GB2312"/>
          <w:sz w:val="18"/>
          <w:szCs w:val="18"/>
          <w:highlight w:val="none"/>
        </w:rPr>
        <w:t>包人提出的合理化建议降低了合同价格或者提高了工程经济效益的奖励的方法和金额为：</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sz w:val="18"/>
          <w:szCs w:val="18"/>
          <w:highlight w:val="none"/>
        </w:rPr>
        <w:t>。</w:t>
      </w:r>
    </w:p>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14:paraId="694CADF2">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bookmarkStart w:id="1203" w:name="_Toc296891239"/>
      <w:bookmarkStart w:id="1204" w:name="_Toc296944538"/>
      <w:bookmarkStart w:id="1205" w:name="_Toc296891027"/>
      <w:bookmarkStart w:id="1206" w:name="_Toc297123548"/>
      <w:bookmarkStart w:id="1207" w:name="_Toc296347198"/>
      <w:bookmarkStart w:id="1208" w:name="_Toc312677507"/>
      <w:bookmarkStart w:id="1209" w:name="_Toc292559909"/>
      <w:bookmarkStart w:id="1210" w:name="_Toc300934997"/>
      <w:bookmarkStart w:id="1211" w:name="_Toc297120499"/>
      <w:bookmarkStart w:id="1212" w:name="_Toc292559404"/>
      <w:bookmarkStart w:id="1213" w:name="_Toc297048385"/>
      <w:bookmarkStart w:id="1214" w:name="_Toc312678033"/>
      <w:bookmarkStart w:id="1215" w:name="_Toc296346700"/>
      <w:bookmarkStart w:id="1216" w:name="_Toc297216207"/>
      <w:bookmarkStart w:id="1217" w:name="_Toc304295574"/>
      <w:bookmarkStart w:id="1218" w:name="_Toc303539154"/>
      <w:bookmarkStart w:id="1219" w:name="_Toc296503199"/>
      <w:r>
        <w:rPr>
          <w:rFonts w:hint="eastAsia" w:ascii="仿宋_GB2312" w:hAnsi="仿宋_GB2312" w:eastAsia="仿宋_GB2312" w:cs="仿宋_GB2312"/>
          <w:color w:val="000000"/>
          <w:sz w:val="18"/>
          <w:szCs w:val="18"/>
          <w:highlight w:val="none"/>
        </w:rPr>
        <w:t>0.</w:t>
      </w:r>
      <w:r>
        <w:rPr>
          <w:rFonts w:hint="eastAsia" w:ascii="仿宋_GB2312" w:hAnsi="仿宋_GB2312" w:eastAsia="仿宋_GB2312" w:cs="仿宋_GB2312"/>
          <w:color w:val="000000"/>
          <w:sz w:val="18"/>
          <w:szCs w:val="18"/>
          <w:highlight w:val="none"/>
          <w:lang w:val="en-US" w:eastAsia="zh-CN"/>
        </w:rPr>
        <w:t>4</w:t>
      </w:r>
      <w:r>
        <w:rPr>
          <w:rFonts w:hint="eastAsia" w:ascii="仿宋_GB2312" w:hAnsi="仿宋_GB2312" w:eastAsia="仿宋_GB2312" w:cs="仿宋_GB2312"/>
          <w:color w:val="000000"/>
          <w:sz w:val="18"/>
          <w:szCs w:val="18"/>
          <w:highlight w:val="none"/>
        </w:rPr>
        <w:t xml:space="preserve"> 暂估价</w:t>
      </w:r>
    </w:p>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14:paraId="7126137B">
      <w:pPr>
        <w:ind w:firstLine="360" w:firstLineChars="200"/>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本工程无相关暂估价材料和工程设备。</w:t>
      </w:r>
    </w:p>
    <w:p w14:paraId="27A3DA6F">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bookmarkStart w:id="1220" w:name="_Toc318581177"/>
      <w:bookmarkStart w:id="1221" w:name="_Toc312678035"/>
      <w:bookmarkStart w:id="1222" w:name="_Toc312677509"/>
      <w:r>
        <w:rPr>
          <w:rFonts w:hint="eastAsia" w:ascii="仿宋_GB2312" w:hAnsi="仿宋_GB2312" w:eastAsia="仿宋_GB2312" w:cs="仿宋_GB2312"/>
          <w:sz w:val="18"/>
          <w:szCs w:val="18"/>
          <w:highlight w:val="none"/>
        </w:rPr>
        <w:t>0.</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.1 依法必须招标的暂估价项目</w:t>
      </w:r>
    </w:p>
    <w:bookmarkEnd w:id="1220"/>
    <w:bookmarkEnd w:id="1221"/>
    <w:bookmarkEnd w:id="1222"/>
    <w:p w14:paraId="6D29E972">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对于依法必须招标的暂估价项目的确认和批准采取第</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种方式确定。</w:t>
      </w:r>
    </w:p>
    <w:p w14:paraId="6955CBFB">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.2 不属于依法必须招标的暂估价项目</w:t>
      </w:r>
    </w:p>
    <w:p w14:paraId="2FBF67A1">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对于不属于依法必须招标的暂估价项目的确认和批准采取第</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 xml:space="preserve"> 种方式确定。</w:t>
      </w:r>
    </w:p>
    <w:p w14:paraId="5FEB448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第3种方式：</w:t>
      </w:r>
      <w:r>
        <w:rPr>
          <w:rFonts w:hint="eastAsia" w:ascii="仿宋_GB2312" w:hAnsi="仿宋_GB2312" w:eastAsia="仿宋_GB2312" w:cs="仿宋_GB2312"/>
          <w:color w:val="000000"/>
          <w:kern w:val="0"/>
          <w:sz w:val="18"/>
          <w:szCs w:val="18"/>
          <w:highlight w:val="none"/>
        </w:rPr>
        <w:t>承包人直接实施的暂估价项目</w:t>
      </w:r>
    </w:p>
    <w:p w14:paraId="36A5ADD8">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承包人直接实施的暂估价项目的约定：</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w:t>
      </w:r>
    </w:p>
    <w:p w14:paraId="3A162E4E">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 xml:space="preserve"> 暂列金额</w:t>
      </w:r>
    </w:p>
    <w:p w14:paraId="1073E752">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合同当事人关于暂列金额使用的约定：</w:t>
      </w:r>
      <w:r>
        <w:rPr>
          <w:rFonts w:hint="eastAsia" w:ascii="仿宋_GB2312" w:hAnsi="仿宋_GB2312" w:eastAsia="仿宋_GB2312" w:cs="仿宋_GB2312"/>
          <w:sz w:val="18"/>
          <w:szCs w:val="18"/>
          <w:highlight w:val="none"/>
          <w:u w:val="single"/>
        </w:rPr>
        <w:t>按照发包人的要求使用</w:t>
      </w:r>
      <w:r>
        <w:rPr>
          <w:rFonts w:hint="eastAsia" w:ascii="仿宋_GB2312" w:hAnsi="仿宋_GB2312" w:eastAsia="仿宋_GB2312" w:cs="仿宋_GB2312"/>
          <w:color w:val="000000"/>
          <w:kern w:val="0"/>
          <w:sz w:val="18"/>
          <w:szCs w:val="18"/>
          <w:highlight w:val="none"/>
        </w:rPr>
        <w:t>。</w:t>
      </w:r>
    </w:p>
    <w:p w14:paraId="45C3F092">
      <w:pPr>
        <w:pStyle w:val="5"/>
        <w:spacing w:before="120" w:after="120" w:line="240" w:lineRule="auto"/>
        <w:rPr>
          <w:rFonts w:ascii="仿宋_GB2312" w:hAnsi="仿宋_GB2312" w:eastAsia="仿宋_GB2312" w:cs="仿宋_GB2312"/>
          <w:b w:val="0"/>
          <w:color w:val="000000"/>
          <w:sz w:val="18"/>
          <w:szCs w:val="18"/>
          <w:highlight w:val="none"/>
        </w:rPr>
      </w:pPr>
      <w:bookmarkStart w:id="1223" w:name="_Toc351203643"/>
      <w:r>
        <w:rPr>
          <w:rFonts w:hint="eastAsia" w:ascii="仿宋_GB2312" w:hAnsi="仿宋_GB2312" w:eastAsia="仿宋_GB2312" w:cs="仿宋_GB2312"/>
          <w:b w:val="0"/>
          <w:color w:val="000000"/>
          <w:sz w:val="18"/>
          <w:szCs w:val="18"/>
          <w:highlight w:val="none"/>
        </w:rPr>
        <w:t>11. 价格调整</w:t>
      </w:r>
      <w:bookmarkEnd w:id="1223"/>
    </w:p>
    <w:p w14:paraId="26CDAF11">
      <w:pPr>
        <w:spacing w:after="120"/>
        <w:ind w:firstLine="360" w:firstLineChars="200"/>
        <w:rPr>
          <w:rFonts w:ascii="仿宋_GB2312" w:hAnsi="仿宋_GB2312" w:eastAsia="仿宋_GB2312" w:cs="仿宋_GB2312"/>
          <w:color w:val="000000"/>
          <w:sz w:val="18"/>
          <w:szCs w:val="18"/>
          <w:highlight w:val="none"/>
        </w:rPr>
      </w:pPr>
      <w:bookmarkStart w:id="1224" w:name="_Toc296347200"/>
      <w:bookmarkStart w:id="1225" w:name="_Toc296891241"/>
      <w:bookmarkStart w:id="1226" w:name="_Toc297048387"/>
      <w:bookmarkStart w:id="1227" w:name="_Toc303539157"/>
      <w:bookmarkStart w:id="1228" w:name="_Toc296891029"/>
      <w:bookmarkStart w:id="1229" w:name="_Toc297123550"/>
      <w:bookmarkStart w:id="1230" w:name="_Toc297216209"/>
      <w:bookmarkStart w:id="1231" w:name="_Toc296503201"/>
      <w:bookmarkStart w:id="1232" w:name="_Toc296346702"/>
      <w:bookmarkStart w:id="1233" w:name="_Toc292559406"/>
      <w:bookmarkStart w:id="1234" w:name="_Toc297120501"/>
      <w:bookmarkStart w:id="1235" w:name="_Toc312678039"/>
      <w:bookmarkStart w:id="1236" w:name="_Toc304295577"/>
      <w:bookmarkStart w:id="1237" w:name="_Toc292559911"/>
      <w:bookmarkStart w:id="1238" w:name="_Toc296944540"/>
      <w:bookmarkStart w:id="1239" w:name="_Toc300935000"/>
      <w:r>
        <w:rPr>
          <w:rFonts w:hint="eastAsia" w:ascii="仿宋_GB2312" w:hAnsi="仿宋_GB2312" w:eastAsia="仿宋_GB2312" w:cs="仿宋_GB2312"/>
          <w:color w:val="000000"/>
          <w:sz w:val="18"/>
          <w:szCs w:val="18"/>
          <w:highlight w:val="none"/>
        </w:rPr>
        <w:t>11.1 市场价格波动引起的调整</w:t>
      </w:r>
    </w:p>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14:paraId="7818ABB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市场价格波动是否调整合同价格的约定：</w:t>
      </w:r>
      <w:r>
        <w:rPr>
          <w:rFonts w:hint="eastAsia" w:ascii="仿宋_GB2312" w:hAnsi="仿宋_GB2312" w:eastAsia="仿宋_GB2312" w:cs="仿宋_GB2312"/>
          <w:sz w:val="18"/>
          <w:szCs w:val="18"/>
          <w:highlight w:val="none"/>
          <w:u w:val="single"/>
        </w:rPr>
        <w:t xml:space="preserve">  是           </w:t>
      </w:r>
      <w:r>
        <w:rPr>
          <w:rFonts w:hint="eastAsia" w:ascii="仿宋_GB2312" w:hAnsi="仿宋_GB2312" w:eastAsia="仿宋_GB2312" w:cs="仿宋_GB2312"/>
          <w:sz w:val="18"/>
          <w:szCs w:val="18"/>
          <w:highlight w:val="none"/>
        </w:rPr>
        <w:t>。</w:t>
      </w:r>
    </w:p>
    <w:p w14:paraId="7D14B27B">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因市场价格波动调整合同价格，采用以下</w:t>
      </w:r>
      <w:r>
        <w:rPr>
          <w:rFonts w:hint="eastAsia" w:ascii="仿宋_GB2312" w:hAnsi="仿宋_GB2312" w:eastAsia="仿宋_GB2312" w:cs="仿宋_GB2312"/>
          <w:sz w:val="18"/>
          <w:szCs w:val="18"/>
          <w:highlight w:val="none"/>
        </w:rPr>
        <w:t>第</w:t>
      </w:r>
      <w:r>
        <w:rPr>
          <w:rFonts w:hint="eastAsia" w:ascii="仿宋_GB2312" w:hAnsi="仿宋_GB2312" w:eastAsia="仿宋_GB2312" w:cs="仿宋_GB2312"/>
          <w:sz w:val="18"/>
          <w:szCs w:val="18"/>
          <w:highlight w:val="none"/>
          <w:u w:val="single"/>
        </w:rPr>
        <w:t xml:space="preserve">  3  </w:t>
      </w:r>
      <w:r>
        <w:rPr>
          <w:rFonts w:hint="eastAsia" w:ascii="仿宋_GB2312" w:hAnsi="仿宋_GB2312" w:eastAsia="仿宋_GB2312" w:cs="仿宋_GB2312"/>
          <w:color w:val="000000"/>
          <w:sz w:val="18"/>
          <w:szCs w:val="18"/>
          <w:highlight w:val="none"/>
        </w:rPr>
        <w:t>种方式对合同价格进行调整：</w:t>
      </w:r>
    </w:p>
    <w:p w14:paraId="2C3E8D42">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第1种方式：采用价格指数进行价格调整。</w:t>
      </w:r>
    </w:p>
    <w:p w14:paraId="1ABE99F8">
      <w:pPr>
        <w:ind w:firstLine="360" w:firstLineChars="200"/>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关于各可调因子、定值和变值权重，以及基本价格指数及其来源的约定：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 xml:space="preserve">；  </w:t>
      </w:r>
    </w:p>
    <w:p w14:paraId="36C7181A">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第2种方式：采用造价信息进行价格调整。</w:t>
      </w:r>
    </w:p>
    <w:p w14:paraId="27B62E0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（2）关于基准价格的约定：</w:t>
      </w:r>
      <w:r>
        <w:rPr>
          <w:rFonts w:hint="eastAsia" w:ascii="仿宋_GB2312" w:hAnsi="仿宋_GB2312" w:eastAsia="仿宋_GB2312" w:cs="仿宋_GB2312"/>
          <w:sz w:val="18"/>
          <w:szCs w:val="18"/>
          <w:highlight w:val="none"/>
          <w:u w:val="single"/>
        </w:rPr>
        <w:t xml:space="preserve">         /             </w:t>
      </w:r>
      <w:r>
        <w:rPr>
          <w:rFonts w:hint="eastAsia" w:ascii="仿宋_GB2312" w:hAnsi="仿宋_GB2312" w:eastAsia="仿宋_GB2312" w:cs="仿宋_GB2312"/>
          <w:sz w:val="18"/>
          <w:szCs w:val="18"/>
          <w:highlight w:val="none"/>
        </w:rPr>
        <w:t>。</w:t>
      </w:r>
    </w:p>
    <w:p w14:paraId="61CD3C6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%时，或材料单价跌幅以已标价工程量清单或预算书中载明材料单价为基础超过</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%时，其超过部分据实调整。</w:t>
      </w:r>
    </w:p>
    <w:p w14:paraId="74F7FF6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%时，材料单价涨幅以已标价工程量清单或预算书中载明材料单价为基础超过</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%时，其超过部分据实调整。</w:t>
      </w:r>
    </w:p>
    <w:p w14:paraId="531B7B7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%时，其超过部分据实调整。</w:t>
      </w:r>
    </w:p>
    <w:p w14:paraId="30B60E9E">
      <w:pPr>
        <w:ind w:firstLine="645"/>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第3种方式：</w:t>
      </w:r>
    </w:p>
    <w:p w14:paraId="21CEBD3D">
      <w:pPr>
        <w:ind w:firstLine="645"/>
        <w:jc w:val="left"/>
        <w:rPr>
          <w:rFonts w:ascii="仿宋_GB2312" w:hAnsi="仿宋_GB2312" w:eastAsia="仿宋_GB2312" w:cs="仿宋_GB2312"/>
          <w:b/>
          <w:sz w:val="18"/>
          <w:szCs w:val="18"/>
          <w:highlight w:val="none"/>
        </w:rPr>
      </w:pPr>
      <w:r>
        <w:rPr>
          <w:rFonts w:hint="eastAsia" w:ascii="仿宋_GB2312" w:hAnsi="仿宋_GB2312" w:eastAsia="仿宋_GB2312" w:cs="仿宋_GB2312"/>
          <w:b/>
          <w:color w:val="000000"/>
          <w:sz w:val="18"/>
          <w:szCs w:val="18"/>
          <w:highlight w:val="none"/>
        </w:rPr>
        <w:t>其他价格调整方式：</w:t>
      </w:r>
      <w:r>
        <w:rPr>
          <w:rFonts w:hint="eastAsia" w:ascii="仿宋_GB2312" w:hAnsi="仿宋_GB2312" w:eastAsia="仿宋_GB2312" w:cs="仿宋_GB2312"/>
          <w:b/>
          <w:sz w:val="18"/>
          <w:szCs w:val="18"/>
          <w:highlight w:val="none"/>
        </w:rPr>
        <w:t>采用政策性文件进行价格调整。</w:t>
      </w:r>
    </w:p>
    <w:p w14:paraId="36439382">
      <w:pPr>
        <w:ind w:firstLine="645"/>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政府投资工程因市场价格波动引起的调整按以下</w:t>
      </w:r>
      <w:r>
        <w:rPr>
          <w:rFonts w:hint="eastAsia" w:ascii="仿宋_GB2312" w:hAnsi="仿宋_GB2312" w:eastAsia="仿宋_GB2312" w:cs="仿宋_GB2312"/>
          <w:b/>
          <w:sz w:val="18"/>
          <w:szCs w:val="18"/>
          <w:highlight w:val="none"/>
          <w:u w:val="single"/>
        </w:rPr>
        <w:t>第（一）种方式</w:t>
      </w:r>
      <w:r>
        <w:rPr>
          <w:rFonts w:hint="eastAsia" w:ascii="仿宋_GB2312" w:hAnsi="仿宋_GB2312" w:eastAsia="仿宋_GB2312" w:cs="仿宋_GB2312"/>
          <w:b/>
          <w:sz w:val="18"/>
          <w:szCs w:val="18"/>
          <w:highlight w:val="none"/>
        </w:rPr>
        <w:t>约定执行：</w:t>
      </w:r>
    </w:p>
    <w:p w14:paraId="40CB43CC">
      <w:pPr>
        <w:ind w:firstLine="645"/>
        <w:jc w:val="left"/>
        <w:outlineLvl w:val="0"/>
        <w:rPr>
          <w:rFonts w:ascii="仿宋_GB2312" w:hAnsi="仿宋_GB2312" w:eastAsia="仿宋_GB2312" w:cs="仿宋_GB2312"/>
          <w:b/>
          <w:sz w:val="18"/>
          <w:szCs w:val="18"/>
          <w:highlight w:val="none"/>
          <w:u w:val="single"/>
        </w:rPr>
      </w:pPr>
      <w:bookmarkStart w:id="1240" w:name="_Toc1382"/>
      <w:bookmarkStart w:id="1241" w:name="_Toc21806"/>
      <w:r>
        <w:rPr>
          <w:rFonts w:hint="eastAsia" w:ascii="仿宋_GB2312" w:hAnsi="仿宋_GB2312" w:eastAsia="仿宋_GB2312" w:cs="仿宋_GB2312"/>
          <w:b/>
          <w:sz w:val="18"/>
          <w:szCs w:val="18"/>
          <w:highlight w:val="none"/>
          <w:u w:val="single"/>
        </w:rPr>
        <w:t>（一）按《关于进一步加强杭州市建设工程市场要素价格动态管理的指导意见》[江住建局〔2014〕56号]执行</w:t>
      </w:r>
      <w:r>
        <w:rPr>
          <w:rFonts w:hint="eastAsia" w:ascii="仿宋_GB2312" w:hAnsi="仿宋_GB2312" w:eastAsia="仿宋_GB2312" w:cs="仿宋_GB2312"/>
          <w:b/>
          <w:sz w:val="18"/>
          <w:szCs w:val="18"/>
          <w:highlight w:val="none"/>
        </w:rPr>
        <w:t>；</w:t>
      </w:r>
      <w:bookmarkEnd w:id="1240"/>
      <w:bookmarkEnd w:id="1241"/>
    </w:p>
    <w:p w14:paraId="53C890D2">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（二）其他：   /      </w:t>
      </w:r>
      <w:r>
        <w:rPr>
          <w:rFonts w:hint="eastAsia" w:ascii="仿宋_GB2312" w:hAnsi="仿宋_GB2312" w:eastAsia="仿宋_GB2312" w:cs="仿宋_GB2312"/>
          <w:b/>
          <w:sz w:val="18"/>
          <w:szCs w:val="18"/>
          <w:highlight w:val="none"/>
        </w:rPr>
        <w:t>。</w:t>
      </w:r>
    </w:p>
    <w:p w14:paraId="698492C0">
      <w:pPr>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 xml:space="preserve">    其中：</w:t>
      </w:r>
    </w:p>
    <w:p w14:paraId="6C88A9C0">
      <w:pPr>
        <w:ind w:firstLine="645"/>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1、风险范围及幅度的约定：</w:t>
      </w:r>
    </w:p>
    <w:p w14:paraId="190F2B0A">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（1）人工费的风险幅度（5%）</w:t>
      </w:r>
    </w:p>
    <w:p w14:paraId="7346D4B4">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（2）材料价格的风险幅度（5%）</w:t>
      </w:r>
    </w:p>
    <w:p w14:paraId="38690E03">
      <w:pPr>
        <w:ind w:firstLine="645"/>
        <w:jc w:val="left"/>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2、材料价款动态调整结算方式采用以下</w:t>
      </w:r>
      <w:r>
        <w:rPr>
          <w:rFonts w:hint="eastAsia" w:ascii="仿宋_GB2312" w:hAnsi="仿宋_GB2312" w:eastAsia="仿宋_GB2312" w:cs="仿宋_GB2312"/>
          <w:b/>
          <w:sz w:val="18"/>
          <w:szCs w:val="18"/>
          <w:highlight w:val="none"/>
          <w:u w:val="single"/>
        </w:rPr>
        <w:t>第（3）种方式</w:t>
      </w:r>
      <w:r>
        <w:rPr>
          <w:rFonts w:hint="eastAsia" w:ascii="仿宋_GB2312" w:hAnsi="仿宋_GB2312" w:eastAsia="仿宋_GB2312" w:cs="仿宋_GB2312"/>
          <w:b/>
          <w:sz w:val="18"/>
          <w:szCs w:val="18"/>
          <w:highlight w:val="none"/>
        </w:rPr>
        <w:t>约定：</w:t>
      </w:r>
    </w:p>
    <w:p w14:paraId="10C265F4">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（1）按时间进度分段结算：  /                        </w:t>
      </w:r>
      <w:r>
        <w:rPr>
          <w:rFonts w:hint="eastAsia" w:ascii="仿宋_GB2312" w:hAnsi="仿宋_GB2312" w:eastAsia="仿宋_GB2312" w:cs="仿宋_GB2312"/>
          <w:b/>
          <w:sz w:val="18"/>
          <w:szCs w:val="18"/>
          <w:highlight w:val="none"/>
        </w:rPr>
        <w:t>。</w:t>
      </w:r>
    </w:p>
    <w:p w14:paraId="0997DECA">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（2）按工程形象部位(目标)分段结算：/               </w:t>
      </w:r>
      <w:r>
        <w:rPr>
          <w:rFonts w:hint="eastAsia" w:ascii="仿宋_GB2312" w:hAnsi="仿宋_GB2312" w:eastAsia="仿宋_GB2312" w:cs="仿宋_GB2312"/>
          <w:b/>
          <w:sz w:val="18"/>
          <w:szCs w:val="18"/>
          <w:highlight w:val="none"/>
        </w:rPr>
        <w:t xml:space="preserve"> 。</w:t>
      </w:r>
    </w:p>
    <w:p w14:paraId="09C7989D">
      <w:pPr>
        <w:ind w:firstLine="645"/>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 xml:space="preserve">（3）竣工后一次性结算                              </w:t>
      </w:r>
      <w:r>
        <w:rPr>
          <w:rFonts w:hint="eastAsia" w:ascii="仿宋_GB2312" w:hAnsi="仿宋_GB2312" w:eastAsia="仿宋_GB2312" w:cs="仿宋_GB2312"/>
          <w:b/>
          <w:sz w:val="18"/>
          <w:szCs w:val="18"/>
          <w:highlight w:val="none"/>
        </w:rPr>
        <w:t xml:space="preserve"> 。</w:t>
      </w:r>
    </w:p>
    <w:bookmarkEnd w:id="1130"/>
    <w:bookmarkEnd w:id="1131"/>
    <w:bookmarkEnd w:id="1132"/>
    <w:bookmarkEnd w:id="1133"/>
    <w:bookmarkEnd w:id="1134"/>
    <w:bookmarkEnd w:id="1135"/>
    <w:p w14:paraId="5E811BE2">
      <w:pPr>
        <w:pStyle w:val="5"/>
        <w:spacing w:before="120" w:after="120" w:line="240" w:lineRule="auto"/>
        <w:rPr>
          <w:rFonts w:ascii="仿宋_GB2312" w:hAnsi="仿宋_GB2312" w:eastAsia="仿宋_GB2312" w:cs="仿宋_GB2312"/>
          <w:b w:val="0"/>
          <w:color w:val="000000"/>
          <w:sz w:val="18"/>
          <w:szCs w:val="18"/>
          <w:highlight w:val="none"/>
        </w:rPr>
      </w:pPr>
      <w:bookmarkStart w:id="1242" w:name="_Toc296891245"/>
      <w:bookmarkStart w:id="1243" w:name="_Toc297048391"/>
      <w:bookmarkStart w:id="1244" w:name="_Toc296346706"/>
      <w:bookmarkStart w:id="1245" w:name="_Toc296347204"/>
      <w:bookmarkStart w:id="1246" w:name="_Toc296891033"/>
      <w:bookmarkStart w:id="1247" w:name="_Toc297120505"/>
      <w:bookmarkStart w:id="1248" w:name="_Toc296944544"/>
      <w:bookmarkStart w:id="1249" w:name="_Toc292559915"/>
      <w:bookmarkStart w:id="1250" w:name="_Toc296503205"/>
      <w:bookmarkStart w:id="1251" w:name="_Toc292559410"/>
      <w:bookmarkStart w:id="1252" w:name="_Toc351203644"/>
      <w:bookmarkStart w:id="1253" w:name="_Toc297123552"/>
      <w:bookmarkStart w:id="1254" w:name="_Toc303539159"/>
      <w:bookmarkStart w:id="1255" w:name="_Toc304295579"/>
      <w:bookmarkStart w:id="1256" w:name="_Toc297216211"/>
      <w:bookmarkStart w:id="1257" w:name="_Toc300935002"/>
      <w:bookmarkStart w:id="1258" w:name="_Toc312678040"/>
      <w:r>
        <w:rPr>
          <w:rFonts w:hint="eastAsia" w:ascii="仿宋_GB2312" w:hAnsi="仿宋_GB2312" w:eastAsia="仿宋_GB2312" w:cs="仿宋_GB2312"/>
          <w:b w:val="0"/>
          <w:color w:val="000000"/>
          <w:sz w:val="18"/>
          <w:szCs w:val="18"/>
          <w:highlight w:val="none"/>
        </w:rPr>
        <w:t xml:space="preserve">12. </w:t>
      </w:r>
      <w:bookmarkEnd w:id="1242"/>
      <w:bookmarkEnd w:id="1243"/>
      <w:bookmarkEnd w:id="1244"/>
      <w:bookmarkEnd w:id="1245"/>
      <w:bookmarkEnd w:id="1246"/>
      <w:bookmarkEnd w:id="1247"/>
      <w:bookmarkEnd w:id="1248"/>
      <w:bookmarkEnd w:id="1249"/>
      <w:bookmarkEnd w:id="1250"/>
      <w:bookmarkEnd w:id="1251"/>
      <w:r>
        <w:rPr>
          <w:rFonts w:hint="eastAsia" w:ascii="仿宋_GB2312" w:hAnsi="仿宋_GB2312" w:eastAsia="仿宋_GB2312" w:cs="仿宋_GB2312"/>
          <w:b w:val="0"/>
          <w:color w:val="000000"/>
          <w:sz w:val="18"/>
          <w:szCs w:val="18"/>
          <w:highlight w:val="none"/>
        </w:rPr>
        <w:t>合同价格、计量与支付</w:t>
      </w:r>
      <w:bookmarkEnd w:id="1252"/>
    </w:p>
    <w:bookmarkEnd w:id="1253"/>
    <w:bookmarkEnd w:id="1254"/>
    <w:bookmarkEnd w:id="1255"/>
    <w:bookmarkEnd w:id="1256"/>
    <w:bookmarkEnd w:id="1257"/>
    <w:bookmarkEnd w:id="1258"/>
    <w:p w14:paraId="2E21925E">
      <w:pPr>
        <w:spacing w:after="120"/>
        <w:ind w:firstLine="360" w:firstLineChars="200"/>
        <w:rPr>
          <w:rFonts w:ascii="仿宋_GB2312" w:hAnsi="仿宋_GB2312" w:eastAsia="仿宋_GB2312" w:cs="仿宋_GB2312"/>
          <w:color w:val="000000"/>
          <w:sz w:val="18"/>
          <w:szCs w:val="18"/>
          <w:highlight w:val="none"/>
        </w:rPr>
      </w:pPr>
      <w:bookmarkStart w:id="1259" w:name="_Toc292559411"/>
      <w:bookmarkStart w:id="1260" w:name="_Toc267251461"/>
      <w:bookmarkStart w:id="1261" w:name="_Toc292559916"/>
      <w:bookmarkStart w:id="1262" w:name="_Toc296503206"/>
      <w:bookmarkStart w:id="1263" w:name="_Toc296891034"/>
      <w:bookmarkStart w:id="1264" w:name="_Toc296346707"/>
      <w:bookmarkStart w:id="1265" w:name="_Toc297120506"/>
      <w:bookmarkStart w:id="1266" w:name="_Toc296891246"/>
      <w:bookmarkStart w:id="1267" w:name="_Toc296347205"/>
      <w:bookmarkStart w:id="1268" w:name="_Toc296944545"/>
      <w:bookmarkStart w:id="1269" w:name="_Toc297048392"/>
      <w:bookmarkStart w:id="1270" w:name="_Toc303539160"/>
      <w:bookmarkStart w:id="1271" w:name="_Toc297216212"/>
      <w:bookmarkStart w:id="1272" w:name="_Toc300935003"/>
      <w:bookmarkStart w:id="1273" w:name="_Toc297123553"/>
      <w:bookmarkStart w:id="1274" w:name="_Toc312678041"/>
      <w:bookmarkStart w:id="1275" w:name="_Toc304295580"/>
      <w:r>
        <w:rPr>
          <w:rFonts w:hint="eastAsia" w:ascii="仿宋_GB2312" w:hAnsi="仿宋_GB2312" w:eastAsia="仿宋_GB2312" w:cs="仿宋_GB2312"/>
          <w:color w:val="000000"/>
          <w:sz w:val="18"/>
          <w:szCs w:val="18"/>
          <w:highlight w:val="none"/>
        </w:rPr>
        <w:t>12.1 合</w:t>
      </w:r>
      <w:bookmarkEnd w:id="1259"/>
      <w:bookmarkEnd w:id="1260"/>
      <w:bookmarkEnd w:id="1261"/>
      <w:r>
        <w:rPr>
          <w:rFonts w:hint="eastAsia" w:ascii="仿宋_GB2312" w:hAnsi="仿宋_GB2312" w:eastAsia="仿宋_GB2312" w:cs="仿宋_GB2312"/>
          <w:color w:val="000000"/>
          <w:sz w:val="18"/>
          <w:szCs w:val="18"/>
          <w:highlight w:val="none"/>
        </w:rPr>
        <w:t>同价</w:t>
      </w:r>
      <w:bookmarkEnd w:id="1262"/>
      <w:bookmarkEnd w:id="1263"/>
      <w:bookmarkEnd w:id="1264"/>
      <w:bookmarkEnd w:id="1265"/>
      <w:bookmarkEnd w:id="1266"/>
      <w:bookmarkEnd w:id="1267"/>
      <w:bookmarkEnd w:id="1268"/>
      <w:bookmarkEnd w:id="1269"/>
      <w:r>
        <w:rPr>
          <w:rFonts w:hint="eastAsia" w:ascii="仿宋_GB2312" w:hAnsi="仿宋_GB2312" w:eastAsia="仿宋_GB2312" w:cs="仿宋_GB2312"/>
          <w:color w:val="000000"/>
          <w:sz w:val="18"/>
          <w:szCs w:val="18"/>
          <w:highlight w:val="none"/>
        </w:rPr>
        <w:t>格形式</w:t>
      </w:r>
    </w:p>
    <w:bookmarkEnd w:id="1270"/>
    <w:bookmarkEnd w:id="1271"/>
    <w:bookmarkEnd w:id="1272"/>
    <w:bookmarkEnd w:id="1273"/>
    <w:bookmarkEnd w:id="1274"/>
    <w:bookmarkEnd w:id="1275"/>
    <w:p w14:paraId="41A5940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12.1.</w:t>
      </w:r>
      <w:r>
        <w:rPr>
          <w:rFonts w:hint="eastAsia" w:ascii="仿宋_GB2312" w:hAnsi="仿宋_GB2312" w:eastAsia="仿宋_GB2312" w:cs="仿宋_GB2312"/>
          <w:color w:val="000000"/>
          <w:sz w:val="18"/>
          <w:szCs w:val="18"/>
          <w:highlight w:val="none"/>
        </w:rPr>
        <w:t>1单价合同。</w:t>
      </w:r>
    </w:p>
    <w:p w14:paraId="5BC4EE4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综合单价包含的风险范围：</w:t>
      </w:r>
    </w:p>
    <w:p w14:paraId="5C203E3E">
      <w:pPr>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（1）</w:t>
      </w:r>
      <w:r>
        <w:rPr>
          <w:rFonts w:hint="eastAsia" w:ascii="仿宋_GB2312" w:hAnsi="仿宋_GB2312" w:eastAsia="仿宋_GB2312" w:cs="仿宋_GB2312"/>
          <w:b/>
          <w:sz w:val="18"/>
          <w:szCs w:val="18"/>
          <w:highlight w:val="none"/>
          <w:u w:val="single"/>
        </w:rPr>
        <w:t xml:space="preserve">应由承包人承担的工、料、机在投标编制期或预算书编制期与合同实施期间所发生的市场价格波动。 </w:t>
      </w:r>
    </w:p>
    <w:p w14:paraId="4494B11D">
      <w:pPr>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（2）</w:t>
      </w:r>
      <w:r>
        <w:rPr>
          <w:rFonts w:hint="eastAsia" w:ascii="仿宋_GB2312" w:hAnsi="仿宋_GB2312" w:eastAsia="仿宋_GB2312" w:cs="仿宋_GB2312"/>
          <w:b/>
          <w:sz w:val="18"/>
          <w:szCs w:val="18"/>
          <w:highlight w:val="none"/>
          <w:u w:val="single"/>
        </w:rPr>
        <w:t>其他：</w:t>
      </w:r>
    </w:p>
    <w:p w14:paraId="30EAA5E3">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A、工程所需、技术规范要求的所有施工组织措施费和承包人报价时补充的施工技术措施费都已包括在签约合同价中；</w:t>
      </w:r>
    </w:p>
    <w:p w14:paraId="061C7819">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 xml:space="preserve">B、所有招标文件或工程量清单明示要求报价的内容而承包商未予报价的，将被认为包含在合同总价中，结算时合同价款将不再追加； </w:t>
      </w:r>
    </w:p>
    <w:p w14:paraId="75AC2C4D">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C、承包人对工程现场环境以及发包人提供的招标文件、图纸等资料作出错误的推论、理解而导致报价失误，属于承包商风险，结算时合同价款将不予调整；</w:t>
      </w:r>
    </w:p>
    <w:p w14:paraId="65D52D7A">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D、国家政策变化以及一个有经验的承包人可以或应该能预见的风险；</w:t>
      </w:r>
    </w:p>
    <w:p w14:paraId="5698D993">
      <w:pPr>
        <w:ind w:firstLine="360"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sz w:val="18"/>
          <w:szCs w:val="18"/>
          <w:highlight w:val="none"/>
          <w:u w:val="single"/>
        </w:rPr>
        <w:t>E、其他招标文件及合同中明示的合同价款中包含的风险。除专用条款中约定可调整合同价款的因素为风险范围以外的因素外，其余因素均属于合同价款所包含的风险范围，均不影响本合同的固定价格</w:t>
      </w:r>
      <w:r>
        <w:rPr>
          <w:rFonts w:hint="eastAsia" w:ascii="仿宋_GB2312" w:hAnsi="仿宋_GB2312" w:eastAsia="仿宋_GB2312" w:cs="仿宋_GB2312"/>
          <w:b/>
          <w:sz w:val="18"/>
          <w:szCs w:val="18"/>
          <w:highlight w:val="none"/>
        </w:rPr>
        <w:t>。</w:t>
      </w:r>
    </w:p>
    <w:p w14:paraId="3009B5DF">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color w:val="000000"/>
          <w:sz w:val="18"/>
          <w:szCs w:val="18"/>
          <w:highlight w:val="none"/>
        </w:rPr>
        <w:t>风险费用的计算方法：</w:t>
      </w:r>
      <w:r>
        <w:rPr>
          <w:rFonts w:hint="eastAsia" w:ascii="仿宋_GB2312" w:hAnsi="仿宋_GB2312" w:eastAsia="仿宋_GB2312" w:cs="仿宋_GB2312"/>
          <w:sz w:val="18"/>
          <w:szCs w:val="18"/>
          <w:highlight w:val="none"/>
          <w:u w:val="single"/>
        </w:rPr>
        <w:t>以上风险范围之内费用已由承包人自行预测并计入投标总价中</w:t>
      </w:r>
      <w:r>
        <w:rPr>
          <w:rFonts w:hint="eastAsia" w:ascii="仿宋_GB2312" w:hAnsi="仿宋_GB2312" w:eastAsia="仿宋_GB2312" w:cs="仿宋_GB2312"/>
          <w:sz w:val="18"/>
          <w:szCs w:val="18"/>
          <w:highlight w:val="none"/>
        </w:rPr>
        <w:t>。</w:t>
      </w:r>
    </w:p>
    <w:p w14:paraId="4764927C">
      <w:pPr>
        <w:ind w:firstLine="376" w:firstLineChars="209"/>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风险范围以外合同价格的调整方法：</w:t>
      </w:r>
    </w:p>
    <w:p w14:paraId="5CA0CCB7">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（1）实物工程量数量按实调整；</w:t>
      </w:r>
    </w:p>
    <w:p w14:paraId="003965A8">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（2）市场价格波动引起的调整按本合同11.1第3种方式的约定计算。</w:t>
      </w:r>
    </w:p>
    <w:p w14:paraId="1F3C524D">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（3）重大设计变更引起的技术措施变更，如发包人批准其相应费用调整，竣工结算原则上可参照本合同10.4.1条款精神执行；</w:t>
      </w:r>
    </w:p>
    <w:p w14:paraId="13A1283E">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（4）其他：变更估价按本合同10.4.1的约定计算。</w:t>
      </w:r>
    </w:p>
    <w:p w14:paraId="78A6AD20">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12FA6F9A">
      <w:pPr>
        <w:ind w:firstLine="378" w:firstLineChars="209"/>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u w:val="single"/>
        </w:rPr>
        <w:t>（6）本工程结算造价以第三方审计单位审核为准。</w:t>
      </w:r>
    </w:p>
    <w:p w14:paraId="7568336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2、总价合同。</w:t>
      </w:r>
    </w:p>
    <w:p w14:paraId="1437C4F8">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总价包含的风险范围：</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33BCB047">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风险费用的计算方法：</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662D7CFC">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风险范围以外合同价格的调整方法：</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4C611E07">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3、其他价格方式：</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7DB52DD4">
      <w:pPr>
        <w:spacing w:after="120" w:line="310" w:lineRule="exact"/>
        <w:ind w:firstLine="360" w:firstLineChars="200"/>
        <w:rPr>
          <w:rFonts w:ascii="仿宋_GB2312" w:hAnsi="仿宋_GB2312" w:eastAsia="仿宋_GB2312" w:cs="仿宋_GB2312"/>
          <w:color w:val="000000"/>
          <w:sz w:val="18"/>
          <w:szCs w:val="18"/>
          <w:highlight w:val="none"/>
        </w:rPr>
      </w:pPr>
      <w:bookmarkStart w:id="1276" w:name="_Toc312678042"/>
      <w:bookmarkStart w:id="1277" w:name="_Toc297216213"/>
      <w:bookmarkStart w:id="1278" w:name="_Toc297123554"/>
      <w:bookmarkStart w:id="1279" w:name="_Toc300935004"/>
      <w:bookmarkStart w:id="1280" w:name="_Toc304295581"/>
      <w:bookmarkStart w:id="1281" w:name="_Toc303539161"/>
      <w:bookmarkStart w:id="1282" w:name="_Toc292559412"/>
      <w:bookmarkStart w:id="1283" w:name="_Toc297120507"/>
      <w:bookmarkStart w:id="1284" w:name="_Toc296346708"/>
      <w:bookmarkStart w:id="1285" w:name="_Toc297048393"/>
      <w:bookmarkStart w:id="1286" w:name="_Toc296503207"/>
      <w:bookmarkStart w:id="1287" w:name="_Toc296891035"/>
      <w:bookmarkStart w:id="1288" w:name="_Toc296944546"/>
      <w:bookmarkStart w:id="1289" w:name="_Toc296891247"/>
      <w:bookmarkStart w:id="1290" w:name="_Toc292559917"/>
      <w:bookmarkStart w:id="1291" w:name="_Toc296347206"/>
      <w:r>
        <w:rPr>
          <w:rFonts w:hint="eastAsia" w:ascii="仿宋_GB2312" w:hAnsi="仿宋_GB2312" w:eastAsia="仿宋_GB2312" w:cs="仿宋_GB2312"/>
          <w:color w:val="000000"/>
          <w:sz w:val="18"/>
          <w:szCs w:val="18"/>
          <w:highlight w:val="none"/>
        </w:rPr>
        <w:t>12.2 预付款</w:t>
      </w:r>
    </w:p>
    <w:bookmarkEnd w:id="1276"/>
    <w:bookmarkEnd w:id="1277"/>
    <w:bookmarkEnd w:id="1278"/>
    <w:bookmarkEnd w:id="1279"/>
    <w:bookmarkEnd w:id="1280"/>
    <w:bookmarkEnd w:id="1281"/>
    <w:p w14:paraId="012EB265">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12.2.1 预付款的支付</w:t>
      </w:r>
    </w:p>
    <w:p w14:paraId="69163E97">
      <w:pPr>
        <w:spacing w:line="310" w:lineRule="exact"/>
        <w:ind w:firstLine="360" w:firstLineChars="200"/>
        <w:rPr>
          <w:rFonts w:ascii="仿宋_GB2312" w:hAnsi="仿宋_GB2312" w:eastAsia="仿宋_GB2312" w:cs="仿宋_GB2312"/>
          <w:sz w:val="18"/>
          <w:szCs w:val="18"/>
          <w:highlight w:val="none"/>
          <w:u w:val="single"/>
        </w:rPr>
      </w:pPr>
      <w:r>
        <w:rPr>
          <w:rFonts w:hint="eastAsia" w:ascii="仿宋_GB2312" w:hAnsi="仿宋_GB2312" w:eastAsia="仿宋_GB2312" w:cs="仿宋_GB2312"/>
          <w:color w:val="000000"/>
          <w:sz w:val="18"/>
          <w:szCs w:val="18"/>
          <w:highlight w:val="none"/>
        </w:rPr>
        <w:t>预付款支付比例或金额：</w:t>
      </w:r>
      <w:r>
        <w:rPr>
          <w:rFonts w:hint="eastAsia" w:ascii="仿宋_GB2312" w:hAnsi="仿宋_GB2312" w:eastAsia="仿宋_GB2312" w:cs="仿宋_GB2312"/>
          <w:sz w:val="18"/>
          <w:szCs w:val="18"/>
          <w:highlight w:val="none"/>
          <w:u w:val="single"/>
        </w:rPr>
        <w:t>合同价的10% （【含安全文明施工措施费的60%和建安工程费的1%(农民工工资预付款）】</w:t>
      </w:r>
    </w:p>
    <w:p w14:paraId="6925DC4B">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工资预付款支付比例或金额：。</w:t>
      </w:r>
    </w:p>
    <w:p w14:paraId="2E12611C">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预付款支付期限：</w:t>
      </w:r>
      <w:r>
        <w:rPr>
          <w:rFonts w:hint="eastAsia" w:ascii="仿宋_GB2312" w:hAnsi="仿宋_GB2312" w:eastAsia="仿宋_GB2312" w:cs="仿宋_GB2312"/>
          <w:sz w:val="18"/>
          <w:szCs w:val="18"/>
          <w:highlight w:val="none"/>
          <w:u w:val="single"/>
        </w:rPr>
        <w:t>合同签订后14天</w:t>
      </w:r>
      <w:r>
        <w:rPr>
          <w:rFonts w:hint="eastAsia" w:ascii="仿宋_GB2312" w:hAnsi="仿宋_GB2312" w:eastAsia="仿宋_GB2312" w:cs="仿宋_GB2312"/>
          <w:color w:val="000000"/>
          <w:sz w:val="18"/>
          <w:szCs w:val="18"/>
          <w:highlight w:val="none"/>
        </w:rPr>
        <w:t>。</w:t>
      </w:r>
    </w:p>
    <w:p w14:paraId="6C04FB29">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预付款扣回的方式：</w:t>
      </w:r>
      <w:r>
        <w:rPr>
          <w:rFonts w:hint="eastAsia" w:ascii="仿宋_GB2312" w:hAnsi="仿宋_GB2312" w:eastAsia="仿宋_GB2312" w:cs="仿宋_GB2312"/>
          <w:sz w:val="18"/>
          <w:szCs w:val="18"/>
          <w:highlight w:val="none"/>
          <w:u w:val="single"/>
        </w:rPr>
        <w:t xml:space="preserve">转为进度款，不再扣回 </w:t>
      </w:r>
      <w:r>
        <w:rPr>
          <w:rFonts w:hint="eastAsia" w:ascii="仿宋_GB2312" w:hAnsi="仿宋_GB2312" w:eastAsia="仿宋_GB2312" w:cs="仿宋_GB2312"/>
          <w:color w:val="000000"/>
          <w:sz w:val="18"/>
          <w:szCs w:val="18"/>
          <w:highlight w:val="none"/>
        </w:rPr>
        <w:t>。</w:t>
      </w:r>
    </w:p>
    <w:p w14:paraId="7C91277D">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12.2.2 预付款担保</w:t>
      </w:r>
    </w:p>
    <w:p w14:paraId="48C372CD">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承包人提交预付款担保的期限：</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4B7F2265">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预付款担保的形式为：</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bookmarkEnd w:id="1282"/>
    <w:bookmarkEnd w:id="1283"/>
    <w:bookmarkEnd w:id="1284"/>
    <w:bookmarkEnd w:id="1285"/>
    <w:bookmarkEnd w:id="1286"/>
    <w:bookmarkEnd w:id="1287"/>
    <w:bookmarkEnd w:id="1288"/>
    <w:bookmarkEnd w:id="1289"/>
    <w:bookmarkEnd w:id="1290"/>
    <w:bookmarkEnd w:id="1291"/>
    <w:p w14:paraId="1D74E893">
      <w:pPr>
        <w:spacing w:after="120" w:line="310" w:lineRule="exact"/>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 计量</w:t>
      </w:r>
    </w:p>
    <w:p w14:paraId="0BCB0363">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12.3.1 计量原则</w:t>
      </w:r>
    </w:p>
    <w:p w14:paraId="58F67221">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工程量计算规则：</w:t>
      </w:r>
    </w:p>
    <w:p w14:paraId="07017A6C">
      <w:pPr>
        <w:spacing w:line="310" w:lineRule="exact"/>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（1）</w:t>
      </w:r>
      <w:r>
        <w:rPr>
          <w:rFonts w:hint="eastAsia" w:ascii="仿宋_GB2312" w:hAnsi="仿宋_GB2312" w:eastAsia="仿宋_GB2312" w:cs="仿宋_GB2312"/>
          <w:b/>
          <w:sz w:val="18"/>
          <w:szCs w:val="18"/>
          <w:highlight w:val="none"/>
          <w:u w:val="single"/>
        </w:rPr>
        <w:t xml:space="preserve"> 实行工程量清单计价的工程项目，其工程量的计算规则应按国家标准工程量计算规范及省级行业主管部门颁布的补充规定执行。</w:t>
      </w:r>
    </w:p>
    <w:p w14:paraId="6C3C720D">
      <w:pPr>
        <w:spacing w:line="310" w:lineRule="exact"/>
        <w:ind w:firstLine="361" w:firstLineChars="200"/>
        <w:jc w:val="left"/>
        <w:rPr>
          <w:rFonts w:ascii="仿宋_GB2312" w:hAnsi="仿宋_GB2312" w:eastAsia="仿宋_GB2312" w:cs="仿宋_GB2312"/>
          <w:b/>
          <w:sz w:val="18"/>
          <w:szCs w:val="18"/>
          <w:highlight w:val="none"/>
          <w:u w:val="single"/>
        </w:rPr>
      </w:pPr>
      <w:r>
        <w:rPr>
          <w:rFonts w:hint="eastAsia" w:ascii="仿宋_GB2312" w:hAnsi="仿宋_GB2312" w:eastAsia="仿宋_GB2312" w:cs="仿宋_GB2312"/>
          <w:b/>
          <w:sz w:val="18"/>
          <w:szCs w:val="18"/>
          <w:highlight w:val="none"/>
        </w:rPr>
        <w:t>（2）</w:t>
      </w:r>
      <w:r>
        <w:rPr>
          <w:rFonts w:hint="eastAsia" w:ascii="仿宋_GB2312" w:hAnsi="仿宋_GB2312" w:eastAsia="仿宋_GB2312" w:cs="仿宋_GB2312"/>
          <w:b/>
          <w:sz w:val="18"/>
          <w:szCs w:val="18"/>
          <w:highlight w:val="none"/>
          <w:u w:val="single"/>
        </w:rPr>
        <w:t>不实行工程量清单计价的工程项目，工程量的计算规则应按省、市行业主管部门颁布的各专业工程定额的工程量计算规则执行。</w:t>
      </w:r>
    </w:p>
    <w:p w14:paraId="4DA758ED">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12.3.2 计量周期</w:t>
      </w:r>
    </w:p>
    <w:p w14:paraId="234E9FA2">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关于计量周期的约定：</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56B97DF8">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12.3.3 单价合同的计量</w:t>
      </w:r>
    </w:p>
    <w:p w14:paraId="4F23F492">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关于单价合同计量的约定：</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4D4FA013">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12.3.4 总价合同的计量</w:t>
      </w:r>
    </w:p>
    <w:p w14:paraId="75FF671E">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关于总价合同计量的约定：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5D3AF1B7">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12.3.5总价合同采用支付分解表计量支付的，是否适用第</w:t>
      </w:r>
      <w:r>
        <w:rPr>
          <w:rFonts w:hint="eastAsia" w:ascii="仿宋_GB2312" w:hAnsi="仿宋_GB2312" w:eastAsia="仿宋_GB2312" w:cs="仿宋_GB2312"/>
          <w:color w:val="000000"/>
          <w:kern w:val="0"/>
          <w:sz w:val="18"/>
          <w:szCs w:val="18"/>
          <w:highlight w:val="none"/>
        </w:rPr>
        <w:t xml:space="preserve">12.3.4 </w:t>
      </w:r>
      <w:r>
        <w:rPr>
          <w:rFonts w:hint="eastAsia" w:ascii="仿宋_GB2312" w:hAnsi="仿宋_GB2312" w:eastAsia="仿宋_GB2312" w:cs="仿宋_GB2312"/>
          <w:color w:val="000000"/>
          <w:sz w:val="18"/>
          <w:szCs w:val="18"/>
          <w:highlight w:val="none"/>
        </w:rPr>
        <w:t>项</w:t>
      </w:r>
      <w:r>
        <w:rPr>
          <w:rFonts w:hint="eastAsia" w:ascii="仿宋_GB2312" w:hAnsi="仿宋_GB2312" w:eastAsia="仿宋_GB2312" w:cs="仿宋_GB2312"/>
          <w:color w:val="000000"/>
          <w:kern w:val="0"/>
          <w:sz w:val="18"/>
          <w:szCs w:val="18"/>
          <w:highlight w:val="none"/>
        </w:rPr>
        <w:t>〔总价合同的计量〕</w:t>
      </w:r>
      <w:r>
        <w:rPr>
          <w:rFonts w:hint="eastAsia" w:ascii="仿宋_GB2312" w:hAnsi="仿宋_GB2312" w:eastAsia="仿宋_GB2312" w:cs="仿宋_GB2312"/>
          <w:color w:val="000000"/>
          <w:sz w:val="18"/>
          <w:szCs w:val="18"/>
          <w:highlight w:val="none"/>
        </w:rPr>
        <w:t>约定进行计量：</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66967324">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12.3.6 其他价格形式合同的计量</w:t>
      </w:r>
    </w:p>
    <w:p w14:paraId="43BB2BBF">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其他价格形式的计量方式和程序：</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69838141">
      <w:pPr>
        <w:spacing w:after="120" w:line="310" w:lineRule="exact"/>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12.4 工程进度款支付</w:t>
      </w:r>
    </w:p>
    <w:p w14:paraId="720BD991">
      <w:pPr>
        <w:spacing w:line="310" w:lineRule="exact"/>
        <w:ind w:firstLine="360" w:firstLineChars="200"/>
        <w:jc w:val="left"/>
        <w:rPr>
          <w:rFonts w:ascii="仿宋_GB2312" w:hAnsi="仿宋_GB2312" w:eastAsia="仿宋_GB2312" w:cs="仿宋_GB2312"/>
          <w:color w:val="000000"/>
          <w:sz w:val="18"/>
          <w:szCs w:val="18"/>
          <w:highlight w:val="none"/>
        </w:rPr>
      </w:pPr>
      <w:bookmarkStart w:id="1292" w:name="_Toc296347210"/>
      <w:bookmarkStart w:id="1293" w:name="_Toc296503211"/>
      <w:bookmarkStart w:id="1294" w:name="_Toc292559416"/>
      <w:bookmarkStart w:id="1295" w:name="_Toc296891039"/>
      <w:bookmarkStart w:id="1296" w:name="_Toc292559921"/>
      <w:bookmarkStart w:id="1297" w:name="_Toc296944550"/>
      <w:bookmarkStart w:id="1298" w:name="_Toc297048397"/>
      <w:bookmarkStart w:id="1299" w:name="_Toc303539163"/>
      <w:bookmarkStart w:id="1300" w:name="_Toc296891251"/>
      <w:bookmarkStart w:id="1301" w:name="_Toc300935006"/>
      <w:bookmarkStart w:id="1302" w:name="_Toc297216215"/>
      <w:bookmarkStart w:id="1303" w:name="_Toc296346712"/>
      <w:bookmarkStart w:id="1304" w:name="_Toc297120511"/>
      <w:bookmarkStart w:id="1305" w:name="_Toc297123556"/>
      <w:r>
        <w:rPr>
          <w:rFonts w:hint="eastAsia" w:ascii="仿宋_GB2312" w:hAnsi="仿宋_GB2312" w:eastAsia="仿宋_GB2312" w:cs="仿宋_GB2312"/>
          <w:color w:val="000000"/>
          <w:sz w:val="18"/>
          <w:szCs w:val="18"/>
          <w:highlight w:val="none"/>
        </w:rPr>
        <w:t>12.4.1 付款周期</w:t>
      </w:r>
    </w:p>
    <w:p w14:paraId="3F5A56B5">
      <w:pPr>
        <w:spacing w:line="310" w:lineRule="exact"/>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color w:val="000000"/>
          <w:sz w:val="18"/>
          <w:szCs w:val="18"/>
          <w:highlight w:val="none"/>
        </w:rPr>
        <w:t>关于付款周期的约定：</w:t>
      </w:r>
      <w:r>
        <w:rPr>
          <w:rFonts w:hint="eastAsia" w:ascii="仿宋_GB2312" w:hAnsi="仿宋_GB2312" w:eastAsia="仿宋_GB2312" w:cs="仿宋_GB2312"/>
          <w:kern w:val="0"/>
          <w:sz w:val="18"/>
          <w:szCs w:val="18"/>
          <w:highlight w:val="none"/>
          <w:u w:val="single"/>
        </w:rPr>
        <w:t>按工程量完成情况，经监理签证提交请支付人申请。（其中工资性工程进度款按月拨付）。</w:t>
      </w:r>
    </w:p>
    <w:p w14:paraId="7B87BE07">
      <w:pPr>
        <w:spacing w:line="310" w:lineRule="exact"/>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12.4.2 进度付款申请单的编制</w:t>
      </w:r>
    </w:p>
    <w:p w14:paraId="0E124F86">
      <w:pPr>
        <w:spacing w:line="310" w:lineRule="exact"/>
        <w:ind w:firstLine="360" w:firstLineChars="200"/>
        <w:jc w:val="left"/>
        <w:rPr>
          <w:rFonts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关于进度付款申请单编制的约定：</w:t>
      </w:r>
      <w:r>
        <w:rPr>
          <w:rFonts w:hint="eastAsia" w:ascii="仿宋_GB2312" w:hAnsi="仿宋_GB2312" w:eastAsia="仿宋_GB2312" w:cs="仿宋_GB2312"/>
          <w:b w:val="0"/>
          <w:bCs/>
          <w:kern w:val="0"/>
          <w:sz w:val="18"/>
          <w:szCs w:val="18"/>
          <w:highlight w:val="none"/>
          <w:u w:val="single"/>
        </w:rPr>
        <w:t>支付申请时间：按进度支付，承包人在每月5日前上报上月完成实际工程量的进度款，经监理（总监）、跟踪审计单位及发包人审核签字批准后上报。</w:t>
      </w:r>
    </w:p>
    <w:p w14:paraId="08F42C26">
      <w:pPr>
        <w:numPr>
          <w:ilvl w:val="0"/>
          <w:numId w:val="4"/>
        </w:numPr>
        <w:spacing w:line="310" w:lineRule="exact"/>
        <w:ind w:firstLine="360" w:firstLineChars="200"/>
        <w:jc w:val="left"/>
        <w:rPr>
          <w:rFonts w:hint="eastAsia"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b w:val="0"/>
          <w:bCs/>
          <w:kern w:val="0"/>
          <w:sz w:val="18"/>
          <w:szCs w:val="18"/>
          <w:highlight w:val="none"/>
          <w:u w:val="single"/>
        </w:rPr>
        <w:t>工程款支付方式为每月支付上月实际完成的合同工程量所对应产值的</w:t>
      </w:r>
      <w:r>
        <w:rPr>
          <w:rFonts w:hint="eastAsia" w:ascii="仿宋_GB2312" w:hAnsi="仿宋_GB2312" w:eastAsia="仿宋_GB2312" w:cs="仿宋_GB2312"/>
          <w:b w:val="0"/>
          <w:bCs/>
          <w:kern w:val="0"/>
          <w:sz w:val="18"/>
          <w:szCs w:val="18"/>
          <w:highlight w:val="none"/>
          <w:u w:val="single"/>
          <w:lang w:val="en-US" w:eastAsia="zh-CN"/>
        </w:rPr>
        <w:t>85</w:t>
      </w:r>
      <w:r>
        <w:rPr>
          <w:rFonts w:hint="eastAsia" w:ascii="仿宋_GB2312" w:hAnsi="仿宋_GB2312" w:eastAsia="仿宋_GB2312" w:cs="仿宋_GB2312"/>
          <w:b w:val="0"/>
          <w:bCs/>
          <w:kern w:val="0"/>
          <w:sz w:val="18"/>
          <w:szCs w:val="18"/>
          <w:highlight w:val="none"/>
          <w:u w:val="single"/>
        </w:rPr>
        <w:t>%（不超过合同总价的</w:t>
      </w:r>
      <w:r>
        <w:rPr>
          <w:rFonts w:hint="eastAsia" w:ascii="仿宋_GB2312" w:hAnsi="仿宋_GB2312" w:eastAsia="仿宋_GB2312" w:cs="仿宋_GB2312"/>
          <w:b w:val="0"/>
          <w:bCs/>
          <w:kern w:val="0"/>
          <w:sz w:val="18"/>
          <w:szCs w:val="18"/>
          <w:highlight w:val="none"/>
          <w:u w:val="single"/>
          <w:lang w:val="en-US" w:eastAsia="zh-CN"/>
        </w:rPr>
        <w:t>85</w:t>
      </w:r>
      <w:r>
        <w:rPr>
          <w:rFonts w:hint="eastAsia" w:ascii="仿宋_GB2312" w:hAnsi="仿宋_GB2312" w:eastAsia="仿宋_GB2312" w:cs="仿宋_GB2312"/>
          <w:b w:val="0"/>
          <w:bCs/>
          <w:kern w:val="0"/>
          <w:sz w:val="18"/>
          <w:szCs w:val="18"/>
          <w:highlight w:val="none"/>
          <w:u w:val="single"/>
        </w:rPr>
        <w:t>%</w:t>
      </w:r>
      <w:r>
        <w:rPr>
          <w:rFonts w:hint="eastAsia" w:ascii="仿宋_GB2312" w:hAnsi="仿宋_GB2312" w:eastAsia="仿宋_GB2312" w:cs="仿宋_GB2312"/>
          <w:b w:val="0"/>
          <w:bCs/>
          <w:kern w:val="0"/>
          <w:sz w:val="18"/>
          <w:szCs w:val="18"/>
          <w:highlight w:val="none"/>
          <w:u w:val="single"/>
          <w:lang w:val="en-US" w:eastAsia="zh-CN"/>
        </w:rPr>
        <w:t>&lt;</w:t>
      </w:r>
      <w:r>
        <w:rPr>
          <w:rFonts w:hint="eastAsia" w:ascii="仿宋_GB2312" w:hAnsi="仿宋_GB2312" w:eastAsia="仿宋_GB2312" w:cs="仿宋_GB2312"/>
          <w:b w:val="0"/>
          <w:bCs/>
          <w:kern w:val="0"/>
          <w:sz w:val="18"/>
          <w:szCs w:val="18"/>
          <w:highlight w:val="none"/>
          <w:u w:val="single"/>
        </w:rPr>
        <w:t>含预付款</w:t>
      </w:r>
      <w:r>
        <w:rPr>
          <w:rFonts w:hint="eastAsia" w:ascii="仿宋_GB2312" w:hAnsi="仿宋_GB2312" w:eastAsia="仿宋_GB2312" w:cs="仿宋_GB2312"/>
          <w:b w:val="0"/>
          <w:bCs/>
          <w:kern w:val="0"/>
          <w:sz w:val="18"/>
          <w:szCs w:val="18"/>
          <w:highlight w:val="none"/>
          <w:u w:val="single"/>
          <w:lang w:val="en-US" w:eastAsia="zh-CN"/>
        </w:rPr>
        <w:t>&gt;</w:t>
      </w:r>
      <w:r>
        <w:rPr>
          <w:rFonts w:hint="eastAsia" w:ascii="仿宋_GB2312" w:hAnsi="仿宋_GB2312" w:eastAsia="仿宋_GB2312" w:cs="仿宋_GB2312"/>
          <w:b w:val="0"/>
          <w:bCs/>
          <w:kern w:val="0"/>
          <w:sz w:val="18"/>
          <w:szCs w:val="18"/>
          <w:highlight w:val="none"/>
          <w:u w:val="single"/>
          <w:lang w:eastAsia="zh-CN"/>
        </w:rPr>
        <w:t>，</w:t>
      </w:r>
      <w:r>
        <w:rPr>
          <w:rFonts w:hint="eastAsia" w:ascii="仿宋_GB2312" w:hAnsi="仿宋_GB2312" w:eastAsia="仿宋_GB2312" w:cs="仿宋_GB2312"/>
          <w:b w:val="0"/>
          <w:bCs/>
          <w:kern w:val="0"/>
          <w:sz w:val="18"/>
          <w:szCs w:val="18"/>
          <w:highlight w:val="none"/>
          <w:u w:val="single"/>
          <w:lang w:val="en-US" w:eastAsia="zh-CN"/>
        </w:rPr>
        <w:t>且</w:t>
      </w:r>
      <w:r>
        <w:rPr>
          <w:rFonts w:hint="eastAsia" w:ascii="仿宋_GB2312" w:hAnsi="仿宋_GB2312" w:eastAsia="仿宋_GB2312" w:cs="仿宋_GB2312"/>
          <w:b w:val="0"/>
          <w:bCs/>
          <w:kern w:val="0"/>
          <w:sz w:val="18"/>
          <w:szCs w:val="18"/>
          <w:highlight w:val="none"/>
          <w:u w:val="single"/>
        </w:rPr>
        <w:t>要求经监理审核），</w:t>
      </w:r>
      <w:r>
        <w:rPr>
          <w:rFonts w:hint="eastAsia" w:ascii="仿宋_GB2312" w:hAnsi="仿宋_GB2312" w:eastAsia="仿宋_GB2312" w:cs="仿宋_GB2312"/>
          <w:b w:val="0"/>
          <w:bCs/>
          <w:kern w:val="0"/>
          <w:sz w:val="18"/>
          <w:szCs w:val="18"/>
          <w:highlight w:val="none"/>
          <w:u w:val="single"/>
          <w:lang w:val="en-US" w:eastAsia="zh-CN"/>
        </w:rPr>
        <w:t>承包人</w:t>
      </w:r>
      <w:r>
        <w:rPr>
          <w:rFonts w:hint="eastAsia" w:ascii="仿宋_GB2312" w:hAnsi="仿宋_GB2312" w:eastAsia="仿宋_GB2312" w:cs="仿宋_GB2312"/>
          <w:b w:val="0"/>
          <w:bCs/>
          <w:kern w:val="0"/>
          <w:sz w:val="18"/>
          <w:szCs w:val="18"/>
          <w:highlight w:val="none"/>
          <w:u w:val="single"/>
        </w:rPr>
        <w:t>需提交农民工工资支付相关材料（资料需包含农民工工发放花名册</w:t>
      </w:r>
      <w:r>
        <w:rPr>
          <w:rFonts w:hint="eastAsia" w:ascii="仿宋_GB2312" w:hAnsi="仿宋_GB2312" w:eastAsia="仿宋_GB2312" w:cs="仿宋_GB2312"/>
          <w:b w:val="0"/>
          <w:bCs/>
          <w:kern w:val="0"/>
          <w:sz w:val="18"/>
          <w:szCs w:val="18"/>
          <w:highlight w:val="none"/>
          <w:u w:val="single"/>
          <w:lang w:val="en-US" w:eastAsia="zh-CN"/>
        </w:rPr>
        <w:t>&lt;后须附</w:t>
      </w:r>
      <w:r>
        <w:rPr>
          <w:rFonts w:hint="eastAsia" w:ascii="仿宋_GB2312" w:hAnsi="仿宋_GB2312" w:eastAsia="仿宋_GB2312" w:cs="仿宋_GB2312"/>
          <w:b w:val="0"/>
          <w:bCs/>
          <w:kern w:val="0"/>
          <w:sz w:val="18"/>
          <w:szCs w:val="18"/>
          <w:highlight w:val="none"/>
          <w:u w:val="single"/>
        </w:rPr>
        <w:t>农民工工资发放记录：转账记录</w:t>
      </w:r>
      <w:r>
        <w:rPr>
          <w:rFonts w:hint="eastAsia" w:ascii="仿宋_GB2312" w:hAnsi="仿宋_GB2312" w:eastAsia="仿宋_GB2312" w:cs="仿宋_GB2312"/>
          <w:b w:val="0"/>
          <w:bCs/>
          <w:kern w:val="0"/>
          <w:sz w:val="18"/>
          <w:szCs w:val="18"/>
          <w:highlight w:val="none"/>
          <w:u w:val="single"/>
          <w:lang w:val="en-US" w:eastAsia="zh-CN"/>
        </w:rPr>
        <w:t>或</w:t>
      </w:r>
      <w:r>
        <w:rPr>
          <w:rFonts w:hint="eastAsia" w:ascii="仿宋_GB2312" w:hAnsi="仿宋_GB2312" w:eastAsia="仿宋_GB2312" w:cs="仿宋_GB2312"/>
          <w:b w:val="0"/>
          <w:bCs/>
          <w:kern w:val="0"/>
          <w:sz w:val="18"/>
          <w:szCs w:val="18"/>
          <w:highlight w:val="none"/>
          <w:u w:val="single"/>
        </w:rPr>
        <w:t>收条等</w:t>
      </w:r>
      <w:r>
        <w:rPr>
          <w:rFonts w:hint="eastAsia" w:ascii="仿宋_GB2312" w:hAnsi="仿宋_GB2312" w:eastAsia="仿宋_GB2312" w:cs="仿宋_GB2312"/>
          <w:b w:val="0"/>
          <w:bCs/>
          <w:kern w:val="0"/>
          <w:sz w:val="18"/>
          <w:szCs w:val="18"/>
          <w:highlight w:val="none"/>
          <w:u w:val="single"/>
          <w:lang w:val="en-US" w:eastAsia="zh-CN"/>
        </w:rPr>
        <w:t>&gt;</w:t>
      </w:r>
      <w:r>
        <w:rPr>
          <w:rFonts w:hint="eastAsia" w:ascii="仿宋_GB2312" w:hAnsi="仿宋_GB2312" w:eastAsia="仿宋_GB2312" w:cs="仿宋_GB2312"/>
          <w:b w:val="0"/>
          <w:bCs/>
          <w:kern w:val="0"/>
          <w:sz w:val="18"/>
          <w:szCs w:val="18"/>
          <w:highlight w:val="none"/>
          <w:u w:val="single"/>
        </w:rPr>
        <w:t>、身份证复印件等）</w:t>
      </w:r>
      <w:r>
        <w:rPr>
          <w:rFonts w:hint="eastAsia" w:ascii="仿宋_GB2312" w:hAnsi="仿宋_GB2312" w:eastAsia="仿宋_GB2312" w:cs="仿宋_GB2312"/>
          <w:b w:val="0"/>
          <w:bCs/>
          <w:kern w:val="0"/>
          <w:sz w:val="18"/>
          <w:szCs w:val="18"/>
          <w:highlight w:val="none"/>
          <w:u w:val="single"/>
          <w:lang w:eastAsia="zh-CN"/>
        </w:rPr>
        <w:t>，</w:t>
      </w:r>
      <w:r>
        <w:rPr>
          <w:rFonts w:hint="eastAsia" w:ascii="仿宋_GB2312" w:hAnsi="仿宋_GB2312" w:eastAsia="仿宋_GB2312" w:cs="仿宋_GB2312"/>
          <w:b w:val="0"/>
          <w:bCs/>
          <w:kern w:val="0"/>
          <w:sz w:val="18"/>
          <w:szCs w:val="18"/>
          <w:highlight w:val="none"/>
          <w:u w:val="single"/>
        </w:rPr>
        <w:t>支付至</w:t>
      </w:r>
      <w:r>
        <w:rPr>
          <w:rFonts w:hint="eastAsia" w:ascii="仿宋_GB2312" w:hAnsi="仿宋_GB2312" w:eastAsia="仿宋_GB2312" w:cs="仿宋_GB2312"/>
          <w:b w:val="0"/>
          <w:bCs/>
          <w:kern w:val="0"/>
          <w:sz w:val="18"/>
          <w:szCs w:val="18"/>
          <w:highlight w:val="none"/>
          <w:u w:val="single"/>
          <w:lang w:val="en-US" w:eastAsia="zh-CN"/>
        </w:rPr>
        <w:t>已完成工程价款的85</w:t>
      </w:r>
      <w:r>
        <w:rPr>
          <w:rFonts w:hint="eastAsia" w:ascii="仿宋_GB2312" w:hAnsi="仿宋_GB2312" w:eastAsia="仿宋_GB2312" w:cs="仿宋_GB2312"/>
          <w:b w:val="0"/>
          <w:bCs/>
          <w:kern w:val="0"/>
          <w:sz w:val="18"/>
          <w:szCs w:val="18"/>
          <w:highlight w:val="none"/>
          <w:u w:val="single"/>
        </w:rPr>
        <w:t>%</w:t>
      </w:r>
      <w:r>
        <w:rPr>
          <w:rFonts w:hint="eastAsia" w:ascii="仿宋_GB2312" w:hAnsi="仿宋_GB2312" w:eastAsia="仿宋_GB2312" w:cs="仿宋_GB2312"/>
          <w:b w:val="0"/>
          <w:bCs/>
          <w:kern w:val="0"/>
          <w:sz w:val="18"/>
          <w:szCs w:val="18"/>
          <w:highlight w:val="none"/>
          <w:u w:val="single"/>
          <w:lang w:eastAsia="zh-CN"/>
        </w:rPr>
        <w:t>；</w:t>
      </w:r>
    </w:p>
    <w:p w14:paraId="0157C882">
      <w:pPr>
        <w:numPr>
          <w:ilvl w:val="0"/>
          <w:numId w:val="4"/>
        </w:numPr>
        <w:spacing w:line="310" w:lineRule="exact"/>
        <w:ind w:firstLine="360" w:firstLineChars="200"/>
        <w:jc w:val="left"/>
        <w:rPr>
          <w:rFonts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b w:val="0"/>
          <w:bCs/>
          <w:kern w:val="0"/>
          <w:sz w:val="18"/>
          <w:szCs w:val="18"/>
          <w:highlight w:val="none"/>
          <w:u w:val="single"/>
        </w:rPr>
        <w:t>工程竣工验收合格</w:t>
      </w:r>
      <w:r>
        <w:rPr>
          <w:rFonts w:hint="eastAsia" w:ascii="仿宋_GB2312" w:hAnsi="仿宋_GB2312" w:eastAsia="仿宋_GB2312" w:cs="仿宋_GB2312"/>
          <w:b w:val="0"/>
          <w:bCs/>
          <w:kern w:val="0"/>
          <w:sz w:val="18"/>
          <w:szCs w:val="18"/>
          <w:highlight w:val="none"/>
          <w:u w:val="single"/>
          <w:lang w:val="en-US" w:eastAsia="zh-CN"/>
        </w:rPr>
        <w:t>且完成相关移交工作（设施设备移交至杭州市市容景观发展中心），待</w:t>
      </w:r>
      <w:r>
        <w:rPr>
          <w:rFonts w:hint="eastAsia" w:ascii="仿宋_GB2312" w:hAnsi="仿宋_GB2312" w:eastAsia="仿宋_GB2312" w:cs="仿宋_GB2312"/>
          <w:b w:val="0"/>
          <w:bCs/>
          <w:kern w:val="0"/>
          <w:sz w:val="18"/>
          <w:szCs w:val="18"/>
          <w:highlight w:val="none"/>
          <w:u w:val="single"/>
        </w:rPr>
        <w:t>竣工资料（含结算送审资料）移交建设单位后付至承包人已完成工程量</w:t>
      </w:r>
      <w:r>
        <w:rPr>
          <w:rFonts w:hint="eastAsia" w:ascii="仿宋_GB2312" w:hAnsi="仿宋_GB2312" w:eastAsia="仿宋_GB2312" w:cs="仿宋_GB2312"/>
          <w:b w:val="0"/>
          <w:bCs/>
          <w:kern w:val="0"/>
          <w:sz w:val="18"/>
          <w:szCs w:val="18"/>
          <w:highlight w:val="none"/>
          <w:u w:val="single"/>
          <w:lang w:val="en-US" w:eastAsia="zh-CN"/>
        </w:rPr>
        <w:t>的</w:t>
      </w:r>
      <w:r>
        <w:rPr>
          <w:rFonts w:hint="eastAsia" w:ascii="仿宋_GB2312" w:hAnsi="仿宋_GB2312" w:eastAsia="仿宋_GB2312" w:cs="仿宋_GB2312"/>
          <w:b w:val="0"/>
          <w:bCs/>
          <w:kern w:val="0"/>
          <w:sz w:val="18"/>
          <w:szCs w:val="18"/>
          <w:highlight w:val="none"/>
          <w:u w:val="single"/>
        </w:rPr>
        <w:t>8</w:t>
      </w:r>
      <w:r>
        <w:rPr>
          <w:rFonts w:hint="eastAsia" w:ascii="仿宋_GB2312" w:hAnsi="仿宋_GB2312" w:eastAsia="仿宋_GB2312" w:cs="仿宋_GB2312"/>
          <w:b w:val="0"/>
          <w:bCs/>
          <w:kern w:val="0"/>
          <w:sz w:val="18"/>
          <w:szCs w:val="18"/>
          <w:highlight w:val="none"/>
          <w:u w:val="single"/>
          <w:lang w:val="en-US" w:eastAsia="zh-CN"/>
        </w:rPr>
        <w:t>5</w:t>
      </w:r>
      <w:r>
        <w:rPr>
          <w:rFonts w:hint="eastAsia" w:ascii="仿宋_GB2312" w:hAnsi="仿宋_GB2312" w:eastAsia="仿宋_GB2312" w:cs="仿宋_GB2312"/>
          <w:b w:val="0"/>
          <w:bCs/>
          <w:kern w:val="0"/>
          <w:sz w:val="18"/>
          <w:szCs w:val="18"/>
          <w:highlight w:val="none"/>
          <w:u w:val="single"/>
        </w:rPr>
        <w:t>%</w:t>
      </w:r>
      <w:r>
        <w:rPr>
          <w:rFonts w:hint="eastAsia" w:ascii="仿宋_GB2312" w:hAnsi="仿宋_GB2312" w:eastAsia="仿宋_GB2312" w:cs="仿宋_GB2312"/>
          <w:b w:val="0"/>
          <w:bCs/>
          <w:kern w:val="0"/>
          <w:sz w:val="18"/>
          <w:szCs w:val="18"/>
          <w:highlight w:val="none"/>
          <w:u w:val="single"/>
          <w:lang w:eastAsia="zh-CN"/>
        </w:rPr>
        <w:t>（</w:t>
      </w:r>
      <w:r>
        <w:rPr>
          <w:rFonts w:hint="eastAsia" w:ascii="仿宋_GB2312" w:hAnsi="仿宋_GB2312" w:eastAsia="仿宋_GB2312" w:cs="仿宋_GB2312"/>
          <w:b w:val="0"/>
          <w:bCs/>
          <w:kern w:val="0"/>
          <w:sz w:val="18"/>
          <w:szCs w:val="18"/>
          <w:highlight w:val="none"/>
          <w:u w:val="single"/>
        </w:rPr>
        <w:t>不超过合同</w:t>
      </w:r>
      <w:r>
        <w:rPr>
          <w:rFonts w:hint="eastAsia" w:ascii="仿宋_GB2312" w:hAnsi="仿宋_GB2312" w:eastAsia="仿宋_GB2312" w:cs="仿宋_GB2312"/>
          <w:b w:val="0"/>
          <w:bCs/>
          <w:kern w:val="0"/>
          <w:sz w:val="18"/>
          <w:szCs w:val="18"/>
          <w:highlight w:val="none"/>
          <w:u w:val="single"/>
          <w:lang w:eastAsia="zh-CN"/>
        </w:rPr>
        <w:t>总</w:t>
      </w:r>
      <w:r>
        <w:rPr>
          <w:rFonts w:hint="eastAsia" w:ascii="仿宋_GB2312" w:hAnsi="仿宋_GB2312" w:eastAsia="仿宋_GB2312" w:cs="仿宋_GB2312"/>
          <w:b w:val="0"/>
          <w:bCs/>
          <w:kern w:val="0"/>
          <w:sz w:val="18"/>
          <w:szCs w:val="18"/>
          <w:highlight w:val="none"/>
          <w:u w:val="single"/>
        </w:rPr>
        <w:t>价的8</w:t>
      </w:r>
      <w:r>
        <w:rPr>
          <w:rFonts w:hint="eastAsia" w:ascii="仿宋_GB2312" w:hAnsi="仿宋_GB2312" w:eastAsia="仿宋_GB2312" w:cs="仿宋_GB2312"/>
          <w:b w:val="0"/>
          <w:bCs/>
          <w:kern w:val="0"/>
          <w:sz w:val="18"/>
          <w:szCs w:val="18"/>
          <w:highlight w:val="none"/>
          <w:u w:val="single"/>
          <w:lang w:val="en-US" w:eastAsia="zh-CN"/>
        </w:rPr>
        <w:t>5</w:t>
      </w:r>
      <w:r>
        <w:rPr>
          <w:rFonts w:hint="eastAsia" w:ascii="仿宋_GB2312" w:hAnsi="仿宋_GB2312" w:eastAsia="仿宋_GB2312" w:cs="仿宋_GB2312"/>
          <w:b w:val="0"/>
          <w:bCs/>
          <w:kern w:val="0"/>
          <w:sz w:val="18"/>
          <w:szCs w:val="18"/>
          <w:highlight w:val="none"/>
          <w:u w:val="single"/>
        </w:rPr>
        <w:t>%</w:t>
      </w:r>
      <w:r>
        <w:rPr>
          <w:rFonts w:hint="eastAsia" w:ascii="仿宋_GB2312" w:hAnsi="仿宋_GB2312" w:eastAsia="仿宋_GB2312" w:cs="仿宋_GB2312"/>
          <w:b w:val="0"/>
          <w:bCs/>
          <w:kern w:val="0"/>
          <w:sz w:val="18"/>
          <w:szCs w:val="18"/>
          <w:highlight w:val="none"/>
          <w:u w:val="single"/>
          <w:lang w:eastAsia="zh-CN"/>
        </w:rPr>
        <w:t>，</w:t>
      </w:r>
      <w:r>
        <w:rPr>
          <w:rFonts w:hint="eastAsia" w:ascii="仿宋_GB2312" w:hAnsi="仿宋_GB2312" w:eastAsia="仿宋_GB2312" w:cs="仿宋_GB2312"/>
          <w:b w:val="0"/>
          <w:bCs/>
          <w:kern w:val="0"/>
          <w:sz w:val="18"/>
          <w:szCs w:val="18"/>
          <w:highlight w:val="none"/>
          <w:u w:val="single"/>
          <w:lang w:val="en-US" w:eastAsia="zh-CN"/>
        </w:rPr>
        <w:t>且</w:t>
      </w:r>
      <w:r>
        <w:rPr>
          <w:rFonts w:hint="eastAsia" w:ascii="仿宋_GB2312" w:hAnsi="仿宋_GB2312" w:eastAsia="仿宋_GB2312" w:cs="仿宋_GB2312"/>
          <w:b w:val="0"/>
          <w:bCs/>
          <w:kern w:val="0"/>
          <w:sz w:val="18"/>
          <w:szCs w:val="18"/>
          <w:highlight w:val="none"/>
          <w:u w:val="single"/>
        </w:rPr>
        <w:t>要求经监理审核</w:t>
      </w:r>
      <w:r>
        <w:rPr>
          <w:rFonts w:hint="eastAsia" w:ascii="仿宋_GB2312" w:hAnsi="仿宋_GB2312" w:eastAsia="仿宋_GB2312" w:cs="仿宋_GB2312"/>
          <w:b w:val="0"/>
          <w:bCs/>
          <w:kern w:val="0"/>
          <w:sz w:val="18"/>
          <w:szCs w:val="18"/>
          <w:highlight w:val="none"/>
          <w:u w:val="single"/>
          <w:lang w:eastAsia="zh-CN"/>
        </w:rPr>
        <w:t>）</w:t>
      </w:r>
      <w:r>
        <w:rPr>
          <w:rFonts w:hint="eastAsia" w:ascii="仿宋_GB2312" w:hAnsi="仿宋_GB2312" w:eastAsia="仿宋_GB2312" w:cs="仿宋_GB2312"/>
          <w:b w:val="0"/>
          <w:bCs/>
          <w:kern w:val="0"/>
          <w:sz w:val="18"/>
          <w:szCs w:val="18"/>
          <w:highlight w:val="none"/>
          <w:u w:val="single"/>
        </w:rPr>
        <w:t>，</w:t>
      </w:r>
      <w:r>
        <w:rPr>
          <w:rFonts w:hint="eastAsia" w:ascii="仿宋_GB2312" w:hAnsi="仿宋_GB2312" w:eastAsia="仿宋_GB2312" w:cs="仿宋_GB2312"/>
          <w:b w:val="0"/>
          <w:bCs/>
          <w:kern w:val="0"/>
          <w:sz w:val="18"/>
          <w:szCs w:val="18"/>
          <w:highlight w:val="none"/>
          <w:u w:val="single"/>
          <w:lang w:val="en-US" w:eastAsia="zh-CN"/>
        </w:rPr>
        <w:t>承包人</w:t>
      </w:r>
      <w:r>
        <w:rPr>
          <w:rFonts w:hint="eastAsia" w:ascii="仿宋_GB2312" w:hAnsi="仿宋_GB2312" w:eastAsia="仿宋_GB2312" w:cs="仿宋_GB2312"/>
          <w:b w:val="0"/>
          <w:bCs/>
          <w:kern w:val="0"/>
          <w:sz w:val="18"/>
          <w:szCs w:val="18"/>
          <w:highlight w:val="none"/>
          <w:u w:val="single"/>
        </w:rPr>
        <w:t>需提交农民工工资结清相关材料（资料需包含农民工工资发放花名册</w:t>
      </w:r>
      <w:r>
        <w:rPr>
          <w:rFonts w:hint="eastAsia" w:ascii="仿宋_GB2312" w:hAnsi="仿宋_GB2312" w:eastAsia="仿宋_GB2312" w:cs="仿宋_GB2312"/>
          <w:b w:val="0"/>
          <w:bCs/>
          <w:kern w:val="0"/>
          <w:sz w:val="18"/>
          <w:szCs w:val="18"/>
          <w:highlight w:val="none"/>
          <w:u w:val="single"/>
          <w:lang w:val="en-US" w:eastAsia="zh-CN"/>
        </w:rPr>
        <w:t>&lt;后须附</w:t>
      </w:r>
      <w:r>
        <w:rPr>
          <w:rFonts w:hint="eastAsia" w:ascii="仿宋_GB2312" w:hAnsi="仿宋_GB2312" w:eastAsia="仿宋_GB2312" w:cs="仿宋_GB2312"/>
          <w:b w:val="0"/>
          <w:bCs/>
          <w:kern w:val="0"/>
          <w:sz w:val="18"/>
          <w:szCs w:val="18"/>
          <w:highlight w:val="none"/>
          <w:u w:val="single"/>
        </w:rPr>
        <w:t>农民工工资发放记录：转账记录</w:t>
      </w:r>
      <w:r>
        <w:rPr>
          <w:rFonts w:hint="eastAsia" w:ascii="仿宋_GB2312" w:hAnsi="仿宋_GB2312" w:eastAsia="仿宋_GB2312" w:cs="仿宋_GB2312"/>
          <w:b w:val="0"/>
          <w:bCs/>
          <w:kern w:val="0"/>
          <w:sz w:val="18"/>
          <w:szCs w:val="18"/>
          <w:highlight w:val="none"/>
          <w:u w:val="single"/>
          <w:lang w:val="en-US" w:eastAsia="zh-CN"/>
        </w:rPr>
        <w:t>或</w:t>
      </w:r>
      <w:r>
        <w:rPr>
          <w:rFonts w:hint="eastAsia" w:ascii="仿宋_GB2312" w:hAnsi="仿宋_GB2312" w:eastAsia="仿宋_GB2312" w:cs="仿宋_GB2312"/>
          <w:b w:val="0"/>
          <w:bCs/>
          <w:kern w:val="0"/>
          <w:sz w:val="18"/>
          <w:szCs w:val="18"/>
          <w:highlight w:val="none"/>
          <w:u w:val="single"/>
        </w:rPr>
        <w:t>收条等</w:t>
      </w:r>
      <w:r>
        <w:rPr>
          <w:rFonts w:hint="eastAsia" w:ascii="仿宋_GB2312" w:hAnsi="仿宋_GB2312" w:eastAsia="仿宋_GB2312" w:cs="仿宋_GB2312"/>
          <w:b w:val="0"/>
          <w:bCs/>
          <w:kern w:val="0"/>
          <w:sz w:val="18"/>
          <w:szCs w:val="18"/>
          <w:highlight w:val="none"/>
          <w:u w:val="single"/>
          <w:lang w:val="en-US" w:eastAsia="zh-CN"/>
        </w:rPr>
        <w:t>&gt;</w:t>
      </w:r>
      <w:r>
        <w:rPr>
          <w:rFonts w:hint="eastAsia" w:ascii="仿宋_GB2312" w:hAnsi="仿宋_GB2312" w:eastAsia="仿宋_GB2312" w:cs="仿宋_GB2312"/>
          <w:b w:val="0"/>
          <w:bCs/>
          <w:kern w:val="0"/>
          <w:sz w:val="18"/>
          <w:szCs w:val="18"/>
          <w:highlight w:val="none"/>
          <w:u w:val="single"/>
        </w:rPr>
        <w:t>、农民工工资无拖欠承诺书、身份证复印件等）；工程竣工验收合格后退还履约保证金及投标风险保证金（若有）；</w:t>
      </w:r>
    </w:p>
    <w:p w14:paraId="217876B8">
      <w:pPr>
        <w:numPr>
          <w:ilvl w:val="0"/>
          <w:numId w:val="4"/>
        </w:numPr>
        <w:spacing w:line="310" w:lineRule="exact"/>
        <w:ind w:firstLine="360" w:firstLineChars="200"/>
        <w:jc w:val="left"/>
        <w:rPr>
          <w:rFonts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b w:val="0"/>
          <w:bCs/>
          <w:kern w:val="0"/>
          <w:sz w:val="18"/>
          <w:szCs w:val="18"/>
          <w:highlight w:val="none"/>
          <w:u w:val="single"/>
        </w:rPr>
        <w:t>待发包人工程审计</w:t>
      </w:r>
      <w:r>
        <w:rPr>
          <w:rFonts w:hint="eastAsia" w:ascii="仿宋_GB2312" w:hAnsi="仿宋_GB2312" w:eastAsia="仿宋_GB2312" w:cs="仿宋_GB2312"/>
          <w:b w:val="0"/>
          <w:bCs/>
          <w:kern w:val="0"/>
          <w:sz w:val="18"/>
          <w:szCs w:val="18"/>
          <w:highlight w:val="none"/>
          <w:u w:val="single"/>
          <w:lang w:eastAsia="zh-CN"/>
        </w:rPr>
        <w:t>结</w:t>
      </w:r>
      <w:r>
        <w:rPr>
          <w:rFonts w:hint="eastAsia" w:ascii="仿宋_GB2312" w:hAnsi="仿宋_GB2312" w:eastAsia="仿宋_GB2312" w:cs="仿宋_GB2312"/>
          <w:b w:val="0"/>
          <w:bCs/>
          <w:kern w:val="0"/>
          <w:sz w:val="18"/>
          <w:szCs w:val="18"/>
          <w:highlight w:val="none"/>
          <w:u w:val="single"/>
        </w:rPr>
        <w:t>算完成后付至审计价的98.5%；工程审计价的1.5%留作为工程质量质保金，待缺陷责任期满后退还（详见工程质量保修书）。</w:t>
      </w:r>
    </w:p>
    <w:p w14:paraId="516C9B51">
      <w:pPr>
        <w:ind w:firstLine="360" w:firstLineChars="200"/>
        <w:jc w:val="left"/>
        <w:rPr>
          <w:rFonts w:ascii="仿宋_GB2312" w:hAnsi="仿宋_GB2312" w:eastAsia="仿宋_GB2312" w:cs="仿宋_GB2312"/>
          <w:b w:val="0"/>
          <w:bCs/>
          <w:kern w:val="0"/>
          <w:sz w:val="18"/>
          <w:szCs w:val="18"/>
          <w:highlight w:val="none"/>
          <w:u w:val="single"/>
        </w:rPr>
      </w:pPr>
      <w:bookmarkStart w:id="1306" w:name="ed_2019Y4M24D16H05M06"/>
      <w:bookmarkEnd w:id="1306"/>
      <w:r>
        <w:rPr>
          <w:rFonts w:hint="eastAsia" w:ascii="仿宋_GB2312" w:hAnsi="仿宋_GB2312" w:eastAsia="仿宋_GB2312" w:cs="仿宋_GB2312"/>
          <w:b w:val="0"/>
          <w:bCs/>
          <w:kern w:val="0"/>
          <w:sz w:val="18"/>
          <w:szCs w:val="18"/>
          <w:highlight w:val="none"/>
          <w:u w:val="single"/>
          <w:lang w:val="en-US" w:eastAsia="zh-CN"/>
        </w:rPr>
        <w:t>2、</w:t>
      </w:r>
      <w:r>
        <w:rPr>
          <w:rFonts w:hint="eastAsia" w:ascii="仿宋_GB2312" w:hAnsi="仿宋_GB2312" w:eastAsia="仿宋_GB2312" w:cs="仿宋_GB2312"/>
          <w:b w:val="0"/>
          <w:bCs/>
          <w:kern w:val="0"/>
          <w:sz w:val="18"/>
          <w:szCs w:val="18"/>
          <w:highlight w:val="none"/>
          <w:u w:val="single"/>
        </w:rPr>
        <w:t>安全文明施工费与建安工程进度款同期支付；</w:t>
      </w:r>
    </w:p>
    <w:p w14:paraId="3D9C5AB0">
      <w:pPr>
        <w:ind w:firstLine="360" w:firstLineChars="200"/>
        <w:jc w:val="left"/>
        <w:rPr>
          <w:rFonts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b w:val="0"/>
          <w:bCs/>
          <w:kern w:val="0"/>
          <w:sz w:val="18"/>
          <w:szCs w:val="18"/>
          <w:highlight w:val="none"/>
          <w:u w:val="single"/>
          <w:lang w:val="en-US" w:eastAsia="zh-CN"/>
        </w:rPr>
        <w:t>3、</w:t>
      </w:r>
      <w:r>
        <w:rPr>
          <w:rFonts w:hint="eastAsia" w:ascii="仿宋_GB2312" w:hAnsi="仿宋_GB2312" w:eastAsia="仿宋_GB2312" w:cs="仿宋_GB2312"/>
          <w:b w:val="0"/>
          <w:bCs/>
          <w:kern w:val="0"/>
          <w:sz w:val="18"/>
          <w:szCs w:val="18"/>
          <w:highlight w:val="none"/>
          <w:u w:val="single"/>
        </w:rPr>
        <w:t>农民工工资进度款</w:t>
      </w:r>
    </w:p>
    <w:p w14:paraId="0B0C38F1">
      <w:pPr>
        <w:ind w:firstLine="360" w:firstLineChars="200"/>
        <w:jc w:val="left"/>
        <w:rPr>
          <w:rFonts w:ascii="仿宋_GB2312" w:hAnsi="仿宋_GB2312" w:eastAsia="仿宋_GB2312" w:cs="仿宋_GB2312"/>
          <w:b w:val="0"/>
          <w:bCs/>
          <w:kern w:val="0"/>
          <w:sz w:val="18"/>
          <w:szCs w:val="18"/>
          <w:highlight w:val="none"/>
          <w:u w:val="single"/>
        </w:rPr>
      </w:pPr>
      <w:r>
        <w:rPr>
          <w:rFonts w:hint="eastAsia" w:ascii="仿宋_GB2312" w:hAnsi="仿宋_GB2312" w:eastAsia="仿宋_GB2312" w:cs="仿宋_GB2312"/>
          <w:b w:val="0"/>
          <w:bCs/>
          <w:kern w:val="0"/>
          <w:sz w:val="18"/>
          <w:szCs w:val="18"/>
          <w:highlight w:val="none"/>
          <w:u w:val="single"/>
        </w:rPr>
        <w:t>农民工工资进度款按月支付：每月支付工程量进度款的</w:t>
      </w:r>
      <w:r>
        <w:rPr>
          <w:rFonts w:hint="eastAsia" w:ascii="仿宋_GB2312" w:hAnsi="仿宋_GB2312" w:eastAsia="仿宋_GB2312" w:cs="仿宋_GB2312"/>
          <w:b w:val="0"/>
          <w:bCs/>
          <w:kern w:val="0"/>
          <w:sz w:val="18"/>
          <w:szCs w:val="18"/>
          <w:highlight w:val="none"/>
          <w:u w:val="single"/>
        </w:rPr>
        <w:sym w:font="Wingdings" w:char="00A8"/>
      </w:r>
      <w:r>
        <w:rPr>
          <w:rFonts w:hint="eastAsia" w:ascii="仿宋_GB2312" w:hAnsi="仿宋_GB2312" w:eastAsia="仿宋_GB2312" w:cs="仿宋_GB2312"/>
          <w:b w:val="0"/>
          <w:bCs/>
          <w:kern w:val="0"/>
          <w:sz w:val="18"/>
          <w:szCs w:val="18"/>
          <w:highlight w:val="none"/>
          <w:u w:val="single"/>
        </w:rPr>
        <w:t>20%（房屋建筑工程、装饰工程、桥梁工程）</w:t>
      </w:r>
      <w:r>
        <w:rPr>
          <w:rFonts w:hint="eastAsia" w:ascii="仿宋_GB2312" w:hAnsi="仿宋_GB2312" w:eastAsia="仿宋_GB2312" w:cs="仿宋_GB2312"/>
          <w:b w:val="0"/>
          <w:bCs/>
          <w:kern w:val="0"/>
          <w:sz w:val="18"/>
          <w:szCs w:val="18"/>
          <w:highlight w:val="none"/>
          <w:u w:val="single"/>
        </w:rPr>
        <w:sym w:font="Wingdings" w:char="00A8"/>
      </w:r>
      <w:r>
        <w:rPr>
          <w:rFonts w:hint="eastAsia" w:ascii="仿宋_GB2312" w:hAnsi="仿宋_GB2312" w:eastAsia="仿宋_GB2312" w:cs="仿宋_GB2312"/>
          <w:b w:val="0"/>
          <w:bCs/>
          <w:kern w:val="0"/>
          <w:sz w:val="18"/>
          <w:szCs w:val="18"/>
          <w:highlight w:val="none"/>
          <w:u w:val="single"/>
        </w:rPr>
        <w:t>14%（河道、给排水工程）</w:t>
      </w:r>
      <w:r>
        <w:rPr>
          <w:rFonts w:hint="eastAsia" w:ascii="仿宋_GB2312" w:hAnsi="仿宋_GB2312" w:eastAsia="仿宋_GB2312" w:cs="仿宋_GB2312"/>
          <w:b w:val="0"/>
          <w:bCs/>
          <w:kern w:val="0"/>
          <w:sz w:val="18"/>
          <w:szCs w:val="18"/>
          <w:highlight w:val="none"/>
          <w:u w:val="single"/>
        </w:rPr>
        <w:sym w:font="Wingdings" w:char="00A8"/>
      </w:r>
      <w:r>
        <w:rPr>
          <w:rFonts w:hint="eastAsia" w:ascii="仿宋_GB2312" w:hAnsi="仿宋_GB2312" w:eastAsia="仿宋_GB2312" w:cs="仿宋_GB2312"/>
          <w:b w:val="0"/>
          <w:bCs/>
          <w:kern w:val="0"/>
          <w:sz w:val="18"/>
          <w:szCs w:val="18"/>
          <w:highlight w:val="none"/>
          <w:u w:val="single"/>
        </w:rPr>
        <w:t>12%（隧道工程、道路桥梁组合工程）</w:t>
      </w:r>
      <w:r>
        <w:rPr>
          <w:rFonts w:hint="eastAsia" w:ascii="仿宋_GB2312" w:hAnsi="仿宋_GB2312" w:eastAsia="仿宋_GB2312" w:cs="仿宋_GB2312"/>
          <w:b w:val="0"/>
          <w:bCs/>
          <w:kern w:val="0"/>
          <w:sz w:val="18"/>
          <w:szCs w:val="18"/>
          <w:highlight w:val="none"/>
          <w:u w:val="single"/>
        </w:rPr>
        <w:sym w:font="Wingdings" w:char="00A8"/>
      </w:r>
      <w:r>
        <w:rPr>
          <w:rFonts w:hint="eastAsia" w:ascii="仿宋_GB2312" w:hAnsi="仿宋_GB2312" w:eastAsia="仿宋_GB2312" w:cs="仿宋_GB2312"/>
          <w:b w:val="0"/>
          <w:bCs/>
          <w:kern w:val="0"/>
          <w:sz w:val="18"/>
          <w:szCs w:val="18"/>
          <w:highlight w:val="none"/>
          <w:u w:val="single"/>
        </w:rPr>
        <w:t>8%（道路工程）</w:t>
      </w:r>
    </w:p>
    <w:p w14:paraId="470BB202">
      <w:pPr>
        <w:pStyle w:val="969"/>
        <w:ind w:left="0" w:leftChars="0"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注：以上工程款实际支付时间最终以财政资金到达时间为准。</w:t>
      </w:r>
    </w:p>
    <w:p w14:paraId="3392E85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Fonts w:hint="eastAsia" w:ascii="仿宋_GB2312" w:hAnsi="仿宋_GB2312" w:eastAsia="仿宋_GB2312" w:cs="仿宋_GB2312"/>
          <w:color w:val="000000"/>
          <w:sz w:val="18"/>
          <w:szCs w:val="18"/>
          <w:highlight w:val="none"/>
        </w:rPr>
        <w:t>2.4.3 进度付款申请单的提交</w:t>
      </w:r>
    </w:p>
    <w:p w14:paraId="533B2776">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（1）单价合同进度付款申请单提交的约定：</w:t>
      </w:r>
      <w:r>
        <w:rPr>
          <w:rFonts w:hint="eastAsia" w:ascii="仿宋_GB2312" w:hAnsi="仿宋_GB2312" w:eastAsia="仿宋_GB2312" w:cs="仿宋_GB2312"/>
          <w:kern w:val="0"/>
          <w:sz w:val="18"/>
          <w:szCs w:val="18"/>
          <w:highlight w:val="none"/>
          <w:u w:val="single"/>
        </w:rPr>
        <w:t>每月5日前提交</w:t>
      </w:r>
      <w:r>
        <w:rPr>
          <w:rFonts w:hint="eastAsia" w:ascii="仿宋_GB2312" w:hAnsi="仿宋_GB2312" w:eastAsia="仿宋_GB2312" w:cs="仿宋_GB2312"/>
          <w:color w:val="000000"/>
          <w:sz w:val="18"/>
          <w:szCs w:val="18"/>
          <w:highlight w:val="none"/>
        </w:rPr>
        <w:t>。</w:t>
      </w:r>
    </w:p>
    <w:p w14:paraId="3F363A5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（2）总价合同进度付款申请单提交的约定：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3011BEA6">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（3）其他价格形式合同进度付款申请单提交的约定：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22EB0142">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12.4.4 进度款审核和支付</w:t>
      </w:r>
    </w:p>
    <w:p w14:paraId="0201914D">
      <w:pPr>
        <w:ind w:firstLine="360" w:firstLineChars="200"/>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（1）监理人审查并报送发包人的期限：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215DCF3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发包人完成审批并签发进度款支付证书的期限：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1F0A4F5A">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（2）发包人支付进度款的期限：</w:t>
      </w:r>
      <w:r>
        <w:rPr>
          <w:rFonts w:hint="eastAsia" w:ascii="仿宋_GB2312" w:hAnsi="仿宋_GB2312" w:eastAsia="仿宋_GB2312" w:cs="仿宋_GB2312"/>
          <w:b/>
          <w:sz w:val="18"/>
          <w:szCs w:val="18"/>
          <w:highlight w:val="none"/>
          <w:u w:val="single"/>
        </w:rPr>
        <w:t>在进度款支付证书或临时进度款支付证书上报至拨款部门并完成下拨后14天内完成支付</w:t>
      </w:r>
      <w:r>
        <w:rPr>
          <w:rFonts w:hint="eastAsia" w:ascii="仿宋_GB2312" w:hAnsi="仿宋_GB2312" w:eastAsia="仿宋_GB2312" w:cs="仿宋_GB2312"/>
          <w:color w:val="000000"/>
          <w:sz w:val="18"/>
          <w:szCs w:val="18"/>
          <w:highlight w:val="none"/>
        </w:rPr>
        <w:t>。</w:t>
      </w:r>
    </w:p>
    <w:p w14:paraId="561CB8A3">
      <w:pPr>
        <w:ind w:firstLine="450" w:firstLineChars="25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发包人逾期支付进度款的违约金的计算方式：</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163F281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12.4.</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 xml:space="preserve"> 支付分解表的编制</w:t>
      </w:r>
    </w:p>
    <w:p w14:paraId="7C1CDFD1">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2、总价合同支付分解表的编制与审批：</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558BA654">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color w:val="000000"/>
          <w:sz w:val="18"/>
          <w:szCs w:val="18"/>
          <w:highlight w:val="none"/>
        </w:rPr>
        <w:t>3、单价合同的总价项目支付分解表的编制与审批：</w:t>
      </w:r>
      <w:r>
        <w:rPr>
          <w:rFonts w:hint="eastAsia" w:ascii="仿宋_GB2312" w:hAnsi="仿宋_GB2312" w:eastAsia="仿宋_GB2312" w:cs="仿宋_GB2312"/>
          <w:sz w:val="18"/>
          <w:szCs w:val="18"/>
          <w:highlight w:val="none"/>
          <w:u w:val="single"/>
        </w:rPr>
        <w:t>按通用条款执</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kern w:val="0"/>
          <w:sz w:val="18"/>
          <w:szCs w:val="18"/>
          <w:highlight w:val="none"/>
          <w:u w:val="single"/>
        </w:rPr>
        <w:t>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3FDF54A5">
      <w:pPr>
        <w:ind w:firstLine="361"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b/>
          <w:sz w:val="18"/>
          <w:szCs w:val="18"/>
          <w:highlight w:val="none"/>
          <w:u w:val="single"/>
        </w:rPr>
        <w:t>本项目中“其它措施费”一项、项目暂列金额及以“项”为单位的清单子目，均按施工现场实际联系单签证并附相关证明材料为准，</w:t>
      </w:r>
      <w:r>
        <w:rPr>
          <w:rFonts w:hint="eastAsia" w:ascii="仿宋_GB2312" w:hAnsi="仿宋_GB2312" w:eastAsia="仿宋_GB2312" w:cs="仿宋_GB2312"/>
          <w:sz w:val="18"/>
          <w:szCs w:val="18"/>
          <w:highlight w:val="none"/>
          <w:u w:val="single"/>
        </w:rPr>
        <w:t>发包人有权根据现场实际情况进行扣罚,直至扣除所有费用。</w:t>
      </w:r>
    </w:p>
    <w:bookmarkEnd w:id="1136"/>
    <w:p w14:paraId="3BC4EB80">
      <w:pPr>
        <w:pStyle w:val="5"/>
        <w:spacing w:before="120" w:after="120" w:line="240" w:lineRule="auto"/>
        <w:rPr>
          <w:rFonts w:ascii="仿宋_GB2312" w:hAnsi="仿宋_GB2312" w:eastAsia="仿宋_GB2312" w:cs="仿宋_GB2312"/>
          <w:b w:val="0"/>
          <w:color w:val="000000"/>
          <w:sz w:val="18"/>
          <w:szCs w:val="18"/>
          <w:highlight w:val="none"/>
        </w:rPr>
      </w:pPr>
      <w:bookmarkStart w:id="1307" w:name="_Toc351203645"/>
      <w:bookmarkStart w:id="1308" w:name="_Toc304295593"/>
      <w:bookmarkStart w:id="1309" w:name="_Toc296891259"/>
      <w:bookmarkStart w:id="1310" w:name="_Toc297216223"/>
      <w:bookmarkStart w:id="1311" w:name="_Toc300935015"/>
      <w:bookmarkStart w:id="1312" w:name="_Toc296944558"/>
      <w:bookmarkStart w:id="1313" w:name="_Toc312678053"/>
      <w:bookmarkStart w:id="1314" w:name="_Toc297123564"/>
      <w:bookmarkStart w:id="1315" w:name="_Toc297120519"/>
      <w:bookmarkStart w:id="1316" w:name="_Toc296347218"/>
      <w:bookmarkStart w:id="1317" w:name="_Toc292559424"/>
      <w:bookmarkStart w:id="1318" w:name="_Toc296891047"/>
      <w:bookmarkStart w:id="1319" w:name="_Toc292559929"/>
      <w:bookmarkStart w:id="1320" w:name="_Toc296346720"/>
      <w:bookmarkStart w:id="1321" w:name="_Toc297048405"/>
      <w:bookmarkStart w:id="1322" w:name="_Toc296503219"/>
      <w:bookmarkStart w:id="1323" w:name="_Toc303539172"/>
      <w:r>
        <w:rPr>
          <w:rFonts w:hint="eastAsia" w:ascii="仿宋_GB2312" w:hAnsi="仿宋_GB2312" w:eastAsia="仿宋_GB2312" w:cs="仿宋_GB2312"/>
          <w:b w:val="0"/>
          <w:color w:val="000000"/>
          <w:sz w:val="18"/>
          <w:szCs w:val="18"/>
          <w:highlight w:val="none"/>
        </w:rPr>
        <w:t>13. 验收和工程试车</w:t>
      </w:r>
      <w:bookmarkEnd w:id="1307"/>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14:paraId="5C5717BF">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13.1 分部分项工程验收</w:t>
      </w:r>
    </w:p>
    <w:p w14:paraId="3F12C1A4">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13.1.2监理人不能按时进行验收时，应提前</w:t>
      </w:r>
      <w:r>
        <w:rPr>
          <w:rFonts w:hint="eastAsia" w:ascii="仿宋_GB2312" w:hAnsi="仿宋_GB2312" w:eastAsia="仿宋_GB2312" w:cs="仿宋_GB2312"/>
          <w:sz w:val="18"/>
          <w:szCs w:val="18"/>
          <w:highlight w:val="none"/>
          <w:u w:val="single"/>
        </w:rPr>
        <w:t xml:space="preserve">  24   </w:t>
      </w:r>
      <w:r>
        <w:rPr>
          <w:rFonts w:hint="eastAsia" w:ascii="仿宋_GB2312" w:hAnsi="仿宋_GB2312" w:eastAsia="仿宋_GB2312" w:cs="仿宋_GB2312"/>
          <w:sz w:val="18"/>
          <w:szCs w:val="18"/>
          <w:highlight w:val="none"/>
        </w:rPr>
        <w:t>小时向发包人和承包人提交书面延期要求。</w:t>
      </w:r>
    </w:p>
    <w:p w14:paraId="5FED48DB">
      <w:pPr>
        <w:ind w:firstLine="360" w:firstLineChars="200"/>
        <w:jc w:val="left"/>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sz w:val="18"/>
          <w:szCs w:val="18"/>
          <w:highlight w:val="none"/>
        </w:rPr>
        <w:t>关于监理人不能按时进行验收时延期</w:t>
      </w:r>
      <w:r>
        <w:rPr>
          <w:rFonts w:hint="eastAsia" w:ascii="仿宋_GB2312" w:hAnsi="仿宋_GB2312" w:eastAsia="仿宋_GB2312" w:cs="仿宋_GB2312"/>
          <w:sz w:val="18"/>
          <w:szCs w:val="18"/>
          <w:highlight w:val="none"/>
          <w:lang w:val="en-US" w:eastAsia="zh-CN"/>
        </w:rPr>
        <w:t>的</w:t>
      </w:r>
      <w:r>
        <w:rPr>
          <w:rFonts w:hint="eastAsia" w:ascii="仿宋_GB2312" w:hAnsi="仿宋_GB2312" w:eastAsia="仿宋_GB2312" w:cs="仿宋_GB2312"/>
          <w:sz w:val="18"/>
          <w:szCs w:val="18"/>
          <w:highlight w:val="none"/>
        </w:rPr>
        <w:t>最长</w:t>
      </w:r>
      <w:r>
        <w:rPr>
          <w:rFonts w:hint="eastAsia" w:ascii="仿宋_GB2312" w:hAnsi="仿宋_GB2312" w:eastAsia="仿宋_GB2312" w:cs="仿宋_GB2312"/>
          <w:sz w:val="18"/>
          <w:szCs w:val="18"/>
          <w:highlight w:val="none"/>
          <w:lang w:val="en-US" w:eastAsia="zh-CN"/>
        </w:rPr>
        <w:t>时间</w:t>
      </w:r>
      <w:r>
        <w:rPr>
          <w:rFonts w:hint="eastAsia" w:ascii="仿宋_GB2312" w:hAnsi="仿宋_GB2312" w:eastAsia="仿宋_GB2312" w:cs="仿宋_GB2312"/>
          <w:sz w:val="18"/>
          <w:szCs w:val="18"/>
          <w:highlight w:val="none"/>
        </w:rPr>
        <w:t>不得超过：</w:t>
      </w:r>
      <w:r>
        <w:rPr>
          <w:rFonts w:hint="eastAsia" w:ascii="仿宋_GB2312" w:hAnsi="仿宋_GB2312" w:eastAsia="仿宋_GB2312" w:cs="仿宋_GB2312"/>
          <w:sz w:val="18"/>
          <w:szCs w:val="18"/>
          <w:highlight w:val="none"/>
          <w:u w:val="single"/>
        </w:rPr>
        <w:t xml:space="preserve">   48   </w:t>
      </w:r>
      <w:r>
        <w:rPr>
          <w:rFonts w:hint="eastAsia" w:ascii="仿宋_GB2312" w:hAnsi="仿宋_GB2312" w:eastAsia="仿宋_GB2312" w:cs="仿宋_GB2312"/>
          <w:sz w:val="18"/>
          <w:szCs w:val="18"/>
          <w:highlight w:val="none"/>
        </w:rPr>
        <w:t>小时（</w:t>
      </w:r>
      <w:r>
        <w:rPr>
          <w:rFonts w:ascii="仿宋_GB2312" w:hAnsi="仿宋_GB2312" w:eastAsia="仿宋_GB2312" w:cs="仿宋_GB2312"/>
          <w:sz w:val="18"/>
          <w:szCs w:val="18"/>
          <w:highlight w:val="none"/>
          <w:u w:val="single"/>
        </w:rPr>
        <w:t>自</w:t>
      </w:r>
      <w:r>
        <w:rPr>
          <w:rFonts w:hint="eastAsia" w:ascii="仿宋_GB2312" w:hAnsi="仿宋_GB2312" w:eastAsia="仿宋_GB2312" w:cs="仿宋_GB2312"/>
          <w:sz w:val="18"/>
          <w:szCs w:val="18"/>
          <w:highlight w:val="none"/>
          <w:u w:val="single"/>
          <w:lang w:val="en-US" w:eastAsia="zh-CN"/>
        </w:rPr>
        <w:t>检查通知中确定的</w:t>
      </w:r>
      <w:r>
        <w:rPr>
          <w:rFonts w:hint="eastAsia" w:ascii="仿宋_GB2312" w:hAnsi="仿宋_GB2312" w:eastAsia="仿宋_GB2312" w:cs="仿宋_GB2312"/>
          <w:sz w:val="18"/>
          <w:szCs w:val="18"/>
          <w:highlight w:val="none"/>
          <w:u w:val="single"/>
        </w:rPr>
        <w:t>检查</w:t>
      </w:r>
      <w:r>
        <w:rPr>
          <w:rFonts w:hint="eastAsia" w:ascii="仿宋_GB2312" w:hAnsi="仿宋_GB2312" w:eastAsia="仿宋_GB2312" w:cs="仿宋_GB2312"/>
          <w:sz w:val="18"/>
          <w:szCs w:val="18"/>
          <w:highlight w:val="none"/>
          <w:u w:val="single"/>
          <w:lang w:val="en-US" w:eastAsia="zh-CN"/>
        </w:rPr>
        <w:t>之日</w:t>
      </w:r>
      <w:r>
        <w:rPr>
          <w:rFonts w:ascii="仿宋_GB2312" w:hAnsi="仿宋_GB2312" w:eastAsia="仿宋_GB2312" w:cs="仿宋_GB2312"/>
          <w:sz w:val="18"/>
          <w:szCs w:val="18"/>
          <w:highlight w:val="none"/>
          <w:u w:val="single"/>
        </w:rPr>
        <w:t>起算</w:t>
      </w:r>
      <w:r>
        <w:rPr>
          <w:rFonts w:hint="eastAsia" w:ascii="仿宋_GB2312" w:hAnsi="仿宋_GB2312" w:eastAsia="仿宋_GB2312" w:cs="仿宋_GB2312"/>
          <w:sz w:val="18"/>
          <w:szCs w:val="18"/>
          <w:highlight w:val="none"/>
        </w:rPr>
        <w:t>）。</w:t>
      </w:r>
    </w:p>
    <w:p w14:paraId="3067C2FE">
      <w:pPr>
        <w:spacing w:after="120"/>
        <w:ind w:firstLine="360" w:firstLineChars="200"/>
        <w:rPr>
          <w:rFonts w:ascii="仿宋_GB2312" w:hAnsi="仿宋_GB2312" w:eastAsia="仿宋_GB2312" w:cs="仿宋_GB2312"/>
          <w:color w:val="000000"/>
          <w:sz w:val="18"/>
          <w:szCs w:val="18"/>
          <w:highlight w:val="none"/>
        </w:rPr>
      </w:pPr>
      <w:bookmarkStart w:id="1324" w:name="_Toc297120523"/>
      <w:bookmarkStart w:id="1325" w:name="_Toc296891051"/>
      <w:bookmarkStart w:id="1326" w:name="_Toc296944562"/>
      <w:bookmarkStart w:id="1327" w:name="_Toc312678056"/>
      <w:bookmarkStart w:id="1328" w:name="_Toc292559933"/>
      <w:bookmarkStart w:id="1329" w:name="_Toc296503223"/>
      <w:bookmarkStart w:id="1330" w:name="_Toc292559428"/>
      <w:bookmarkStart w:id="1331" w:name="_Toc296346724"/>
      <w:bookmarkStart w:id="1332" w:name="_Toc296891263"/>
      <w:bookmarkStart w:id="1333" w:name="_Toc297123565"/>
      <w:bookmarkStart w:id="1334" w:name="_Toc304295596"/>
      <w:bookmarkStart w:id="1335" w:name="_Toc296347222"/>
      <w:bookmarkStart w:id="1336" w:name="_Toc300935016"/>
      <w:bookmarkStart w:id="1337" w:name="_Toc303539173"/>
      <w:bookmarkStart w:id="1338" w:name="_Toc297048409"/>
      <w:bookmarkStart w:id="1339" w:name="_Toc297216224"/>
      <w:bookmarkStart w:id="1340" w:name="_Toc267251472"/>
      <w:bookmarkStart w:id="1341" w:name="_Toc267251471"/>
      <w:bookmarkStart w:id="1342" w:name="_Toc267251475"/>
      <w:bookmarkStart w:id="1343" w:name="_Toc267251470"/>
      <w:bookmarkStart w:id="1344" w:name="_Toc267251473"/>
      <w:bookmarkStart w:id="1345" w:name="_Toc267251476"/>
      <w:bookmarkStart w:id="1346" w:name="_Toc267251474"/>
      <w:r>
        <w:rPr>
          <w:rFonts w:hint="eastAsia" w:ascii="仿宋_GB2312" w:hAnsi="仿宋_GB2312" w:eastAsia="仿宋_GB2312" w:cs="仿宋_GB2312"/>
          <w:color w:val="000000"/>
          <w:sz w:val="18"/>
          <w:szCs w:val="18"/>
          <w:highlight w:val="none"/>
        </w:rPr>
        <w:t>13.2 竣工验收</w:t>
      </w:r>
    </w:p>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14:paraId="7CA54E45">
      <w:pPr>
        <w:ind w:firstLine="360" w:firstLineChars="200"/>
        <w:jc w:val="left"/>
        <w:rPr>
          <w:rFonts w:ascii="仿宋_GB2312" w:hAnsi="仿宋_GB2312" w:eastAsia="仿宋_GB2312" w:cs="仿宋_GB2312"/>
          <w:color w:val="000000"/>
          <w:sz w:val="18"/>
          <w:szCs w:val="18"/>
          <w:highlight w:val="none"/>
        </w:rPr>
      </w:pPr>
      <w:bookmarkStart w:id="1347" w:name="_Toc280868704"/>
      <w:bookmarkStart w:id="1348" w:name="_Toc280868705"/>
      <w:bookmarkStart w:id="1349" w:name="_Toc280868706"/>
      <w:bookmarkStart w:id="1350" w:name="_Toc280868707"/>
      <w:bookmarkStart w:id="1351" w:name="_Toc280868708"/>
      <w:bookmarkStart w:id="1352" w:name="_Toc280868709"/>
      <w:r>
        <w:rPr>
          <w:rFonts w:hint="eastAsia" w:ascii="仿宋_GB2312" w:hAnsi="仿宋_GB2312" w:eastAsia="仿宋_GB2312" w:cs="仿宋_GB2312"/>
          <w:color w:val="000000"/>
          <w:sz w:val="18"/>
          <w:szCs w:val="18"/>
          <w:highlight w:val="none"/>
        </w:rPr>
        <w:t>13.2.2竣工验收程序</w:t>
      </w:r>
    </w:p>
    <w:bookmarkEnd w:id="1347"/>
    <w:p w14:paraId="633FB65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关于竣工验收程序的约定：</w:t>
      </w:r>
      <w:r>
        <w:rPr>
          <w:rFonts w:hint="eastAsia" w:ascii="仿宋_GB2312" w:hAnsi="仿宋_GB2312" w:eastAsia="仿宋_GB2312" w:cs="仿宋_GB2312"/>
          <w:color w:val="000000"/>
          <w:kern w:val="0"/>
          <w:sz w:val="18"/>
          <w:szCs w:val="18"/>
          <w:highlight w:val="none"/>
          <w:u w:val="single"/>
          <w:lang w:val="en-US" w:eastAsia="zh-CN"/>
        </w:rPr>
        <w:t>承包人在</w:t>
      </w:r>
      <w:r>
        <w:rPr>
          <w:rFonts w:hint="eastAsia" w:ascii="仿宋_GB2312" w:hAnsi="仿宋_GB2312" w:eastAsia="仿宋_GB2312" w:cs="仿宋_GB2312"/>
          <w:color w:val="auto"/>
          <w:kern w:val="0"/>
          <w:sz w:val="18"/>
          <w:szCs w:val="18"/>
          <w:highlight w:val="none"/>
          <w:u w:val="single"/>
          <w:lang w:val="en-US" w:eastAsia="zh-CN"/>
        </w:rPr>
        <w:t>工程</w:t>
      </w:r>
      <w:r>
        <w:rPr>
          <w:rFonts w:hint="eastAsia" w:ascii="仿宋_GB2312" w:hAnsi="仿宋_GB2312" w:eastAsia="仿宋_GB2312" w:cs="仿宋_GB2312"/>
          <w:color w:val="auto"/>
          <w:sz w:val="18"/>
          <w:szCs w:val="18"/>
          <w:highlight w:val="none"/>
          <w:u w:val="single"/>
          <w:lang w:val="en-US" w:eastAsia="zh-CN"/>
        </w:rPr>
        <w:t>完工时同步完成竣工资料编制整理，并提交竣工验收申请</w:t>
      </w:r>
      <w:r>
        <w:rPr>
          <w:rFonts w:hint="eastAsia" w:ascii="仿宋_GB2312" w:hAnsi="仿宋_GB2312" w:eastAsia="仿宋_GB2312" w:cs="仿宋_GB2312"/>
          <w:color w:val="000000"/>
          <w:sz w:val="18"/>
          <w:szCs w:val="18"/>
          <w:highlight w:val="none"/>
        </w:rPr>
        <w:t>。</w:t>
      </w:r>
    </w:p>
    <w:p w14:paraId="1876F4D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发包人不按照本项约定组织竣工验收、颁发工程接收证书的违约金的计算方法：</w:t>
      </w:r>
      <w:r>
        <w:rPr>
          <w:rFonts w:hint="eastAsia" w:ascii="仿宋_GB2312" w:hAnsi="仿宋_GB2312" w:eastAsia="仿宋_GB2312" w:cs="仿宋_GB2312"/>
          <w:sz w:val="18"/>
          <w:szCs w:val="18"/>
          <w:highlight w:val="none"/>
          <w:u w:val="single"/>
        </w:rPr>
        <w:t xml:space="preserve">按通用条款执行    </w:t>
      </w:r>
      <w:r>
        <w:rPr>
          <w:rFonts w:hint="eastAsia" w:ascii="仿宋_GB2312" w:hAnsi="仿宋_GB2312" w:eastAsia="仿宋_GB2312" w:cs="仿宋_GB2312"/>
          <w:color w:val="000000"/>
          <w:sz w:val="18"/>
          <w:szCs w:val="18"/>
          <w:highlight w:val="none"/>
        </w:rPr>
        <w:t>。</w:t>
      </w:r>
    </w:p>
    <w:bookmarkEnd w:id="1348"/>
    <w:p w14:paraId="79FF90A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13.2.</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移交、接收全部与部分工程</w:t>
      </w:r>
    </w:p>
    <w:bookmarkEnd w:id="1349"/>
    <w:p w14:paraId="09A522A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承包人向发包人移交工程的期限：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5D0F298D">
      <w:pPr>
        <w:ind w:firstLine="360" w:firstLineChars="200"/>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kern w:val="0"/>
          <w:sz w:val="18"/>
          <w:szCs w:val="18"/>
          <w:highlight w:val="none"/>
        </w:rPr>
        <w:t>发包人未按本合同约定接收全部或部分工程的，违约金的计算方法为：</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bookmarkEnd w:id="1350"/>
    <w:p w14:paraId="11C87D4F">
      <w:pPr>
        <w:ind w:firstLine="360" w:firstLineChars="20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承包人未按时移交工程的，违约金的计算方法为：</w:t>
      </w:r>
      <w:r>
        <w:rPr>
          <w:rFonts w:hint="eastAsia" w:ascii="仿宋_GB2312" w:hAnsi="仿宋_GB2312" w:eastAsia="仿宋_GB2312" w:cs="仿宋_GB2312"/>
          <w:sz w:val="18"/>
          <w:szCs w:val="18"/>
          <w:highlight w:val="none"/>
          <w:u w:val="single"/>
        </w:rPr>
        <w:t>工程竣工验收通过后 3日内，承包人须向发包人移交全部工程，逾期移交的，每逾期一日，按人民币5000元/天向发包人支付违约金，因逾期交付工程给发包人造成经济损失的，赔偿</w:t>
      </w:r>
      <w:r>
        <w:rPr>
          <w:rFonts w:hint="eastAsia" w:ascii="仿宋_GB2312" w:hAnsi="仿宋_GB2312" w:eastAsia="仿宋_GB2312" w:cs="仿宋_GB2312"/>
          <w:sz w:val="18"/>
          <w:szCs w:val="18"/>
          <w:highlight w:val="none"/>
          <w:u w:val="single"/>
          <w:lang w:val="en-US" w:eastAsia="zh-CN"/>
        </w:rPr>
        <w:t>一切</w:t>
      </w:r>
      <w:r>
        <w:rPr>
          <w:rFonts w:hint="eastAsia" w:ascii="仿宋_GB2312" w:hAnsi="仿宋_GB2312" w:eastAsia="仿宋_GB2312" w:cs="仿宋_GB2312"/>
          <w:sz w:val="18"/>
          <w:szCs w:val="18"/>
          <w:highlight w:val="none"/>
          <w:u w:val="single"/>
        </w:rPr>
        <w:t>损失。同时，承包人移交所有工程之前，发包人有权拒绝结算、支付剩余工程款</w:t>
      </w:r>
      <w:r>
        <w:rPr>
          <w:rFonts w:hint="eastAsia" w:ascii="仿宋_GB2312" w:hAnsi="仿宋_GB2312" w:eastAsia="仿宋_GB2312" w:cs="仿宋_GB2312"/>
          <w:sz w:val="18"/>
          <w:szCs w:val="18"/>
          <w:highlight w:val="none"/>
        </w:rPr>
        <w:t>。</w:t>
      </w:r>
    </w:p>
    <w:p w14:paraId="06463B9F">
      <w:pPr>
        <w:ind w:firstLine="360" w:firstLineChars="200"/>
        <w:jc w:val="left"/>
        <w:rPr>
          <w:rFonts w:hint="eastAsia"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依据杭容景﹝2023﹞9 号《关于印发《照明工程质保管理办法》的通知》附件第九条规定，本项目竣工验收后，移交至杭州市市容景观发展中心时，供应商须提供灯具总数 2%或不少于 50 套的备品备件共同移交。相关费用不另外计算，包含在合同总价中。</w:t>
      </w:r>
    </w:p>
    <w:p w14:paraId="777E1596">
      <w:pPr>
        <w:ind w:firstLine="360" w:firstLineChars="200"/>
        <w:jc w:val="left"/>
        <w:rPr>
          <w:rFonts w:hint="eastAsia" w:ascii="仿宋_GB2312" w:hAnsi="仿宋_GB2312" w:eastAsia="仿宋_GB2312" w:cs="仿宋_GB2312"/>
          <w:sz w:val="18"/>
          <w:szCs w:val="18"/>
          <w:highlight w:val="none"/>
          <w:u w:val="single"/>
          <w:lang w:eastAsia="zh-CN"/>
        </w:rPr>
      </w:pPr>
      <w:r>
        <w:rPr>
          <w:rFonts w:hint="eastAsia" w:ascii="仿宋_GB2312" w:hAnsi="仿宋_GB2312" w:eastAsia="仿宋_GB2312" w:cs="仿宋_GB2312"/>
          <w:sz w:val="18"/>
          <w:szCs w:val="18"/>
          <w:highlight w:val="none"/>
          <w:u w:val="single"/>
          <w:lang w:eastAsia="zh-CN"/>
        </w:rPr>
        <w:t>工程涉及的灯具和控制等设施应接入现有市级照明控制平台进行统一管理。</w:t>
      </w:r>
    </w:p>
    <w:p w14:paraId="235C081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13.3 工程试车</w:t>
      </w:r>
    </w:p>
    <w:bookmarkEnd w:id="1351"/>
    <w:p w14:paraId="495C387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13.3.1 试车程序</w:t>
      </w:r>
    </w:p>
    <w:p w14:paraId="31A678E0">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工程试车内容：</w:t>
      </w:r>
      <w:r>
        <w:rPr>
          <w:rFonts w:hint="eastAsia" w:ascii="仿宋_GB2312" w:hAnsi="仿宋_GB2312" w:eastAsia="仿宋_GB2312" w:cs="仿宋_GB2312"/>
          <w:sz w:val="18"/>
          <w:szCs w:val="18"/>
          <w:highlight w:val="none"/>
          <w:u w:val="single"/>
        </w:rPr>
        <w:t>试车内容应与承包人承包范围相一致，试车费用由承包人承担</w:t>
      </w:r>
      <w:r>
        <w:rPr>
          <w:rFonts w:hint="eastAsia" w:ascii="仿宋_GB2312" w:hAnsi="仿宋_GB2312" w:eastAsia="仿宋_GB2312" w:cs="仿宋_GB2312"/>
          <w:sz w:val="18"/>
          <w:szCs w:val="18"/>
          <w:highlight w:val="none"/>
        </w:rPr>
        <w:t>。</w:t>
      </w:r>
    </w:p>
    <w:p w14:paraId="6C59CB4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（1）单机无负荷试车费用由</w:t>
      </w:r>
      <w:r>
        <w:rPr>
          <w:rFonts w:hint="eastAsia" w:ascii="仿宋_GB2312" w:hAnsi="仿宋_GB2312" w:eastAsia="仿宋_GB2312" w:cs="仿宋_GB2312"/>
          <w:sz w:val="18"/>
          <w:szCs w:val="18"/>
          <w:highlight w:val="none"/>
          <w:u w:val="single"/>
        </w:rPr>
        <w:t>承包人</w:t>
      </w:r>
      <w:r>
        <w:rPr>
          <w:rFonts w:hint="eastAsia" w:ascii="仿宋_GB2312" w:hAnsi="仿宋_GB2312" w:eastAsia="仿宋_GB2312" w:cs="仿宋_GB2312"/>
          <w:color w:val="000000"/>
          <w:kern w:val="0"/>
          <w:sz w:val="18"/>
          <w:szCs w:val="18"/>
          <w:highlight w:val="none"/>
        </w:rPr>
        <w:t>承担；</w:t>
      </w:r>
    </w:p>
    <w:p w14:paraId="2B2CEC21">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（2）无负荷联动试车费用由</w:t>
      </w:r>
      <w:r>
        <w:rPr>
          <w:rFonts w:hint="eastAsia" w:ascii="仿宋_GB2312" w:hAnsi="仿宋_GB2312" w:eastAsia="仿宋_GB2312" w:cs="仿宋_GB2312"/>
          <w:sz w:val="18"/>
          <w:szCs w:val="18"/>
          <w:highlight w:val="none"/>
          <w:u w:val="single"/>
        </w:rPr>
        <w:t>承包人</w:t>
      </w:r>
      <w:r>
        <w:rPr>
          <w:rFonts w:hint="eastAsia" w:ascii="仿宋_GB2312" w:hAnsi="仿宋_GB2312" w:eastAsia="仿宋_GB2312" w:cs="仿宋_GB2312"/>
          <w:color w:val="000000"/>
          <w:kern w:val="0"/>
          <w:sz w:val="18"/>
          <w:szCs w:val="18"/>
          <w:highlight w:val="none"/>
        </w:rPr>
        <w:t>承担。</w:t>
      </w:r>
    </w:p>
    <w:p w14:paraId="5A2CAD5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13.3.</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 xml:space="preserve"> 投料试车</w:t>
      </w:r>
    </w:p>
    <w:p w14:paraId="497B90F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关于投料试车相关事项的约定：</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766A08D3">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13.</w:t>
      </w:r>
      <w:r>
        <w:rPr>
          <w:rFonts w:hint="eastAsia" w:ascii="仿宋_GB2312" w:hAnsi="仿宋_GB2312" w:eastAsia="仿宋_GB2312" w:cs="仿宋_GB2312"/>
          <w:color w:val="000000"/>
          <w:sz w:val="18"/>
          <w:szCs w:val="18"/>
          <w:highlight w:val="none"/>
          <w:lang w:val="en-US" w:eastAsia="zh-CN"/>
        </w:rPr>
        <w:t>4</w:t>
      </w:r>
      <w:r>
        <w:rPr>
          <w:rFonts w:hint="eastAsia" w:ascii="仿宋_GB2312" w:hAnsi="仿宋_GB2312" w:eastAsia="仿宋_GB2312" w:cs="仿宋_GB2312"/>
          <w:color w:val="000000"/>
          <w:sz w:val="18"/>
          <w:szCs w:val="18"/>
          <w:highlight w:val="none"/>
        </w:rPr>
        <w:t xml:space="preserve"> 竣工退场</w:t>
      </w:r>
    </w:p>
    <w:p w14:paraId="41D9BA4C">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13.</w:t>
      </w:r>
      <w:r>
        <w:rPr>
          <w:rFonts w:hint="eastAsia" w:ascii="仿宋_GB2312" w:hAnsi="仿宋_GB2312" w:eastAsia="仿宋_GB2312" w:cs="仿宋_GB2312"/>
          <w:color w:val="000000"/>
          <w:kern w:val="0"/>
          <w:sz w:val="18"/>
          <w:szCs w:val="18"/>
          <w:highlight w:val="none"/>
          <w:lang w:val="en-US" w:eastAsia="zh-CN"/>
        </w:rPr>
        <w:t>4</w:t>
      </w:r>
      <w:r>
        <w:rPr>
          <w:rFonts w:hint="eastAsia" w:ascii="仿宋_GB2312" w:hAnsi="仿宋_GB2312" w:eastAsia="仿宋_GB2312" w:cs="仿宋_GB2312"/>
          <w:color w:val="000000"/>
          <w:kern w:val="0"/>
          <w:sz w:val="18"/>
          <w:szCs w:val="18"/>
          <w:highlight w:val="none"/>
        </w:rPr>
        <w:t>.1 竣工退场</w:t>
      </w:r>
    </w:p>
    <w:p w14:paraId="31CB6AE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承包人完成竣工退场的期限：</w:t>
      </w:r>
      <w:r>
        <w:rPr>
          <w:rFonts w:hint="eastAsia" w:ascii="仿宋_GB2312" w:hAnsi="仿宋_GB2312" w:eastAsia="仿宋_GB2312" w:cs="仿宋_GB2312"/>
          <w:sz w:val="18"/>
          <w:szCs w:val="18"/>
          <w:highlight w:val="none"/>
          <w:u w:val="single"/>
        </w:rPr>
        <w:t xml:space="preserve">颁发工程接收证书后7天 </w:t>
      </w:r>
      <w:r>
        <w:rPr>
          <w:rFonts w:hint="eastAsia" w:ascii="仿宋_GB2312" w:hAnsi="仿宋_GB2312" w:eastAsia="仿宋_GB2312" w:cs="仿宋_GB2312"/>
          <w:color w:val="000000"/>
          <w:kern w:val="0"/>
          <w:sz w:val="18"/>
          <w:szCs w:val="18"/>
          <w:highlight w:val="none"/>
        </w:rPr>
        <w:t>。</w:t>
      </w:r>
    </w:p>
    <w:p w14:paraId="0D718D2C">
      <w:pPr>
        <w:pStyle w:val="5"/>
        <w:spacing w:before="120" w:after="120" w:line="240" w:lineRule="auto"/>
        <w:rPr>
          <w:rFonts w:ascii="仿宋_GB2312" w:hAnsi="仿宋_GB2312" w:eastAsia="仿宋_GB2312" w:cs="仿宋_GB2312"/>
          <w:b w:val="0"/>
          <w:color w:val="000000"/>
          <w:sz w:val="18"/>
          <w:szCs w:val="18"/>
          <w:highlight w:val="none"/>
        </w:rPr>
      </w:pPr>
      <w:bookmarkStart w:id="1353" w:name="_Toc351203646"/>
      <w:r>
        <w:rPr>
          <w:rFonts w:hint="eastAsia" w:ascii="仿宋_GB2312" w:hAnsi="仿宋_GB2312" w:eastAsia="仿宋_GB2312" w:cs="仿宋_GB2312"/>
          <w:b w:val="0"/>
          <w:color w:val="000000"/>
          <w:sz w:val="18"/>
          <w:szCs w:val="18"/>
          <w:highlight w:val="none"/>
        </w:rPr>
        <w:t>14. 竣工结算</w:t>
      </w:r>
      <w:bookmarkEnd w:id="1353"/>
    </w:p>
    <w:p w14:paraId="7CB93972">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14.1 竣工结算申请</w:t>
      </w:r>
    </w:p>
    <w:p w14:paraId="5F09014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承包人提交竣工结算申请单的期限：</w:t>
      </w:r>
      <w:r>
        <w:rPr>
          <w:rFonts w:hint="eastAsia" w:ascii="仿宋_GB2312" w:hAnsi="仿宋_GB2312" w:eastAsia="仿宋_GB2312" w:cs="仿宋_GB2312"/>
          <w:color w:val="auto"/>
          <w:sz w:val="18"/>
          <w:szCs w:val="18"/>
          <w:highlight w:val="none"/>
          <w:u w:val="single"/>
          <w:lang w:val="en-US" w:eastAsia="zh-CN"/>
        </w:rPr>
        <w:t>承包人在工程竣工验收后15日内完成竣工结算资料整理并提交竣工结算申请，并做好结算审计配合工作，在发包人规定的时间内完成结算审计工作</w:t>
      </w:r>
      <w:r>
        <w:rPr>
          <w:rFonts w:hint="eastAsia" w:ascii="仿宋_GB2312" w:hAnsi="仿宋_GB2312" w:eastAsia="仿宋_GB2312" w:cs="仿宋_GB2312"/>
          <w:color w:val="000000"/>
          <w:sz w:val="18"/>
          <w:szCs w:val="18"/>
          <w:highlight w:val="none"/>
        </w:rPr>
        <w:t>。</w:t>
      </w:r>
    </w:p>
    <w:p w14:paraId="659549F6">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竣工结算申请单应包括的内容：</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04B9F2E6">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14.2 竣工结算审核</w:t>
      </w:r>
    </w:p>
    <w:p w14:paraId="6BF35E21">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发包人审批竣工付款申请单的期限：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3BFBC02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发包人完成竣工付款的期限：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2770C879">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关于竣工付款证书异议部分复核的方式和程序：</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6EDFDFA2">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14.</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最终结清</w:t>
      </w:r>
    </w:p>
    <w:p w14:paraId="54C9D72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14.4.1 最终结清申请单</w:t>
      </w:r>
    </w:p>
    <w:p w14:paraId="700E52A2">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承包人提交最终结清申请单的份数：</w:t>
      </w:r>
      <w:r>
        <w:rPr>
          <w:rFonts w:hint="eastAsia" w:ascii="仿宋_GB2312" w:hAnsi="仿宋_GB2312" w:eastAsia="仿宋_GB2312" w:cs="仿宋_GB2312"/>
          <w:sz w:val="18"/>
          <w:szCs w:val="18"/>
          <w:highlight w:val="none"/>
          <w:u w:val="single"/>
        </w:rPr>
        <w:t>肆份</w:t>
      </w:r>
      <w:r>
        <w:rPr>
          <w:rFonts w:hint="eastAsia" w:ascii="仿宋_GB2312" w:hAnsi="仿宋_GB2312" w:eastAsia="仿宋_GB2312" w:cs="仿宋_GB2312"/>
          <w:color w:val="000000"/>
          <w:sz w:val="18"/>
          <w:szCs w:val="18"/>
          <w:highlight w:val="none"/>
        </w:rPr>
        <w:t>。</w:t>
      </w:r>
    </w:p>
    <w:p w14:paraId="424D0E1A">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承包人提交最终结算申请单的期限：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7274C999">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14.4.2 最终结清证书和支付</w:t>
      </w:r>
    </w:p>
    <w:p w14:paraId="2CF1E1D5">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（1）发包人完成最终结清申请单的审批并颁发最终结清证书的期限：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0AA54050">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（2）发包人完成支付的期限：</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p w14:paraId="39F649CA">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w:t>
      </w:r>
      <w:r>
        <w:rPr>
          <w:rFonts w:hint="eastAsia" w:ascii="仿宋_GB2312" w:hAnsi="仿宋_GB2312" w:eastAsia="仿宋_GB2312" w:cs="仿宋_GB2312"/>
          <w:sz w:val="18"/>
          <w:szCs w:val="18"/>
          <w:highlight w:val="none"/>
        </w:rPr>
        <w:t>增加以下内容：</w:t>
      </w:r>
    </w:p>
    <w:p w14:paraId="0C520C87">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14.4.3.1</w:t>
      </w:r>
      <w:r>
        <w:rPr>
          <w:rFonts w:hint="eastAsia" w:ascii="仿宋_GB2312" w:hAnsi="仿宋_GB2312" w:eastAsia="仿宋_GB2312" w:cs="仿宋_GB2312"/>
          <w:sz w:val="18"/>
          <w:szCs w:val="18"/>
          <w:highlight w:val="none"/>
        </w:rPr>
        <w:t>.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162906C6">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14.4.3.2</w:t>
      </w:r>
      <w:r>
        <w:rPr>
          <w:rFonts w:hint="eastAsia" w:ascii="仿宋_GB2312" w:hAnsi="仿宋_GB2312" w:eastAsia="仿宋_GB2312" w:cs="仿宋_GB2312"/>
          <w:sz w:val="18"/>
          <w:szCs w:val="18"/>
          <w:highlight w:val="none"/>
        </w:rPr>
        <w:t>.承包人应遵循实事求是，严禁高估冒算的原则，编制工程结算书。按照省《浙江省建设工程造价咨询服务项目及收费指引》浙建价协〔</w:t>
      </w:r>
      <w:r>
        <w:rPr>
          <w:rFonts w:ascii="仿宋_GB2312" w:hAnsi="仿宋_GB2312" w:eastAsia="仿宋_GB2312" w:cs="仿宋_GB2312"/>
          <w:sz w:val="18"/>
          <w:szCs w:val="18"/>
          <w:highlight w:val="none"/>
        </w:rPr>
        <w:t>2021〕13号</w:t>
      </w:r>
      <w:r>
        <w:rPr>
          <w:rFonts w:hint="eastAsia" w:ascii="仿宋_GB2312" w:hAnsi="仿宋_GB2312" w:eastAsia="仿宋_GB2312" w:cs="仿宋_GB2312"/>
          <w:sz w:val="18"/>
          <w:szCs w:val="18"/>
          <w:highlight w:val="none"/>
        </w:rPr>
        <w:t>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14:paraId="5261BF08">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14.4.3.3</w:t>
      </w:r>
      <w:r>
        <w:rPr>
          <w:rFonts w:hint="eastAsia" w:ascii="仿宋_GB2312" w:hAnsi="仿宋_GB2312" w:eastAsia="仿宋_GB2312" w:cs="仿宋_GB2312"/>
          <w:sz w:val="18"/>
          <w:szCs w:val="18"/>
          <w:highlight w:val="non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703FCE5F">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14.4.3.4</w:t>
      </w:r>
      <w:r>
        <w:rPr>
          <w:rFonts w:hint="eastAsia" w:ascii="仿宋_GB2312" w:hAnsi="仿宋_GB2312" w:eastAsia="仿宋_GB2312" w:cs="仿宋_GB2312"/>
          <w:sz w:val="18"/>
          <w:szCs w:val="18"/>
          <w:highlight w:val="none"/>
        </w:rPr>
        <w:t>.发包人向承包人提交审核报告（审计报告）后30日内，承包人未提出意见的，视为承包人认可该审核报告（审计报告），发包人按审核报告支付结算款。</w:t>
      </w:r>
    </w:p>
    <w:p w14:paraId="2EC656CA">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14.4.3.5</w:t>
      </w:r>
      <w:r>
        <w:rPr>
          <w:rFonts w:hint="eastAsia" w:ascii="仿宋_GB2312" w:hAnsi="仿宋_GB2312" w:eastAsia="仿宋_GB2312" w:cs="仿宋_GB2312"/>
          <w:sz w:val="18"/>
          <w:szCs w:val="18"/>
          <w:highlight w:val="none"/>
        </w:rPr>
        <w:t>．最终价款结算以审计部门出具的审计报告为准。　</w:t>
      </w:r>
    </w:p>
    <w:bookmarkEnd w:id="1340"/>
    <w:bookmarkEnd w:id="1341"/>
    <w:bookmarkEnd w:id="1342"/>
    <w:bookmarkEnd w:id="1343"/>
    <w:bookmarkEnd w:id="1344"/>
    <w:bookmarkEnd w:id="1345"/>
    <w:bookmarkEnd w:id="1346"/>
    <w:bookmarkEnd w:id="1352"/>
    <w:p w14:paraId="5E8AB8AA">
      <w:pPr>
        <w:pStyle w:val="5"/>
        <w:spacing w:before="120" w:after="120" w:line="240" w:lineRule="auto"/>
        <w:rPr>
          <w:rFonts w:ascii="仿宋_GB2312" w:hAnsi="仿宋_GB2312" w:eastAsia="仿宋_GB2312" w:cs="仿宋_GB2312"/>
          <w:b w:val="0"/>
          <w:color w:val="000000"/>
          <w:sz w:val="18"/>
          <w:szCs w:val="18"/>
          <w:highlight w:val="none"/>
        </w:rPr>
      </w:pPr>
      <w:bookmarkStart w:id="1354" w:name="_Toc351203647"/>
      <w:bookmarkStart w:id="1355" w:name="_Toc267251483"/>
      <w:bookmarkStart w:id="1356" w:name="_Toc267251482"/>
      <w:bookmarkStart w:id="1357" w:name="_Toc267251484"/>
      <w:bookmarkStart w:id="1358" w:name="_Toc267251485"/>
      <w:bookmarkStart w:id="1359" w:name="_Toc267251489"/>
      <w:bookmarkStart w:id="1360" w:name="_Toc267251486"/>
      <w:bookmarkStart w:id="1361" w:name="_Toc267251488"/>
      <w:bookmarkStart w:id="1362" w:name="_Toc267251490"/>
      <w:bookmarkStart w:id="1363" w:name="_Toc267251495"/>
      <w:bookmarkStart w:id="1364" w:name="_Toc267251503"/>
      <w:bookmarkStart w:id="1365" w:name="_Toc267251498"/>
      <w:bookmarkStart w:id="1366" w:name="_Toc267251494"/>
      <w:bookmarkStart w:id="1367" w:name="_Toc267251496"/>
      <w:bookmarkStart w:id="1368" w:name="_Toc267251492"/>
      <w:bookmarkStart w:id="1369" w:name="_Toc267251501"/>
      <w:bookmarkStart w:id="1370" w:name="_Toc267251493"/>
      <w:bookmarkStart w:id="1371" w:name="_Toc267251497"/>
      <w:bookmarkStart w:id="1372" w:name="_Toc267251491"/>
      <w:bookmarkStart w:id="1373" w:name="_Toc267251499"/>
      <w:bookmarkStart w:id="1374" w:name="_Toc267251502"/>
      <w:bookmarkStart w:id="1375" w:name="_Toc267251504"/>
      <w:bookmarkStart w:id="1376" w:name="_Toc267251506"/>
      <w:bookmarkStart w:id="1377" w:name="_Toc267251507"/>
      <w:bookmarkStart w:id="1378" w:name="_Toc267251508"/>
      <w:bookmarkStart w:id="1379" w:name="_Toc267251515"/>
      <w:bookmarkStart w:id="1380" w:name="_Toc267251514"/>
      <w:bookmarkStart w:id="1381" w:name="_Toc267251511"/>
      <w:bookmarkStart w:id="1382" w:name="_Toc267251509"/>
      <w:bookmarkStart w:id="1383" w:name="_Toc267251510"/>
      <w:bookmarkStart w:id="1384" w:name="_Toc267251513"/>
      <w:r>
        <w:rPr>
          <w:rFonts w:hint="eastAsia" w:ascii="仿宋_GB2312" w:hAnsi="仿宋_GB2312" w:eastAsia="仿宋_GB2312" w:cs="仿宋_GB2312"/>
          <w:b w:val="0"/>
          <w:color w:val="000000"/>
          <w:sz w:val="18"/>
          <w:szCs w:val="18"/>
          <w:highlight w:val="none"/>
        </w:rPr>
        <w:t>15. 缺陷责任期与保修</w:t>
      </w:r>
      <w:bookmarkEnd w:id="1354"/>
    </w:p>
    <w:p w14:paraId="7743AB4E">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缺陷责任期</w:t>
      </w:r>
      <w:bookmarkEnd w:id="1355"/>
    </w:p>
    <w:p w14:paraId="0A9AA1D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缺陷责任期的具体期限：</w:t>
      </w:r>
      <w:r>
        <w:rPr>
          <w:rFonts w:hint="eastAsia" w:ascii="仿宋_GB2312" w:hAnsi="仿宋_GB2312" w:eastAsia="仿宋_GB2312" w:cs="仿宋_GB2312"/>
          <w:color w:val="000000"/>
          <w:sz w:val="18"/>
          <w:szCs w:val="18"/>
          <w:highlight w:val="none"/>
          <w:u w:val="single"/>
          <w:lang w:val="en-US" w:eastAsia="zh-CN"/>
        </w:rPr>
        <w:t>24</w:t>
      </w:r>
      <w:r>
        <w:rPr>
          <w:rFonts w:hint="eastAsia" w:ascii="仿宋_GB2312" w:hAnsi="仿宋_GB2312" w:eastAsia="仿宋_GB2312" w:cs="仿宋_GB2312"/>
          <w:sz w:val="18"/>
          <w:szCs w:val="18"/>
          <w:highlight w:val="none"/>
          <w:u w:val="single"/>
        </w:rPr>
        <w:t xml:space="preserve">个月  </w:t>
      </w:r>
      <w:r>
        <w:rPr>
          <w:rFonts w:hint="eastAsia" w:ascii="仿宋_GB2312" w:hAnsi="仿宋_GB2312" w:eastAsia="仿宋_GB2312" w:cs="仿宋_GB2312"/>
          <w:sz w:val="18"/>
          <w:szCs w:val="18"/>
          <w:highlight w:val="none"/>
          <w:u w:val="single"/>
          <w:lang w:eastAsia="zh-CN"/>
        </w:rPr>
        <w:t>（</w:t>
      </w:r>
      <w:r>
        <w:rPr>
          <w:rFonts w:hint="eastAsia" w:ascii="仿宋_GB2312" w:hAnsi="仿宋_GB2312" w:eastAsia="仿宋_GB2312" w:cs="仿宋_GB2312"/>
          <w:sz w:val="18"/>
          <w:szCs w:val="18"/>
          <w:highlight w:val="none"/>
          <w:u w:val="single"/>
          <w:lang w:val="en-US" w:eastAsia="zh-CN"/>
        </w:rPr>
        <w:t>以竣工验收合格之日起算</w:t>
      </w:r>
      <w:r>
        <w:rPr>
          <w:rFonts w:hint="eastAsia" w:ascii="仿宋_GB2312" w:hAnsi="仿宋_GB2312" w:eastAsia="仿宋_GB2312" w:cs="仿宋_GB2312"/>
          <w:sz w:val="18"/>
          <w:szCs w:val="18"/>
          <w:highlight w:val="none"/>
          <w:u w:val="single"/>
          <w:lang w:eastAsia="zh-CN"/>
        </w:rPr>
        <w:t>）</w:t>
      </w:r>
      <w:r>
        <w:rPr>
          <w:rFonts w:hint="eastAsia" w:ascii="仿宋_GB2312" w:hAnsi="仿宋_GB2312" w:eastAsia="仿宋_GB2312" w:cs="仿宋_GB2312"/>
          <w:color w:val="000000"/>
          <w:sz w:val="18"/>
          <w:szCs w:val="18"/>
          <w:highlight w:val="none"/>
        </w:rPr>
        <w:t>。</w:t>
      </w:r>
    </w:p>
    <w:p w14:paraId="2B9144E4">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质量保证金</w:t>
      </w:r>
    </w:p>
    <w:p w14:paraId="149E997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关于是否扣留质量保证金的约定：</w:t>
      </w:r>
      <w:r>
        <w:rPr>
          <w:rFonts w:hint="eastAsia" w:ascii="仿宋_GB2312" w:hAnsi="仿宋_GB2312" w:eastAsia="仿宋_GB2312" w:cs="仿宋_GB2312"/>
          <w:sz w:val="18"/>
          <w:szCs w:val="18"/>
          <w:highlight w:val="none"/>
          <w:u w:val="single"/>
        </w:rPr>
        <w:t>是</w:t>
      </w:r>
      <w:r>
        <w:rPr>
          <w:rFonts w:hint="eastAsia" w:ascii="仿宋_GB2312" w:hAnsi="仿宋_GB2312" w:eastAsia="仿宋_GB2312" w:cs="仿宋_GB2312"/>
          <w:color w:val="000000"/>
          <w:sz w:val="18"/>
          <w:szCs w:val="18"/>
          <w:highlight w:val="none"/>
        </w:rPr>
        <w:t>。在工程项目竣工前，承包人按专用合同条款第3.7条提供履约担保的，发包人不得同时预留工程质量保证金。</w:t>
      </w:r>
    </w:p>
    <w:p w14:paraId="237DDEA5">
      <w:pPr>
        <w:ind w:firstLine="360" w:firstLineChars="200"/>
        <w:jc w:val="left"/>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.1 承包人提供质量保证金的方式</w:t>
      </w:r>
    </w:p>
    <w:p w14:paraId="6651F219">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质量保证金采用以下第</w:t>
      </w:r>
      <w:r>
        <w:rPr>
          <w:rFonts w:hint="eastAsia" w:ascii="仿宋_GB2312" w:hAnsi="仿宋_GB2312" w:eastAsia="仿宋_GB2312" w:cs="仿宋_GB2312"/>
          <w:sz w:val="18"/>
          <w:szCs w:val="18"/>
          <w:highlight w:val="none"/>
          <w:u w:val="single"/>
        </w:rPr>
        <w:t>（3）</w:t>
      </w:r>
      <w:r>
        <w:rPr>
          <w:rFonts w:hint="eastAsia" w:ascii="仿宋_GB2312" w:hAnsi="仿宋_GB2312" w:eastAsia="仿宋_GB2312" w:cs="仿宋_GB2312"/>
          <w:color w:val="000000"/>
          <w:sz w:val="18"/>
          <w:szCs w:val="18"/>
          <w:highlight w:val="none"/>
        </w:rPr>
        <w:t>种方式：</w:t>
      </w:r>
    </w:p>
    <w:p w14:paraId="08ECCB1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（1）质量保证金保函，保证金额为：</w:t>
      </w:r>
      <w:r>
        <w:rPr>
          <w:rFonts w:hint="eastAsia" w:ascii="仿宋_GB2312" w:hAnsi="仿宋_GB2312" w:eastAsia="仿宋_GB2312" w:cs="仿宋_GB2312"/>
          <w:kern w:val="0"/>
          <w:sz w:val="18"/>
          <w:szCs w:val="18"/>
          <w:highlight w:val="none"/>
          <w:u w:val="single"/>
        </w:rPr>
        <w:t xml:space="preserve">/   </w:t>
      </w:r>
      <w:r>
        <w:rPr>
          <w:rFonts w:hint="eastAsia" w:ascii="仿宋_GB2312" w:hAnsi="仿宋_GB2312" w:eastAsia="仿宋_GB2312" w:cs="仿宋_GB2312"/>
          <w:color w:val="000000"/>
          <w:kern w:val="0"/>
          <w:sz w:val="18"/>
          <w:szCs w:val="18"/>
          <w:highlight w:val="none"/>
        </w:rPr>
        <w:t xml:space="preserve">； </w:t>
      </w:r>
    </w:p>
    <w:p w14:paraId="6246C0E7">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（2）保证保险，保证金额为： ；</w:t>
      </w:r>
    </w:p>
    <w:p w14:paraId="5D644094">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3</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u w:val="single"/>
        </w:rPr>
        <w:t>1.5</w:t>
      </w:r>
      <w:r>
        <w:rPr>
          <w:rFonts w:hint="eastAsia" w:ascii="仿宋_GB2312" w:hAnsi="仿宋_GB2312" w:eastAsia="仿宋_GB2312" w:cs="仿宋_GB2312"/>
          <w:color w:val="000000"/>
          <w:kern w:val="0"/>
          <w:sz w:val="18"/>
          <w:szCs w:val="18"/>
          <w:highlight w:val="none"/>
        </w:rPr>
        <w:t>%的工程</w:t>
      </w:r>
      <w:r>
        <w:rPr>
          <w:rFonts w:hint="eastAsia" w:ascii="仿宋_GB2312" w:hAnsi="仿宋_GB2312" w:eastAsia="仿宋_GB2312" w:cs="仿宋_GB2312"/>
          <w:color w:val="000000"/>
          <w:kern w:val="0"/>
          <w:sz w:val="18"/>
          <w:szCs w:val="18"/>
          <w:highlight w:val="none"/>
          <w:lang w:val="en-US" w:eastAsia="zh-CN"/>
        </w:rPr>
        <w:t>审核结算</w:t>
      </w:r>
      <w:r>
        <w:rPr>
          <w:rFonts w:hint="eastAsia" w:ascii="仿宋_GB2312" w:hAnsi="仿宋_GB2312" w:eastAsia="仿宋_GB2312" w:cs="仿宋_GB2312"/>
          <w:color w:val="000000"/>
          <w:kern w:val="0"/>
          <w:sz w:val="18"/>
          <w:szCs w:val="18"/>
          <w:highlight w:val="none"/>
        </w:rPr>
        <w:t>款；</w:t>
      </w:r>
    </w:p>
    <w:p w14:paraId="49B72010">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4</w:t>
      </w:r>
      <w:r>
        <w:rPr>
          <w:rFonts w:hint="eastAsia" w:ascii="仿宋_GB2312" w:hAnsi="仿宋_GB2312" w:eastAsia="仿宋_GB2312" w:cs="仿宋_GB2312"/>
          <w:color w:val="000000"/>
          <w:kern w:val="0"/>
          <w:sz w:val="18"/>
          <w:szCs w:val="18"/>
          <w:highlight w:val="none"/>
        </w:rPr>
        <w:t>）其他方式:</w:t>
      </w:r>
      <w:r>
        <w:rPr>
          <w:rFonts w:hint="eastAsia" w:ascii="仿宋_GB2312" w:hAnsi="仿宋_GB2312" w:eastAsia="仿宋_GB2312" w:cs="仿宋_GB2312"/>
          <w:kern w:val="0"/>
          <w:sz w:val="18"/>
          <w:szCs w:val="18"/>
          <w:highlight w:val="none"/>
          <w:u w:val="single"/>
        </w:rPr>
        <w:t xml:space="preserve">/   </w:t>
      </w:r>
      <w:r>
        <w:rPr>
          <w:rFonts w:hint="eastAsia" w:ascii="仿宋_GB2312" w:hAnsi="仿宋_GB2312" w:eastAsia="仿宋_GB2312" w:cs="仿宋_GB2312"/>
          <w:color w:val="000000"/>
          <w:kern w:val="0"/>
          <w:sz w:val="18"/>
          <w:szCs w:val="18"/>
          <w:highlight w:val="none"/>
        </w:rPr>
        <w:t>。</w:t>
      </w:r>
    </w:p>
    <w:p w14:paraId="16D2E4D9">
      <w:pPr>
        <w:ind w:firstLine="360" w:firstLineChars="200"/>
        <w:jc w:val="left"/>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.2 质量保证金的扣留 </w:t>
      </w:r>
    </w:p>
    <w:p w14:paraId="6DCCA55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质量保证金的扣留采取以下第</w:t>
      </w:r>
      <w:r>
        <w:rPr>
          <w:rFonts w:hint="eastAsia" w:ascii="仿宋_GB2312" w:hAnsi="仿宋_GB2312" w:eastAsia="仿宋_GB2312" w:cs="仿宋_GB2312"/>
          <w:color w:val="000000"/>
          <w:sz w:val="18"/>
          <w:szCs w:val="18"/>
          <w:highlight w:val="none"/>
          <w:u w:val="single"/>
        </w:rPr>
        <w:t xml:space="preserve">  2   </w:t>
      </w:r>
      <w:r>
        <w:rPr>
          <w:rFonts w:hint="eastAsia" w:ascii="仿宋_GB2312" w:hAnsi="仿宋_GB2312" w:eastAsia="仿宋_GB2312" w:cs="仿宋_GB2312"/>
          <w:color w:val="000000"/>
          <w:sz w:val="18"/>
          <w:szCs w:val="18"/>
          <w:highlight w:val="none"/>
        </w:rPr>
        <w:t>种方式：</w:t>
      </w:r>
    </w:p>
    <w:p w14:paraId="3C736339">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（1）在支付工程进度款时逐次扣留，在此情形下，质量保证金的计算基数不包括预付款的支付、扣回以及价格调整的金额；</w:t>
      </w:r>
    </w:p>
    <w:p w14:paraId="10401E03">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（2）工程竣工结算时一次性扣留质量保证金；</w:t>
      </w:r>
    </w:p>
    <w:p w14:paraId="51C2DDFB">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（3）其他扣留方式:</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color w:val="000000"/>
          <w:kern w:val="0"/>
          <w:sz w:val="18"/>
          <w:szCs w:val="18"/>
          <w:highlight w:val="none"/>
        </w:rPr>
        <w:t>。</w:t>
      </w:r>
    </w:p>
    <w:p w14:paraId="3F5052D5">
      <w:pPr>
        <w:ind w:firstLine="360" w:firstLineChars="200"/>
        <w:jc w:val="left"/>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sz w:val="18"/>
          <w:szCs w:val="18"/>
          <w:highlight w:val="none"/>
        </w:rPr>
        <w:t>关于质量保证金的补充约定：</w:t>
      </w:r>
    </w:p>
    <w:p w14:paraId="1B3BB49B">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（1）如在工程保修期内未发生按约定的须从质量保证金中代扣维修费及维修管理费情况的，则工程质量保证金按以下方式支付给承包人，不计利息：缺陷责任期满且无质量问题后，退还剩余质量保证金的100%</w:t>
      </w:r>
    </w:p>
    <w:p w14:paraId="7BE64B3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（2）工程移交后，如发包人或者本工程有关的接收人发现存在质量问题的，有权要求承包人及时维修，并赔偿给发包人带来的</w:t>
      </w:r>
      <w:r>
        <w:rPr>
          <w:rFonts w:hint="eastAsia" w:ascii="仿宋_GB2312" w:hAnsi="仿宋_GB2312" w:eastAsia="仿宋_GB2312" w:cs="仿宋_GB2312"/>
          <w:kern w:val="0"/>
          <w:sz w:val="18"/>
          <w:szCs w:val="18"/>
          <w:highlight w:val="none"/>
          <w:u w:val="single"/>
          <w:lang w:val="en-US" w:eastAsia="zh-CN"/>
        </w:rPr>
        <w:t>一切</w:t>
      </w:r>
      <w:r>
        <w:rPr>
          <w:rFonts w:hint="eastAsia" w:ascii="仿宋_GB2312" w:hAnsi="仿宋_GB2312" w:eastAsia="仿宋_GB2312" w:cs="仿宋_GB2312"/>
          <w:kern w:val="0"/>
          <w:sz w:val="18"/>
          <w:szCs w:val="18"/>
          <w:highlight w:val="none"/>
          <w:u w:val="single"/>
        </w:rPr>
        <w:t>经济损失。承包人不及时维修的，发包人有权代为扣除该质量保证金用于维修以及支付发包人的维修管理费用（按维修费用的15%计算），并在事后要求承包人补足缺额。</w:t>
      </w:r>
    </w:p>
    <w:p w14:paraId="65F3582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（3）工程移交后，如发包人或者本工程有关的接收人发现存在重大质量问题的，有权扣除承包人的全部质量保证金，要求承包人及时维修，并赔偿给发包人带来的各种直接、间接经济损失。</w:t>
      </w:r>
    </w:p>
    <w:p w14:paraId="62FCAE5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14:paraId="54DD2B2E">
      <w:pPr>
        <w:ind w:firstLine="360" w:firstLineChars="200"/>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_GB2312" w:hAnsi="仿宋_GB2312" w:eastAsia="仿宋_GB2312" w:cs="仿宋_GB2312"/>
          <w:kern w:val="0"/>
          <w:sz w:val="18"/>
          <w:szCs w:val="18"/>
          <w:highlight w:val="none"/>
        </w:rPr>
        <w:t>。</w:t>
      </w:r>
    </w:p>
    <w:p w14:paraId="5F01E27E">
      <w:pPr>
        <w:ind w:firstLine="361" w:firstLineChars="200"/>
        <w:jc w:val="left"/>
        <w:rPr>
          <w:rFonts w:ascii="仿宋_GB2312" w:hAnsi="仿宋_GB2312" w:eastAsia="仿宋_GB2312" w:cs="仿宋_GB2312"/>
          <w:b/>
          <w:kern w:val="0"/>
          <w:sz w:val="18"/>
          <w:szCs w:val="18"/>
          <w:highlight w:val="none"/>
          <w:u w:val="single"/>
        </w:rPr>
      </w:pPr>
      <w:r>
        <w:rPr>
          <w:rFonts w:hint="eastAsia" w:ascii="仿宋_GB2312" w:hAnsi="仿宋_GB2312" w:eastAsia="仿宋_GB2312" w:cs="仿宋_GB2312"/>
          <w:b/>
          <w:kern w:val="0"/>
          <w:sz w:val="18"/>
          <w:szCs w:val="18"/>
          <w:highlight w:val="none"/>
          <w:u w:val="single"/>
        </w:rPr>
        <w:t>（6）工程移交前，施工单位应及时缴纳水、电、网络等费用。工程移交后仍有未缴清的费用，在</w:t>
      </w:r>
      <w:r>
        <w:rPr>
          <w:rFonts w:hint="eastAsia" w:ascii="仿宋_GB2312" w:hAnsi="仿宋_GB2312" w:eastAsia="仿宋_GB2312" w:cs="仿宋_GB2312"/>
          <w:b/>
          <w:sz w:val="18"/>
          <w:szCs w:val="18"/>
          <w:highlight w:val="none"/>
          <w:u w:val="single"/>
        </w:rPr>
        <w:t>质量保证金</w:t>
      </w:r>
      <w:r>
        <w:rPr>
          <w:rFonts w:hint="eastAsia" w:ascii="仿宋_GB2312" w:hAnsi="仿宋_GB2312" w:eastAsia="仿宋_GB2312" w:cs="仿宋_GB2312"/>
          <w:b/>
          <w:kern w:val="0"/>
          <w:sz w:val="18"/>
          <w:szCs w:val="18"/>
          <w:highlight w:val="none"/>
          <w:u w:val="single"/>
        </w:rPr>
        <w:t>中扣除，其余部分按规定退回</w:t>
      </w:r>
      <w:r>
        <w:rPr>
          <w:rFonts w:hint="eastAsia" w:ascii="仿宋_GB2312" w:hAnsi="仿宋_GB2312" w:eastAsia="仿宋_GB2312" w:cs="仿宋_GB2312"/>
          <w:b/>
          <w:kern w:val="0"/>
          <w:sz w:val="18"/>
          <w:szCs w:val="18"/>
          <w:highlight w:val="none"/>
        </w:rPr>
        <w:t>。</w:t>
      </w:r>
    </w:p>
    <w:bookmarkEnd w:id="1356"/>
    <w:bookmarkEnd w:id="1357"/>
    <w:p w14:paraId="217F4E29">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保修</w:t>
      </w:r>
    </w:p>
    <w:bookmarkEnd w:id="1358"/>
    <w:p w14:paraId="03CB9828">
      <w:pPr>
        <w:ind w:firstLine="351" w:firstLineChars="195"/>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.1 保修责任</w:t>
      </w:r>
    </w:p>
    <w:p w14:paraId="5C91D354">
      <w:pPr>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rPr>
        <w:t>工程保修期为：</w:t>
      </w:r>
      <w:r>
        <w:rPr>
          <w:rFonts w:hint="eastAsia" w:ascii="仿宋_GB2312" w:hAnsi="仿宋_GB2312" w:eastAsia="仿宋_GB2312" w:cs="仿宋_GB2312"/>
          <w:kern w:val="0"/>
          <w:sz w:val="18"/>
          <w:szCs w:val="18"/>
          <w:highlight w:val="none"/>
          <w:u w:val="single"/>
        </w:rPr>
        <w:t xml:space="preserve">按工程质量保修书规定执行 </w:t>
      </w:r>
      <w:r>
        <w:rPr>
          <w:rFonts w:hint="eastAsia" w:ascii="仿宋_GB2312" w:hAnsi="仿宋_GB2312" w:eastAsia="仿宋_GB2312" w:cs="仿宋_GB2312"/>
          <w:color w:val="000000"/>
          <w:kern w:val="0"/>
          <w:sz w:val="18"/>
          <w:szCs w:val="18"/>
          <w:highlight w:val="none"/>
        </w:rPr>
        <w:t>。</w:t>
      </w:r>
    </w:p>
    <w:p w14:paraId="10EA8963">
      <w:pPr>
        <w:ind w:firstLine="351" w:firstLineChars="195"/>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15.</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修复通知</w:t>
      </w:r>
    </w:p>
    <w:p w14:paraId="41E73182">
      <w:pPr>
        <w:ind w:firstLine="351" w:firstLineChars="195"/>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承包人收到保修通知并到达工程现场的合理时间：</w:t>
      </w:r>
      <w:r>
        <w:rPr>
          <w:rFonts w:hint="eastAsia" w:ascii="仿宋_GB2312" w:hAnsi="仿宋_GB2312" w:eastAsia="仿宋_GB2312" w:cs="仿宋_GB2312"/>
          <w:kern w:val="0"/>
          <w:sz w:val="18"/>
          <w:szCs w:val="18"/>
          <w:highlight w:val="none"/>
          <w:u w:val="single"/>
        </w:rPr>
        <w:t>24小时</w:t>
      </w:r>
      <w:r>
        <w:rPr>
          <w:rFonts w:hint="eastAsia" w:ascii="仿宋_GB2312" w:hAnsi="仿宋_GB2312" w:eastAsia="仿宋_GB2312" w:cs="仿宋_GB2312"/>
          <w:color w:val="000000"/>
          <w:kern w:val="0"/>
          <w:sz w:val="18"/>
          <w:szCs w:val="18"/>
          <w:highlight w:val="none"/>
        </w:rPr>
        <w:t>。</w:t>
      </w:r>
    </w:p>
    <w:bookmarkEnd w:id="1359"/>
    <w:bookmarkEnd w:id="1360"/>
    <w:bookmarkEnd w:id="1361"/>
    <w:bookmarkEnd w:id="1362"/>
    <w:p w14:paraId="3C719F7D">
      <w:pPr>
        <w:pStyle w:val="5"/>
        <w:spacing w:before="120" w:after="120" w:line="240" w:lineRule="auto"/>
        <w:rPr>
          <w:rFonts w:ascii="仿宋_GB2312" w:hAnsi="仿宋_GB2312" w:eastAsia="仿宋_GB2312" w:cs="仿宋_GB2312"/>
          <w:b w:val="0"/>
          <w:color w:val="000000"/>
          <w:sz w:val="18"/>
          <w:szCs w:val="18"/>
          <w:highlight w:val="none"/>
        </w:rPr>
      </w:pPr>
      <w:bookmarkStart w:id="1385" w:name="_Toc351203648"/>
      <w:bookmarkStart w:id="1386" w:name="_Toc280868717"/>
      <w:bookmarkStart w:id="1387" w:name="_Toc280868718"/>
      <w:r>
        <w:rPr>
          <w:rFonts w:hint="eastAsia" w:ascii="仿宋_GB2312" w:hAnsi="仿宋_GB2312" w:eastAsia="仿宋_GB2312" w:cs="仿宋_GB2312"/>
          <w:b w:val="0"/>
          <w:color w:val="000000"/>
          <w:sz w:val="18"/>
          <w:szCs w:val="18"/>
          <w:highlight w:val="none"/>
        </w:rPr>
        <w:t>16. 违约</w:t>
      </w:r>
      <w:bookmarkEnd w:id="1385"/>
    </w:p>
    <w:p w14:paraId="432C4B59">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16.1 发包人违约</w:t>
      </w:r>
    </w:p>
    <w:p w14:paraId="3C4FC418">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16.1.1发包人违约的情形</w:t>
      </w:r>
    </w:p>
    <w:p w14:paraId="4FD6AB4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发包人违约的其他情形：</w:t>
      </w:r>
      <w:r>
        <w:rPr>
          <w:rFonts w:hint="eastAsia" w:ascii="仿宋_GB2312" w:hAnsi="仿宋_GB2312" w:eastAsia="仿宋_GB2312" w:cs="仿宋_GB2312"/>
          <w:kern w:val="0"/>
          <w:sz w:val="18"/>
          <w:szCs w:val="18"/>
          <w:highlight w:val="none"/>
          <w:u w:val="single"/>
        </w:rPr>
        <w:t>按通用条款执行</w:t>
      </w:r>
      <w:r>
        <w:rPr>
          <w:rFonts w:hint="eastAsia" w:ascii="仿宋_GB2312" w:hAnsi="仿宋_GB2312" w:eastAsia="仿宋_GB2312" w:cs="仿宋_GB2312"/>
          <w:color w:val="000000"/>
          <w:kern w:val="0"/>
          <w:sz w:val="18"/>
          <w:szCs w:val="18"/>
          <w:highlight w:val="none"/>
        </w:rPr>
        <w:t>。</w:t>
      </w:r>
    </w:p>
    <w:p w14:paraId="2692D87C">
      <w:pPr>
        <w:ind w:left="900" w:hanging="900" w:hangingChars="5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 xml:space="preserve">    16.1.2 发包人违约的责任</w:t>
      </w:r>
    </w:p>
    <w:p w14:paraId="4ED3651D">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发包人违约责任的承担方式和计算方法：</w:t>
      </w:r>
    </w:p>
    <w:p w14:paraId="6F410E80">
      <w:pPr>
        <w:ind w:firstLine="360" w:firstLineChars="200"/>
        <w:jc w:val="left"/>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kern w:val="0"/>
          <w:sz w:val="18"/>
          <w:szCs w:val="18"/>
          <w:highlight w:val="none"/>
        </w:rPr>
        <w:t>（1）因发包人原因未能在计划开工日期前7天内下达开工通知的违约责任：</w:t>
      </w:r>
      <w:r>
        <w:rPr>
          <w:rFonts w:hint="eastAsia" w:ascii="仿宋_GB2312" w:hAnsi="仿宋_GB2312" w:eastAsia="仿宋_GB2312" w:cs="仿宋_GB2312"/>
          <w:kern w:val="0"/>
          <w:sz w:val="18"/>
          <w:szCs w:val="18"/>
          <w:highlight w:val="none"/>
          <w:u w:val="single"/>
        </w:rPr>
        <w:t>工期顺延</w:t>
      </w:r>
      <w:r>
        <w:rPr>
          <w:rFonts w:hint="eastAsia" w:ascii="仿宋_GB2312" w:hAnsi="仿宋_GB2312" w:eastAsia="仿宋_GB2312" w:cs="仿宋_GB2312"/>
          <w:color w:val="000000"/>
          <w:kern w:val="0"/>
          <w:sz w:val="18"/>
          <w:szCs w:val="18"/>
          <w:highlight w:val="none"/>
        </w:rPr>
        <w:t>。</w:t>
      </w:r>
    </w:p>
    <w:p w14:paraId="305C2246">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color w:val="000000"/>
          <w:kern w:val="0"/>
          <w:sz w:val="18"/>
          <w:szCs w:val="18"/>
          <w:highlight w:val="none"/>
        </w:rPr>
        <w:t>（2）因发包人原因未能按合同约定支付合同价款的违约责任：</w:t>
      </w:r>
      <w:r>
        <w:rPr>
          <w:rFonts w:hint="eastAsia" w:ascii="仿宋_GB2312" w:hAnsi="仿宋_GB2312" w:eastAsia="仿宋_GB2312" w:cs="仿宋_GB2312"/>
          <w:kern w:val="0"/>
          <w:sz w:val="18"/>
          <w:szCs w:val="18"/>
          <w:highlight w:val="none"/>
          <w:u w:val="single"/>
        </w:rPr>
        <w:t>发包人超过约定的支付时间不支付工程款（进度款），承包人可向发包人发出要求付款的书面通知，发包人收到承包人通知后60日内仍不能按要求付款，可与承包人协商签订延期付款协议，经承包人同意后可延期支付，并支付应付金额同期银行贷款利率计算的利息。</w:t>
      </w:r>
    </w:p>
    <w:p w14:paraId="005CFFA8">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（3）发包人违反第10.1款〔变更的范围〕第（2）项约定，自行实施被取消的工作或转由他人实施的违约责任：</w:t>
      </w:r>
      <w:r>
        <w:rPr>
          <w:rFonts w:hint="eastAsia" w:ascii="仿宋_GB2312" w:hAnsi="仿宋_GB2312" w:eastAsia="仿宋_GB2312" w:cs="仿宋_GB2312"/>
          <w:kern w:val="0"/>
          <w:sz w:val="18"/>
          <w:szCs w:val="18"/>
          <w:highlight w:val="none"/>
          <w:u w:val="single"/>
        </w:rPr>
        <w:t xml:space="preserve">按照通用条款执行 </w:t>
      </w:r>
      <w:r>
        <w:rPr>
          <w:rFonts w:hint="eastAsia" w:ascii="仿宋_GB2312" w:hAnsi="仿宋_GB2312" w:eastAsia="仿宋_GB2312" w:cs="仿宋_GB2312"/>
          <w:color w:val="000000"/>
          <w:kern w:val="0"/>
          <w:sz w:val="18"/>
          <w:szCs w:val="18"/>
          <w:highlight w:val="none"/>
        </w:rPr>
        <w:t>。</w:t>
      </w:r>
    </w:p>
    <w:p w14:paraId="5A5D74B4">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kern w:val="0"/>
          <w:sz w:val="18"/>
          <w:szCs w:val="18"/>
          <w:highlight w:val="none"/>
          <w:u w:val="single"/>
        </w:rPr>
        <w:t xml:space="preserve">按通用条款执行照 </w:t>
      </w:r>
      <w:r>
        <w:rPr>
          <w:rFonts w:hint="eastAsia" w:ascii="仿宋_GB2312" w:hAnsi="仿宋_GB2312" w:eastAsia="仿宋_GB2312" w:cs="仿宋_GB2312"/>
          <w:color w:val="000000"/>
          <w:kern w:val="0"/>
          <w:sz w:val="18"/>
          <w:szCs w:val="18"/>
          <w:highlight w:val="none"/>
        </w:rPr>
        <w:t>。</w:t>
      </w:r>
    </w:p>
    <w:p w14:paraId="2E997E57">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（5）因发包人违反合同约定造成暂停施工的违约责任：</w:t>
      </w:r>
      <w:r>
        <w:rPr>
          <w:rFonts w:hint="eastAsia" w:ascii="仿宋_GB2312" w:hAnsi="仿宋_GB2312" w:eastAsia="仿宋_GB2312" w:cs="仿宋_GB2312"/>
          <w:kern w:val="0"/>
          <w:sz w:val="18"/>
          <w:szCs w:val="18"/>
          <w:highlight w:val="none"/>
          <w:u w:val="single"/>
        </w:rPr>
        <w:t>按照通用条款执行</w:t>
      </w:r>
      <w:r>
        <w:rPr>
          <w:rFonts w:hint="eastAsia" w:ascii="仿宋_GB2312" w:hAnsi="仿宋_GB2312" w:eastAsia="仿宋_GB2312" w:cs="仿宋_GB2312"/>
          <w:color w:val="000000"/>
          <w:kern w:val="0"/>
          <w:sz w:val="18"/>
          <w:szCs w:val="18"/>
          <w:highlight w:val="none"/>
        </w:rPr>
        <w:t>。</w:t>
      </w:r>
    </w:p>
    <w:p w14:paraId="5A41861A">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（6）发包人无正当理由没有在约定期限内发出复工指示，导致承包人无法复工的违约责任：</w:t>
      </w:r>
      <w:r>
        <w:rPr>
          <w:rFonts w:hint="eastAsia" w:ascii="仿宋_GB2312" w:hAnsi="仿宋_GB2312" w:eastAsia="仿宋_GB2312" w:cs="仿宋_GB2312"/>
          <w:kern w:val="0"/>
          <w:sz w:val="18"/>
          <w:szCs w:val="18"/>
          <w:highlight w:val="none"/>
          <w:u w:val="single"/>
        </w:rPr>
        <w:t>按照通用条款执行</w:t>
      </w:r>
      <w:r>
        <w:rPr>
          <w:rFonts w:hint="eastAsia" w:ascii="仿宋_GB2312" w:hAnsi="仿宋_GB2312" w:eastAsia="仿宋_GB2312" w:cs="仿宋_GB2312"/>
          <w:color w:val="000000"/>
          <w:kern w:val="0"/>
          <w:sz w:val="18"/>
          <w:szCs w:val="18"/>
          <w:highlight w:val="none"/>
        </w:rPr>
        <w:t>。</w:t>
      </w:r>
    </w:p>
    <w:p w14:paraId="787B47BE">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（7）其他：</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color w:val="000000"/>
          <w:kern w:val="0"/>
          <w:sz w:val="18"/>
          <w:szCs w:val="18"/>
          <w:highlight w:val="none"/>
        </w:rPr>
        <w:t>。</w:t>
      </w:r>
    </w:p>
    <w:p w14:paraId="0E11C0D5">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16.1.3 因发包人违约解除合同</w:t>
      </w:r>
    </w:p>
    <w:p w14:paraId="2F70EDCF">
      <w:pPr>
        <w:autoSpaceDE w:val="0"/>
        <w:autoSpaceDN w:val="0"/>
        <w:adjustRightInd w:val="0"/>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承包人按16.1.1项〔发包人违约的情形〕约定暂停施工满</w:t>
      </w:r>
      <w:r>
        <w:rPr>
          <w:rFonts w:hint="eastAsia" w:ascii="仿宋_GB2312" w:hAnsi="仿宋_GB2312" w:eastAsia="仿宋_GB2312" w:cs="仿宋_GB2312"/>
          <w:color w:val="000000"/>
          <w:kern w:val="0"/>
          <w:sz w:val="18"/>
          <w:szCs w:val="18"/>
          <w:highlight w:val="none"/>
          <w:u w:val="single"/>
        </w:rPr>
        <w:t xml:space="preserve">  28  </w:t>
      </w:r>
      <w:r>
        <w:rPr>
          <w:rFonts w:hint="eastAsia" w:ascii="仿宋_GB2312" w:hAnsi="仿宋_GB2312" w:eastAsia="仿宋_GB2312" w:cs="仿宋_GB2312"/>
          <w:color w:val="000000"/>
          <w:kern w:val="0"/>
          <w:sz w:val="18"/>
          <w:szCs w:val="18"/>
          <w:highlight w:val="none"/>
        </w:rPr>
        <w:t>天后发包人仍不纠正其违约行为并致使合同目的不能实现的，承包人有权解除合同。</w:t>
      </w:r>
    </w:p>
    <w:p w14:paraId="31A83BA9">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16.2 承包人违约</w:t>
      </w:r>
    </w:p>
    <w:p w14:paraId="1FD40A1D">
      <w:pPr>
        <w:ind w:firstLine="360" w:firstLineChars="200"/>
        <w:jc w:val="left"/>
        <w:rPr>
          <w:rFonts w:hint="eastAsia" w:ascii="仿宋_GB2312" w:hAnsi="仿宋_GB2312" w:eastAsia="仿宋_GB2312" w:cs="仿宋_GB2312"/>
          <w:color w:val="auto"/>
          <w:kern w:val="0"/>
          <w:sz w:val="18"/>
          <w:szCs w:val="18"/>
          <w:highlight w:val="none"/>
          <w:u w:val="single"/>
        </w:rPr>
      </w:pPr>
      <w:r>
        <w:rPr>
          <w:rFonts w:hint="eastAsia" w:ascii="仿宋_GB2312" w:hAnsi="仿宋_GB2312" w:eastAsia="仿宋_GB2312" w:cs="仿宋_GB2312"/>
          <w:color w:val="auto"/>
          <w:kern w:val="0"/>
          <w:sz w:val="18"/>
          <w:szCs w:val="18"/>
          <w:highlight w:val="none"/>
          <w:u w:val="single"/>
        </w:rPr>
        <w:t>16.2.1 承包人违约的情形</w:t>
      </w:r>
    </w:p>
    <w:p w14:paraId="0B6B9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承包人违约的其他情形：</w:t>
      </w:r>
    </w:p>
    <w:p w14:paraId="14D207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(1)承包人未按3.1 (</w:t>
      </w:r>
      <w:r>
        <w:rPr>
          <w:rFonts w:hint="eastAsia" w:ascii="仿宋_GB2312" w:hAnsi="仿宋_GB2312" w:eastAsia="仿宋_GB2312" w:cs="仿宋_GB2312"/>
          <w:i w:val="0"/>
          <w:iCs w:val="0"/>
          <w:caps w:val="0"/>
          <w:color w:val="021EAA"/>
          <w:spacing w:val="0"/>
          <w:kern w:val="0"/>
          <w:sz w:val="18"/>
          <w:szCs w:val="18"/>
          <w:highlight w:val="none"/>
          <w:u w:val="single"/>
          <w:shd w:val="clear" w:fill="FFFFFF"/>
          <w:lang w:val="en-US" w:eastAsia="zh-CN"/>
        </w:rPr>
        <w:t>2</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)条规定分包渣土运输业务的，承包人应支付       违约金；</w:t>
      </w:r>
    </w:p>
    <w:p w14:paraId="58CD0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(2)承包人未按照3.1 (</w:t>
      </w:r>
      <w:r>
        <w:rPr>
          <w:rFonts w:hint="eastAsia" w:ascii="仿宋_GB2312" w:hAnsi="仿宋_GB2312" w:eastAsia="仿宋_GB2312" w:cs="仿宋_GB2312"/>
          <w:i w:val="0"/>
          <w:iCs w:val="0"/>
          <w:caps w:val="0"/>
          <w:color w:val="021EAA"/>
          <w:spacing w:val="0"/>
          <w:kern w:val="0"/>
          <w:sz w:val="18"/>
          <w:szCs w:val="18"/>
          <w:highlight w:val="none"/>
          <w:u w:val="single"/>
          <w:shd w:val="clear" w:fill="FFFFFF"/>
          <w:lang w:val="en-US" w:eastAsia="zh-CN"/>
        </w:rPr>
        <w:t>2</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)条规定加强建筑垃圾处置分包履约监管，出现分包单位使用不符合规定的车辆进出施工现 场运输建筑垃圾或将建筑垃圾运输至非指定消纳场所等现象的，承包人应支付     违约金；</w:t>
      </w:r>
    </w:p>
    <w:p w14:paraId="348E4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 xml:space="preserve">(3) 承包人未做好工程垃圾处理出土处置台账的，承包人应支付   </w:t>
      </w:r>
      <w:r>
        <w:rPr>
          <w:rFonts w:hint="eastAsia" w:ascii="仿宋_GB2312" w:hAnsi="仿宋_GB2312" w:eastAsia="仿宋_GB2312" w:cs="仿宋_GB2312"/>
          <w:i w:val="0"/>
          <w:iCs w:val="0"/>
          <w:caps w:val="0"/>
          <w:color w:val="000000"/>
          <w:spacing w:val="0"/>
          <w:kern w:val="0"/>
          <w:sz w:val="18"/>
          <w:szCs w:val="18"/>
          <w:highlight w:val="none"/>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违约金；</w:t>
      </w:r>
    </w:p>
    <w:p w14:paraId="3C5C8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 xml:space="preserve">(4) 承包人在结算前未查验接纳回执，与运输、处置单位结算相关费用的，承包人应支付 </w:t>
      </w:r>
      <w:r>
        <w:rPr>
          <w:rFonts w:hint="eastAsia" w:ascii="仿宋_GB2312" w:hAnsi="仿宋_GB2312" w:eastAsia="仿宋_GB2312" w:cs="仿宋_GB2312"/>
          <w:i w:val="0"/>
          <w:iCs w:val="0"/>
          <w:caps w:val="0"/>
          <w:color w:val="000000"/>
          <w:spacing w:val="0"/>
          <w:kern w:val="0"/>
          <w:sz w:val="18"/>
          <w:szCs w:val="18"/>
          <w:highlight w:val="none"/>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违约金；</w:t>
      </w:r>
    </w:p>
    <w:p w14:paraId="0870C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 xml:space="preserve">(5) 承包人未按照已备案的渣土处置方案落实渣土处置措施的，承包人应支付 </w:t>
      </w:r>
      <w:r>
        <w:rPr>
          <w:rFonts w:hint="eastAsia" w:ascii="仿宋_GB2312" w:hAnsi="仿宋_GB2312" w:eastAsia="仿宋_GB2312" w:cs="仿宋_GB2312"/>
          <w:i w:val="0"/>
          <w:iCs w:val="0"/>
          <w:caps w:val="0"/>
          <w:color w:val="000000"/>
          <w:spacing w:val="0"/>
          <w:kern w:val="0"/>
          <w:sz w:val="18"/>
          <w:szCs w:val="18"/>
          <w:highlight w:val="none"/>
          <w:u w:val="single"/>
          <w:shd w:val="clear"/>
          <w:lang w:val="en-US" w:eastAsia="zh-CN"/>
        </w:rPr>
        <w:t xml:space="preserve">   </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违约金；</w:t>
      </w:r>
    </w:p>
    <w:p w14:paraId="766D1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60" w:firstLineChars="200"/>
        <w:jc w:val="left"/>
        <w:rPr>
          <w:rFonts w:hint="eastAsia" w:ascii="仿宋_GB2312" w:hAnsi="仿宋_GB2312" w:eastAsia="仿宋_GB2312" w:cs="仿宋_GB2312"/>
          <w:i w:val="0"/>
          <w:iCs w:val="0"/>
          <w:caps w:val="0"/>
          <w:spacing w:val="0"/>
          <w:kern w:val="0"/>
          <w:sz w:val="18"/>
          <w:szCs w:val="18"/>
          <w:highlight w:val="none"/>
          <w:u w:val="single"/>
        </w:rPr>
      </w:pP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(6) 其他：</w:t>
      </w:r>
      <w:r>
        <w:rPr>
          <w:rFonts w:hint="eastAsia" w:ascii="仿宋_GB2312" w:hAnsi="仿宋_GB2312" w:eastAsia="仿宋_GB2312" w:cs="仿宋_GB2312"/>
          <w:i w:val="0"/>
          <w:iCs w:val="0"/>
          <w:caps w:val="0"/>
          <w:color w:val="000000"/>
          <w:spacing w:val="0"/>
          <w:kern w:val="0"/>
          <w:sz w:val="18"/>
          <w:szCs w:val="18"/>
          <w:highlight w:val="none"/>
          <w:u w:val="single"/>
          <w:shd w:val="clear"/>
          <w:lang w:eastAsia="zh-CN"/>
        </w:rPr>
        <w:t>/</w:t>
      </w:r>
      <w:r>
        <w:rPr>
          <w:rFonts w:hint="eastAsia" w:ascii="仿宋_GB2312" w:hAnsi="仿宋_GB2312" w:eastAsia="仿宋_GB2312" w:cs="仿宋_GB2312"/>
          <w:i w:val="0"/>
          <w:iCs w:val="0"/>
          <w:caps w:val="0"/>
          <w:color w:val="021EAA"/>
          <w:spacing w:val="0"/>
          <w:kern w:val="0"/>
          <w:sz w:val="18"/>
          <w:szCs w:val="18"/>
          <w:highlight w:val="none"/>
          <w:u w:val="single"/>
          <w:shd w:val="clear" w:fill="FFFFFF"/>
        </w:rPr>
        <w:t xml:space="preserve"> 。</w:t>
      </w:r>
    </w:p>
    <w:p w14:paraId="42EA3005">
      <w:pPr>
        <w:ind w:firstLine="360" w:firstLineChars="200"/>
        <w:jc w:val="left"/>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16.2.2承包人违约的责任</w:t>
      </w:r>
    </w:p>
    <w:p w14:paraId="65E11FD9">
      <w:pPr>
        <w:ind w:firstLine="360" w:firstLineChars="200"/>
        <w:jc w:val="left"/>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kern w:val="0"/>
          <w:sz w:val="18"/>
          <w:szCs w:val="18"/>
          <w:highlight w:val="none"/>
        </w:rPr>
        <w:t>承包人违约责任的承担方式和计算方法：</w:t>
      </w:r>
    </w:p>
    <w:p w14:paraId="5B2865AB">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kern w:val="0"/>
          <w:sz w:val="18"/>
          <w:szCs w:val="18"/>
          <w:highlight w:val="none"/>
          <w:u w:val="single"/>
        </w:rPr>
        <w:t>（1）承包人违反合同约定进行转包或违法分包的违约责任：发包人有权解除合同，没收履约保证金，如给发包人造成的损失超过保证金数额的还应当对超过部份予以赔偿，并依法承担相应的法律责任</w:t>
      </w:r>
      <w:r>
        <w:rPr>
          <w:rFonts w:hint="eastAsia" w:ascii="仿宋_GB2312" w:hAnsi="仿宋_GB2312" w:eastAsia="仿宋_GB2312" w:cs="仿宋_GB2312"/>
          <w:color w:val="000000"/>
          <w:kern w:val="0"/>
          <w:sz w:val="18"/>
          <w:szCs w:val="18"/>
          <w:highlight w:val="none"/>
        </w:rPr>
        <w:t>。</w:t>
      </w:r>
    </w:p>
    <w:p w14:paraId="2FF36BCC">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（2）承包人违反合同约定采购和使用不合格的材料和工程设备的违约责任：发包人有权要求承包人重新采购合格的材料和工程设备，承包人必须及时改正并承担相应损失</w:t>
      </w:r>
      <w:r>
        <w:rPr>
          <w:rFonts w:hint="eastAsia" w:ascii="仿宋_GB2312" w:hAnsi="仿宋_GB2312" w:eastAsia="仿宋_GB2312" w:cs="仿宋_GB2312"/>
          <w:color w:val="000000"/>
          <w:kern w:val="0"/>
          <w:sz w:val="18"/>
          <w:szCs w:val="18"/>
          <w:highlight w:val="none"/>
          <w:u w:val="single"/>
        </w:rPr>
        <w:t>，若承包人拒不改正，发包人有权没收履约保证金并将其清退出场并解除合同</w:t>
      </w:r>
      <w:r>
        <w:rPr>
          <w:rFonts w:hint="eastAsia" w:ascii="仿宋_GB2312" w:hAnsi="仿宋_GB2312" w:eastAsia="仿宋_GB2312" w:cs="仿宋_GB2312"/>
          <w:kern w:val="0"/>
          <w:sz w:val="18"/>
          <w:szCs w:val="18"/>
          <w:highlight w:val="none"/>
          <w:u w:val="single"/>
        </w:rPr>
        <w:t>；</w:t>
      </w:r>
    </w:p>
    <w:p w14:paraId="547C2B64">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w:t>
      </w:r>
      <w:r>
        <w:rPr>
          <w:rFonts w:hint="eastAsia" w:ascii="仿宋_GB2312" w:hAnsi="仿宋_GB2312" w:eastAsia="仿宋_GB2312" w:cs="仿宋_GB2312"/>
          <w:color w:val="000000"/>
          <w:kern w:val="0"/>
          <w:sz w:val="18"/>
          <w:szCs w:val="18"/>
          <w:highlight w:val="none"/>
          <w:u w:val="single"/>
        </w:rPr>
        <w:t>承包人应</w:t>
      </w:r>
      <w:r>
        <w:rPr>
          <w:rFonts w:hint="eastAsia" w:ascii="仿宋_GB2312" w:hAnsi="仿宋_GB2312" w:eastAsia="仿宋_GB2312" w:cs="仿宋_GB2312"/>
          <w:kern w:val="0"/>
          <w:sz w:val="18"/>
          <w:szCs w:val="18"/>
          <w:highlight w:val="none"/>
          <w:u w:val="single"/>
        </w:rPr>
        <w:t>承担由此造成发包人的经济损失；如因此造成工期延误的，还应承担工期延误的违约责任。</w:t>
      </w:r>
    </w:p>
    <w:p w14:paraId="48DA472D">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经监理单位检查或发包人抽检，发现承包人不按设计要求或者工程质量验收规范标准施工，有偷工减料</w:t>
      </w:r>
      <w:r>
        <w:rPr>
          <w:rFonts w:hint="eastAsia" w:ascii="仿宋_GB2312" w:hAnsi="仿宋_GB2312" w:eastAsia="仿宋_GB2312" w:cs="仿宋_GB2312"/>
          <w:kern w:val="0"/>
          <w:sz w:val="18"/>
          <w:szCs w:val="18"/>
          <w:highlight w:val="none"/>
          <w:u w:val="single"/>
          <w:lang w:val="en-US" w:eastAsia="zh-CN"/>
        </w:rPr>
        <w:t>等质量问题的</w:t>
      </w:r>
      <w:r>
        <w:rPr>
          <w:rFonts w:hint="eastAsia" w:ascii="仿宋_GB2312" w:hAnsi="仿宋_GB2312" w:eastAsia="仿宋_GB2312" w:cs="仿宋_GB2312"/>
          <w:kern w:val="0"/>
          <w:sz w:val="18"/>
          <w:szCs w:val="18"/>
          <w:highlight w:val="none"/>
          <w:u w:val="single"/>
        </w:rPr>
        <w:t>，每发现一次，发包人有权</w:t>
      </w:r>
      <w:r>
        <w:rPr>
          <w:rFonts w:hint="eastAsia" w:ascii="仿宋_GB2312" w:hAnsi="仿宋_GB2312" w:eastAsia="仿宋_GB2312" w:cs="仿宋_GB2312"/>
          <w:kern w:val="0"/>
          <w:sz w:val="18"/>
          <w:szCs w:val="18"/>
          <w:highlight w:val="none"/>
          <w:u w:val="single"/>
          <w:lang w:val="en-US" w:eastAsia="zh-CN"/>
        </w:rPr>
        <w:t>要求</w:t>
      </w:r>
      <w:r>
        <w:rPr>
          <w:rFonts w:hint="eastAsia" w:ascii="仿宋_GB2312" w:hAnsi="仿宋_GB2312" w:eastAsia="仿宋_GB2312" w:cs="仿宋_GB2312"/>
          <w:kern w:val="0"/>
          <w:sz w:val="18"/>
          <w:szCs w:val="18"/>
          <w:highlight w:val="none"/>
          <w:u w:val="single"/>
        </w:rPr>
        <w:t>承包人</w:t>
      </w:r>
      <w:r>
        <w:rPr>
          <w:rFonts w:hint="eastAsia" w:ascii="仿宋_GB2312" w:hAnsi="仿宋_GB2312" w:eastAsia="仿宋_GB2312" w:cs="仿宋_GB2312"/>
          <w:kern w:val="0"/>
          <w:sz w:val="18"/>
          <w:szCs w:val="18"/>
          <w:highlight w:val="none"/>
          <w:u w:val="single"/>
          <w:lang w:val="en-US" w:eastAsia="zh-CN"/>
        </w:rPr>
        <w:t>承担</w:t>
      </w:r>
      <w:r>
        <w:rPr>
          <w:rFonts w:hint="eastAsia" w:ascii="仿宋_GB2312" w:hAnsi="仿宋_GB2312" w:eastAsia="仿宋_GB2312" w:cs="仿宋_GB2312"/>
          <w:kern w:val="0"/>
          <w:sz w:val="18"/>
          <w:szCs w:val="18"/>
          <w:highlight w:val="none"/>
          <w:u w:val="single"/>
        </w:rPr>
        <w:t>人民币2000元/次</w:t>
      </w:r>
      <w:r>
        <w:rPr>
          <w:rFonts w:hint="eastAsia" w:ascii="仿宋_GB2312" w:hAnsi="仿宋_GB2312" w:eastAsia="仿宋_GB2312" w:cs="仿宋_GB2312"/>
          <w:kern w:val="0"/>
          <w:sz w:val="18"/>
          <w:szCs w:val="18"/>
          <w:highlight w:val="none"/>
          <w:u w:val="single"/>
          <w:lang w:val="en-US" w:eastAsia="zh-CN"/>
        </w:rPr>
        <w:t>的违约金</w:t>
      </w:r>
      <w:r>
        <w:rPr>
          <w:rFonts w:hint="eastAsia" w:ascii="仿宋_GB2312" w:hAnsi="仿宋_GB2312" w:eastAsia="仿宋_GB2312" w:cs="仿宋_GB2312"/>
          <w:kern w:val="0"/>
          <w:sz w:val="18"/>
          <w:szCs w:val="18"/>
          <w:highlight w:val="none"/>
          <w:u w:val="single"/>
        </w:rPr>
        <w:t>，并要求承包人及时整改，承包人应承担全部整改费用，直到质量合格为止。如果</w:t>
      </w:r>
      <w:r>
        <w:rPr>
          <w:rFonts w:hint="eastAsia" w:ascii="仿宋_GB2312" w:hAnsi="仿宋_GB2312" w:eastAsia="仿宋_GB2312" w:cs="仿宋_GB2312"/>
          <w:color w:val="000000"/>
          <w:kern w:val="0"/>
          <w:sz w:val="18"/>
          <w:szCs w:val="18"/>
          <w:highlight w:val="none"/>
          <w:u w:val="single"/>
        </w:rPr>
        <w:t>上述行为出现3次以上</w:t>
      </w:r>
      <w:r>
        <w:rPr>
          <w:rFonts w:hint="eastAsia" w:ascii="仿宋_GB2312" w:hAnsi="仿宋_GB2312" w:eastAsia="仿宋_GB2312" w:cs="仿宋_GB2312"/>
          <w:kern w:val="0"/>
          <w:sz w:val="18"/>
          <w:szCs w:val="18"/>
          <w:highlight w:val="none"/>
          <w:u w:val="single"/>
        </w:rPr>
        <w:t>，发包人有权没收履约保证金并将其清退出场并解除合同。</w:t>
      </w:r>
    </w:p>
    <w:p w14:paraId="615D488B">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5052E7B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（5）承包人未能按施工进度计划及时完成合同约定的工作，造成工期延误的违约责任：本合同约定的竣工日前完成，每延误一天，按0.5万/天向发包人支付违约金，延误10天以外</w:t>
      </w:r>
      <w:r>
        <w:rPr>
          <w:rFonts w:hint="eastAsia" w:ascii="仿宋_GB2312" w:hAnsi="仿宋_GB2312" w:eastAsia="仿宋_GB2312" w:cs="仿宋_GB2312"/>
          <w:kern w:val="0"/>
          <w:sz w:val="18"/>
          <w:szCs w:val="18"/>
          <w:highlight w:val="none"/>
          <w:u w:val="single"/>
          <w:lang w:val="en-US" w:eastAsia="zh-CN"/>
        </w:rPr>
        <w:t>6</w:t>
      </w:r>
      <w:r>
        <w:rPr>
          <w:rFonts w:hint="eastAsia" w:ascii="仿宋_GB2312" w:hAnsi="仿宋_GB2312" w:eastAsia="仿宋_GB2312" w:cs="仿宋_GB2312"/>
          <w:kern w:val="0"/>
          <w:sz w:val="18"/>
          <w:szCs w:val="18"/>
          <w:highlight w:val="none"/>
          <w:u w:val="single"/>
        </w:rPr>
        <w:t>0天以内每延误一天，按1万/天向发包人支付违约金，</w:t>
      </w:r>
      <w:r>
        <w:rPr>
          <w:rFonts w:hint="eastAsia" w:ascii="仿宋_GB2312" w:hAnsi="仿宋_GB2312" w:eastAsia="仿宋_GB2312" w:cs="仿宋_GB2312"/>
          <w:sz w:val="18"/>
          <w:szCs w:val="18"/>
          <w:highlight w:val="none"/>
          <w:u w:val="single"/>
        </w:rPr>
        <w:t>延迟</w:t>
      </w:r>
      <w:r>
        <w:rPr>
          <w:rFonts w:ascii="仿宋_GB2312" w:hAnsi="仿宋_GB2312" w:eastAsia="仿宋_GB2312" w:cs="仿宋_GB2312"/>
          <w:sz w:val="18"/>
          <w:szCs w:val="18"/>
          <w:highlight w:val="none"/>
          <w:u w:val="single"/>
        </w:rPr>
        <w:t>20天以外30天以内每延误一天，按</w:t>
      </w:r>
      <w:r>
        <w:rPr>
          <w:rFonts w:hint="eastAsia" w:ascii="仿宋_GB2312" w:hAnsi="仿宋_GB2312" w:eastAsia="仿宋_GB2312" w:cs="仿宋_GB2312"/>
          <w:sz w:val="18"/>
          <w:szCs w:val="18"/>
          <w:highlight w:val="none"/>
          <w:u w:val="single"/>
          <w:lang w:val="en-US" w:eastAsia="zh-CN"/>
        </w:rPr>
        <w:t>2</w:t>
      </w:r>
      <w:r>
        <w:rPr>
          <w:rFonts w:ascii="仿宋_GB2312" w:hAnsi="仿宋_GB2312" w:eastAsia="仿宋_GB2312" w:cs="仿宋_GB2312"/>
          <w:sz w:val="18"/>
          <w:szCs w:val="18"/>
          <w:highlight w:val="none"/>
          <w:u w:val="single"/>
        </w:rPr>
        <w:t>万/天向发包人支付违约金</w:t>
      </w:r>
      <w:r>
        <w:rPr>
          <w:rFonts w:hint="eastAsia" w:ascii="仿宋_GB2312" w:hAnsi="仿宋_GB2312" w:eastAsia="仿宋_GB2312" w:cs="仿宋_GB2312"/>
          <w:sz w:val="18"/>
          <w:szCs w:val="18"/>
          <w:highlight w:val="none"/>
          <w:u w:val="single"/>
          <w:lang w:eastAsia="zh-CN"/>
        </w:rPr>
        <w:t>；</w:t>
      </w:r>
      <w:r>
        <w:rPr>
          <w:rFonts w:hint="eastAsia" w:ascii="仿宋_GB2312" w:hAnsi="仿宋_GB2312" w:eastAsia="仿宋_GB2312" w:cs="仿宋_GB2312"/>
          <w:kern w:val="0"/>
          <w:sz w:val="18"/>
          <w:szCs w:val="18"/>
          <w:highlight w:val="none"/>
          <w:u w:val="single"/>
        </w:rPr>
        <w:t>以此类推，按倍数支付违约金；工期延误超过60天的，发包人同时有权解除合同。</w:t>
      </w:r>
    </w:p>
    <w:p w14:paraId="0AA19457">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w:t>
      </w:r>
      <w:r>
        <w:rPr>
          <w:rFonts w:hint="eastAsia" w:ascii="仿宋_GB2312" w:hAnsi="仿宋_GB2312" w:eastAsia="仿宋_GB2312" w:cs="仿宋_GB2312"/>
          <w:kern w:val="0"/>
          <w:sz w:val="18"/>
          <w:szCs w:val="18"/>
          <w:highlight w:val="none"/>
          <w:u w:val="single"/>
          <w:lang w:val="en-US" w:eastAsia="zh-CN"/>
        </w:rPr>
        <w:t>一切</w:t>
      </w:r>
      <w:r>
        <w:rPr>
          <w:rFonts w:hint="eastAsia" w:ascii="仿宋_GB2312" w:hAnsi="仿宋_GB2312" w:eastAsia="仿宋_GB2312" w:cs="仿宋_GB2312"/>
          <w:kern w:val="0"/>
          <w:sz w:val="18"/>
          <w:szCs w:val="18"/>
          <w:highlight w:val="none"/>
          <w:u w:val="single"/>
        </w:rPr>
        <w:t>经济损失。承包人不及时维修的，发包人有权代为扣除该质量保证金用于维修以及支付发包人的维修管理费用（按维修费用的15%计算），并在事后要求承包人补足缺额。</w:t>
      </w:r>
    </w:p>
    <w:p w14:paraId="232F8CC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工程移交后，如发包人或者本工程有关的接收人发现存在重大质量问题的，有权扣除承包人的全部质量保证金，要求承包人及时维修，并赔偿给发包人带来的</w:t>
      </w:r>
      <w:r>
        <w:rPr>
          <w:rFonts w:hint="eastAsia" w:ascii="仿宋_GB2312" w:hAnsi="仿宋_GB2312" w:eastAsia="仿宋_GB2312" w:cs="仿宋_GB2312"/>
          <w:kern w:val="0"/>
          <w:sz w:val="18"/>
          <w:szCs w:val="18"/>
          <w:highlight w:val="none"/>
          <w:u w:val="single"/>
          <w:lang w:val="en-US" w:eastAsia="zh-CN"/>
        </w:rPr>
        <w:t>一切</w:t>
      </w:r>
      <w:r>
        <w:rPr>
          <w:rFonts w:hint="eastAsia" w:ascii="仿宋_GB2312" w:hAnsi="仿宋_GB2312" w:eastAsia="仿宋_GB2312" w:cs="仿宋_GB2312"/>
          <w:kern w:val="0"/>
          <w:sz w:val="18"/>
          <w:szCs w:val="18"/>
          <w:highlight w:val="none"/>
          <w:u w:val="single"/>
        </w:rPr>
        <w:t>经济损失。</w:t>
      </w:r>
    </w:p>
    <w:p w14:paraId="35D42BB6">
      <w:pPr>
        <w:ind w:firstLine="360" w:firstLineChars="200"/>
        <w:jc w:val="left"/>
        <w:rPr>
          <w:rFonts w:hint="eastAsia"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24651FF2">
      <w:pPr>
        <w:pStyle w:val="42"/>
        <w:ind w:firstLine="360" w:firstLineChars="200"/>
        <w:rPr>
          <w:rFonts w:hint="default"/>
          <w:highlight w:val="none"/>
          <w:lang w:val="en-US"/>
        </w:rPr>
      </w:pP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7</w:t>
      </w:r>
      <w:r>
        <w:rPr>
          <w:rFonts w:hint="eastAsia" w:ascii="仿宋_GB2312" w:hAnsi="仿宋_GB2312" w:eastAsia="仿宋_GB2312" w:cs="仿宋_GB2312"/>
          <w:kern w:val="0"/>
          <w:sz w:val="18"/>
          <w:szCs w:val="18"/>
          <w:highlight w:val="none"/>
          <w:u w:val="single"/>
        </w:rPr>
        <w:t>）承包人</w:t>
      </w:r>
      <w:r>
        <w:rPr>
          <w:rFonts w:hint="eastAsia" w:ascii="仿宋_GB2312" w:hAnsi="仿宋_GB2312" w:eastAsia="仿宋_GB2312" w:cs="仿宋_GB2312"/>
          <w:kern w:val="0"/>
          <w:sz w:val="18"/>
          <w:szCs w:val="18"/>
          <w:highlight w:val="none"/>
          <w:u w:val="single"/>
          <w:lang w:val="en-US" w:eastAsia="zh-CN"/>
        </w:rPr>
        <w:t>在工程实施过程中发生质量、安全、进度、人员管理等各类问题的</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发包人及监理有权视情情节严重程度对承包人进行约谈，发包人项目负责人约谈的，承包人需支付5000元/次的违约金；发包人分管负责人约谈的，承包人需支付10000元/次的违约金；发包人主要负责人约谈的，承包人需支付20000元/次的违约金；发包人上级分管领导约谈的，承包人需支付40000元/次的违约金；发包人上级主要领导约谈的，承包人需支付合同价款20%的违约金。单次或累计支付的违约金不超过合同价的20%。</w:t>
      </w:r>
    </w:p>
    <w:p w14:paraId="672F6C1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8</w:t>
      </w:r>
      <w:r>
        <w:rPr>
          <w:rFonts w:hint="eastAsia" w:ascii="仿宋_GB2312" w:hAnsi="仿宋_GB2312" w:eastAsia="仿宋_GB2312" w:cs="仿宋_GB2312"/>
          <w:kern w:val="0"/>
          <w:sz w:val="18"/>
          <w:szCs w:val="18"/>
          <w:highlight w:val="none"/>
          <w:u w:val="single"/>
        </w:rPr>
        <w:t>）承包人明确表示或者以其行为表明不履行合同主要义务的违约责任：发包人有权终止合同，承包人承担发包人的一切损失；</w:t>
      </w:r>
    </w:p>
    <w:p w14:paraId="473D7BFE">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kern w:val="0"/>
          <w:sz w:val="18"/>
          <w:szCs w:val="18"/>
          <w:highlight w:val="none"/>
          <w:u w:val="single"/>
          <w:lang w:val="en-US" w:eastAsia="zh-CN"/>
        </w:rPr>
        <w:t>9</w:t>
      </w:r>
      <w:r>
        <w:rPr>
          <w:rFonts w:hint="eastAsia" w:ascii="仿宋_GB2312" w:hAnsi="仿宋_GB2312" w:eastAsia="仿宋_GB2312" w:cs="仿宋_GB2312"/>
          <w:kern w:val="0"/>
          <w:sz w:val="18"/>
          <w:szCs w:val="18"/>
          <w:highlight w:val="none"/>
          <w:u w:val="single"/>
        </w:rPr>
        <w:t>）承包人未能按照合同约定履行其他义务的违约责任：</w:t>
      </w:r>
    </w:p>
    <w:p w14:paraId="6D552DF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① 由发包人或监理召集的例会和其它重要会议，承包人必须按发包人指定人选准时参加，无故缺席或迟到的，承包人应视情节严重程度</w:t>
      </w:r>
      <w:r>
        <w:rPr>
          <w:rFonts w:hint="eastAsia" w:ascii="仿宋_GB2312" w:hAnsi="仿宋_GB2312" w:eastAsia="仿宋_GB2312" w:cs="仿宋_GB2312"/>
          <w:kern w:val="0"/>
          <w:sz w:val="18"/>
          <w:szCs w:val="18"/>
          <w:highlight w:val="none"/>
          <w:u w:val="single"/>
          <w:lang w:val="en-US" w:eastAsia="zh-CN"/>
        </w:rPr>
        <w:t>支付</w:t>
      </w:r>
      <w:r>
        <w:rPr>
          <w:rFonts w:hint="eastAsia" w:ascii="仿宋_GB2312" w:hAnsi="仿宋_GB2312" w:eastAsia="仿宋_GB2312" w:cs="仿宋_GB2312"/>
          <w:kern w:val="0"/>
          <w:sz w:val="18"/>
          <w:szCs w:val="18"/>
          <w:highlight w:val="none"/>
          <w:u w:val="single"/>
        </w:rPr>
        <w:t>1000元的</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，因此导致对会议内容不了解的，其后果由承包人自负，该笔</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由发包人在结算中直接扣除；因此导致对会议内容不了解的，其后果由承包人自负。</w:t>
      </w:r>
    </w:p>
    <w:p w14:paraId="20B57953">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② 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的，应视情节严重程度支付5000-10000元/次的</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，该笔</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由发包人在结算中直接扣除；</w:t>
      </w:r>
    </w:p>
    <w:p w14:paraId="2538C4F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③ 承包人在施工过程中不论遇到何种困难（发包人原因及不可抗力除外），均不得以任何理由（例如发包人未签证费用）擅自停工或变相停工，否则由此造成的一切后果和经济损失均由承包人承担，且承包人应支付10000元/天的</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，该笔</w:t>
      </w:r>
      <w:r>
        <w:rPr>
          <w:rFonts w:hint="eastAsia" w:ascii="仿宋_GB2312" w:hAnsi="仿宋_GB2312" w:eastAsia="仿宋_GB2312" w:cs="仿宋_GB2312"/>
          <w:kern w:val="0"/>
          <w:sz w:val="18"/>
          <w:szCs w:val="18"/>
          <w:highlight w:val="none"/>
          <w:u w:val="single"/>
          <w:lang w:val="en-US" w:eastAsia="zh-CN"/>
        </w:rPr>
        <w:t>违约金</w:t>
      </w:r>
      <w:r>
        <w:rPr>
          <w:rFonts w:hint="eastAsia" w:ascii="仿宋_GB2312" w:hAnsi="仿宋_GB2312" w:eastAsia="仿宋_GB2312" w:cs="仿宋_GB2312"/>
          <w:kern w:val="0"/>
          <w:sz w:val="18"/>
          <w:szCs w:val="18"/>
          <w:highlight w:val="none"/>
          <w:u w:val="single"/>
        </w:rPr>
        <w:t>由发包人在结算中直接扣除；</w:t>
      </w:r>
    </w:p>
    <w:p w14:paraId="513893C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④ 合同及本协议履行期间，承包人保证不拖欠民工工资，因拖欠民工工资造成的一切后果均由承包人承担。若发包人因此为承包人垫款支付的，承包人除需直接向发包人偿还垫付款项外还应按发包人垫付款项金额的5%向发包人偿付违约金，该笔违约金由发包人在结算中直接扣除；</w:t>
      </w:r>
    </w:p>
    <w:p w14:paraId="4BADE507">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 xml:space="preserve">⑤ 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3A78DADA">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⑥ 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60BE4046">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⑦ 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4F0CEC58">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⑧ 承包人应确保工程安全进行，如工程实施过程中因承包人原因出现一般安全责任事故，承包人须向发包人支付人民币5万元/起的违约金；因承包人原因出现较大及以上安全责任事故，承包人须向发包人支付人民币10万元/起的违约金；所有因承包人原因安全事故的全部责任均由承包人承担；</w:t>
      </w:r>
    </w:p>
    <w:p w14:paraId="604D8031">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⑨ 本合同履行过程中，承包人被处以罚款的，以实际行为发生之日为罚款缴纳的时间；</w:t>
      </w:r>
    </w:p>
    <w:p w14:paraId="00081F22">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⑩ 本合同中的罚款特指惩罚性违约金，本合同约定的违约金、罚款及损失赔偿款，发包人有权从履约保证金或工程款中直接扣减。</w:t>
      </w:r>
    </w:p>
    <w:p w14:paraId="4048BC77">
      <w:pPr>
        <w:ind w:firstLine="360" w:firstLineChars="200"/>
        <w:jc w:val="left"/>
        <w:rPr>
          <w:rFonts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u w:val="single"/>
        </w:rPr>
        <w:t>⑪ 合同生效后，承包人无正当理由，单方终止合同的，</w:t>
      </w:r>
      <w:r>
        <w:rPr>
          <w:rFonts w:hint="eastAsia" w:ascii="仿宋_GB2312" w:hAnsi="仿宋_GB2312" w:eastAsia="仿宋_GB2312" w:cs="仿宋_GB2312"/>
          <w:color w:val="000000"/>
          <w:kern w:val="0"/>
          <w:sz w:val="18"/>
          <w:szCs w:val="18"/>
          <w:highlight w:val="none"/>
          <w:u w:val="single"/>
        </w:rPr>
        <w:t>除履约保证金不予退还外，</w:t>
      </w:r>
      <w:r>
        <w:rPr>
          <w:rFonts w:hint="eastAsia" w:ascii="仿宋_GB2312" w:hAnsi="仿宋_GB2312" w:eastAsia="仿宋_GB2312" w:cs="仿宋_GB2312"/>
          <w:kern w:val="0"/>
          <w:sz w:val="18"/>
          <w:szCs w:val="18"/>
          <w:highlight w:val="none"/>
          <w:u w:val="single"/>
        </w:rPr>
        <w:t>应向发包人承担违约责任</w:t>
      </w:r>
      <w:r>
        <w:rPr>
          <w:rFonts w:hint="eastAsia" w:ascii="仿宋_GB2312" w:hAnsi="仿宋_GB2312" w:eastAsia="仿宋_GB2312" w:cs="仿宋_GB2312"/>
          <w:color w:val="000000"/>
          <w:kern w:val="0"/>
          <w:sz w:val="18"/>
          <w:szCs w:val="18"/>
          <w:highlight w:val="none"/>
          <w:u w:val="single"/>
        </w:rPr>
        <w:t>（违约金按照合同总价的20%计取）</w:t>
      </w:r>
      <w:r>
        <w:rPr>
          <w:rFonts w:hint="eastAsia" w:ascii="仿宋_GB2312" w:hAnsi="仿宋_GB2312" w:eastAsia="仿宋_GB2312" w:cs="仿宋_GB2312"/>
          <w:kern w:val="0"/>
          <w:sz w:val="18"/>
          <w:szCs w:val="18"/>
          <w:highlight w:val="none"/>
          <w:u w:val="single"/>
        </w:rPr>
        <w:t>，并赔偿发包人因此造成的损失</w:t>
      </w:r>
      <w:r>
        <w:rPr>
          <w:rFonts w:hint="eastAsia" w:ascii="仿宋_GB2312" w:hAnsi="仿宋_GB2312" w:eastAsia="仿宋_GB2312" w:cs="仿宋_GB2312"/>
          <w:color w:val="000000"/>
          <w:kern w:val="0"/>
          <w:sz w:val="18"/>
          <w:szCs w:val="18"/>
          <w:highlight w:val="none"/>
          <w:u w:val="single"/>
        </w:rPr>
        <w:t>（包括但不限于工期延误的损失）</w:t>
      </w:r>
      <w:r>
        <w:rPr>
          <w:rFonts w:hint="eastAsia" w:ascii="仿宋_GB2312" w:hAnsi="仿宋_GB2312" w:eastAsia="仿宋_GB2312" w:cs="仿宋_GB2312"/>
          <w:kern w:val="0"/>
          <w:sz w:val="18"/>
          <w:szCs w:val="18"/>
          <w:highlight w:val="none"/>
        </w:rPr>
        <w:t>。</w:t>
      </w:r>
    </w:p>
    <w:p w14:paraId="74CE863E">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16.2.3 因承包人违约解除合同</w:t>
      </w:r>
    </w:p>
    <w:p w14:paraId="00A76BE2">
      <w:pPr>
        <w:spacing w:before="120" w:after="120"/>
        <w:ind w:firstLine="360" w:firstLineChars="200"/>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kern w:val="0"/>
          <w:sz w:val="18"/>
          <w:szCs w:val="18"/>
          <w:highlight w:val="none"/>
        </w:rPr>
        <w:t>关于承包人违约解除合同的特别约定：</w:t>
      </w:r>
      <w:r>
        <w:rPr>
          <w:rFonts w:hint="eastAsia" w:ascii="仿宋_GB2312" w:hAnsi="仿宋_GB2312" w:eastAsia="仿宋_GB2312" w:cs="仿宋_GB2312"/>
          <w:kern w:val="0"/>
          <w:sz w:val="18"/>
          <w:szCs w:val="18"/>
          <w:highlight w:val="none"/>
          <w:u w:val="single"/>
        </w:rPr>
        <w:t xml:space="preserve">/ </w:t>
      </w:r>
      <w:r>
        <w:rPr>
          <w:rFonts w:hint="eastAsia" w:ascii="仿宋_GB2312" w:hAnsi="仿宋_GB2312" w:eastAsia="仿宋_GB2312" w:cs="仿宋_GB2312"/>
          <w:color w:val="000000"/>
          <w:kern w:val="0"/>
          <w:sz w:val="18"/>
          <w:szCs w:val="18"/>
          <w:highlight w:val="none"/>
        </w:rPr>
        <w:t>。</w:t>
      </w:r>
    </w:p>
    <w:p w14:paraId="1154DF9F">
      <w:pPr>
        <w:spacing w:before="120" w:after="120"/>
        <w:ind w:firstLine="360" w:firstLineChars="20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发包人继续使用承包人在施工现场的材料、设备、临时工程、承包人文件和由承包人或以其名义编制的其他文件的费用承担方式：</w:t>
      </w:r>
      <w:r>
        <w:rPr>
          <w:rFonts w:hint="eastAsia" w:ascii="仿宋_GB2312" w:hAnsi="仿宋_GB2312" w:eastAsia="仿宋_GB2312" w:cs="仿宋_GB2312"/>
          <w:kern w:val="0"/>
          <w:sz w:val="18"/>
          <w:szCs w:val="18"/>
          <w:highlight w:val="none"/>
          <w:u w:val="single"/>
        </w:rPr>
        <w:t>费用另行约定，由发包人承担</w:t>
      </w:r>
      <w:r>
        <w:rPr>
          <w:rFonts w:hint="eastAsia" w:ascii="仿宋_GB2312" w:hAnsi="仿宋_GB2312" w:eastAsia="仿宋_GB2312" w:cs="仿宋_GB2312"/>
          <w:color w:val="000000"/>
          <w:kern w:val="0"/>
          <w:sz w:val="18"/>
          <w:szCs w:val="18"/>
          <w:highlight w:val="none"/>
        </w:rPr>
        <w:t>。</w:t>
      </w:r>
    </w:p>
    <w:p w14:paraId="31BBB7FA">
      <w:pPr>
        <w:pStyle w:val="5"/>
        <w:spacing w:before="120" w:after="120" w:line="240" w:lineRule="auto"/>
        <w:rPr>
          <w:rFonts w:ascii="仿宋_GB2312" w:hAnsi="仿宋_GB2312" w:eastAsia="仿宋_GB2312" w:cs="仿宋_GB2312"/>
          <w:b w:val="0"/>
          <w:color w:val="000000"/>
          <w:sz w:val="18"/>
          <w:szCs w:val="18"/>
          <w:highlight w:val="none"/>
        </w:rPr>
      </w:pPr>
      <w:bookmarkStart w:id="1388" w:name="_Toc351203649"/>
      <w:r>
        <w:rPr>
          <w:rFonts w:hint="eastAsia" w:ascii="仿宋_GB2312" w:hAnsi="仿宋_GB2312" w:eastAsia="仿宋_GB2312" w:cs="仿宋_GB2312"/>
          <w:b w:val="0"/>
          <w:color w:val="000000"/>
          <w:sz w:val="18"/>
          <w:szCs w:val="18"/>
          <w:highlight w:val="none"/>
        </w:rPr>
        <w:t>17. 不可抗力</w:t>
      </w:r>
      <w:bookmarkEnd w:id="1386"/>
      <w:bookmarkEnd w:id="1388"/>
    </w:p>
    <w:p w14:paraId="39DAF3B5">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17.1 不可抗力的确认</w:t>
      </w:r>
    </w:p>
    <w:p w14:paraId="419E8F94">
      <w:pPr>
        <w:ind w:firstLine="360" w:firstLineChars="200"/>
        <w:jc w:val="left"/>
        <w:rPr>
          <w:rFonts w:ascii="仿宋_GB2312" w:hAnsi="仿宋_GB2312" w:eastAsia="仿宋_GB2312" w:cs="仿宋_GB2312"/>
          <w:color w:val="000000"/>
          <w:kern w:val="0"/>
          <w:sz w:val="18"/>
          <w:szCs w:val="18"/>
          <w:highlight w:val="none"/>
          <w:u w:val="single"/>
        </w:rPr>
      </w:pPr>
      <w:r>
        <w:rPr>
          <w:rFonts w:hint="eastAsia" w:ascii="仿宋_GB2312" w:hAnsi="仿宋_GB2312" w:eastAsia="仿宋_GB2312" w:cs="仿宋_GB2312"/>
          <w:color w:val="000000"/>
          <w:sz w:val="18"/>
          <w:szCs w:val="18"/>
          <w:highlight w:val="none"/>
        </w:rPr>
        <w:t xml:space="preserve">除通用合同条款约定的不可抗力事件之外，视为不可抗力的其他情形： </w:t>
      </w:r>
      <w:r>
        <w:rPr>
          <w:rFonts w:hint="eastAsia" w:ascii="仿宋_GB2312" w:hAnsi="仿宋_GB2312" w:eastAsia="仿宋_GB2312" w:cs="仿宋_GB2312"/>
          <w:kern w:val="0"/>
          <w:sz w:val="18"/>
          <w:szCs w:val="18"/>
          <w:highlight w:val="none"/>
          <w:u w:val="single"/>
        </w:rPr>
        <w:t>按通用条款执行</w:t>
      </w:r>
      <w:r>
        <w:rPr>
          <w:rFonts w:hint="eastAsia" w:ascii="仿宋_GB2312" w:hAnsi="仿宋_GB2312" w:eastAsia="仿宋_GB2312" w:cs="仿宋_GB2312"/>
          <w:color w:val="000000"/>
          <w:kern w:val="0"/>
          <w:sz w:val="18"/>
          <w:szCs w:val="18"/>
          <w:highlight w:val="none"/>
        </w:rPr>
        <w:t>。</w:t>
      </w:r>
    </w:p>
    <w:p w14:paraId="0296C5D1">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17.</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因不可抗力解除合同</w:t>
      </w:r>
    </w:p>
    <w:p w14:paraId="388943B9">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合同解除后，发包人应在商定或确定发包人应支付款项后</w:t>
      </w:r>
      <w:r>
        <w:rPr>
          <w:rFonts w:hint="eastAsia" w:ascii="仿宋_GB2312" w:hAnsi="仿宋_GB2312" w:eastAsia="仿宋_GB2312" w:cs="仿宋_GB2312"/>
          <w:color w:val="000000"/>
          <w:sz w:val="18"/>
          <w:szCs w:val="18"/>
          <w:highlight w:val="none"/>
          <w:u w:val="single"/>
        </w:rPr>
        <w:t xml:space="preserve"> 28   </w:t>
      </w:r>
      <w:r>
        <w:rPr>
          <w:rFonts w:hint="eastAsia" w:ascii="仿宋_GB2312" w:hAnsi="仿宋_GB2312" w:eastAsia="仿宋_GB2312" w:cs="仿宋_GB2312"/>
          <w:color w:val="000000"/>
          <w:sz w:val="18"/>
          <w:szCs w:val="18"/>
          <w:highlight w:val="none"/>
        </w:rPr>
        <w:t>天内完成款项的支付。</w:t>
      </w:r>
    </w:p>
    <w:p w14:paraId="1BDA3928">
      <w:pPr>
        <w:pStyle w:val="5"/>
        <w:spacing w:before="120" w:after="120" w:line="240" w:lineRule="auto"/>
        <w:rPr>
          <w:rFonts w:ascii="仿宋_GB2312" w:hAnsi="仿宋_GB2312" w:eastAsia="仿宋_GB2312" w:cs="仿宋_GB2312"/>
          <w:b w:val="0"/>
          <w:color w:val="000000"/>
          <w:sz w:val="18"/>
          <w:szCs w:val="18"/>
          <w:highlight w:val="none"/>
        </w:rPr>
      </w:pPr>
      <w:bookmarkStart w:id="1389" w:name="_Toc351203650"/>
      <w:r>
        <w:rPr>
          <w:rFonts w:hint="eastAsia" w:ascii="仿宋_GB2312" w:hAnsi="仿宋_GB2312" w:eastAsia="仿宋_GB2312" w:cs="仿宋_GB2312"/>
          <w:b w:val="0"/>
          <w:color w:val="000000"/>
          <w:sz w:val="18"/>
          <w:szCs w:val="18"/>
          <w:highlight w:val="none"/>
        </w:rPr>
        <w:t>18. 保险</w:t>
      </w:r>
      <w:bookmarkEnd w:id="1389"/>
    </w:p>
    <w:bookmarkEnd w:id="1387"/>
    <w:p w14:paraId="7A485DDC">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18.1 工程保险</w:t>
      </w:r>
    </w:p>
    <w:p w14:paraId="46754FD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关于工程保险的特别约定：</w:t>
      </w:r>
      <w:r>
        <w:rPr>
          <w:rFonts w:hint="eastAsia" w:ascii="仿宋_GB2312" w:hAnsi="仿宋_GB2312" w:eastAsia="仿宋_GB2312" w:cs="仿宋_GB2312"/>
          <w:kern w:val="0"/>
          <w:sz w:val="18"/>
          <w:szCs w:val="18"/>
          <w:highlight w:val="none"/>
          <w:u w:val="single"/>
        </w:rPr>
        <w:t>/</w:t>
      </w:r>
      <w:r>
        <w:rPr>
          <w:rFonts w:hint="eastAsia" w:ascii="仿宋_GB2312" w:hAnsi="仿宋_GB2312" w:eastAsia="仿宋_GB2312" w:cs="仿宋_GB2312"/>
          <w:color w:val="000000"/>
          <w:kern w:val="0"/>
          <w:sz w:val="18"/>
          <w:szCs w:val="18"/>
          <w:highlight w:val="none"/>
        </w:rPr>
        <w:t>。</w:t>
      </w:r>
    </w:p>
    <w:p w14:paraId="75BBA24C">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18.</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 xml:space="preserve"> 其他保险</w:t>
      </w:r>
    </w:p>
    <w:p w14:paraId="65CC0C50">
      <w:pPr>
        <w:ind w:firstLine="361" w:firstLineChars="200"/>
        <w:jc w:val="left"/>
        <w:rPr>
          <w:rFonts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sz w:val="18"/>
          <w:szCs w:val="18"/>
          <w:highlight w:val="none"/>
        </w:rPr>
        <w:t>关于其他保险的约定：</w:t>
      </w:r>
      <w:r>
        <w:rPr>
          <w:rFonts w:hint="eastAsia" w:ascii="仿宋_GB2312" w:hAnsi="仿宋_GB2312" w:eastAsia="仿宋_GB2312" w:cs="仿宋_GB2312"/>
          <w:b/>
          <w:bCs/>
          <w:kern w:val="0"/>
          <w:sz w:val="18"/>
          <w:szCs w:val="18"/>
          <w:highlight w:val="none"/>
          <w:u w:val="single"/>
        </w:rPr>
        <w:t>承包人为建设工程和施工场地内的自有人员设备及第三方生命财产办理保险并支付保险费用，费用已包含在总价内。施工期间所发生的一切与本工程有关的承包人</w:t>
      </w:r>
      <w:r>
        <w:rPr>
          <w:rFonts w:hint="eastAsia" w:ascii="仿宋_GB2312" w:hAnsi="仿宋_GB2312" w:eastAsia="仿宋_GB2312" w:cs="仿宋_GB2312"/>
          <w:b/>
          <w:bCs/>
          <w:color w:val="000000"/>
          <w:kern w:val="0"/>
          <w:sz w:val="18"/>
          <w:szCs w:val="18"/>
          <w:highlight w:val="none"/>
          <w:u w:val="single"/>
        </w:rPr>
        <w:t>及第三方</w:t>
      </w:r>
      <w:r>
        <w:rPr>
          <w:rFonts w:hint="eastAsia" w:ascii="仿宋_GB2312" w:hAnsi="仿宋_GB2312" w:eastAsia="仿宋_GB2312" w:cs="仿宋_GB2312"/>
          <w:b/>
          <w:bCs/>
          <w:kern w:val="0"/>
          <w:sz w:val="18"/>
          <w:szCs w:val="18"/>
          <w:highlight w:val="none"/>
          <w:u w:val="single"/>
        </w:rPr>
        <w:t>的人员、财产等意外伤害、损失，由承包人承担全部责任和费用</w:t>
      </w:r>
      <w:r>
        <w:rPr>
          <w:rFonts w:hint="eastAsia" w:ascii="仿宋_GB2312" w:hAnsi="仿宋_GB2312" w:eastAsia="仿宋_GB2312" w:cs="仿宋_GB2312"/>
          <w:b/>
          <w:bCs/>
          <w:color w:val="000000"/>
          <w:kern w:val="0"/>
          <w:sz w:val="18"/>
          <w:szCs w:val="18"/>
          <w:highlight w:val="none"/>
        </w:rPr>
        <w:t>。</w:t>
      </w:r>
    </w:p>
    <w:p w14:paraId="5ADD7ED3">
      <w:pPr>
        <w:ind w:firstLine="361" w:firstLineChars="200"/>
        <w:jc w:val="left"/>
        <w:rPr>
          <w:rFonts w:ascii="仿宋_GB2312" w:hAnsi="仿宋_GB2312" w:eastAsia="仿宋_GB2312" w:cs="仿宋_GB2312"/>
          <w:b/>
          <w:bCs/>
          <w:color w:val="000000"/>
          <w:kern w:val="0"/>
          <w:sz w:val="18"/>
          <w:szCs w:val="18"/>
          <w:highlight w:val="none"/>
        </w:rPr>
      </w:pPr>
      <w:r>
        <w:rPr>
          <w:rFonts w:hint="eastAsia" w:ascii="仿宋_GB2312" w:hAnsi="仿宋_GB2312" w:eastAsia="仿宋_GB2312" w:cs="仿宋_GB2312"/>
          <w:b/>
          <w:bCs/>
          <w:color w:val="000000"/>
          <w:sz w:val="18"/>
          <w:szCs w:val="18"/>
          <w:highlight w:val="none"/>
        </w:rPr>
        <w:t>承包人是否应为其施工设备等办理财产保险：</w:t>
      </w:r>
      <w:r>
        <w:rPr>
          <w:rFonts w:hint="eastAsia" w:ascii="仿宋_GB2312" w:hAnsi="仿宋_GB2312" w:eastAsia="仿宋_GB2312" w:cs="仿宋_GB2312"/>
          <w:b/>
          <w:bCs/>
          <w:sz w:val="18"/>
          <w:szCs w:val="18"/>
          <w:highlight w:val="none"/>
          <w:u w:val="single"/>
        </w:rPr>
        <w:t>是</w:t>
      </w:r>
      <w:r>
        <w:rPr>
          <w:rFonts w:hint="eastAsia" w:ascii="仿宋_GB2312" w:hAnsi="仿宋_GB2312" w:eastAsia="仿宋_GB2312" w:cs="仿宋_GB2312"/>
          <w:b/>
          <w:bCs/>
          <w:color w:val="000000"/>
          <w:sz w:val="18"/>
          <w:szCs w:val="18"/>
          <w:highlight w:val="none"/>
        </w:rPr>
        <w:t>。</w:t>
      </w:r>
    </w:p>
    <w:p w14:paraId="0A3B3FE4">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18.</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 xml:space="preserve"> 通知义务</w:t>
      </w:r>
    </w:p>
    <w:p w14:paraId="194381A4">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关于变更保险合同时的通知义务的约定：</w:t>
      </w:r>
      <w:r>
        <w:rPr>
          <w:rFonts w:hint="eastAsia" w:ascii="仿宋_GB2312" w:hAnsi="仿宋_GB2312" w:eastAsia="仿宋_GB2312" w:cs="仿宋_GB2312"/>
          <w:sz w:val="18"/>
          <w:szCs w:val="18"/>
          <w:highlight w:val="none"/>
          <w:u w:val="single"/>
        </w:rPr>
        <w:t>按通用条款执行</w:t>
      </w:r>
      <w:r>
        <w:rPr>
          <w:rFonts w:hint="eastAsia" w:ascii="仿宋_GB2312" w:hAnsi="仿宋_GB2312" w:eastAsia="仿宋_GB2312" w:cs="仿宋_GB2312"/>
          <w:color w:val="000000"/>
          <w:sz w:val="18"/>
          <w:szCs w:val="18"/>
          <w:highlight w:val="none"/>
        </w:rPr>
        <w:t>。</w:t>
      </w:r>
    </w:p>
    <w:bookmarkEnd w:id="1363"/>
    <w:bookmarkEnd w:id="1364"/>
    <w:bookmarkEnd w:id="1365"/>
    <w:bookmarkEnd w:id="1366"/>
    <w:bookmarkEnd w:id="1367"/>
    <w:bookmarkEnd w:id="1368"/>
    <w:bookmarkEnd w:id="1369"/>
    <w:bookmarkEnd w:id="1370"/>
    <w:bookmarkEnd w:id="1371"/>
    <w:bookmarkEnd w:id="1372"/>
    <w:bookmarkEnd w:id="1373"/>
    <w:bookmarkEnd w:id="1374"/>
    <w:p w14:paraId="4A4C2DE1">
      <w:pPr>
        <w:pStyle w:val="5"/>
        <w:spacing w:before="120" w:after="120" w:line="240" w:lineRule="auto"/>
        <w:rPr>
          <w:rFonts w:ascii="仿宋_GB2312" w:hAnsi="仿宋_GB2312" w:eastAsia="仿宋_GB2312" w:cs="仿宋_GB2312"/>
          <w:b w:val="0"/>
          <w:color w:val="000000"/>
          <w:sz w:val="18"/>
          <w:szCs w:val="18"/>
          <w:highlight w:val="none"/>
        </w:rPr>
      </w:pPr>
      <w:bookmarkStart w:id="1390" w:name="_Toc351203651"/>
      <w:r>
        <w:rPr>
          <w:rFonts w:hint="eastAsia" w:ascii="仿宋_GB2312" w:hAnsi="仿宋_GB2312" w:eastAsia="仿宋_GB2312" w:cs="仿宋_GB2312"/>
          <w:b w:val="0"/>
          <w:color w:val="000000"/>
          <w:sz w:val="18"/>
          <w:szCs w:val="18"/>
          <w:highlight w:val="none"/>
          <w:lang w:val="en-US" w:eastAsia="zh-CN"/>
        </w:rPr>
        <w:t>19</w:t>
      </w:r>
      <w:r>
        <w:rPr>
          <w:rFonts w:hint="eastAsia" w:ascii="仿宋_GB2312" w:hAnsi="仿宋_GB2312" w:eastAsia="仿宋_GB2312" w:cs="仿宋_GB2312"/>
          <w:b w:val="0"/>
          <w:color w:val="000000"/>
          <w:sz w:val="18"/>
          <w:szCs w:val="18"/>
          <w:highlight w:val="none"/>
        </w:rPr>
        <w:t>. 争议解决</w:t>
      </w:r>
      <w:bookmarkEnd w:id="1390"/>
    </w:p>
    <w:bookmarkEnd w:id="1375"/>
    <w:bookmarkEnd w:id="1376"/>
    <w:p w14:paraId="66E4B8D5">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19</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 xml:space="preserve"> 争</w:t>
      </w:r>
      <w:bookmarkEnd w:id="1377"/>
      <w:r>
        <w:rPr>
          <w:rFonts w:hint="eastAsia" w:ascii="仿宋_GB2312" w:hAnsi="仿宋_GB2312" w:eastAsia="仿宋_GB2312" w:cs="仿宋_GB2312"/>
          <w:color w:val="000000"/>
          <w:sz w:val="18"/>
          <w:szCs w:val="18"/>
          <w:highlight w:val="none"/>
        </w:rPr>
        <w:t>议评审</w:t>
      </w:r>
    </w:p>
    <w:p w14:paraId="03118A55">
      <w:pPr>
        <w:ind w:left="149" w:leftChars="71" w:firstLine="270" w:firstLineChars="15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合同当事人是否同意将工程争议提交争议评审小组决定：</w:t>
      </w:r>
      <w:r>
        <w:rPr>
          <w:rFonts w:hint="eastAsia" w:ascii="仿宋_GB2312" w:hAnsi="仿宋_GB2312" w:eastAsia="仿宋_GB2312" w:cs="仿宋_GB2312"/>
          <w:sz w:val="18"/>
          <w:szCs w:val="18"/>
          <w:highlight w:val="none"/>
          <w:u w:val="single"/>
        </w:rPr>
        <w:t>否</w:t>
      </w:r>
      <w:r>
        <w:rPr>
          <w:rFonts w:hint="eastAsia" w:ascii="仿宋_GB2312" w:hAnsi="仿宋_GB2312" w:eastAsia="仿宋_GB2312" w:cs="仿宋_GB2312"/>
          <w:color w:val="000000"/>
          <w:sz w:val="18"/>
          <w:szCs w:val="18"/>
          <w:highlight w:val="none"/>
        </w:rPr>
        <w:t xml:space="preserve">。  </w:t>
      </w:r>
    </w:p>
    <w:p w14:paraId="3F550FAD">
      <w:pPr>
        <w:ind w:firstLine="360" w:firstLineChars="200"/>
        <w:jc w:val="left"/>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19.1.1</w:t>
      </w:r>
      <w:r>
        <w:rPr>
          <w:rFonts w:hint="eastAsia" w:ascii="仿宋_GB2312" w:hAnsi="仿宋_GB2312" w:eastAsia="仿宋_GB2312" w:cs="仿宋_GB2312"/>
          <w:color w:val="000000"/>
          <w:sz w:val="18"/>
          <w:szCs w:val="18"/>
          <w:highlight w:val="none"/>
        </w:rPr>
        <w:t xml:space="preserve"> 争议评审小组的确定</w:t>
      </w:r>
    </w:p>
    <w:p w14:paraId="7A2D5389">
      <w:pPr>
        <w:ind w:firstLine="360" w:firstLineChars="200"/>
        <w:jc w:val="left"/>
        <w:rPr>
          <w:rFonts w:ascii="仿宋_GB2312" w:hAnsi="仿宋_GB2312" w:eastAsia="仿宋_GB2312" w:cs="仿宋_GB2312"/>
          <w:color w:val="000000"/>
          <w:sz w:val="18"/>
          <w:szCs w:val="18"/>
          <w:highlight w:val="none"/>
          <w:u w:val="single"/>
        </w:rPr>
      </w:pPr>
      <w:r>
        <w:rPr>
          <w:rFonts w:hint="eastAsia" w:ascii="仿宋_GB2312" w:hAnsi="仿宋_GB2312" w:eastAsia="仿宋_GB2312" w:cs="仿宋_GB2312"/>
          <w:color w:val="000000"/>
          <w:sz w:val="18"/>
          <w:szCs w:val="18"/>
          <w:highlight w:val="none"/>
        </w:rPr>
        <w:t>争议评审小组成员的确定：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2B578A99">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选定争议评审员的期限：</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0F925DBD">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争议评审小组成员的报酬承担方式：</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340D7A19">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其他事项的约定：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4AC07AB5">
      <w:pPr>
        <w:autoSpaceDE w:val="0"/>
        <w:autoSpaceDN w:val="0"/>
        <w:adjustRightInd w:val="0"/>
        <w:ind w:firstLine="360" w:firstLineChars="200"/>
        <w:jc w:val="left"/>
        <w:outlineLvl w:val="0"/>
        <w:rPr>
          <w:rFonts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19.1</w:t>
      </w:r>
      <w:r>
        <w:rPr>
          <w:rFonts w:hint="eastAsia" w:ascii="仿宋_GB2312" w:hAnsi="仿宋_GB2312" w:eastAsia="仿宋_GB2312" w:cs="仿宋_GB2312"/>
          <w:color w:val="000000"/>
          <w:kern w:val="0"/>
          <w:sz w:val="18"/>
          <w:szCs w:val="18"/>
          <w:highlight w:val="none"/>
        </w:rPr>
        <w:t>.2 争议评审小组的决定</w:t>
      </w:r>
    </w:p>
    <w:p w14:paraId="69276513">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合同当事人关于本项的约定：</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w:t>
      </w:r>
    </w:p>
    <w:p w14:paraId="6BA99980">
      <w:pPr>
        <w:spacing w:after="120"/>
        <w:ind w:firstLine="360" w:firstLineChars="200"/>
        <w:outlineLvl w:val="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20仲裁或诉讼</w:t>
      </w:r>
      <w:bookmarkEnd w:id="1378"/>
    </w:p>
    <w:p w14:paraId="4DCD346D">
      <w:pPr>
        <w:spacing w:after="120"/>
        <w:ind w:firstLine="360" w:firstLineChars="200"/>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因合同及合同有关事项发生的争议，按下列第</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u w:val="single"/>
          <w:lang w:eastAsia="zh-CN"/>
        </w:rPr>
        <w:t>（</w:t>
      </w:r>
      <w:r>
        <w:rPr>
          <w:rFonts w:hint="eastAsia" w:ascii="仿宋_GB2312" w:hAnsi="仿宋_GB2312" w:eastAsia="仿宋_GB2312" w:cs="仿宋_GB2312"/>
          <w:color w:val="000000"/>
          <w:sz w:val="18"/>
          <w:szCs w:val="18"/>
          <w:highlight w:val="none"/>
          <w:u w:val="single"/>
        </w:rPr>
        <w:t>2</w:t>
      </w:r>
      <w:r>
        <w:rPr>
          <w:rFonts w:hint="eastAsia" w:ascii="仿宋_GB2312" w:hAnsi="仿宋_GB2312" w:eastAsia="仿宋_GB2312" w:cs="仿宋_GB2312"/>
          <w:color w:val="000000"/>
          <w:sz w:val="18"/>
          <w:szCs w:val="18"/>
          <w:highlight w:val="none"/>
          <w:u w:val="single"/>
          <w:lang w:eastAsia="zh-CN"/>
        </w:rPr>
        <w:t>）</w:t>
      </w:r>
      <w:r>
        <w:rPr>
          <w:rFonts w:hint="eastAsia" w:ascii="仿宋_GB2312" w:hAnsi="仿宋_GB2312" w:eastAsia="仿宋_GB2312" w:cs="仿宋_GB2312"/>
          <w:color w:val="000000"/>
          <w:sz w:val="18"/>
          <w:szCs w:val="18"/>
          <w:highlight w:val="none"/>
          <w:u w:val="single"/>
        </w:rPr>
        <w:t xml:space="preserve">  </w:t>
      </w:r>
      <w:r>
        <w:rPr>
          <w:rFonts w:hint="eastAsia" w:ascii="仿宋_GB2312" w:hAnsi="仿宋_GB2312" w:eastAsia="仿宋_GB2312" w:cs="仿宋_GB2312"/>
          <w:color w:val="000000"/>
          <w:sz w:val="18"/>
          <w:szCs w:val="18"/>
          <w:highlight w:val="none"/>
        </w:rPr>
        <w:t>种方式解决：</w:t>
      </w:r>
    </w:p>
    <w:p w14:paraId="3CE8B4E7">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（1）向</w:t>
      </w:r>
      <w:r>
        <w:rPr>
          <w:rFonts w:hint="eastAsia" w:ascii="仿宋_GB2312" w:hAnsi="仿宋_GB2312" w:eastAsia="仿宋_GB2312" w:cs="仿宋_GB2312"/>
          <w:sz w:val="18"/>
          <w:szCs w:val="18"/>
          <w:highlight w:val="none"/>
          <w:u w:val="single"/>
        </w:rPr>
        <w:t>/</w:t>
      </w:r>
      <w:r>
        <w:rPr>
          <w:rFonts w:hint="eastAsia" w:ascii="仿宋_GB2312" w:hAnsi="仿宋_GB2312" w:eastAsia="仿宋_GB2312" w:cs="仿宋_GB2312"/>
          <w:color w:val="000000"/>
          <w:sz w:val="18"/>
          <w:szCs w:val="18"/>
          <w:highlight w:val="none"/>
        </w:rPr>
        <w:t>仲裁委员会申请仲裁；</w:t>
      </w:r>
    </w:p>
    <w:p w14:paraId="23D1A97C">
      <w:pPr>
        <w:ind w:firstLine="360" w:firstLineChars="200"/>
        <w:jc w:val="left"/>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（2）向</w:t>
      </w:r>
      <w:r>
        <w:rPr>
          <w:rFonts w:hint="eastAsia" w:ascii="仿宋_GB2312" w:hAnsi="仿宋_GB2312" w:eastAsia="仿宋_GB2312" w:cs="仿宋_GB2312"/>
          <w:color w:val="000000"/>
          <w:sz w:val="18"/>
          <w:szCs w:val="18"/>
          <w:highlight w:val="none"/>
          <w:u w:val="single"/>
        </w:rPr>
        <w:t>杭州市上城区</w:t>
      </w:r>
      <w:r>
        <w:rPr>
          <w:rFonts w:hint="eastAsia" w:ascii="仿宋_GB2312" w:hAnsi="仿宋_GB2312" w:eastAsia="仿宋_GB2312" w:cs="仿宋_GB2312"/>
          <w:color w:val="000000"/>
          <w:sz w:val="18"/>
          <w:szCs w:val="18"/>
          <w:highlight w:val="none"/>
        </w:rPr>
        <w:t>人民法院起诉。</w:t>
      </w:r>
      <w:bookmarkEnd w:id="1379"/>
      <w:bookmarkEnd w:id="1380"/>
      <w:bookmarkEnd w:id="1381"/>
      <w:bookmarkEnd w:id="1382"/>
      <w:bookmarkEnd w:id="1383"/>
      <w:bookmarkEnd w:id="1384"/>
    </w:p>
    <w:p w14:paraId="761F3C30">
      <w:pPr>
        <w:pStyle w:val="5"/>
        <w:spacing w:before="120" w:after="120" w:line="240" w:lineRule="auto"/>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21．其他补充事项的约定</w:t>
      </w:r>
    </w:p>
    <w:p w14:paraId="615C07A2">
      <w:pPr>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 xml:space="preserve">    21.1 承包人未按合同约定履行义务，造成工程质量低下</w:t>
      </w:r>
      <w:r>
        <w:rPr>
          <w:rFonts w:hint="eastAsia" w:ascii="仿宋_GB2312" w:hAnsi="仿宋_GB2312" w:eastAsia="仿宋_GB2312" w:cs="仿宋_GB2312"/>
          <w:color w:val="000000"/>
          <w:sz w:val="18"/>
          <w:szCs w:val="18"/>
          <w:highlight w:val="none"/>
          <w:u w:val="single"/>
        </w:rPr>
        <w:t>，或</w:t>
      </w:r>
      <w:r>
        <w:rPr>
          <w:rFonts w:hint="eastAsia" w:ascii="仿宋_GB2312" w:hAnsi="仿宋_GB2312" w:eastAsia="仿宋_GB2312" w:cs="仿宋_GB2312"/>
          <w:sz w:val="18"/>
          <w:szCs w:val="18"/>
          <w:highlight w:val="none"/>
          <w:u w:val="single"/>
        </w:rPr>
        <w:t>进度迟缓</w:t>
      </w:r>
      <w:r>
        <w:rPr>
          <w:rFonts w:hint="eastAsia" w:ascii="仿宋_GB2312" w:hAnsi="仿宋_GB2312" w:eastAsia="仿宋_GB2312" w:cs="仿宋_GB2312"/>
          <w:color w:val="000000"/>
          <w:sz w:val="18"/>
          <w:szCs w:val="18"/>
          <w:highlight w:val="none"/>
          <w:u w:val="single"/>
        </w:rPr>
        <w:t>，或</w:t>
      </w:r>
      <w:r>
        <w:rPr>
          <w:rFonts w:hint="eastAsia" w:ascii="仿宋_GB2312" w:hAnsi="仿宋_GB2312" w:eastAsia="仿宋_GB2312" w:cs="仿宋_GB2312"/>
          <w:sz w:val="18"/>
          <w:szCs w:val="18"/>
          <w:highlight w:val="none"/>
          <w:u w:val="single"/>
        </w:rPr>
        <w:t>延迟开工15天以上</w:t>
      </w:r>
      <w:r>
        <w:rPr>
          <w:rFonts w:hint="eastAsia" w:ascii="仿宋_GB2312" w:hAnsi="仿宋_GB2312" w:eastAsia="仿宋_GB2312" w:cs="仿宋_GB2312"/>
          <w:color w:val="000000"/>
          <w:sz w:val="18"/>
          <w:szCs w:val="18"/>
          <w:highlight w:val="none"/>
          <w:u w:val="single"/>
        </w:rPr>
        <w:t>，或</w:t>
      </w:r>
      <w:r>
        <w:rPr>
          <w:rFonts w:hint="eastAsia" w:ascii="仿宋_GB2312" w:hAnsi="仿宋_GB2312" w:eastAsia="仿宋_GB2312" w:cs="仿宋_GB2312"/>
          <w:sz w:val="18"/>
          <w:szCs w:val="18"/>
          <w:highlight w:val="none"/>
          <w:u w:val="single"/>
        </w:rPr>
        <w:t>管理混乱，发包人有权终止合同，没收全部履约保证金，承包人应赔偿发包人因此造成的一切经济损失、依法承担相应的法律责任。</w:t>
      </w:r>
    </w:p>
    <w:p w14:paraId="2DD5DA62">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21.2发包人暂定价部分的设备或材料（如有）</w:t>
      </w:r>
    </w:p>
    <w:p w14:paraId="32825B80">
      <w:pPr>
        <w:ind w:firstLine="360" w:firstLineChars="200"/>
        <w:jc w:val="left"/>
        <w:outlineLvl w:val="0"/>
        <w:rPr>
          <w:rFonts w:ascii="仿宋_GB2312" w:hAnsi="仿宋_GB2312" w:eastAsia="仿宋_GB2312" w:cs="仿宋_GB2312"/>
          <w:sz w:val="18"/>
          <w:szCs w:val="18"/>
          <w:highlight w:val="none"/>
          <w:u w:val="single"/>
        </w:rPr>
      </w:pPr>
      <w:bookmarkStart w:id="1391" w:name="_Toc9703"/>
      <w:bookmarkStart w:id="1392" w:name="_Toc1155"/>
      <w:r>
        <w:rPr>
          <w:rFonts w:hint="eastAsia" w:ascii="仿宋_GB2312" w:hAnsi="仿宋_GB2312" w:eastAsia="仿宋_GB2312" w:cs="仿宋_GB2312"/>
          <w:sz w:val="18"/>
          <w:szCs w:val="18"/>
          <w:highlight w:val="none"/>
          <w:u w:val="single"/>
        </w:rPr>
        <w:t>21.2.1承包人应在采购前提前三个月书面通知发包人；</w:t>
      </w:r>
      <w:bookmarkEnd w:id="1391"/>
      <w:bookmarkEnd w:id="1392"/>
    </w:p>
    <w:p w14:paraId="18E2C42D">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21.2.2发包人在接到承包人书面通知后三个月内完成签证认可或招标；承包人根据发包人的签证文件或招标中标通知书开始采购或施工；</w:t>
      </w:r>
    </w:p>
    <w:p w14:paraId="1D33819E">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21.2.3如发包人采用招标进行暂定价部分的设备或材料确认，则该合同由承包人与材料/设备中标单位签订。</w:t>
      </w:r>
    </w:p>
    <w:p w14:paraId="0778A8D2">
      <w:pPr>
        <w:ind w:firstLine="360" w:firstLineChars="200"/>
        <w:jc w:val="left"/>
        <w:outlineLvl w:val="0"/>
        <w:rPr>
          <w:rFonts w:ascii="仿宋_GB2312" w:hAnsi="仿宋_GB2312" w:eastAsia="仿宋_GB2312" w:cs="仿宋_GB2312"/>
          <w:sz w:val="18"/>
          <w:szCs w:val="18"/>
          <w:highlight w:val="none"/>
          <w:u w:val="single"/>
        </w:rPr>
      </w:pPr>
      <w:bookmarkStart w:id="1393" w:name="_Toc18483"/>
      <w:bookmarkStart w:id="1394" w:name="_Toc365"/>
      <w:r>
        <w:rPr>
          <w:rFonts w:hint="eastAsia" w:ascii="仿宋_GB2312" w:hAnsi="仿宋_GB2312" w:eastAsia="仿宋_GB2312" w:cs="仿宋_GB2312"/>
          <w:sz w:val="18"/>
          <w:szCs w:val="18"/>
          <w:highlight w:val="none"/>
          <w:u w:val="single"/>
        </w:rPr>
        <w:t>21.3工程质量与进度的补充约定</w:t>
      </w:r>
      <w:bookmarkEnd w:id="1393"/>
      <w:bookmarkEnd w:id="1394"/>
    </w:p>
    <w:p w14:paraId="2BE2D229">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175AF161">
      <w:pPr>
        <w:ind w:firstLine="360" w:firstLineChars="200"/>
        <w:jc w:val="left"/>
        <w:outlineLvl w:val="0"/>
        <w:rPr>
          <w:rFonts w:ascii="仿宋_GB2312" w:hAnsi="仿宋_GB2312" w:eastAsia="仿宋_GB2312" w:cs="仿宋_GB2312"/>
          <w:sz w:val="18"/>
          <w:szCs w:val="18"/>
          <w:highlight w:val="none"/>
          <w:u w:val="single"/>
        </w:rPr>
      </w:pPr>
      <w:bookmarkStart w:id="1395" w:name="_Toc14432"/>
      <w:bookmarkStart w:id="1396" w:name="_Toc24454"/>
      <w:r>
        <w:rPr>
          <w:rFonts w:hint="eastAsia" w:ascii="仿宋_GB2312" w:hAnsi="仿宋_GB2312" w:eastAsia="仿宋_GB2312" w:cs="仿宋_GB2312"/>
          <w:sz w:val="18"/>
          <w:szCs w:val="18"/>
          <w:highlight w:val="none"/>
          <w:u w:val="single"/>
        </w:rPr>
        <w:t>21.4工程的保管</w:t>
      </w:r>
      <w:bookmarkEnd w:id="1395"/>
      <w:bookmarkEnd w:id="1396"/>
    </w:p>
    <w:p w14:paraId="77768511">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21.4.1开工日后，施工场地由承包人负责保管并负担保管费用。</w:t>
      </w:r>
    </w:p>
    <w:p w14:paraId="5208542F">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21.4.2施工期间，承包人实施的在建工程，承包人采购的物资、使用的设备，以及发包人采购但已经交付给承包人的物资、设备，由承包人负责保管并负担保管费用。</w:t>
      </w:r>
    </w:p>
    <w:p w14:paraId="493DAAC5">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21.4.3竣工日后到依据专用条款确定的工程移交日前，竣工工程（包括附属设备、设施），由承包人负责保管并负担保管费用。</w:t>
      </w:r>
    </w:p>
    <w:p w14:paraId="14B9AC4F">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7FC3BAED">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46C827AC">
      <w:pPr>
        <w:ind w:firstLine="360" w:firstLineChars="200"/>
        <w:jc w:val="left"/>
        <w:outlineLvl w:val="0"/>
        <w:rPr>
          <w:rFonts w:ascii="仿宋_GB2312" w:hAnsi="仿宋_GB2312" w:eastAsia="仿宋_GB2312" w:cs="仿宋_GB2312"/>
          <w:sz w:val="18"/>
          <w:szCs w:val="18"/>
          <w:highlight w:val="none"/>
          <w:u w:val="single"/>
        </w:rPr>
      </w:pPr>
      <w:bookmarkStart w:id="1397" w:name="_Toc19103"/>
      <w:bookmarkStart w:id="1398" w:name="_Toc11735"/>
      <w:r>
        <w:rPr>
          <w:rFonts w:hint="eastAsia" w:ascii="仿宋_GB2312" w:hAnsi="仿宋_GB2312" w:eastAsia="仿宋_GB2312" w:cs="仿宋_GB2312"/>
          <w:sz w:val="18"/>
          <w:szCs w:val="18"/>
          <w:highlight w:val="none"/>
          <w:u w:val="single"/>
        </w:rPr>
        <w:t>21.5合格工程的移交</w:t>
      </w:r>
      <w:bookmarkEnd w:id="1397"/>
      <w:bookmarkEnd w:id="1398"/>
    </w:p>
    <w:p w14:paraId="12633C2C">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03D55C67">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21.5.2承包人应当向发包人实施工程移交的内容包括但不限于：</w:t>
      </w:r>
    </w:p>
    <w:p w14:paraId="2116BA0C">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①承包人实施承包的全部工程；</w:t>
      </w:r>
    </w:p>
    <w:p w14:paraId="5DD6EAD1">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②工程的全部附属设施、设备（包括房屋钥匙、设备使用密码及配套工器具）；</w:t>
      </w:r>
    </w:p>
    <w:p w14:paraId="1A39ADF6">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5B4B72D9">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④其他属于承包人移交义务的工程、设施、设备、文件资料。</w:t>
      </w:r>
    </w:p>
    <w:p w14:paraId="63702E63">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21.6承包人的投标文件必须完全响应招标文件的要求，投标书中一切有悖于招标文件的条款均视作无效条款；承包人在投标文件中单方面设置限制招标人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14:paraId="3F821273">
      <w:pPr>
        <w:ind w:firstLine="360" w:firstLineChars="200"/>
        <w:jc w:val="left"/>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u w:val="single"/>
        </w:rPr>
        <w:t>21.7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bookmarkStart w:id="1399" w:name="_Toc14098"/>
      <w:bookmarkStart w:id="1400" w:name="_Toc6453"/>
    </w:p>
    <w:p w14:paraId="3F533CFC">
      <w:pPr>
        <w:ind w:firstLine="360" w:firstLineChars="200"/>
        <w:jc w:val="left"/>
        <w:rPr>
          <w:rFonts w:ascii="仿宋_GB2312" w:hAnsi="仿宋_GB2312" w:eastAsia="仿宋_GB2312" w:cs="仿宋_GB2312"/>
          <w:b w:val="0"/>
          <w:bCs w:val="0"/>
          <w:sz w:val="18"/>
          <w:szCs w:val="18"/>
          <w:highlight w:val="none"/>
          <w:u w:val="single"/>
        </w:rPr>
      </w:pPr>
      <w:r>
        <w:rPr>
          <w:rFonts w:hint="eastAsia" w:ascii="仿宋_GB2312" w:hAnsi="仿宋_GB2312" w:eastAsia="仿宋_GB2312" w:cs="仿宋_GB2312"/>
          <w:b w:val="0"/>
          <w:bCs w:val="0"/>
          <w:sz w:val="18"/>
          <w:szCs w:val="18"/>
          <w:highlight w:val="none"/>
          <w:u w:val="single"/>
        </w:rPr>
        <w:t>21.8承包人应落实或提供在后期交房期间的维保人员，并接受发包人的整改意见，承诺于24小时内作出回复，如有延误，发包方有权自行安排整改，其费用在承包人的费用中扣除。</w:t>
      </w:r>
      <w:bookmarkEnd w:id="1399"/>
      <w:bookmarkEnd w:id="1400"/>
    </w:p>
    <w:p w14:paraId="149AB8B7">
      <w:pPr>
        <w:ind w:firstLine="360" w:firstLineChars="200"/>
        <w:rPr>
          <w:rFonts w:hint="eastAsia" w:ascii="仿宋_GB2312" w:hAnsi="仿宋_GB2312" w:eastAsia="仿宋_GB2312" w:cs="仿宋_GB2312"/>
          <w:b w:val="0"/>
          <w:bCs w:val="0"/>
          <w:sz w:val="18"/>
          <w:szCs w:val="18"/>
          <w:highlight w:val="none"/>
          <w:u w:val="single"/>
        </w:rPr>
      </w:pPr>
      <w:r>
        <w:rPr>
          <w:rFonts w:hint="eastAsia" w:ascii="仿宋_GB2312" w:hAnsi="仿宋_GB2312" w:eastAsia="仿宋_GB2312" w:cs="仿宋_GB2312"/>
          <w:b w:val="0"/>
          <w:bCs w:val="0"/>
          <w:sz w:val="18"/>
          <w:szCs w:val="18"/>
          <w:highlight w:val="none"/>
          <w:u w:val="single"/>
        </w:rPr>
        <w:t>21.9</w:t>
      </w:r>
      <w:r>
        <w:rPr>
          <w:rFonts w:hint="eastAsia" w:ascii="仿宋_GB2312" w:hAnsi="仿宋_GB2312" w:eastAsia="仿宋_GB2312" w:cs="仿宋_GB2312"/>
          <w:b w:val="0"/>
          <w:bCs w:val="0"/>
          <w:sz w:val="18"/>
          <w:szCs w:val="18"/>
          <w:highlight w:val="none"/>
          <w:u w:val="single"/>
          <w:lang w:val="en-US" w:eastAsia="zh-CN"/>
        </w:rPr>
        <w:t>承包人不按投标文件中所选用的材料和设备采购的，招标人有权拒绝。本次招标承包范围内的主要施工材料、设备等均由承包人根据本招标文件、设计图纸和国家有关规定的具体要求进行采购、运输、检验、保管，但招标人保留变更和指定材料的权利；所有材料、设备 均须有产品合格证和质量保证书。承包人须先将灯具送样，样品经设计人、监理人、发包人确认与招标要求一致后封存，作为批量供应时验收的标准。灯具安装前，承包人须提供灯具购买合同、厂家发货证明。抽查中发现凡与样品不同的材料或设备，承包人均须根据发包人的要求进行更换且中标价不予调整。</w:t>
      </w:r>
    </w:p>
    <w:p w14:paraId="4957E5B7">
      <w:pPr>
        <w:ind w:firstLine="360" w:firstLineChars="200"/>
        <w:rPr>
          <w:rFonts w:ascii="仿宋_GB2312" w:hAnsi="仿宋_GB2312" w:eastAsia="仿宋_GB2312" w:cs="仿宋_GB2312"/>
          <w:b w:val="0"/>
          <w:bCs w:val="0"/>
          <w:sz w:val="18"/>
          <w:szCs w:val="18"/>
          <w:highlight w:val="none"/>
          <w:u w:val="single"/>
        </w:rPr>
      </w:pPr>
      <w:r>
        <w:rPr>
          <w:rFonts w:hint="eastAsia" w:ascii="仿宋_GB2312" w:hAnsi="仿宋_GB2312" w:eastAsia="仿宋_GB2312" w:cs="仿宋_GB2312"/>
          <w:b w:val="0"/>
          <w:bCs w:val="0"/>
          <w:sz w:val="18"/>
          <w:szCs w:val="18"/>
          <w:highlight w:val="none"/>
          <w:u w:val="single"/>
        </w:rPr>
        <w:t>21.10在工程实施过程中，严格执行省、市颁发的相关规定，切实加强务工人员管理，保障农民工的合法权益，要求承包人为此项目服务的所有人员购买相应份额的人生意外保险及其它类适用商业险种，费用包含在总价中，如不按合同执行而发生人员伤亡，后果由承包人承担。按主管部门要求，如必要设立民工学校应按规定设立，费用自理。若在施工期间，由于承包人的责任发生违法、违规事件，后果由承包人自负。</w:t>
      </w:r>
    </w:p>
    <w:p w14:paraId="44E1AF87">
      <w:pPr>
        <w:ind w:firstLine="360" w:firstLineChars="200"/>
        <w:rPr>
          <w:rFonts w:ascii="仿宋_GB2312" w:hAnsi="仿宋_GB2312" w:eastAsia="仿宋_GB2312" w:cs="仿宋_GB2312"/>
          <w:b w:val="0"/>
          <w:bCs w:val="0"/>
          <w:sz w:val="18"/>
          <w:szCs w:val="18"/>
          <w:highlight w:val="none"/>
        </w:rPr>
      </w:pPr>
      <w:r>
        <w:rPr>
          <w:rFonts w:hint="eastAsia" w:ascii="仿宋_GB2312" w:hAnsi="仿宋_GB2312" w:eastAsia="仿宋_GB2312" w:cs="仿宋_GB2312"/>
          <w:b w:val="0"/>
          <w:bCs w:val="0"/>
          <w:sz w:val="18"/>
          <w:szCs w:val="18"/>
          <w:highlight w:val="none"/>
          <w:u w:val="single"/>
        </w:rPr>
        <w:t>21.11工程中出现因施工单位业务水平不足或不服从管理等问题，导致部分工程量未完成或未按标准完成的，建设单位有权对相应工程量单独委托给其他有资质或充分业务水平的单位进行代施工，相关费用从工程款中扣除。缺陷责任期内的质量问题适用该条款</w:t>
      </w:r>
      <w:r>
        <w:rPr>
          <w:rFonts w:hint="eastAsia" w:ascii="仿宋_GB2312" w:hAnsi="仿宋_GB2312" w:eastAsia="仿宋_GB2312" w:cs="仿宋_GB2312"/>
          <w:b w:val="0"/>
          <w:bCs w:val="0"/>
          <w:sz w:val="18"/>
          <w:szCs w:val="18"/>
          <w:highlight w:val="none"/>
        </w:rPr>
        <w:t>。</w:t>
      </w:r>
    </w:p>
    <w:p w14:paraId="0F4612C9">
      <w:pPr>
        <w:ind w:firstLine="360" w:firstLineChars="200"/>
        <w:rPr>
          <w:rFonts w:ascii="仿宋_GB2312" w:hAnsi="仿宋_GB2312" w:eastAsia="仿宋_GB2312" w:cs="仿宋_GB2312"/>
          <w:b w:val="0"/>
          <w:bCs w:val="0"/>
          <w:sz w:val="18"/>
          <w:szCs w:val="18"/>
          <w:highlight w:val="none"/>
        </w:rPr>
      </w:pPr>
      <w:r>
        <w:rPr>
          <w:rFonts w:hint="eastAsia" w:ascii="仿宋_GB2312" w:hAnsi="仿宋_GB2312" w:eastAsia="仿宋_GB2312" w:cs="仿宋_GB2312"/>
          <w:b w:val="0"/>
          <w:bCs w:val="0"/>
          <w:sz w:val="18"/>
          <w:szCs w:val="18"/>
          <w:highlight w:val="none"/>
        </w:rPr>
        <w:t>21.12 项目开工前，进行中标单位询标提醒谈话，承包人应当遵循“基改工程中标单位询标提醒谈话制度”。</w:t>
      </w:r>
    </w:p>
    <w:p w14:paraId="797ED927">
      <w:pPr>
        <w:ind w:firstLine="360" w:firstLineChars="200"/>
        <w:rPr>
          <w:rFonts w:ascii="仿宋_GB2312" w:hAnsi="仿宋_GB2312" w:eastAsia="仿宋_GB2312" w:cs="仿宋_GB2312"/>
          <w:b w:val="0"/>
          <w:bCs w:val="0"/>
          <w:color w:val="000000"/>
          <w:sz w:val="18"/>
          <w:szCs w:val="18"/>
          <w:highlight w:val="none"/>
        </w:rPr>
      </w:pPr>
      <w:r>
        <w:rPr>
          <w:rFonts w:hint="eastAsia" w:ascii="仿宋_GB2312" w:hAnsi="仿宋_GB2312" w:eastAsia="仿宋_GB2312" w:cs="仿宋_GB2312"/>
          <w:b w:val="0"/>
          <w:bCs w:val="0"/>
          <w:sz w:val="18"/>
          <w:szCs w:val="18"/>
          <w:highlight w:val="none"/>
        </w:rPr>
        <w:t>21.13 项目开工后，如遇迎检保障工作，承包人应当遵循“工程项目迎检保障工作清单化制度。”</w:t>
      </w:r>
    </w:p>
    <w:p w14:paraId="0B47482D">
      <w:pPr>
        <w:ind w:firstLine="360" w:firstLineChars="200"/>
        <w:rPr>
          <w:rFonts w:hint="default" w:ascii="仿宋_GB2312" w:hAnsi="仿宋_GB2312" w:eastAsia="仿宋_GB2312" w:cs="仿宋_GB2312"/>
          <w:b w:val="0"/>
          <w:bCs w:val="0"/>
          <w:color w:val="000000"/>
          <w:sz w:val="18"/>
          <w:szCs w:val="18"/>
          <w:highlight w:val="none"/>
          <w:lang w:val="en-US" w:eastAsia="zh-CN"/>
        </w:rPr>
      </w:pPr>
      <w:r>
        <w:rPr>
          <w:rFonts w:hint="eastAsia" w:ascii="仿宋_GB2312" w:hAnsi="仿宋_GB2312" w:eastAsia="仿宋_GB2312" w:cs="仿宋_GB2312"/>
          <w:b w:val="0"/>
          <w:bCs w:val="0"/>
          <w:color w:val="000000"/>
          <w:sz w:val="18"/>
          <w:szCs w:val="18"/>
          <w:highlight w:val="none"/>
          <w:lang w:val="en-US" w:eastAsia="zh-CN"/>
        </w:rPr>
        <w:t>21.14本合同条款中涉及到的各类扣款处罚，承包人在发包人对相应情况进行书面通报后，于3日内上缴相应处罚金额至指定账户中，逾期未上缴的，发包人有权暂停施工作业，并以承包人恶意违规及不服从管理进行处罚。情况严重的，发包人有权解除合同，所有损失由承包人自行承担。</w:t>
      </w:r>
    </w:p>
    <w:p w14:paraId="06C77B3E">
      <w:pPr>
        <w:spacing w:line="240" w:lineRule="auto"/>
        <w:ind w:left="0" w:firstLine="360" w:firstLineChars="200"/>
        <w:jc w:val="left"/>
        <w:rPr>
          <w:rFonts w:hint="default" w:ascii="仿宋_GB2312" w:hAnsi="仿宋_GB2312" w:eastAsia="仿宋_GB2312" w:cs="仿宋_GB2312"/>
          <w:b w:val="0"/>
          <w:bCs w:val="0"/>
          <w:sz w:val="18"/>
          <w:szCs w:val="18"/>
          <w:highlight w:val="none"/>
        </w:rPr>
      </w:pPr>
      <w:r>
        <w:rPr>
          <w:rFonts w:hint="eastAsia" w:ascii="仿宋_GB2312" w:hAnsi="仿宋_GB2312" w:eastAsia="仿宋_GB2312" w:cs="仿宋_GB2312"/>
          <w:b w:val="0"/>
          <w:bCs w:val="0"/>
          <w:sz w:val="18"/>
          <w:szCs w:val="18"/>
          <w:highlight w:val="none"/>
          <w:lang w:val="en-US" w:eastAsia="zh-CN"/>
        </w:rPr>
        <w:t>21.15乙方应严格遵守《上城区综合行政执法局</w:t>
      </w:r>
      <w:r>
        <w:rPr>
          <w:rFonts w:hint="eastAsia" w:ascii="仿宋_GB2312" w:hAnsi="仿宋_GB2312" w:eastAsia="仿宋_GB2312" w:cs="仿宋_GB2312"/>
          <w:b w:val="0"/>
          <w:bCs w:val="0"/>
          <w:sz w:val="18"/>
          <w:szCs w:val="18"/>
          <w:highlight w:val="none"/>
        </w:rPr>
        <w:t>基础设施改善工程考核办法实施细则</w:t>
      </w:r>
      <w:r>
        <w:rPr>
          <w:rFonts w:hint="eastAsia" w:ascii="仿宋_GB2312" w:hAnsi="仿宋_GB2312" w:eastAsia="仿宋_GB2312" w:cs="仿宋_GB2312"/>
          <w:b w:val="0"/>
          <w:bCs w:val="0"/>
          <w:sz w:val="18"/>
          <w:szCs w:val="18"/>
          <w:highlight w:val="none"/>
          <w:lang w:val="en-US" w:eastAsia="zh-CN"/>
        </w:rPr>
        <w:t>》相关规定，服从甲方每月考核，配合做好处罚、约谈等相关工作。</w:t>
      </w:r>
    </w:p>
    <w:p w14:paraId="307229E2">
      <w:pPr>
        <w:spacing w:line="240" w:lineRule="auto"/>
        <w:ind w:left="0" w:firstLine="361" w:firstLineChars="200"/>
        <w:rPr>
          <w:rFonts w:ascii="仿宋" w:hAnsi="仿宋" w:eastAsia="仿宋" w:cs="仿宋"/>
          <w:b/>
          <w:color w:val="000000"/>
          <w:sz w:val="28"/>
          <w:szCs w:val="32"/>
          <w:highlight w:val="none"/>
        </w:rPr>
      </w:pPr>
      <w:r>
        <w:rPr>
          <w:rFonts w:hint="eastAsia" w:ascii="仿宋_GB2312" w:hAnsi="仿宋_GB2312" w:eastAsia="仿宋_GB2312" w:cs="仿宋_GB2312"/>
          <w:b/>
          <w:bCs w:val="0"/>
          <w:color w:val="auto"/>
          <w:sz w:val="18"/>
          <w:szCs w:val="18"/>
          <w:highlight w:val="none"/>
        </w:rPr>
        <w:br w:type="page"/>
      </w:r>
      <w:r>
        <w:rPr>
          <w:rFonts w:hint="eastAsia" w:ascii="仿宋" w:hAnsi="仿宋" w:eastAsia="仿宋" w:cs="仿宋"/>
          <w:b/>
          <w:color w:val="000000"/>
          <w:sz w:val="28"/>
          <w:szCs w:val="32"/>
          <w:highlight w:val="none"/>
        </w:rPr>
        <w:t>附件</w:t>
      </w:r>
    </w:p>
    <w:p w14:paraId="432D61B9">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附件1：工程质量保修书</w:t>
      </w:r>
    </w:p>
    <w:p w14:paraId="52E9273F">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附件2：承包人用于本工程施工的机械设备表</w:t>
      </w:r>
    </w:p>
    <w:p w14:paraId="224606FB">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附件3：承包人主要施工管理人员表</w:t>
      </w:r>
    </w:p>
    <w:p w14:paraId="6855D91B">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附件4：分包人主要施工管理人员表</w:t>
      </w:r>
    </w:p>
    <w:p w14:paraId="719AA976">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附件5：履约担保格式</w:t>
      </w:r>
    </w:p>
    <w:p w14:paraId="7285C637">
      <w:pPr>
        <w:spacing w:line="360" w:lineRule="auto"/>
        <w:jc w:val="lef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附件6：廉政责任书</w:t>
      </w:r>
    </w:p>
    <w:p w14:paraId="734648F0">
      <w:pPr>
        <w:pStyle w:val="969"/>
        <w:ind w:left="0" w:leftChars="0"/>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 7：市政建设工程质量安全文明施工责任书</w:t>
      </w:r>
    </w:p>
    <w:p w14:paraId="40811D78">
      <w:pPr>
        <w:autoSpaceDE w:val="0"/>
        <w:autoSpaceDN w:val="0"/>
        <w:adjustRightInd w:val="0"/>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 8：</w:t>
      </w:r>
      <w:r>
        <w:rPr>
          <w:rFonts w:hint="eastAsia" w:ascii="仿宋" w:hAnsi="仿宋" w:eastAsia="仿宋" w:cs="仿宋"/>
          <w:color w:val="000000"/>
          <w:sz w:val="28"/>
          <w:szCs w:val="32"/>
          <w:highlight w:val="none"/>
          <w:lang w:val="zh-CN"/>
        </w:rPr>
        <w:t>杭州市新建市政</w:t>
      </w:r>
      <w:r>
        <w:rPr>
          <w:rFonts w:hint="eastAsia" w:ascii="仿宋" w:hAnsi="仿宋" w:eastAsia="仿宋" w:cs="仿宋"/>
          <w:color w:val="000000"/>
          <w:sz w:val="28"/>
          <w:szCs w:val="32"/>
          <w:highlight w:val="none"/>
        </w:rPr>
        <w:t>道路</w:t>
      </w:r>
      <w:r>
        <w:rPr>
          <w:rFonts w:hint="eastAsia" w:ascii="仿宋" w:hAnsi="仿宋" w:eastAsia="仿宋" w:cs="仿宋"/>
          <w:color w:val="000000"/>
          <w:sz w:val="28"/>
          <w:szCs w:val="32"/>
          <w:highlight w:val="none"/>
          <w:lang w:val="zh-CN"/>
        </w:rPr>
        <w:t>工程移交接收检测</w:t>
      </w:r>
      <w:r>
        <w:rPr>
          <w:rFonts w:hint="eastAsia" w:ascii="仿宋" w:hAnsi="仿宋" w:eastAsia="仿宋" w:cs="仿宋"/>
          <w:color w:val="000000"/>
          <w:sz w:val="28"/>
          <w:szCs w:val="32"/>
          <w:highlight w:val="none"/>
        </w:rPr>
        <w:t>实施方案</w:t>
      </w:r>
    </w:p>
    <w:p w14:paraId="78D17A70">
      <w:pPr>
        <w:autoSpaceDE w:val="0"/>
        <w:autoSpaceDN w:val="0"/>
        <w:adjustRightInd w:val="0"/>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 9：</w:t>
      </w:r>
      <w:r>
        <w:rPr>
          <w:rFonts w:hint="eastAsia" w:ascii="仿宋" w:hAnsi="仿宋" w:eastAsia="仿宋" w:cs="仿宋"/>
          <w:color w:val="000000"/>
          <w:sz w:val="28"/>
          <w:szCs w:val="32"/>
          <w:highlight w:val="none"/>
          <w:lang w:val="zh-CN"/>
        </w:rPr>
        <w:t>杭州市市政道路加固(修缮)工程质量检测实施方案</w:t>
      </w:r>
    </w:p>
    <w:p w14:paraId="0215DBDE">
      <w:pPr>
        <w:spacing w:line="620" w:lineRule="exact"/>
        <w:rPr>
          <w:rFonts w:ascii="仿宋" w:hAnsi="仿宋" w:eastAsia="仿宋" w:cs="仿宋"/>
          <w:color w:val="000000"/>
          <w:sz w:val="28"/>
          <w:szCs w:val="32"/>
          <w:highlight w:val="none"/>
        </w:rPr>
      </w:pPr>
      <w:r>
        <w:rPr>
          <w:rFonts w:hint="eastAsia" w:ascii="仿宋" w:hAnsi="仿宋" w:eastAsia="仿宋" w:cs="仿宋"/>
          <w:color w:val="000000"/>
          <w:sz w:val="28"/>
          <w:szCs w:val="32"/>
          <w:highlight w:val="none"/>
        </w:rPr>
        <w:t>附件10：杭州市市政道路养护指导书</w:t>
      </w:r>
    </w:p>
    <w:p w14:paraId="108C0B23">
      <w:pPr>
        <w:spacing w:line="620" w:lineRule="exact"/>
        <w:rPr>
          <w:rFonts w:hint="eastAsia" w:ascii="仿宋" w:hAnsi="仿宋" w:eastAsia="仿宋" w:cs="仿宋"/>
          <w:color w:val="000000"/>
          <w:sz w:val="28"/>
          <w:szCs w:val="32"/>
          <w:highlight w:val="none"/>
          <w:u w:val="none"/>
        </w:rPr>
      </w:pPr>
      <w:r>
        <w:rPr>
          <w:rFonts w:hint="eastAsia" w:ascii="仿宋" w:hAnsi="仿宋" w:eastAsia="仿宋" w:cs="仿宋"/>
          <w:color w:val="000000"/>
          <w:sz w:val="28"/>
          <w:szCs w:val="32"/>
          <w:highlight w:val="none"/>
        </w:rPr>
        <w:t>附件1</w:t>
      </w:r>
      <w:r>
        <w:rPr>
          <w:rFonts w:hint="eastAsia" w:ascii="仿宋" w:hAnsi="仿宋" w:eastAsia="仿宋" w:cs="仿宋"/>
          <w:color w:val="000000"/>
          <w:sz w:val="28"/>
          <w:szCs w:val="32"/>
          <w:highlight w:val="none"/>
          <w:lang w:val="en-US" w:eastAsia="zh-CN"/>
        </w:rPr>
        <w:t>1</w:t>
      </w:r>
      <w:r>
        <w:rPr>
          <w:rFonts w:hint="eastAsia" w:ascii="仿宋" w:hAnsi="仿宋" w:eastAsia="仿宋" w:cs="仿宋"/>
          <w:color w:val="000000"/>
          <w:sz w:val="28"/>
          <w:szCs w:val="32"/>
          <w:highlight w:val="none"/>
        </w:rPr>
        <w:t>：</w:t>
      </w:r>
      <w:r>
        <w:rPr>
          <w:rFonts w:hint="eastAsia" w:ascii="仿宋" w:hAnsi="仿宋" w:eastAsia="仿宋" w:cs="仿宋"/>
          <w:color w:val="000000"/>
          <w:sz w:val="28"/>
          <w:szCs w:val="32"/>
          <w:highlight w:val="none"/>
          <w:lang w:val="en-US" w:eastAsia="zh-CN"/>
        </w:rPr>
        <w:t>承诺书</w:t>
      </w:r>
    </w:p>
    <w:p w14:paraId="39637185">
      <w:pPr>
        <w:rPr>
          <w:rFonts w:hint="eastAsia" w:ascii="仿宋" w:hAnsi="仿宋" w:eastAsia="仿宋" w:cs="仿宋"/>
          <w:color w:val="000000"/>
          <w:sz w:val="28"/>
          <w:szCs w:val="32"/>
          <w:highlight w:val="none"/>
          <w:u w:val="none"/>
        </w:rPr>
      </w:pPr>
      <w:r>
        <w:rPr>
          <w:rFonts w:hint="eastAsia" w:ascii="仿宋" w:hAnsi="仿宋" w:eastAsia="仿宋" w:cs="仿宋"/>
          <w:color w:val="000000"/>
          <w:sz w:val="28"/>
          <w:szCs w:val="32"/>
          <w:highlight w:val="none"/>
          <w:u w:val="none"/>
        </w:rPr>
        <w:t>附件</w:t>
      </w:r>
      <w:r>
        <w:rPr>
          <w:rFonts w:hint="eastAsia" w:ascii="仿宋" w:hAnsi="仿宋" w:eastAsia="仿宋" w:cs="仿宋"/>
          <w:color w:val="000000"/>
          <w:sz w:val="28"/>
          <w:szCs w:val="32"/>
          <w:highlight w:val="none"/>
          <w:u w:val="none"/>
          <w:lang w:val="en-US" w:eastAsia="zh-CN"/>
        </w:rPr>
        <w:t>12</w:t>
      </w:r>
      <w:r>
        <w:rPr>
          <w:rFonts w:hint="eastAsia" w:ascii="仿宋" w:hAnsi="仿宋" w:eastAsia="仿宋" w:cs="仿宋"/>
          <w:color w:val="000000"/>
          <w:sz w:val="28"/>
          <w:szCs w:val="32"/>
          <w:highlight w:val="none"/>
          <w:u w:val="none"/>
        </w:rPr>
        <w:t>：农民工工资发放花名册</w:t>
      </w:r>
      <w:r>
        <w:rPr>
          <w:rFonts w:hint="eastAsia" w:ascii="仿宋" w:hAnsi="仿宋" w:eastAsia="仿宋" w:cs="仿宋"/>
          <w:color w:val="000000"/>
          <w:sz w:val="28"/>
          <w:szCs w:val="32"/>
          <w:highlight w:val="none"/>
          <w:u w:val="none"/>
          <w:lang w:eastAsia="zh-CN"/>
        </w:rPr>
        <w:t>（</w:t>
      </w:r>
      <w:r>
        <w:rPr>
          <w:rFonts w:hint="eastAsia" w:ascii="仿宋" w:hAnsi="仿宋" w:eastAsia="仿宋" w:cs="仿宋"/>
          <w:color w:val="000000"/>
          <w:sz w:val="28"/>
          <w:szCs w:val="32"/>
          <w:highlight w:val="none"/>
          <w:u w:val="none"/>
        </w:rPr>
        <w:t>后须附农民工工资发放记录：转账记录、收条等</w:t>
      </w:r>
      <w:r>
        <w:rPr>
          <w:rFonts w:hint="eastAsia" w:ascii="仿宋" w:hAnsi="仿宋" w:eastAsia="仿宋" w:cs="仿宋"/>
          <w:color w:val="000000"/>
          <w:sz w:val="28"/>
          <w:szCs w:val="32"/>
          <w:highlight w:val="none"/>
          <w:u w:val="none"/>
          <w:lang w:eastAsia="zh-CN"/>
        </w:rPr>
        <w:t>）</w:t>
      </w:r>
    </w:p>
    <w:p w14:paraId="0F114A0F">
      <w:pPr>
        <w:jc w:val="left"/>
        <w:rPr>
          <w:rFonts w:hint="eastAsia" w:ascii="仿宋" w:hAnsi="仿宋" w:eastAsia="仿宋" w:cs="仿宋"/>
          <w:color w:val="000000"/>
          <w:sz w:val="28"/>
          <w:szCs w:val="32"/>
          <w:highlight w:val="none"/>
          <w:u w:val="none"/>
          <w:lang w:val="en-US" w:eastAsia="zh-CN"/>
        </w:rPr>
      </w:pPr>
      <w:r>
        <w:rPr>
          <w:rFonts w:hint="eastAsia" w:ascii="仿宋" w:hAnsi="仿宋" w:eastAsia="仿宋" w:cs="仿宋"/>
          <w:color w:val="000000"/>
          <w:sz w:val="28"/>
          <w:szCs w:val="32"/>
          <w:highlight w:val="none"/>
          <w:u w:val="none"/>
        </w:rPr>
        <w:t>附件1</w:t>
      </w:r>
      <w:r>
        <w:rPr>
          <w:rFonts w:hint="eastAsia" w:ascii="仿宋" w:hAnsi="仿宋" w:eastAsia="仿宋" w:cs="仿宋"/>
          <w:color w:val="000000"/>
          <w:sz w:val="28"/>
          <w:szCs w:val="32"/>
          <w:highlight w:val="none"/>
          <w:u w:val="none"/>
          <w:lang w:val="en-US" w:eastAsia="zh-CN"/>
        </w:rPr>
        <w:t>3</w:t>
      </w:r>
      <w:r>
        <w:rPr>
          <w:rFonts w:hint="eastAsia" w:ascii="仿宋" w:hAnsi="仿宋" w:eastAsia="仿宋" w:cs="仿宋"/>
          <w:color w:val="000000"/>
          <w:sz w:val="28"/>
          <w:szCs w:val="32"/>
          <w:highlight w:val="none"/>
          <w:u w:val="none"/>
        </w:rPr>
        <w:t>：</w:t>
      </w:r>
      <w:r>
        <w:rPr>
          <w:rFonts w:hint="eastAsia" w:ascii="仿宋" w:hAnsi="仿宋" w:eastAsia="仿宋" w:cs="仿宋"/>
          <w:color w:val="000000"/>
          <w:sz w:val="28"/>
          <w:szCs w:val="32"/>
          <w:highlight w:val="none"/>
          <w:u w:val="none"/>
          <w:lang w:val="en-US" w:eastAsia="zh-CN"/>
        </w:rPr>
        <w:t>无拖欠农民工工资承诺书</w:t>
      </w:r>
    </w:p>
    <w:p w14:paraId="0D371F44">
      <w:pPr>
        <w:jc w:val="left"/>
        <w:rPr>
          <w:rFonts w:hint="eastAsia" w:ascii="仿宋" w:hAnsi="仿宋" w:eastAsia="仿宋" w:cs="仿宋"/>
          <w:color w:val="000000"/>
          <w:sz w:val="28"/>
          <w:szCs w:val="32"/>
          <w:highlight w:val="none"/>
          <w:u w:val="none"/>
          <w:lang w:val="en-US" w:eastAsia="zh-CN"/>
        </w:rPr>
      </w:pPr>
    </w:p>
    <w:p w14:paraId="4BE70C70">
      <w:pPr>
        <w:spacing w:line="440" w:lineRule="exact"/>
        <w:rPr>
          <w:rFonts w:hint="eastAsia" w:ascii="仿宋" w:hAnsi="仿宋" w:eastAsia="仿宋" w:cs="仿宋"/>
          <w:color w:val="000000"/>
          <w:sz w:val="28"/>
          <w:szCs w:val="30"/>
          <w:highlight w:val="none"/>
        </w:rPr>
      </w:pPr>
    </w:p>
    <w:p w14:paraId="263722D1">
      <w:pPr>
        <w:spacing w:line="440" w:lineRule="exact"/>
        <w:rPr>
          <w:rFonts w:hint="eastAsia" w:ascii="仿宋" w:hAnsi="仿宋" w:eastAsia="仿宋" w:cs="仿宋"/>
          <w:color w:val="000000"/>
          <w:sz w:val="28"/>
          <w:szCs w:val="30"/>
          <w:highlight w:val="none"/>
        </w:rPr>
      </w:pPr>
    </w:p>
    <w:p w14:paraId="12001659">
      <w:pPr>
        <w:spacing w:line="440" w:lineRule="exact"/>
        <w:rPr>
          <w:rFonts w:hint="eastAsia" w:ascii="仿宋" w:hAnsi="仿宋" w:eastAsia="仿宋" w:cs="仿宋"/>
          <w:color w:val="000000"/>
          <w:sz w:val="28"/>
          <w:szCs w:val="30"/>
          <w:highlight w:val="none"/>
        </w:rPr>
      </w:pPr>
    </w:p>
    <w:p w14:paraId="54F54292">
      <w:pPr>
        <w:spacing w:line="440" w:lineRule="exact"/>
        <w:rPr>
          <w:rFonts w:hint="eastAsia" w:ascii="仿宋" w:hAnsi="仿宋" w:eastAsia="仿宋" w:cs="仿宋"/>
          <w:color w:val="000000"/>
          <w:sz w:val="28"/>
          <w:szCs w:val="30"/>
          <w:highlight w:val="none"/>
        </w:rPr>
      </w:pPr>
    </w:p>
    <w:p w14:paraId="1BADABCC">
      <w:pPr>
        <w:spacing w:line="440" w:lineRule="exact"/>
        <w:rPr>
          <w:rFonts w:hint="eastAsia" w:ascii="仿宋" w:hAnsi="仿宋" w:eastAsia="仿宋" w:cs="仿宋"/>
          <w:color w:val="000000"/>
          <w:sz w:val="28"/>
          <w:szCs w:val="30"/>
          <w:highlight w:val="none"/>
        </w:rPr>
      </w:pPr>
    </w:p>
    <w:p w14:paraId="5D4CFFBA">
      <w:pPr>
        <w:spacing w:line="440" w:lineRule="exact"/>
        <w:rPr>
          <w:rFonts w:hint="eastAsia" w:ascii="仿宋" w:hAnsi="仿宋" w:eastAsia="仿宋" w:cs="仿宋"/>
          <w:color w:val="000000"/>
          <w:sz w:val="28"/>
          <w:szCs w:val="30"/>
          <w:highlight w:val="none"/>
        </w:rPr>
      </w:pPr>
    </w:p>
    <w:p w14:paraId="46B67B9F">
      <w:pPr>
        <w:spacing w:line="440" w:lineRule="exact"/>
        <w:rPr>
          <w:rFonts w:hint="eastAsia" w:ascii="仿宋" w:hAnsi="仿宋" w:eastAsia="仿宋" w:cs="仿宋"/>
          <w:color w:val="000000"/>
          <w:sz w:val="28"/>
          <w:szCs w:val="30"/>
          <w:highlight w:val="none"/>
        </w:rPr>
      </w:pPr>
    </w:p>
    <w:p w14:paraId="183CFF22">
      <w:pPr>
        <w:spacing w:line="440" w:lineRule="exact"/>
        <w:rPr>
          <w:rFonts w:hint="eastAsia" w:ascii="仿宋" w:hAnsi="仿宋" w:eastAsia="仿宋" w:cs="仿宋"/>
          <w:color w:val="000000"/>
          <w:sz w:val="28"/>
          <w:szCs w:val="30"/>
          <w:highlight w:val="none"/>
        </w:rPr>
      </w:pPr>
    </w:p>
    <w:p w14:paraId="2B6EC8C2">
      <w:pPr>
        <w:spacing w:line="440" w:lineRule="exact"/>
        <w:rPr>
          <w:rFonts w:hint="eastAsia" w:ascii="仿宋" w:hAnsi="仿宋" w:eastAsia="仿宋" w:cs="仿宋"/>
          <w:color w:val="000000"/>
          <w:sz w:val="28"/>
          <w:szCs w:val="30"/>
          <w:highlight w:val="none"/>
        </w:rPr>
      </w:pPr>
    </w:p>
    <w:p w14:paraId="54E3056D">
      <w:pPr>
        <w:spacing w:line="440" w:lineRule="exac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附</w:t>
      </w:r>
      <w:bookmarkStart w:id="1401" w:name="_Toc296891054"/>
      <w:bookmarkStart w:id="1402" w:name="_Toc296346727"/>
      <w:bookmarkStart w:id="1403" w:name="_Toc296347225"/>
      <w:bookmarkStart w:id="1404" w:name="_Toc296891266"/>
      <w:bookmarkStart w:id="1405" w:name="_Toc267261693"/>
      <w:bookmarkStart w:id="1406" w:name="_Toc296944565"/>
      <w:bookmarkStart w:id="1407" w:name="_Toc296503226"/>
      <w:r>
        <w:rPr>
          <w:rFonts w:hint="eastAsia" w:ascii="仿宋" w:hAnsi="仿宋" w:eastAsia="仿宋" w:cs="仿宋"/>
          <w:color w:val="000000"/>
          <w:sz w:val="28"/>
          <w:szCs w:val="30"/>
          <w:highlight w:val="none"/>
        </w:rPr>
        <w:t>件1：</w:t>
      </w:r>
      <w:bookmarkEnd w:id="1401"/>
      <w:bookmarkEnd w:id="1402"/>
      <w:bookmarkEnd w:id="1403"/>
      <w:bookmarkEnd w:id="1404"/>
      <w:bookmarkEnd w:id="1405"/>
      <w:bookmarkEnd w:id="1406"/>
      <w:bookmarkEnd w:id="1407"/>
    </w:p>
    <w:p w14:paraId="1B5CC510">
      <w:pPr>
        <w:spacing w:beforeLines="50"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工程质量保修书</w:t>
      </w:r>
    </w:p>
    <w:p w14:paraId="2AF37796">
      <w:pPr>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发包人（全称）：</w:t>
      </w:r>
      <w:r>
        <w:rPr>
          <w:rFonts w:hint="eastAsia" w:ascii="仿宋" w:hAnsi="仿宋" w:eastAsia="仿宋" w:cs="仿宋"/>
          <w:sz w:val="24"/>
          <w:szCs w:val="24"/>
          <w:highlight w:val="none"/>
          <w:u w:val="single"/>
          <w:lang w:val="en-US" w:eastAsia="zh-CN"/>
        </w:rPr>
        <w:t xml:space="preserve">                                         </w:t>
      </w:r>
    </w:p>
    <w:p w14:paraId="200F7CEA">
      <w:pP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承包人（全称）：</w:t>
      </w:r>
      <w:r>
        <w:rPr>
          <w:rFonts w:hint="eastAsia" w:ascii="仿宋" w:hAnsi="仿宋" w:eastAsia="仿宋" w:cs="仿宋"/>
          <w:color w:val="000000"/>
          <w:sz w:val="24"/>
          <w:szCs w:val="24"/>
          <w:highlight w:val="none"/>
          <w:u w:val="single"/>
          <w:lang w:val="en-US" w:eastAsia="zh-CN"/>
        </w:rPr>
        <w:t xml:space="preserve">                                          </w:t>
      </w:r>
    </w:p>
    <w:p w14:paraId="438A7383">
      <w:pPr>
        <w:rPr>
          <w:rFonts w:ascii="仿宋" w:hAnsi="仿宋" w:eastAsia="仿宋" w:cs="仿宋"/>
          <w:color w:val="000000"/>
          <w:sz w:val="24"/>
          <w:szCs w:val="24"/>
          <w:highlight w:val="none"/>
        </w:rPr>
      </w:pPr>
    </w:p>
    <w:p w14:paraId="16BCBE93">
      <w:pPr>
        <w:widowControl/>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发包人和承包人根据《中华人民共和国建筑法》和《建设工程质量管理条例》，经协商一致就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（工程全称）签订工程质量保修书。</w:t>
      </w:r>
    </w:p>
    <w:p w14:paraId="2FF8CA31">
      <w:pPr>
        <w:outlineLvl w:val="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w:t>
      </w:r>
      <w:bookmarkStart w:id="1408" w:name="_Toc31185"/>
      <w:bookmarkStart w:id="1409" w:name="_Toc29079"/>
      <w:bookmarkStart w:id="1410" w:name="_Toc29601"/>
      <w:bookmarkStart w:id="1411" w:name="_Toc21441"/>
      <w:bookmarkStart w:id="1412" w:name="_Toc21614"/>
      <w:r>
        <w:rPr>
          <w:rFonts w:hint="eastAsia" w:ascii="仿宋" w:hAnsi="仿宋" w:eastAsia="仿宋" w:cs="仿宋"/>
          <w:color w:val="000000"/>
          <w:sz w:val="24"/>
          <w:szCs w:val="24"/>
          <w:highlight w:val="none"/>
        </w:rPr>
        <w:t>一、工程质量保修范围和内容</w:t>
      </w:r>
      <w:bookmarkEnd w:id="1408"/>
      <w:bookmarkEnd w:id="1409"/>
      <w:bookmarkEnd w:id="1410"/>
      <w:bookmarkEnd w:id="1411"/>
      <w:bookmarkEnd w:id="1412"/>
    </w:p>
    <w:p w14:paraId="35B61956">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承包人在质量保修期内，按照有关法律规定和合同约定，承担工程质量保修责任。</w:t>
      </w:r>
    </w:p>
    <w:p w14:paraId="68E4A68F">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24"/>
          <w:highlight w:val="none"/>
          <w:u w:val="single"/>
        </w:rPr>
        <w:t xml:space="preserve">图纸范围内的全部内容 </w:t>
      </w:r>
      <w:r>
        <w:rPr>
          <w:rFonts w:hint="eastAsia" w:ascii="仿宋" w:hAnsi="仿宋" w:eastAsia="仿宋" w:cs="仿宋"/>
          <w:color w:val="000000"/>
          <w:sz w:val="24"/>
          <w:szCs w:val="24"/>
          <w:highlight w:val="none"/>
        </w:rPr>
        <w:t>。</w:t>
      </w:r>
    </w:p>
    <w:p w14:paraId="2B97A3B8">
      <w:pPr>
        <w:outlineLvl w:val="0"/>
        <w:rPr>
          <w:rFonts w:ascii="仿宋" w:hAnsi="仿宋" w:eastAsia="仿宋" w:cs="仿宋"/>
          <w:color w:val="000000"/>
          <w:sz w:val="24"/>
          <w:szCs w:val="24"/>
          <w:highlight w:val="none"/>
        </w:rPr>
      </w:pPr>
      <w:r>
        <w:rPr>
          <w:rFonts w:hint="eastAsia" w:ascii="仿宋" w:hAnsi="仿宋" w:eastAsia="仿宋" w:cs="仿宋"/>
          <w:b/>
          <w:color w:val="000000"/>
          <w:sz w:val="24"/>
          <w:szCs w:val="24"/>
          <w:highlight w:val="none"/>
        </w:rPr>
        <w:t>　　</w:t>
      </w:r>
      <w:bookmarkStart w:id="1413" w:name="_Toc4422"/>
      <w:bookmarkStart w:id="1414" w:name="_Toc11662"/>
      <w:bookmarkStart w:id="1415" w:name="_Toc27519"/>
      <w:bookmarkStart w:id="1416" w:name="_Toc25413"/>
      <w:bookmarkStart w:id="1417" w:name="_Toc2950"/>
      <w:r>
        <w:rPr>
          <w:rFonts w:hint="eastAsia" w:ascii="仿宋" w:hAnsi="仿宋" w:eastAsia="仿宋" w:cs="仿宋"/>
          <w:color w:val="000000"/>
          <w:sz w:val="24"/>
          <w:szCs w:val="24"/>
          <w:highlight w:val="none"/>
        </w:rPr>
        <w:t>二、质量保修期</w:t>
      </w:r>
      <w:bookmarkEnd w:id="1413"/>
      <w:bookmarkEnd w:id="1414"/>
      <w:bookmarkEnd w:id="1415"/>
      <w:bookmarkEnd w:id="1416"/>
      <w:bookmarkEnd w:id="1417"/>
    </w:p>
    <w:p w14:paraId="3E136F2E">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质量保修期自工程竣工验收合格之日起计算</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根据《建设工程质量管理条例》及有关规定，工程的质量保修期如下：</w:t>
      </w:r>
    </w:p>
    <w:p w14:paraId="4BFFB393">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地基基础工程和主体结构工程为设计文件规定的工程合理使用年限；</w:t>
      </w:r>
    </w:p>
    <w:p w14:paraId="11EC799F">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屋面防水工程、有防水要求的卫生间、房间和外墙面的防渗为</w:t>
      </w:r>
      <w:r>
        <w:rPr>
          <w:rFonts w:hint="eastAsia" w:ascii="仿宋" w:hAnsi="仿宋" w:eastAsia="仿宋" w:cs="仿宋"/>
          <w:sz w:val="24"/>
          <w:szCs w:val="24"/>
          <w:highlight w:val="none"/>
          <w:u w:val="single"/>
        </w:rPr>
        <w:t>伍</w:t>
      </w:r>
      <w:r>
        <w:rPr>
          <w:rFonts w:hint="eastAsia" w:ascii="仿宋" w:hAnsi="仿宋" w:eastAsia="仿宋" w:cs="仿宋"/>
          <w:color w:val="000000"/>
          <w:sz w:val="24"/>
          <w:szCs w:val="24"/>
          <w:highlight w:val="none"/>
        </w:rPr>
        <w:t>年；</w:t>
      </w:r>
    </w:p>
    <w:p w14:paraId="7704F77C">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装修工程为</w:t>
      </w:r>
      <w:r>
        <w:rPr>
          <w:rFonts w:hint="eastAsia" w:ascii="仿宋" w:hAnsi="仿宋" w:eastAsia="仿宋" w:cs="仿宋"/>
          <w:sz w:val="24"/>
          <w:szCs w:val="24"/>
          <w:highlight w:val="none"/>
          <w:u w:val="single"/>
        </w:rPr>
        <w:t>贰</w:t>
      </w:r>
      <w:r>
        <w:rPr>
          <w:rFonts w:hint="eastAsia" w:ascii="仿宋" w:hAnsi="仿宋" w:eastAsia="仿宋" w:cs="仿宋"/>
          <w:color w:val="000000"/>
          <w:sz w:val="24"/>
          <w:szCs w:val="24"/>
          <w:highlight w:val="none"/>
        </w:rPr>
        <w:t>年；</w:t>
      </w:r>
    </w:p>
    <w:p w14:paraId="79810D24">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电气管线、给排水管道、设备安装工程为</w:t>
      </w:r>
      <w:r>
        <w:rPr>
          <w:rFonts w:hint="eastAsia" w:ascii="仿宋" w:hAnsi="仿宋" w:eastAsia="仿宋" w:cs="仿宋"/>
          <w:sz w:val="24"/>
          <w:szCs w:val="24"/>
          <w:highlight w:val="none"/>
          <w:u w:val="single"/>
        </w:rPr>
        <w:t>贰</w:t>
      </w:r>
      <w:r>
        <w:rPr>
          <w:rFonts w:hint="eastAsia" w:ascii="仿宋" w:hAnsi="仿宋" w:eastAsia="仿宋" w:cs="仿宋"/>
          <w:color w:val="000000"/>
          <w:sz w:val="24"/>
          <w:szCs w:val="24"/>
          <w:highlight w:val="none"/>
        </w:rPr>
        <w:t>年；</w:t>
      </w:r>
    </w:p>
    <w:p w14:paraId="7243B5D0">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供热与供冷系统为</w:t>
      </w:r>
      <w:r>
        <w:rPr>
          <w:rFonts w:hint="eastAsia" w:ascii="仿宋" w:hAnsi="仿宋" w:eastAsia="仿宋" w:cs="仿宋"/>
          <w:sz w:val="24"/>
          <w:szCs w:val="24"/>
          <w:highlight w:val="none"/>
          <w:u w:val="single"/>
        </w:rPr>
        <w:t>贰</w:t>
      </w:r>
      <w:r>
        <w:rPr>
          <w:rFonts w:hint="eastAsia" w:ascii="仿宋" w:hAnsi="仿宋" w:eastAsia="仿宋" w:cs="仿宋"/>
          <w:color w:val="000000"/>
          <w:sz w:val="24"/>
          <w:szCs w:val="24"/>
          <w:highlight w:val="none"/>
        </w:rPr>
        <w:t>个采暖期、供冷期；</w:t>
      </w:r>
    </w:p>
    <w:p w14:paraId="4BBFE7CA">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住宅小区内的给排水设施、道路等配套工程为</w:t>
      </w:r>
      <w:r>
        <w:rPr>
          <w:rFonts w:hint="eastAsia" w:ascii="仿宋" w:hAnsi="仿宋" w:eastAsia="仿宋" w:cs="仿宋"/>
          <w:sz w:val="24"/>
          <w:szCs w:val="24"/>
          <w:highlight w:val="none"/>
          <w:u w:val="single"/>
        </w:rPr>
        <w:t>贰</w:t>
      </w:r>
      <w:r>
        <w:rPr>
          <w:rFonts w:hint="eastAsia" w:ascii="仿宋" w:hAnsi="仿宋" w:eastAsia="仿宋" w:cs="仿宋"/>
          <w:color w:val="000000"/>
          <w:sz w:val="24"/>
          <w:szCs w:val="24"/>
          <w:highlight w:val="none"/>
        </w:rPr>
        <w:t>年；</w:t>
      </w:r>
    </w:p>
    <w:p w14:paraId="374F6ADF">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其他项目保修期限约定如下：</w:t>
      </w:r>
    </w:p>
    <w:p w14:paraId="3BCDD84F">
      <w:pPr>
        <w:ind w:left="420" w:leftChars="200" w:firstLine="120" w:firstLineChars="5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lang w:val="en-US" w:eastAsia="zh-CN"/>
        </w:rPr>
        <w:t>（1）、灯具安装工程为2年；（2）电气管线、设备安装工程为2年；（3）控制系统安装为2 年。（3）开关箱质保期2年。</w:t>
      </w:r>
    </w:p>
    <w:p w14:paraId="75F94C32">
      <w:pPr>
        <w:ind w:firstLine="480" w:firstLineChars="200"/>
        <w:outlineLvl w:val="0"/>
        <w:rPr>
          <w:rFonts w:ascii="仿宋" w:hAnsi="仿宋" w:eastAsia="仿宋" w:cs="仿宋"/>
          <w:color w:val="000000"/>
          <w:sz w:val="24"/>
          <w:szCs w:val="24"/>
          <w:highlight w:val="none"/>
        </w:rPr>
      </w:pPr>
      <w:bookmarkStart w:id="1418" w:name="_Toc11566"/>
      <w:bookmarkStart w:id="1419" w:name="_Toc18852"/>
      <w:bookmarkStart w:id="1420" w:name="_Toc22222"/>
      <w:bookmarkStart w:id="1421" w:name="_Toc24843"/>
      <w:bookmarkStart w:id="1422" w:name="_Toc15006"/>
      <w:r>
        <w:rPr>
          <w:rFonts w:hint="eastAsia" w:ascii="仿宋" w:hAnsi="仿宋" w:eastAsia="仿宋" w:cs="仿宋"/>
          <w:color w:val="000000"/>
          <w:sz w:val="24"/>
          <w:szCs w:val="24"/>
          <w:highlight w:val="none"/>
        </w:rPr>
        <w:t>三、缺陷责任期</w:t>
      </w:r>
      <w:bookmarkEnd w:id="1418"/>
      <w:bookmarkEnd w:id="1419"/>
      <w:bookmarkEnd w:id="1420"/>
      <w:bookmarkEnd w:id="1421"/>
      <w:bookmarkEnd w:id="1422"/>
    </w:p>
    <w:p w14:paraId="3893BA53">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工程缺陷责任期为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24</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个月，缺陷责任期自工程通过竣工验收之日起计算。单位工程先于全部工程进行验收，单位工程缺陷责任期自单位工程验收合格之日起算。</w:t>
      </w:r>
    </w:p>
    <w:p w14:paraId="7C1F074D">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缺陷责任期终止后，发包人应退还剩余的质量保证金。</w:t>
      </w:r>
    </w:p>
    <w:p w14:paraId="0155D457">
      <w:pPr>
        <w:outlineLvl w:val="0"/>
        <w:rPr>
          <w:rFonts w:ascii="仿宋" w:hAnsi="仿宋" w:eastAsia="仿宋" w:cs="仿宋"/>
          <w:color w:val="000000"/>
          <w:sz w:val="24"/>
          <w:szCs w:val="24"/>
          <w:highlight w:val="none"/>
        </w:rPr>
      </w:pPr>
      <w:bookmarkStart w:id="1423" w:name="_Toc2328"/>
      <w:bookmarkStart w:id="1424" w:name="_Toc22825"/>
      <w:bookmarkStart w:id="1425" w:name="_Toc7559"/>
      <w:bookmarkStart w:id="1426" w:name="_Toc20868"/>
      <w:bookmarkStart w:id="1427" w:name="_Toc20890"/>
      <w:r>
        <w:rPr>
          <w:rFonts w:hint="eastAsia" w:ascii="仿宋" w:hAnsi="仿宋" w:eastAsia="仿宋" w:cs="仿宋"/>
          <w:color w:val="000000"/>
          <w:sz w:val="24"/>
          <w:szCs w:val="24"/>
          <w:highlight w:val="none"/>
        </w:rPr>
        <w:t>四、质量保修责任</w:t>
      </w:r>
      <w:bookmarkEnd w:id="1423"/>
      <w:bookmarkEnd w:id="1424"/>
      <w:bookmarkEnd w:id="1425"/>
      <w:bookmarkEnd w:id="1426"/>
      <w:bookmarkEnd w:id="1427"/>
    </w:p>
    <w:p w14:paraId="279F0E1A">
      <w:pPr>
        <w:ind w:left="105" w:leftChars="50" w:firstLine="491" w:firstLineChars="205"/>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属于保修范围、内容的项目，承包人应当在接到保修通知之日起7天内派人保修。承包人不在约定期限内派人保修的，发包人可以委托他人修理。</w:t>
      </w:r>
    </w:p>
    <w:p w14:paraId="5AD15C11">
      <w:pPr>
        <w:ind w:left="105" w:leftChars="50" w:firstLine="491" w:firstLineChars="205"/>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发生紧急事故需抢修的，承包人在接到事故通知后，应当立即到达事故现场抢修。</w:t>
      </w:r>
    </w:p>
    <w:p w14:paraId="66D5B12F">
      <w:pPr>
        <w:ind w:left="105" w:leftChars="50" w:firstLine="491" w:firstLineChars="205"/>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289978">
      <w:pPr>
        <w:ind w:left="420" w:leftChars="200"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质量保修完成后，由发包人组织验收。</w:t>
      </w:r>
    </w:p>
    <w:p w14:paraId="78696652">
      <w:pPr>
        <w:outlineLvl w:val="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w:t>
      </w:r>
      <w:bookmarkStart w:id="1428" w:name="_Toc11659"/>
      <w:bookmarkStart w:id="1429" w:name="_Toc14897"/>
      <w:bookmarkStart w:id="1430" w:name="_Toc3637"/>
      <w:bookmarkStart w:id="1431" w:name="_Toc8570"/>
      <w:bookmarkStart w:id="1432" w:name="_Toc27956"/>
      <w:r>
        <w:rPr>
          <w:rFonts w:hint="eastAsia" w:ascii="仿宋" w:hAnsi="仿宋" w:eastAsia="仿宋" w:cs="仿宋"/>
          <w:color w:val="000000"/>
          <w:sz w:val="24"/>
          <w:szCs w:val="24"/>
          <w:highlight w:val="none"/>
        </w:rPr>
        <w:t>五、保修费用</w:t>
      </w:r>
      <w:bookmarkEnd w:id="1428"/>
      <w:bookmarkEnd w:id="1429"/>
      <w:bookmarkEnd w:id="1430"/>
      <w:bookmarkEnd w:id="1431"/>
      <w:bookmarkEnd w:id="1432"/>
    </w:p>
    <w:p w14:paraId="5A776932">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保修费用由造成质量缺陷的责任方承担。</w:t>
      </w:r>
    </w:p>
    <w:p w14:paraId="4FABBD33">
      <w:pPr>
        <w:ind w:firstLine="482" w:firstLineChars="200"/>
        <w:jc w:val="left"/>
        <w:outlineLvl w:val="0"/>
        <w:rPr>
          <w:rFonts w:hint="eastAsia" w:ascii="仿宋" w:hAnsi="仿宋" w:eastAsia="仿宋" w:cs="仿宋"/>
          <w:color w:val="000000"/>
          <w:sz w:val="24"/>
          <w:szCs w:val="24"/>
          <w:highlight w:val="none"/>
        </w:rPr>
      </w:pPr>
      <w:bookmarkStart w:id="1433" w:name="_Toc22371"/>
      <w:bookmarkStart w:id="1434" w:name="_Toc1423"/>
      <w:bookmarkStart w:id="1435" w:name="_Toc10299"/>
      <w:bookmarkStart w:id="1436" w:name="_Toc22486"/>
      <w:bookmarkStart w:id="1437" w:name="_Toc28645"/>
      <w:r>
        <w:rPr>
          <w:rFonts w:hint="eastAsia" w:ascii="仿宋" w:hAnsi="仿宋" w:eastAsia="仿宋" w:cs="仿宋"/>
          <w:b/>
          <w:color w:val="000000"/>
          <w:sz w:val="24"/>
          <w:szCs w:val="24"/>
          <w:highlight w:val="none"/>
        </w:rPr>
        <w:t>六</w:t>
      </w:r>
      <w:r>
        <w:rPr>
          <w:rFonts w:hint="eastAsia" w:ascii="仿宋" w:hAnsi="仿宋" w:eastAsia="仿宋" w:cs="仿宋"/>
          <w:color w:val="000000"/>
          <w:sz w:val="24"/>
          <w:szCs w:val="24"/>
          <w:highlight w:val="none"/>
        </w:rPr>
        <w:t>、双方约定的其他工程质量保修事项</w:t>
      </w:r>
    </w:p>
    <w:p w14:paraId="536CF20D">
      <w:pPr>
        <w:ind w:firstLine="482" w:firstLineChars="200"/>
        <w:jc w:val="left"/>
        <w:outlineLvl w:val="0"/>
        <w:rPr>
          <w:rFonts w:ascii="仿宋" w:hAnsi="仿宋" w:eastAsia="仿宋" w:cs="仿宋"/>
          <w:color w:val="000000"/>
          <w:sz w:val="24"/>
          <w:szCs w:val="24"/>
          <w:highlight w:val="none"/>
        </w:rPr>
      </w:pPr>
      <w:r>
        <w:rPr>
          <w:rFonts w:hint="eastAsia" w:ascii="仿宋" w:hAnsi="仿宋" w:eastAsia="仿宋" w:cs="仿宋"/>
          <w:b/>
          <w:sz w:val="24"/>
          <w:szCs w:val="24"/>
          <w:highlight w:val="none"/>
          <w:u w:val="single"/>
          <w:lang w:val="en-US" w:eastAsia="zh-CN"/>
        </w:rPr>
        <w:t>1.</w:t>
      </w:r>
      <w:r>
        <w:rPr>
          <w:rFonts w:hint="eastAsia" w:ascii="仿宋" w:hAnsi="仿宋" w:eastAsia="仿宋" w:cs="仿宋"/>
          <w:b/>
          <w:sz w:val="24"/>
          <w:szCs w:val="24"/>
          <w:highlight w:val="none"/>
          <w:u w:val="single"/>
        </w:rPr>
        <w:t xml:space="preserve">工程质量保证金为工程结算审定造价的1.5%，发包人在财政审批并缺陷责任期满后14天内,将剩余质量保证金返还承包人(不计利息) </w:t>
      </w:r>
      <w:r>
        <w:rPr>
          <w:rFonts w:hint="eastAsia" w:ascii="仿宋" w:hAnsi="仿宋" w:eastAsia="仿宋" w:cs="仿宋"/>
          <w:color w:val="000000"/>
          <w:sz w:val="24"/>
          <w:szCs w:val="24"/>
          <w:highlight w:val="none"/>
        </w:rPr>
        <w:t>。</w:t>
      </w:r>
      <w:bookmarkEnd w:id="1433"/>
      <w:bookmarkEnd w:id="1434"/>
      <w:bookmarkEnd w:id="1435"/>
      <w:bookmarkEnd w:id="1436"/>
      <w:bookmarkEnd w:id="1437"/>
    </w:p>
    <w:p w14:paraId="4F6374C5">
      <w:pPr>
        <w:ind w:firstLine="456" w:firstLineChars="19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工程质量保修书由发包人、承包人在工程竣工验收前共同签署，作为施工合同附件，其有效期限至保修期满。</w:t>
      </w:r>
    </w:p>
    <w:p w14:paraId="43F80496">
      <w:pPr>
        <w:ind w:firstLine="420"/>
        <w:rPr>
          <w:rFonts w:ascii="仿宋" w:hAnsi="仿宋" w:eastAsia="仿宋" w:cs="仿宋"/>
          <w:color w:val="000000"/>
          <w:sz w:val="24"/>
          <w:szCs w:val="24"/>
          <w:highlight w:val="none"/>
        </w:rPr>
      </w:pPr>
    </w:p>
    <w:p w14:paraId="68526CCD">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发包人(公章)：</w:t>
      </w:r>
      <w:r>
        <w:rPr>
          <w:rFonts w:hint="eastAsia" w:ascii="仿宋" w:hAnsi="仿宋" w:eastAsia="仿宋" w:cs="仿宋"/>
          <w:color w:val="000000"/>
          <w:sz w:val="24"/>
          <w:szCs w:val="24"/>
          <w:highlight w:val="none"/>
          <w:u w:val="single"/>
        </w:rPr>
        <w:t xml:space="preserve">        </w:t>
      </w:r>
      <w:r>
        <w:rPr>
          <w:rFonts w:hint="eastAsia" w:ascii="仿宋" w:hAnsi="仿宋" w:eastAsia="仿宋" w:cs="仿宋"/>
          <w:color w:val="000000"/>
          <w:sz w:val="24"/>
          <w:szCs w:val="24"/>
          <w:highlight w:val="none"/>
        </w:rPr>
        <w:t xml:space="preserve"> 承包人(公章)：</w:t>
      </w:r>
      <w:r>
        <w:rPr>
          <w:rFonts w:hint="eastAsia" w:ascii="仿宋" w:hAnsi="仿宋" w:eastAsia="仿宋" w:cs="仿宋"/>
          <w:color w:val="000000"/>
          <w:sz w:val="24"/>
          <w:szCs w:val="24"/>
          <w:highlight w:val="none"/>
          <w:u w:val="single"/>
        </w:rPr>
        <w:t xml:space="preserve">           </w:t>
      </w:r>
    </w:p>
    <w:p w14:paraId="3A2F4B31">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地  址：</w:t>
      </w:r>
      <w:r>
        <w:rPr>
          <w:rFonts w:hint="eastAsia" w:ascii="仿宋" w:hAnsi="仿宋" w:eastAsia="仿宋" w:cs="仿宋"/>
          <w:color w:val="000000"/>
          <w:sz w:val="24"/>
          <w:szCs w:val="24"/>
          <w:highlight w:val="none"/>
          <w:u w:val="single"/>
        </w:rPr>
        <w:t xml:space="preserve">       </w:t>
      </w:r>
    </w:p>
    <w:p w14:paraId="619E4437">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法定代表人(签字)：</w:t>
      </w:r>
      <w:r>
        <w:rPr>
          <w:rFonts w:hint="eastAsia" w:ascii="仿宋" w:hAnsi="仿宋" w:eastAsia="仿宋" w:cs="仿宋"/>
          <w:color w:val="000000"/>
          <w:sz w:val="24"/>
          <w:szCs w:val="24"/>
          <w:highlight w:val="none"/>
          <w:u w:val="single"/>
        </w:rPr>
        <w:t xml:space="preserve">       </w:t>
      </w:r>
    </w:p>
    <w:p w14:paraId="540CA2DD">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委托代理人(签字)：</w:t>
      </w:r>
      <w:r>
        <w:rPr>
          <w:rFonts w:hint="eastAsia" w:ascii="仿宋" w:hAnsi="仿宋" w:eastAsia="仿宋" w:cs="仿宋"/>
          <w:color w:val="000000"/>
          <w:sz w:val="24"/>
          <w:szCs w:val="24"/>
          <w:highlight w:val="none"/>
          <w:u w:val="single"/>
        </w:rPr>
        <w:t xml:space="preserve">       </w:t>
      </w:r>
    </w:p>
    <w:p w14:paraId="2B9B7D04">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  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电  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2B9BF3E5">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  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传  真：</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2215D1F5">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lang w:val="en-US" w:eastAsia="zh-CN"/>
        </w:rPr>
        <w:t xml:space="preserve">                    </w:t>
      </w:r>
    </w:p>
    <w:p w14:paraId="0A1DC633">
      <w:pPr>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账  号：</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账  号：</w:t>
      </w:r>
      <w:r>
        <w:rPr>
          <w:rFonts w:hint="eastAsia" w:ascii="仿宋" w:hAnsi="仿宋" w:eastAsia="仿宋" w:cs="仿宋"/>
          <w:color w:val="000000"/>
          <w:sz w:val="24"/>
          <w:szCs w:val="24"/>
          <w:highlight w:val="none"/>
          <w:u w:val="single"/>
          <w:lang w:val="en-US" w:eastAsia="zh-CN"/>
        </w:rPr>
        <w:t xml:space="preserve">                     </w:t>
      </w:r>
    </w:p>
    <w:p w14:paraId="3655B5A0">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 xml:space="preserve"> 邮政编码：</w:t>
      </w:r>
      <w:r>
        <w:rPr>
          <w:rFonts w:hint="eastAsia" w:ascii="仿宋" w:hAnsi="仿宋" w:eastAsia="仿宋" w:cs="仿宋"/>
          <w:color w:val="000000"/>
          <w:sz w:val="24"/>
          <w:szCs w:val="24"/>
          <w:highlight w:val="none"/>
          <w:u w:val="single"/>
        </w:rPr>
        <w:t xml:space="preserve">   </w:t>
      </w:r>
    </w:p>
    <w:p w14:paraId="1CD3FAAD">
      <w:pPr>
        <w:spacing w:line="440" w:lineRule="exac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br w:type="page"/>
      </w:r>
      <w:r>
        <w:rPr>
          <w:rFonts w:hint="eastAsia" w:ascii="仿宋" w:hAnsi="仿宋" w:eastAsia="仿宋" w:cs="仿宋"/>
          <w:color w:val="000000"/>
          <w:sz w:val="28"/>
          <w:szCs w:val="30"/>
          <w:highlight w:val="none"/>
        </w:rPr>
        <w:t>附</w:t>
      </w:r>
      <w:bookmarkStart w:id="1438" w:name="_Toc267261698"/>
      <w:bookmarkStart w:id="1439" w:name="_Toc296891055"/>
      <w:bookmarkStart w:id="1440" w:name="_Toc296347226"/>
      <w:bookmarkStart w:id="1441" w:name="_Toc296891267"/>
      <w:bookmarkStart w:id="1442" w:name="_Toc296944566"/>
      <w:bookmarkStart w:id="1443" w:name="_Toc296503227"/>
      <w:bookmarkStart w:id="1444" w:name="_Toc296346728"/>
      <w:r>
        <w:rPr>
          <w:rFonts w:hint="eastAsia" w:ascii="仿宋" w:hAnsi="仿宋" w:eastAsia="仿宋" w:cs="仿宋"/>
          <w:color w:val="000000"/>
          <w:sz w:val="28"/>
          <w:szCs w:val="30"/>
          <w:highlight w:val="none"/>
        </w:rPr>
        <w:t>件2：</w:t>
      </w:r>
    </w:p>
    <w:bookmarkEnd w:id="1438"/>
    <w:bookmarkEnd w:id="1439"/>
    <w:bookmarkEnd w:id="1440"/>
    <w:bookmarkEnd w:id="1441"/>
    <w:bookmarkEnd w:id="1442"/>
    <w:bookmarkEnd w:id="1443"/>
    <w:bookmarkEnd w:id="1444"/>
    <w:p w14:paraId="530AA151">
      <w:pPr>
        <w:spacing w:beforeLines="50"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775B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C7F7B62">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序号</w:t>
            </w:r>
          </w:p>
        </w:tc>
        <w:tc>
          <w:tcPr>
            <w:tcW w:w="1418" w:type="dxa"/>
            <w:tcBorders>
              <w:top w:val="single" w:color="auto" w:sz="12" w:space="0"/>
              <w:bottom w:val="double" w:color="auto" w:sz="6" w:space="0"/>
            </w:tcBorders>
            <w:vAlign w:val="center"/>
          </w:tcPr>
          <w:p w14:paraId="198DA114">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机械或设备名称</w:t>
            </w:r>
          </w:p>
        </w:tc>
        <w:tc>
          <w:tcPr>
            <w:tcW w:w="850" w:type="dxa"/>
            <w:tcBorders>
              <w:top w:val="single" w:color="auto" w:sz="12" w:space="0"/>
              <w:bottom w:val="double" w:color="auto" w:sz="6" w:space="0"/>
            </w:tcBorders>
            <w:vAlign w:val="center"/>
          </w:tcPr>
          <w:p w14:paraId="7DEA39EB">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规格型号</w:t>
            </w:r>
          </w:p>
        </w:tc>
        <w:tc>
          <w:tcPr>
            <w:tcW w:w="1058" w:type="dxa"/>
            <w:tcBorders>
              <w:top w:val="single" w:color="auto" w:sz="12" w:space="0"/>
              <w:bottom w:val="double" w:color="auto" w:sz="6" w:space="0"/>
            </w:tcBorders>
            <w:vAlign w:val="center"/>
          </w:tcPr>
          <w:p w14:paraId="40258ED1">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数量</w:t>
            </w:r>
          </w:p>
        </w:tc>
        <w:tc>
          <w:tcPr>
            <w:tcW w:w="880" w:type="dxa"/>
            <w:tcBorders>
              <w:top w:val="single" w:color="auto" w:sz="12" w:space="0"/>
              <w:bottom w:val="double" w:color="auto" w:sz="6" w:space="0"/>
            </w:tcBorders>
            <w:vAlign w:val="center"/>
          </w:tcPr>
          <w:p w14:paraId="75E94C87">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产地</w:t>
            </w:r>
          </w:p>
        </w:tc>
        <w:tc>
          <w:tcPr>
            <w:tcW w:w="1020" w:type="dxa"/>
            <w:tcBorders>
              <w:top w:val="single" w:color="auto" w:sz="12" w:space="0"/>
              <w:bottom w:val="double" w:color="auto" w:sz="6" w:space="0"/>
            </w:tcBorders>
            <w:vAlign w:val="center"/>
          </w:tcPr>
          <w:p w14:paraId="64A9E83C">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制造年份</w:t>
            </w:r>
          </w:p>
        </w:tc>
        <w:tc>
          <w:tcPr>
            <w:tcW w:w="1480" w:type="dxa"/>
            <w:tcBorders>
              <w:top w:val="single" w:color="auto" w:sz="12" w:space="0"/>
              <w:bottom w:val="double" w:color="auto" w:sz="6" w:space="0"/>
            </w:tcBorders>
            <w:vAlign w:val="center"/>
          </w:tcPr>
          <w:p w14:paraId="3CEBB7F9">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额定功率(kW)</w:t>
            </w:r>
          </w:p>
        </w:tc>
        <w:tc>
          <w:tcPr>
            <w:tcW w:w="1020" w:type="dxa"/>
            <w:tcBorders>
              <w:top w:val="single" w:color="auto" w:sz="12" w:space="0"/>
              <w:bottom w:val="double" w:color="auto" w:sz="6" w:space="0"/>
            </w:tcBorders>
            <w:vAlign w:val="center"/>
          </w:tcPr>
          <w:p w14:paraId="63D66066">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生产能力</w:t>
            </w:r>
          </w:p>
        </w:tc>
        <w:tc>
          <w:tcPr>
            <w:tcW w:w="921" w:type="dxa"/>
            <w:tcBorders>
              <w:top w:val="single" w:color="auto" w:sz="12" w:space="0"/>
              <w:bottom w:val="double" w:color="auto" w:sz="6" w:space="0"/>
            </w:tcBorders>
            <w:vAlign w:val="center"/>
          </w:tcPr>
          <w:p w14:paraId="6390F4F9">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备注</w:t>
            </w:r>
          </w:p>
        </w:tc>
      </w:tr>
      <w:tr w14:paraId="28431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D002CA5">
            <w:pPr>
              <w:pStyle w:val="23"/>
              <w:keepNext/>
              <w:spacing w:line="440" w:lineRule="exact"/>
              <w:ind w:left="63" w:right="63"/>
              <w:rPr>
                <w:rFonts w:ascii="仿宋" w:hAnsi="仿宋" w:eastAsia="仿宋" w:cs="仿宋"/>
                <w:color w:val="000000"/>
                <w:sz w:val="28"/>
                <w:szCs w:val="30"/>
                <w:highlight w:val="none"/>
              </w:rPr>
            </w:pPr>
          </w:p>
        </w:tc>
        <w:tc>
          <w:tcPr>
            <w:tcW w:w="1418" w:type="dxa"/>
            <w:tcBorders>
              <w:top w:val="double" w:color="auto" w:sz="6" w:space="0"/>
              <w:bottom w:val="single" w:color="auto" w:sz="6" w:space="0"/>
            </w:tcBorders>
            <w:vAlign w:val="center"/>
          </w:tcPr>
          <w:p w14:paraId="2D9FEE84">
            <w:pPr>
              <w:pStyle w:val="23"/>
              <w:keepNext/>
              <w:spacing w:line="440" w:lineRule="exact"/>
              <w:ind w:left="63" w:right="63"/>
              <w:rPr>
                <w:rFonts w:ascii="仿宋" w:hAnsi="仿宋" w:eastAsia="仿宋" w:cs="仿宋"/>
                <w:color w:val="000000"/>
                <w:sz w:val="28"/>
                <w:szCs w:val="30"/>
                <w:highlight w:val="none"/>
              </w:rPr>
            </w:pPr>
          </w:p>
        </w:tc>
        <w:tc>
          <w:tcPr>
            <w:tcW w:w="850" w:type="dxa"/>
            <w:tcBorders>
              <w:top w:val="double" w:color="auto" w:sz="6" w:space="0"/>
              <w:bottom w:val="single" w:color="auto" w:sz="6" w:space="0"/>
            </w:tcBorders>
            <w:vAlign w:val="center"/>
          </w:tcPr>
          <w:p w14:paraId="6845F40E">
            <w:pPr>
              <w:pStyle w:val="23"/>
              <w:keepNext/>
              <w:spacing w:line="440" w:lineRule="exact"/>
              <w:ind w:left="63" w:right="63"/>
              <w:rPr>
                <w:rFonts w:ascii="仿宋" w:hAnsi="仿宋" w:eastAsia="仿宋" w:cs="仿宋"/>
                <w:color w:val="000000"/>
                <w:sz w:val="28"/>
                <w:szCs w:val="30"/>
                <w:highlight w:val="none"/>
              </w:rPr>
            </w:pPr>
          </w:p>
        </w:tc>
        <w:tc>
          <w:tcPr>
            <w:tcW w:w="1058" w:type="dxa"/>
            <w:tcBorders>
              <w:top w:val="double" w:color="auto" w:sz="6" w:space="0"/>
              <w:bottom w:val="single" w:color="auto" w:sz="6" w:space="0"/>
            </w:tcBorders>
            <w:vAlign w:val="center"/>
          </w:tcPr>
          <w:p w14:paraId="6C20238B">
            <w:pPr>
              <w:pStyle w:val="23"/>
              <w:keepNext/>
              <w:spacing w:line="440" w:lineRule="exact"/>
              <w:ind w:left="63" w:right="63"/>
              <w:rPr>
                <w:rFonts w:ascii="仿宋" w:hAnsi="仿宋" w:eastAsia="仿宋" w:cs="仿宋"/>
                <w:color w:val="000000"/>
                <w:sz w:val="28"/>
                <w:szCs w:val="30"/>
                <w:highlight w:val="none"/>
              </w:rPr>
            </w:pPr>
          </w:p>
        </w:tc>
        <w:tc>
          <w:tcPr>
            <w:tcW w:w="880" w:type="dxa"/>
            <w:tcBorders>
              <w:top w:val="double" w:color="auto" w:sz="6" w:space="0"/>
              <w:bottom w:val="single" w:color="auto" w:sz="6" w:space="0"/>
            </w:tcBorders>
            <w:vAlign w:val="center"/>
          </w:tcPr>
          <w:p w14:paraId="5DC5F534">
            <w:pPr>
              <w:pStyle w:val="23"/>
              <w:keepNext/>
              <w:spacing w:line="440" w:lineRule="exact"/>
              <w:ind w:left="63" w:right="63"/>
              <w:rPr>
                <w:rFonts w:ascii="仿宋" w:hAnsi="仿宋" w:eastAsia="仿宋" w:cs="仿宋"/>
                <w:color w:val="000000"/>
                <w:sz w:val="28"/>
                <w:szCs w:val="30"/>
                <w:highlight w:val="none"/>
              </w:rPr>
            </w:pPr>
          </w:p>
        </w:tc>
        <w:tc>
          <w:tcPr>
            <w:tcW w:w="1020" w:type="dxa"/>
            <w:tcBorders>
              <w:top w:val="double" w:color="auto" w:sz="6" w:space="0"/>
              <w:bottom w:val="single" w:color="auto" w:sz="6" w:space="0"/>
            </w:tcBorders>
            <w:vAlign w:val="center"/>
          </w:tcPr>
          <w:p w14:paraId="5EB6C7AD">
            <w:pPr>
              <w:pStyle w:val="23"/>
              <w:keepNext/>
              <w:spacing w:line="440" w:lineRule="exact"/>
              <w:ind w:left="63" w:right="63"/>
              <w:rPr>
                <w:rFonts w:ascii="仿宋" w:hAnsi="仿宋" w:eastAsia="仿宋" w:cs="仿宋"/>
                <w:color w:val="000000"/>
                <w:sz w:val="28"/>
                <w:szCs w:val="30"/>
                <w:highlight w:val="none"/>
              </w:rPr>
            </w:pPr>
          </w:p>
        </w:tc>
        <w:tc>
          <w:tcPr>
            <w:tcW w:w="1480" w:type="dxa"/>
            <w:tcBorders>
              <w:top w:val="double" w:color="auto" w:sz="6" w:space="0"/>
              <w:bottom w:val="single" w:color="auto" w:sz="6" w:space="0"/>
            </w:tcBorders>
            <w:vAlign w:val="center"/>
          </w:tcPr>
          <w:p w14:paraId="3F3FC3FA">
            <w:pPr>
              <w:pStyle w:val="23"/>
              <w:keepNext/>
              <w:spacing w:line="440" w:lineRule="exact"/>
              <w:ind w:left="63" w:right="63"/>
              <w:rPr>
                <w:rFonts w:ascii="仿宋" w:hAnsi="仿宋" w:eastAsia="仿宋" w:cs="仿宋"/>
                <w:color w:val="000000"/>
                <w:sz w:val="28"/>
                <w:szCs w:val="30"/>
                <w:highlight w:val="none"/>
              </w:rPr>
            </w:pPr>
          </w:p>
        </w:tc>
        <w:tc>
          <w:tcPr>
            <w:tcW w:w="1020" w:type="dxa"/>
            <w:tcBorders>
              <w:top w:val="double" w:color="auto" w:sz="6" w:space="0"/>
              <w:bottom w:val="single" w:color="auto" w:sz="6" w:space="0"/>
            </w:tcBorders>
            <w:vAlign w:val="center"/>
          </w:tcPr>
          <w:p w14:paraId="4ECCAEBB">
            <w:pPr>
              <w:pStyle w:val="23"/>
              <w:keepNext/>
              <w:spacing w:line="440" w:lineRule="exact"/>
              <w:ind w:left="63" w:right="63"/>
              <w:rPr>
                <w:rFonts w:ascii="仿宋" w:hAnsi="仿宋" w:eastAsia="仿宋" w:cs="仿宋"/>
                <w:color w:val="000000"/>
                <w:sz w:val="28"/>
                <w:szCs w:val="30"/>
                <w:highlight w:val="none"/>
              </w:rPr>
            </w:pPr>
          </w:p>
        </w:tc>
        <w:tc>
          <w:tcPr>
            <w:tcW w:w="921" w:type="dxa"/>
            <w:tcBorders>
              <w:top w:val="double" w:color="auto" w:sz="6" w:space="0"/>
              <w:bottom w:val="single" w:color="auto" w:sz="6" w:space="0"/>
            </w:tcBorders>
            <w:vAlign w:val="center"/>
          </w:tcPr>
          <w:p w14:paraId="1F443BA0">
            <w:pPr>
              <w:pStyle w:val="23"/>
              <w:keepNext/>
              <w:spacing w:line="440" w:lineRule="exact"/>
              <w:ind w:left="63" w:right="63"/>
              <w:rPr>
                <w:rFonts w:ascii="仿宋" w:hAnsi="仿宋" w:eastAsia="仿宋" w:cs="仿宋"/>
                <w:color w:val="000000"/>
                <w:sz w:val="28"/>
                <w:szCs w:val="30"/>
                <w:highlight w:val="none"/>
              </w:rPr>
            </w:pPr>
          </w:p>
        </w:tc>
      </w:tr>
      <w:tr w14:paraId="57BF0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8582136">
            <w:pPr>
              <w:pStyle w:val="23"/>
              <w:keepNext/>
              <w:spacing w:line="440" w:lineRule="exact"/>
              <w:ind w:left="63" w:right="63"/>
              <w:rPr>
                <w:rFonts w:ascii="仿宋" w:hAnsi="仿宋" w:eastAsia="仿宋" w:cs="仿宋"/>
                <w:color w:val="000000"/>
                <w:sz w:val="28"/>
                <w:szCs w:val="30"/>
                <w:highlight w:val="none"/>
              </w:rPr>
            </w:pPr>
          </w:p>
        </w:tc>
        <w:tc>
          <w:tcPr>
            <w:tcW w:w="1418" w:type="dxa"/>
            <w:tcBorders>
              <w:top w:val="nil"/>
            </w:tcBorders>
            <w:vAlign w:val="center"/>
          </w:tcPr>
          <w:p w14:paraId="65FC6E00">
            <w:pPr>
              <w:pStyle w:val="23"/>
              <w:keepNext/>
              <w:spacing w:line="440" w:lineRule="exact"/>
              <w:ind w:left="63" w:right="63"/>
              <w:rPr>
                <w:rFonts w:ascii="仿宋" w:hAnsi="仿宋" w:eastAsia="仿宋" w:cs="仿宋"/>
                <w:color w:val="000000"/>
                <w:sz w:val="28"/>
                <w:szCs w:val="30"/>
                <w:highlight w:val="none"/>
              </w:rPr>
            </w:pPr>
          </w:p>
        </w:tc>
        <w:tc>
          <w:tcPr>
            <w:tcW w:w="850" w:type="dxa"/>
            <w:tcBorders>
              <w:top w:val="nil"/>
            </w:tcBorders>
            <w:vAlign w:val="center"/>
          </w:tcPr>
          <w:p w14:paraId="641C4F84">
            <w:pPr>
              <w:pStyle w:val="23"/>
              <w:keepNext/>
              <w:spacing w:line="440" w:lineRule="exact"/>
              <w:ind w:left="63" w:right="63"/>
              <w:rPr>
                <w:rFonts w:ascii="仿宋" w:hAnsi="仿宋" w:eastAsia="仿宋" w:cs="仿宋"/>
                <w:color w:val="000000"/>
                <w:sz w:val="28"/>
                <w:szCs w:val="30"/>
                <w:highlight w:val="none"/>
              </w:rPr>
            </w:pPr>
          </w:p>
        </w:tc>
        <w:tc>
          <w:tcPr>
            <w:tcW w:w="1058" w:type="dxa"/>
            <w:tcBorders>
              <w:top w:val="nil"/>
            </w:tcBorders>
            <w:vAlign w:val="center"/>
          </w:tcPr>
          <w:p w14:paraId="4210EF25">
            <w:pPr>
              <w:pStyle w:val="23"/>
              <w:keepNext/>
              <w:spacing w:line="440" w:lineRule="exact"/>
              <w:ind w:left="63" w:right="63"/>
              <w:rPr>
                <w:rFonts w:ascii="仿宋" w:hAnsi="仿宋" w:eastAsia="仿宋" w:cs="仿宋"/>
                <w:color w:val="000000"/>
                <w:sz w:val="28"/>
                <w:szCs w:val="30"/>
                <w:highlight w:val="none"/>
              </w:rPr>
            </w:pPr>
          </w:p>
        </w:tc>
        <w:tc>
          <w:tcPr>
            <w:tcW w:w="880" w:type="dxa"/>
            <w:tcBorders>
              <w:top w:val="nil"/>
            </w:tcBorders>
            <w:vAlign w:val="center"/>
          </w:tcPr>
          <w:p w14:paraId="7E67149A">
            <w:pPr>
              <w:pStyle w:val="23"/>
              <w:keepNext/>
              <w:spacing w:line="440" w:lineRule="exact"/>
              <w:ind w:left="63" w:right="63"/>
              <w:rPr>
                <w:rFonts w:ascii="仿宋" w:hAnsi="仿宋" w:eastAsia="仿宋" w:cs="仿宋"/>
                <w:color w:val="000000"/>
                <w:sz w:val="28"/>
                <w:szCs w:val="30"/>
                <w:highlight w:val="none"/>
              </w:rPr>
            </w:pPr>
          </w:p>
        </w:tc>
        <w:tc>
          <w:tcPr>
            <w:tcW w:w="1020" w:type="dxa"/>
            <w:tcBorders>
              <w:top w:val="nil"/>
            </w:tcBorders>
            <w:vAlign w:val="center"/>
          </w:tcPr>
          <w:p w14:paraId="6BDCAB75">
            <w:pPr>
              <w:pStyle w:val="23"/>
              <w:keepNext/>
              <w:spacing w:line="440" w:lineRule="exact"/>
              <w:ind w:left="63" w:right="63"/>
              <w:rPr>
                <w:rFonts w:ascii="仿宋" w:hAnsi="仿宋" w:eastAsia="仿宋" w:cs="仿宋"/>
                <w:color w:val="000000"/>
                <w:sz w:val="28"/>
                <w:szCs w:val="30"/>
                <w:highlight w:val="none"/>
              </w:rPr>
            </w:pPr>
          </w:p>
        </w:tc>
        <w:tc>
          <w:tcPr>
            <w:tcW w:w="1480" w:type="dxa"/>
            <w:tcBorders>
              <w:top w:val="nil"/>
            </w:tcBorders>
            <w:vAlign w:val="center"/>
          </w:tcPr>
          <w:p w14:paraId="72DEB845">
            <w:pPr>
              <w:pStyle w:val="23"/>
              <w:keepNext/>
              <w:spacing w:line="440" w:lineRule="exact"/>
              <w:ind w:left="63" w:right="63"/>
              <w:rPr>
                <w:rFonts w:ascii="仿宋" w:hAnsi="仿宋" w:eastAsia="仿宋" w:cs="仿宋"/>
                <w:color w:val="000000"/>
                <w:sz w:val="28"/>
                <w:szCs w:val="30"/>
                <w:highlight w:val="none"/>
              </w:rPr>
            </w:pPr>
          </w:p>
        </w:tc>
        <w:tc>
          <w:tcPr>
            <w:tcW w:w="1020" w:type="dxa"/>
            <w:tcBorders>
              <w:top w:val="nil"/>
            </w:tcBorders>
            <w:vAlign w:val="center"/>
          </w:tcPr>
          <w:p w14:paraId="5665EA55">
            <w:pPr>
              <w:pStyle w:val="23"/>
              <w:keepNext/>
              <w:spacing w:line="440" w:lineRule="exact"/>
              <w:ind w:left="63" w:right="63"/>
              <w:rPr>
                <w:rFonts w:ascii="仿宋" w:hAnsi="仿宋" w:eastAsia="仿宋" w:cs="仿宋"/>
                <w:color w:val="000000"/>
                <w:sz w:val="28"/>
                <w:szCs w:val="30"/>
                <w:highlight w:val="none"/>
              </w:rPr>
            </w:pPr>
          </w:p>
        </w:tc>
        <w:tc>
          <w:tcPr>
            <w:tcW w:w="921" w:type="dxa"/>
            <w:tcBorders>
              <w:top w:val="nil"/>
            </w:tcBorders>
            <w:vAlign w:val="center"/>
          </w:tcPr>
          <w:p w14:paraId="72C67B76">
            <w:pPr>
              <w:pStyle w:val="23"/>
              <w:keepNext/>
              <w:spacing w:line="440" w:lineRule="exact"/>
              <w:ind w:left="63" w:right="63"/>
              <w:rPr>
                <w:rFonts w:ascii="仿宋" w:hAnsi="仿宋" w:eastAsia="仿宋" w:cs="仿宋"/>
                <w:color w:val="000000"/>
                <w:sz w:val="28"/>
                <w:szCs w:val="30"/>
                <w:highlight w:val="none"/>
              </w:rPr>
            </w:pPr>
          </w:p>
        </w:tc>
      </w:tr>
      <w:tr w14:paraId="4BB40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C12C0C1">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699CE0CE">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7CBEA1FF">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76799FD1">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7101AADE">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4456921C">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639D8BAB">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0CD36A59">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6DD8FBF3">
            <w:pPr>
              <w:pStyle w:val="23"/>
              <w:keepNext/>
              <w:spacing w:line="440" w:lineRule="exact"/>
              <w:ind w:left="63" w:right="63"/>
              <w:rPr>
                <w:rFonts w:ascii="仿宋" w:hAnsi="仿宋" w:eastAsia="仿宋" w:cs="仿宋"/>
                <w:color w:val="000000"/>
                <w:sz w:val="28"/>
                <w:szCs w:val="30"/>
                <w:highlight w:val="none"/>
              </w:rPr>
            </w:pPr>
          </w:p>
        </w:tc>
      </w:tr>
      <w:tr w14:paraId="6939D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F8F8E89">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57793358">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0D430C57">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0C9DC15B">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2B56B8F5">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022FCB8A">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60644CB4">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751FD235">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0A6D4225">
            <w:pPr>
              <w:pStyle w:val="23"/>
              <w:keepNext/>
              <w:spacing w:line="440" w:lineRule="exact"/>
              <w:ind w:left="63" w:right="63"/>
              <w:rPr>
                <w:rFonts w:ascii="仿宋" w:hAnsi="仿宋" w:eastAsia="仿宋" w:cs="仿宋"/>
                <w:color w:val="000000"/>
                <w:sz w:val="28"/>
                <w:szCs w:val="30"/>
                <w:highlight w:val="none"/>
              </w:rPr>
            </w:pPr>
          </w:p>
        </w:tc>
      </w:tr>
      <w:tr w14:paraId="14897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D585DB6">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5AFF4104">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7DA4E0E5">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7199C090">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4B42C4C8">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0991CF11">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7D0B3A10">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7751A6B9">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7293427A">
            <w:pPr>
              <w:pStyle w:val="23"/>
              <w:keepNext/>
              <w:spacing w:line="440" w:lineRule="exact"/>
              <w:ind w:left="63" w:right="63"/>
              <w:rPr>
                <w:rFonts w:ascii="仿宋" w:hAnsi="仿宋" w:eastAsia="仿宋" w:cs="仿宋"/>
                <w:color w:val="000000"/>
                <w:sz w:val="28"/>
                <w:szCs w:val="30"/>
                <w:highlight w:val="none"/>
              </w:rPr>
            </w:pPr>
          </w:p>
        </w:tc>
      </w:tr>
      <w:tr w14:paraId="51F54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D9A79E4">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3C577569">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299C9E4C">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48772552">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74DD45AF">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7911D45B">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5FF29F96">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61254E38">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5DF96F92">
            <w:pPr>
              <w:pStyle w:val="23"/>
              <w:keepNext/>
              <w:spacing w:line="440" w:lineRule="exact"/>
              <w:ind w:left="63" w:right="63"/>
              <w:rPr>
                <w:rFonts w:ascii="仿宋" w:hAnsi="仿宋" w:eastAsia="仿宋" w:cs="仿宋"/>
                <w:color w:val="000000"/>
                <w:sz w:val="28"/>
                <w:szCs w:val="30"/>
                <w:highlight w:val="none"/>
              </w:rPr>
            </w:pPr>
          </w:p>
        </w:tc>
      </w:tr>
      <w:tr w14:paraId="006E5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DDD8C30">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25C75855">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7067372C">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7FF8DFC4">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3345A713">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450CBDC4">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0A0BD67C">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3DED6E0B">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1B05F18F">
            <w:pPr>
              <w:pStyle w:val="23"/>
              <w:keepNext/>
              <w:spacing w:line="440" w:lineRule="exact"/>
              <w:ind w:left="63" w:right="63"/>
              <w:rPr>
                <w:rFonts w:ascii="仿宋" w:hAnsi="仿宋" w:eastAsia="仿宋" w:cs="仿宋"/>
                <w:color w:val="000000"/>
                <w:sz w:val="28"/>
                <w:szCs w:val="30"/>
                <w:highlight w:val="none"/>
              </w:rPr>
            </w:pPr>
          </w:p>
        </w:tc>
      </w:tr>
      <w:tr w14:paraId="6EF82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CF2EE3">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422F1214">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54BED865">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5AD33FDD">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3923A8D2">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7F3B1E5D">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4DCA69E3">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3F4FA208">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55BB4B5B">
            <w:pPr>
              <w:pStyle w:val="23"/>
              <w:keepNext/>
              <w:spacing w:line="440" w:lineRule="exact"/>
              <w:ind w:left="63" w:right="63"/>
              <w:rPr>
                <w:rFonts w:ascii="仿宋" w:hAnsi="仿宋" w:eastAsia="仿宋" w:cs="仿宋"/>
                <w:color w:val="000000"/>
                <w:sz w:val="28"/>
                <w:szCs w:val="30"/>
                <w:highlight w:val="none"/>
              </w:rPr>
            </w:pPr>
          </w:p>
        </w:tc>
      </w:tr>
      <w:tr w14:paraId="4DE35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28A60E7">
            <w:pPr>
              <w:rPr>
                <w:rFonts w:ascii="仿宋" w:hAnsi="仿宋" w:eastAsia="仿宋" w:cs="仿宋"/>
                <w:color w:val="000000"/>
                <w:sz w:val="28"/>
                <w:szCs w:val="30"/>
                <w:highlight w:val="none"/>
              </w:rPr>
            </w:pPr>
          </w:p>
        </w:tc>
        <w:tc>
          <w:tcPr>
            <w:tcW w:w="1418" w:type="dxa"/>
          </w:tcPr>
          <w:p w14:paraId="5A97B5A0">
            <w:pPr>
              <w:rPr>
                <w:rFonts w:ascii="仿宋" w:hAnsi="仿宋" w:eastAsia="仿宋" w:cs="仿宋"/>
                <w:color w:val="000000"/>
                <w:sz w:val="28"/>
                <w:szCs w:val="30"/>
                <w:highlight w:val="none"/>
              </w:rPr>
            </w:pPr>
          </w:p>
        </w:tc>
        <w:tc>
          <w:tcPr>
            <w:tcW w:w="850" w:type="dxa"/>
          </w:tcPr>
          <w:p w14:paraId="2AE622CE">
            <w:pPr>
              <w:rPr>
                <w:rFonts w:ascii="仿宋" w:hAnsi="仿宋" w:eastAsia="仿宋" w:cs="仿宋"/>
                <w:color w:val="000000"/>
                <w:sz w:val="28"/>
                <w:szCs w:val="30"/>
                <w:highlight w:val="none"/>
              </w:rPr>
            </w:pPr>
          </w:p>
        </w:tc>
        <w:tc>
          <w:tcPr>
            <w:tcW w:w="1058" w:type="dxa"/>
          </w:tcPr>
          <w:p w14:paraId="15EE5FC5">
            <w:pPr>
              <w:rPr>
                <w:rFonts w:ascii="仿宋" w:hAnsi="仿宋" w:eastAsia="仿宋" w:cs="仿宋"/>
                <w:color w:val="000000"/>
                <w:sz w:val="28"/>
                <w:szCs w:val="30"/>
                <w:highlight w:val="none"/>
              </w:rPr>
            </w:pPr>
          </w:p>
        </w:tc>
        <w:tc>
          <w:tcPr>
            <w:tcW w:w="880" w:type="dxa"/>
          </w:tcPr>
          <w:p w14:paraId="7FDF88C5">
            <w:pPr>
              <w:rPr>
                <w:rFonts w:ascii="仿宋" w:hAnsi="仿宋" w:eastAsia="仿宋" w:cs="仿宋"/>
                <w:color w:val="000000"/>
                <w:sz w:val="28"/>
                <w:szCs w:val="30"/>
                <w:highlight w:val="none"/>
              </w:rPr>
            </w:pPr>
          </w:p>
        </w:tc>
        <w:tc>
          <w:tcPr>
            <w:tcW w:w="1020" w:type="dxa"/>
          </w:tcPr>
          <w:p w14:paraId="021AFD7A">
            <w:pPr>
              <w:rPr>
                <w:rFonts w:ascii="仿宋" w:hAnsi="仿宋" w:eastAsia="仿宋" w:cs="仿宋"/>
                <w:color w:val="000000"/>
                <w:sz w:val="28"/>
                <w:szCs w:val="30"/>
                <w:highlight w:val="none"/>
              </w:rPr>
            </w:pPr>
          </w:p>
        </w:tc>
        <w:tc>
          <w:tcPr>
            <w:tcW w:w="1480" w:type="dxa"/>
          </w:tcPr>
          <w:p w14:paraId="27EF581C">
            <w:pPr>
              <w:rPr>
                <w:rFonts w:ascii="仿宋" w:hAnsi="仿宋" w:eastAsia="仿宋" w:cs="仿宋"/>
                <w:color w:val="000000"/>
                <w:sz w:val="28"/>
                <w:szCs w:val="30"/>
                <w:highlight w:val="none"/>
              </w:rPr>
            </w:pPr>
          </w:p>
        </w:tc>
        <w:tc>
          <w:tcPr>
            <w:tcW w:w="1020" w:type="dxa"/>
          </w:tcPr>
          <w:p w14:paraId="1BD14511">
            <w:pPr>
              <w:rPr>
                <w:rFonts w:ascii="仿宋" w:hAnsi="仿宋" w:eastAsia="仿宋" w:cs="仿宋"/>
                <w:color w:val="000000"/>
                <w:sz w:val="28"/>
                <w:szCs w:val="30"/>
                <w:highlight w:val="none"/>
              </w:rPr>
            </w:pPr>
          </w:p>
        </w:tc>
        <w:tc>
          <w:tcPr>
            <w:tcW w:w="921" w:type="dxa"/>
          </w:tcPr>
          <w:p w14:paraId="5857C233">
            <w:pPr>
              <w:rPr>
                <w:rFonts w:ascii="仿宋" w:hAnsi="仿宋" w:eastAsia="仿宋" w:cs="仿宋"/>
                <w:color w:val="000000"/>
                <w:sz w:val="28"/>
                <w:szCs w:val="30"/>
                <w:highlight w:val="none"/>
              </w:rPr>
            </w:pPr>
          </w:p>
        </w:tc>
      </w:tr>
      <w:tr w14:paraId="45102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438A32">
            <w:pPr>
              <w:pStyle w:val="23"/>
              <w:keepNext/>
              <w:spacing w:line="440" w:lineRule="exact"/>
              <w:ind w:left="63" w:right="63"/>
              <w:rPr>
                <w:rFonts w:ascii="仿宋" w:hAnsi="仿宋" w:eastAsia="仿宋" w:cs="仿宋"/>
                <w:color w:val="000000"/>
                <w:sz w:val="28"/>
                <w:szCs w:val="30"/>
                <w:highlight w:val="none"/>
              </w:rPr>
            </w:pPr>
          </w:p>
        </w:tc>
        <w:tc>
          <w:tcPr>
            <w:tcW w:w="1418" w:type="dxa"/>
            <w:vAlign w:val="center"/>
          </w:tcPr>
          <w:p w14:paraId="06555F95">
            <w:pPr>
              <w:pStyle w:val="23"/>
              <w:keepNext/>
              <w:spacing w:line="440" w:lineRule="exact"/>
              <w:ind w:left="63" w:right="63"/>
              <w:rPr>
                <w:rFonts w:ascii="仿宋" w:hAnsi="仿宋" w:eastAsia="仿宋" w:cs="仿宋"/>
                <w:color w:val="000000"/>
                <w:sz w:val="28"/>
                <w:szCs w:val="30"/>
                <w:highlight w:val="none"/>
              </w:rPr>
            </w:pPr>
          </w:p>
        </w:tc>
        <w:tc>
          <w:tcPr>
            <w:tcW w:w="850" w:type="dxa"/>
            <w:vAlign w:val="center"/>
          </w:tcPr>
          <w:p w14:paraId="7DF8DADC">
            <w:pPr>
              <w:pStyle w:val="23"/>
              <w:keepNext/>
              <w:spacing w:line="440" w:lineRule="exact"/>
              <w:ind w:left="63" w:right="63"/>
              <w:rPr>
                <w:rFonts w:ascii="仿宋" w:hAnsi="仿宋" w:eastAsia="仿宋" w:cs="仿宋"/>
                <w:color w:val="000000"/>
                <w:sz w:val="28"/>
                <w:szCs w:val="30"/>
                <w:highlight w:val="none"/>
              </w:rPr>
            </w:pPr>
          </w:p>
        </w:tc>
        <w:tc>
          <w:tcPr>
            <w:tcW w:w="1058" w:type="dxa"/>
            <w:vAlign w:val="center"/>
          </w:tcPr>
          <w:p w14:paraId="262DAA38">
            <w:pPr>
              <w:pStyle w:val="23"/>
              <w:keepNext/>
              <w:spacing w:line="440" w:lineRule="exact"/>
              <w:ind w:left="63" w:right="63"/>
              <w:rPr>
                <w:rFonts w:ascii="仿宋" w:hAnsi="仿宋" w:eastAsia="仿宋" w:cs="仿宋"/>
                <w:color w:val="000000"/>
                <w:sz w:val="28"/>
                <w:szCs w:val="30"/>
                <w:highlight w:val="none"/>
              </w:rPr>
            </w:pPr>
          </w:p>
        </w:tc>
        <w:tc>
          <w:tcPr>
            <w:tcW w:w="880" w:type="dxa"/>
            <w:vAlign w:val="center"/>
          </w:tcPr>
          <w:p w14:paraId="64F8BF36">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137EED42">
            <w:pPr>
              <w:pStyle w:val="23"/>
              <w:keepNext/>
              <w:spacing w:line="440" w:lineRule="exact"/>
              <w:ind w:left="63" w:right="63"/>
              <w:rPr>
                <w:rFonts w:ascii="仿宋" w:hAnsi="仿宋" w:eastAsia="仿宋" w:cs="仿宋"/>
                <w:color w:val="000000"/>
                <w:sz w:val="28"/>
                <w:szCs w:val="30"/>
                <w:highlight w:val="none"/>
              </w:rPr>
            </w:pPr>
          </w:p>
        </w:tc>
        <w:tc>
          <w:tcPr>
            <w:tcW w:w="1480" w:type="dxa"/>
            <w:vAlign w:val="center"/>
          </w:tcPr>
          <w:p w14:paraId="01C8D80E">
            <w:pPr>
              <w:pStyle w:val="23"/>
              <w:keepNext/>
              <w:spacing w:line="440" w:lineRule="exact"/>
              <w:ind w:left="63" w:right="63"/>
              <w:rPr>
                <w:rFonts w:ascii="仿宋" w:hAnsi="仿宋" w:eastAsia="仿宋" w:cs="仿宋"/>
                <w:color w:val="000000"/>
                <w:sz w:val="28"/>
                <w:szCs w:val="30"/>
                <w:highlight w:val="none"/>
              </w:rPr>
            </w:pPr>
          </w:p>
        </w:tc>
        <w:tc>
          <w:tcPr>
            <w:tcW w:w="1020" w:type="dxa"/>
            <w:vAlign w:val="center"/>
          </w:tcPr>
          <w:p w14:paraId="3FA12997">
            <w:pPr>
              <w:pStyle w:val="23"/>
              <w:keepNext/>
              <w:spacing w:line="440" w:lineRule="exact"/>
              <w:ind w:left="63" w:right="63"/>
              <w:rPr>
                <w:rFonts w:ascii="仿宋" w:hAnsi="仿宋" w:eastAsia="仿宋" w:cs="仿宋"/>
                <w:color w:val="000000"/>
                <w:sz w:val="28"/>
                <w:szCs w:val="30"/>
                <w:highlight w:val="none"/>
              </w:rPr>
            </w:pPr>
          </w:p>
        </w:tc>
        <w:tc>
          <w:tcPr>
            <w:tcW w:w="921" w:type="dxa"/>
            <w:vAlign w:val="center"/>
          </w:tcPr>
          <w:p w14:paraId="21ACEF5C">
            <w:pPr>
              <w:pStyle w:val="23"/>
              <w:keepNext/>
              <w:spacing w:line="440" w:lineRule="exact"/>
              <w:ind w:left="63" w:right="63"/>
              <w:rPr>
                <w:rFonts w:ascii="仿宋" w:hAnsi="仿宋" w:eastAsia="仿宋" w:cs="仿宋"/>
                <w:color w:val="000000"/>
                <w:sz w:val="28"/>
                <w:szCs w:val="30"/>
                <w:highlight w:val="none"/>
              </w:rPr>
            </w:pPr>
          </w:p>
        </w:tc>
      </w:tr>
      <w:tr w14:paraId="4CD35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94B5522">
            <w:pPr>
              <w:rPr>
                <w:rFonts w:ascii="仿宋" w:hAnsi="仿宋" w:eastAsia="仿宋" w:cs="仿宋"/>
                <w:color w:val="000000"/>
                <w:sz w:val="28"/>
                <w:szCs w:val="30"/>
                <w:highlight w:val="none"/>
              </w:rPr>
            </w:pPr>
          </w:p>
        </w:tc>
        <w:tc>
          <w:tcPr>
            <w:tcW w:w="1418" w:type="dxa"/>
          </w:tcPr>
          <w:p w14:paraId="6F7FD65E">
            <w:pPr>
              <w:rPr>
                <w:rFonts w:ascii="仿宋" w:hAnsi="仿宋" w:eastAsia="仿宋" w:cs="仿宋"/>
                <w:color w:val="000000"/>
                <w:sz w:val="28"/>
                <w:szCs w:val="30"/>
                <w:highlight w:val="none"/>
              </w:rPr>
            </w:pPr>
          </w:p>
        </w:tc>
        <w:tc>
          <w:tcPr>
            <w:tcW w:w="850" w:type="dxa"/>
          </w:tcPr>
          <w:p w14:paraId="13E4047D">
            <w:pPr>
              <w:rPr>
                <w:rFonts w:ascii="仿宋" w:hAnsi="仿宋" w:eastAsia="仿宋" w:cs="仿宋"/>
                <w:color w:val="000000"/>
                <w:sz w:val="28"/>
                <w:szCs w:val="30"/>
                <w:highlight w:val="none"/>
              </w:rPr>
            </w:pPr>
          </w:p>
        </w:tc>
        <w:tc>
          <w:tcPr>
            <w:tcW w:w="1058" w:type="dxa"/>
          </w:tcPr>
          <w:p w14:paraId="19FFC16D">
            <w:pPr>
              <w:rPr>
                <w:rFonts w:ascii="仿宋" w:hAnsi="仿宋" w:eastAsia="仿宋" w:cs="仿宋"/>
                <w:color w:val="000000"/>
                <w:sz w:val="28"/>
                <w:szCs w:val="30"/>
                <w:highlight w:val="none"/>
              </w:rPr>
            </w:pPr>
          </w:p>
        </w:tc>
        <w:tc>
          <w:tcPr>
            <w:tcW w:w="880" w:type="dxa"/>
          </w:tcPr>
          <w:p w14:paraId="5B661355">
            <w:pPr>
              <w:rPr>
                <w:rFonts w:ascii="仿宋" w:hAnsi="仿宋" w:eastAsia="仿宋" w:cs="仿宋"/>
                <w:color w:val="000000"/>
                <w:sz w:val="28"/>
                <w:szCs w:val="30"/>
                <w:highlight w:val="none"/>
              </w:rPr>
            </w:pPr>
          </w:p>
        </w:tc>
        <w:tc>
          <w:tcPr>
            <w:tcW w:w="1020" w:type="dxa"/>
          </w:tcPr>
          <w:p w14:paraId="108911BE">
            <w:pPr>
              <w:rPr>
                <w:rFonts w:ascii="仿宋" w:hAnsi="仿宋" w:eastAsia="仿宋" w:cs="仿宋"/>
                <w:color w:val="000000"/>
                <w:sz w:val="28"/>
                <w:szCs w:val="30"/>
                <w:highlight w:val="none"/>
              </w:rPr>
            </w:pPr>
          </w:p>
        </w:tc>
        <w:tc>
          <w:tcPr>
            <w:tcW w:w="1480" w:type="dxa"/>
          </w:tcPr>
          <w:p w14:paraId="3FAAE226">
            <w:pPr>
              <w:rPr>
                <w:rFonts w:ascii="仿宋" w:hAnsi="仿宋" w:eastAsia="仿宋" w:cs="仿宋"/>
                <w:color w:val="000000"/>
                <w:sz w:val="28"/>
                <w:szCs w:val="30"/>
                <w:highlight w:val="none"/>
              </w:rPr>
            </w:pPr>
          </w:p>
        </w:tc>
        <w:tc>
          <w:tcPr>
            <w:tcW w:w="1020" w:type="dxa"/>
          </w:tcPr>
          <w:p w14:paraId="08FBF79F">
            <w:pPr>
              <w:rPr>
                <w:rFonts w:ascii="仿宋" w:hAnsi="仿宋" w:eastAsia="仿宋" w:cs="仿宋"/>
                <w:color w:val="000000"/>
                <w:sz w:val="28"/>
                <w:szCs w:val="30"/>
                <w:highlight w:val="none"/>
              </w:rPr>
            </w:pPr>
          </w:p>
        </w:tc>
        <w:tc>
          <w:tcPr>
            <w:tcW w:w="921" w:type="dxa"/>
          </w:tcPr>
          <w:p w14:paraId="6EA74059">
            <w:pPr>
              <w:rPr>
                <w:rFonts w:ascii="仿宋" w:hAnsi="仿宋" w:eastAsia="仿宋" w:cs="仿宋"/>
                <w:color w:val="000000"/>
                <w:sz w:val="28"/>
                <w:szCs w:val="30"/>
                <w:highlight w:val="none"/>
              </w:rPr>
            </w:pPr>
          </w:p>
        </w:tc>
      </w:tr>
      <w:tr w14:paraId="5B483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B8367B">
            <w:pPr>
              <w:rPr>
                <w:rFonts w:ascii="仿宋" w:hAnsi="仿宋" w:eastAsia="仿宋" w:cs="仿宋"/>
                <w:color w:val="000000"/>
                <w:sz w:val="28"/>
                <w:szCs w:val="30"/>
                <w:highlight w:val="none"/>
              </w:rPr>
            </w:pPr>
          </w:p>
        </w:tc>
        <w:tc>
          <w:tcPr>
            <w:tcW w:w="1418" w:type="dxa"/>
          </w:tcPr>
          <w:p w14:paraId="42672036">
            <w:pPr>
              <w:rPr>
                <w:rFonts w:ascii="仿宋" w:hAnsi="仿宋" w:eastAsia="仿宋" w:cs="仿宋"/>
                <w:color w:val="000000"/>
                <w:sz w:val="28"/>
                <w:szCs w:val="30"/>
                <w:highlight w:val="none"/>
              </w:rPr>
            </w:pPr>
          </w:p>
        </w:tc>
        <w:tc>
          <w:tcPr>
            <w:tcW w:w="850" w:type="dxa"/>
          </w:tcPr>
          <w:p w14:paraId="56B67927">
            <w:pPr>
              <w:rPr>
                <w:rFonts w:ascii="仿宋" w:hAnsi="仿宋" w:eastAsia="仿宋" w:cs="仿宋"/>
                <w:color w:val="000000"/>
                <w:sz w:val="28"/>
                <w:szCs w:val="30"/>
                <w:highlight w:val="none"/>
              </w:rPr>
            </w:pPr>
          </w:p>
        </w:tc>
        <w:tc>
          <w:tcPr>
            <w:tcW w:w="1058" w:type="dxa"/>
          </w:tcPr>
          <w:p w14:paraId="65656121">
            <w:pPr>
              <w:rPr>
                <w:rFonts w:ascii="仿宋" w:hAnsi="仿宋" w:eastAsia="仿宋" w:cs="仿宋"/>
                <w:color w:val="000000"/>
                <w:sz w:val="28"/>
                <w:szCs w:val="30"/>
                <w:highlight w:val="none"/>
              </w:rPr>
            </w:pPr>
          </w:p>
        </w:tc>
        <w:tc>
          <w:tcPr>
            <w:tcW w:w="880" w:type="dxa"/>
          </w:tcPr>
          <w:p w14:paraId="2B01A089">
            <w:pPr>
              <w:rPr>
                <w:rFonts w:ascii="仿宋" w:hAnsi="仿宋" w:eastAsia="仿宋" w:cs="仿宋"/>
                <w:color w:val="000000"/>
                <w:sz w:val="28"/>
                <w:szCs w:val="30"/>
                <w:highlight w:val="none"/>
              </w:rPr>
            </w:pPr>
          </w:p>
        </w:tc>
        <w:tc>
          <w:tcPr>
            <w:tcW w:w="1020" w:type="dxa"/>
          </w:tcPr>
          <w:p w14:paraId="673AADCB">
            <w:pPr>
              <w:rPr>
                <w:rFonts w:ascii="仿宋" w:hAnsi="仿宋" w:eastAsia="仿宋" w:cs="仿宋"/>
                <w:color w:val="000000"/>
                <w:sz w:val="28"/>
                <w:szCs w:val="30"/>
                <w:highlight w:val="none"/>
              </w:rPr>
            </w:pPr>
          </w:p>
        </w:tc>
        <w:tc>
          <w:tcPr>
            <w:tcW w:w="1480" w:type="dxa"/>
          </w:tcPr>
          <w:p w14:paraId="55DCF982">
            <w:pPr>
              <w:rPr>
                <w:rFonts w:ascii="仿宋" w:hAnsi="仿宋" w:eastAsia="仿宋" w:cs="仿宋"/>
                <w:color w:val="000000"/>
                <w:sz w:val="28"/>
                <w:szCs w:val="30"/>
                <w:highlight w:val="none"/>
              </w:rPr>
            </w:pPr>
          </w:p>
        </w:tc>
        <w:tc>
          <w:tcPr>
            <w:tcW w:w="1020" w:type="dxa"/>
          </w:tcPr>
          <w:p w14:paraId="1F3C06EB">
            <w:pPr>
              <w:rPr>
                <w:rFonts w:ascii="仿宋" w:hAnsi="仿宋" w:eastAsia="仿宋" w:cs="仿宋"/>
                <w:color w:val="000000"/>
                <w:sz w:val="28"/>
                <w:szCs w:val="30"/>
                <w:highlight w:val="none"/>
              </w:rPr>
            </w:pPr>
          </w:p>
        </w:tc>
        <w:tc>
          <w:tcPr>
            <w:tcW w:w="921" w:type="dxa"/>
          </w:tcPr>
          <w:p w14:paraId="53F15ABF">
            <w:pPr>
              <w:rPr>
                <w:rFonts w:ascii="仿宋" w:hAnsi="仿宋" w:eastAsia="仿宋" w:cs="仿宋"/>
                <w:color w:val="000000"/>
                <w:sz w:val="28"/>
                <w:szCs w:val="30"/>
                <w:highlight w:val="none"/>
              </w:rPr>
            </w:pPr>
          </w:p>
        </w:tc>
      </w:tr>
      <w:tr w14:paraId="7A2A6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E19BD94">
            <w:pPr>
              <w:rPr>
                <w:rFonts w:ascii="仿宋" w:hAnsi="仿宋" w:eastAsia="仿宋" w:cs="仿宋"/>
                <w:color w:val="000000"/>
                <w:sz w:val="28"/>
                <w:szCs w:val="30"/>
                <w:highlight w:val="none"/>
              </w:rPr>
            </w:pPr>
          </w:p>
        </w:tc>
        <w:tc>
          <w:tcPr>
            <w:tcW w:w="1418" w:type="dxa"/>
          </w:tcPr>
          <w:p w14:paraId="69A481F7">
            <w:pPr>
              <w:rPr>
                <w:rFonts w:ascii="仿宋" w:hAnsi="仿宋" w:eastAsia="仿宋" w:cs="仿宋"/>
                <w:color w:val="000000"/>
                <w:sz w:val="28"/>
                <w:szCs w:val="30"/>
                <w:highlight w:val="none"/>
              </w:rPr>
            </w:pPr>
          </w:p>
        </w:tc>
        <w:tc>
          <w:tcPr>
            <w:tcW w:w="850" w:type="dxa"/>
          </w:tcPr>
          <w:p w14:paraId="690787B8">
            <w:pPr>
              <w:rPr>
                <w:rFonts w:ascii="仿宋" w:hAnsi="仿宋" w:eastAsia="仿宋" w:cs="仿宋"/>
                <w:color w:val="000000"/>
                <w:sz w:val="28"/>
                <w:szCs w:val="30"/>
                <w:highlight w:val="none"/>
              </w:rPr>
            </w:pPr>
          </w:p>
        </w:tc>
        <w:tc>
          <w:tcPr>
            <w:tcW w:w="1058" w:type="dxa"/>
          </w:tcPr>
          <w:p w14:paraId="1C8400F1">
            <w:pPr>
              <w:rPr>
                <w:rFonts w:ascii="仿宋" w:hAnsi="仿宋" w:eastAsia="仿宋" w:cs="仿宋"/>
                <w:color w:val="000000"/>
                <w:sz w:val="28"/>
                <w:szCs w:val="30"/>
                <w:highlight w:val="none"/>
              </w:rPr>
            </w:pPr>
          </w:p>
        </w:tc>
        <w:tc>
          <w:tcPr>
            <w:tcW w:w="880" w:type="dxa"/>
          </w:tcPr>
          <w:p w14:paraId="4E2C56DE">
            <w:pPr>
              <w:rPr>
                <w:rFonts w:ascii="仿宋" w:hAnsi="仿宋" w:eastAsia="仿宋" w:cs="仿宋"/>
                <w:color w:val="000000"/>
                <w:sz w:val="28"/>
                <w:szCs w:val="30"/>
                <w:highlight w:val="none"/>
              </w:rPr>
            </w:pPr>
          </w:p>
        </w:tc>
        <w:tc>
          <w:tcPr>
            <w:tcW w:w="1020" w:type="dxa"/>
          </w:tcPr>
          <w:p w14:paraId="089F50CB">
            <w:pPr>
              <w:rPr>
                <w:rFonts w:ascii="仿宋" w:hAnsi="仿宋" w:eastAsia="仿宋" w:cs="仿宋"/>
                <w:color w:val="000000"/>
                <w:sz w:val="28"/>
                <w:szCs w:val="30"/>
                <w:highlight w:val="none"/>
              </w:rPr>
            </w:pPr>
          </w:p>
        </w:tc>
        <w:tc>
          <w:tcPr>
            <w:tcW w:w="1480" w:type="dxa"/>
          </w:tcPr>
          <w:p w14:paraId="3BA0CB48">
            <w:pPr>
              <w:rPr>
                <w:rFonts w:ascii="仿宋" w:hAnsi="仿宋" w:eastAsia="仿宋" w:cs="仿宋"/>
                <w:color w:val="000000"/>
                <w:sz w:val="28"/>
                <w:szCs w:val="30"/>
                <w:highlight w:val="none"/>
              </w:rPr>
            </w:pPr>
          </w:p>
        </w:tc>
        <w:tc>
          <w:tcPr>
            <w:tcW w:w="1020" w:type="dxa"/>
          </w:tcPr>
          <w:p w14:paraId="106CC3C3">
            <w:pPr>
              <w:rPr>
                <w:rFonts w:ascii="仿宋" w:hAnsi="仿宋" w:eastAsia="仿宋" w:cs="仿宋"/>
                <w:color w:val="000000"/>
                <w:sz w:val="28"/>
                <w:szCs w:val="30"/>
                <w:highlight w:val="none"/>
              </w:rPr>
            </w:pPr>
          </w:p>
        </w:tc>
        <w:tc>
          <w:tcPr>
            <w:tcW w:w="921" w:type="dxa"/>
          </w:tcPr>
          <w:p w14:paraId="547366E3">
            <w:pPr>
              <w:rPr>
                <w:rFonts w:ascii="仿宋" w:hAnsi="仿宋" w:eastAsia="仿宋" w:cs="仿宋"/>
                <w:color w:val="000000"/>
                <w:sz w:val="28"/>
                <w:szCs w:val="30"/>
                <w:highlight w:val="none"/>
              </w:rPr>
            </w:pPr>
          </w:p>
        </w:tc>
      </w:tr>
      <w:tr w14:paraId="51D0C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B78249">
            <w:pPr>
              <w:rPr>
                <w:rFonts w:ascii="仿宋" w:hAnsi="仿宋" w:eastAsia="仿宋" w:cs="仿宋"/>
                <w:color w:val="000000"/>
                <w:sz w:val="28"/>
                <w:szCs w:val="30"/>
                <w:highlight w:val="none"/>
              </w:rPr>
            </w:pPr>
          </w:p>
        </w:tc>
        <w:tc>
          <w:tcPr>
            <w:tcW w:w="1418" w:type="dxa"/>
          </w:tcPr>
          <w:p w14:paraId="22E12B62">
            <w:pPr>
              <w:rPr>
                <w:rFonts w:ascii="仿宋" w:hAnsi="仿宋" w:eastAsia="仿宋" w:cs="仿宋"/>
                <w:color w:val="000000"/>
                <w:sz w:val="28"/>
                <w:szCs w:val="30"/>
                <w:highlight w:val="none"/>
              </w:rPr>
            </w:pPr>
          </w:p>
        </w:tc>
        <w:tc>
          <w:tcPr>
            <w:tcW w:w="850" w:type="dxa"/>
          </w:tcPr>
          <w:p w14:paraId="067E768D">
            <w:pPr>
              <w:rPr>
                <w:rFonts w:ascii="仿宋" w:hAnsi="仿宋" w:eastAsia="仿宋" w:cs="仿宋"/>
                <w:color w:val="000000"/>
                <w:sz w:val="28"/>
                <w:szCs w:val="30"/>
                <w:highlight w:val="none"/>
              </w:rPr>
            </w:pPr>
          </w:p>
        </w:tc>
        <w:tc>
          <w:tcPr>
            <w:tcW w:w="1058" w:type="dxa"/>
          </w:tcPr>
          <w:p w14:paraId="497C929D">
            <w:pPr>
              <w:rPr>
                <w:rFonts w:ascii="仿宋" w:hAnsi="仿宋" w:eastAsia="仿宋" w:cs="仿宋"/>
                <w:color w:val="000000"/>
                <w:sz w:val="28"/>
                <w:szCs w:val="30"/>
                <w:highlight w:val="none"/>
              </w:rPr>
            </w:pPr>
          </w:p>
        </w:tc>
        <w:tc>
          <w:tcPr>
            <w:tcW w:w="880" w:type="dxa"/>
          </w:tcPr>
          <w:p w14:paraId="1858BD9F">
            <w:pPr>
              <w:rPr>
                <w:rFonts w:ascii="仿宋" w:hAnsi="仿宋" w:eastAsia="仿宋" w:cs="仿宋"/>
                <w:color w:val="000000"/>
                <w:sz w:val="28"/>
                <w:szCs w:val="30"/>
                <w:highlight w:val="none"/>
              </w:rPr>
            </w:pPr>
          </w:p>
        </w:tc>
        <w:tc>
          <w:tcPr>
            <w:tcW w:w="1020" w:type="dxa"/>
          </w:tcPr>
          <w:p w14:paraId="7F5906AF">
            <w:pPr>
              <w:rPr>
                <w:rFonts w:ascii="仿宋" w:hAnsi="仿宋" w:eastAsia="仿宋" w:cs="仿宋"/>
                <w:color w:val="000000"/>
                <w:sz w:val="28"/>
                <w:szCs w:val="30"/>
                <w:highlight w:val="none"/>
              </w:rPr>
            </w:pPr>
          </w:p>
        </w:tc>
        <w:tc>
          <w:tcPr>
            <w:tcW w:w="1480" w:type="dxa"/>
          </w:tcPr>
          <w:p w14:paraId="6A41EBE5">
            <w:pPr>
              <w:rPr>
                <w:rFonts w:ascii="仿宋" w:hAnsi="仿宋" w:eastAsia="仿宋" w:cs="仿宋"/>
                <w:color w:val="000000"/>
                <w:sz w:val="28"/>
                <w:szCs w:val="30"/>
                <w:highlight w:val="none"/>
              </w:rPr>
            </w:pPr>
          </w:p>
        </w:tc>
        <w:tc>
          <w:tcPr>
            <w:tcW w:w="1020" w:type="dxa"/>
          </w:tcPr>
          <w:p w14:paraId="5D17B07E">
            <w:pPr>
              <w:rPr>
                <w:rFonts w:ascii="仿宋" w:hAnsi="仿宋" w:eastAsia="仿宋" w:cs="仿宋"/>
                <w:color w:val="000000"/>
                <w:sz w:val="28"/>
                <w:szCs w:val="30"/>
                <w:highlight w:val="none"/>
              </w:rPr>
            </w:pPr>
          </w:p>
        </w:tc>
        <w:tc>
          <w:tcPr>
            <w:tcW w:w="921" w:type="dxa"/>
          </w:tcPr>
          <w:p w14:paraId="467B1E38">
            <w:pPr>
              <w:rPr>
                <w:rFonts w:ascii="仿宋" w:hAnsi="仿宋" w:eastAsia="仿宋" w:cs="仿宋"/>
                <w:color w:val="000000"/>
                <w:sz w:val="28"/>
                <w:szCs w:val="30"/>
                <w:highlight w:val="none"/>
              </w:rPr>
            </w:pPr>
          </w:p>
        </w:tc>
      </w:tr>
      <w:tr w14:paraId="25B3B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14F841">
            <w:pPr>
              <w:rPr>
                <w:rFonts w:ascii="仿宋" w:hAnsi="仿宋" w:eastAsia="仿宋" w:cs="仿宋"/>
                <w:color w:val="000000"/>
                <w:sz w:val="28"/>
                <w:szCs w:val="30"/>
                <w:highlight w:val="none"/>
              </w:rPr>
            </w:pPr>
          </w:p>
        </w:tc>
        <w:tc>
          <w:tcPr>
            <w:tcW w:w="1418" w:type="dxa"/>
          </w:tcPr>
          <w:p w14:paraId="04FF9FE9">
            <w:pPr>
              <w:rPr>
                <w:rFonts w:ascii="仿宋" w:hAnsi="仿宋" w:eastAsia="仿宋" w:cs="仿宋"/>
                <w:color w:val="000000"/>
                <w:sz w:val="28"/>
                <w:szCs w:val="30"/>
                <w:highlight w:val="none"/>
              </w:rPr>
            </w:pPr>
          </w:p>
        </w:tc>
        <w:tc>
          <w:tcPr>
            <w:tcW w:w="850" w:type="dxa"/>
          </w:tcPr>
          <w:p w14:paraId="23DE69CA">
            <w:pPr>
              <w:rPr>
                <w:rFonts w:ascii="仿宋" w:hAnsi="仿宋" w:eastAsia="仿宋" w:cs="仿宋"/>
                <w:color w:val="000000"/>
                <w:sz w:val="28"/>
                <w:szCs w:val="30"/>
                <w:highlight w:val="none"/>
              </w:rPr>
            </w:pPr>
          </w:p>
        </w:tc>
        <w:tc>
          <w:tcPr>
            <w:tcW w:w="1058" w:type="dxa"/>
          </w:tcPr>
          <w:p w14:paraId="7F6E3B21">
            <w:pPr>
              <w:rPr>
                <w:rFonts w:ascii="仿宋" w:hAnsi="仿宋" w:eastAsia="仿宋" w:cs="仿宋"/>
                <w:color w:val="000000"/>
                <w:sz w:val="28"/>
                <w:szCs w:val="30"/>
                <w:highlight w:val="none"/>
              </w:rPr>
            </w:pPr>
          </w:p>
        </w:tc>
        <w:tc>
          <w:tcPr>
            <w:tcW w:w="880" w:type="dxa"/>
          </w:tcPr>
          <w:p w14:paraId="7DF92AEC">
            <w:pPr>
              <w:rPr>
                <w:rFonts w:ascii="仿宋" w:hAnsi="仿宋" w:eastAsia="仿宋" w:cs="仿宋"/>
                <w:color w:val="000000"/>
                <w:sz w:val="28"/>
                <w:szCs w:val="30"/>
                <w:highlight w:val="none"/>
              </w:rPr>
            </w:pPr>
          </w:p>
        </w:tc>
        <w:tc>
          <w:tcPr>
            <w:tcW w:w="1020" w:type="dxa"/>
          </w:tcPr>
          <w:p w14:paraId="735DB5E8">
            <w:pPr>
              <w:rPr>
                <w:rFonts w:ascii="仿宋" w:hAnsi="仿宋" w:eastAsia="仿宋" w:cs="仿宋"/>
                <w:color w:val="000000"/>
                <w:sz w:val="28"/>
                <w:szCs w:val="30"/>
                <w:highlight w:val="none"/>
              </w:rPr>
            </w:pPr>
          </w:p>
        </w:tc>
        <w:tc>
          <w:tcPr>
            <w:tcW w:w="1480" w:type="dxa"/>
          </w:tcPr>
          <w:p w14:paraId="49CB5CD1">
            <w:pPr>
              <w:rPr>
                <w:rFonts w:ascii="仿宋" w:hAnsi="仿宋" w:eastAsia="仿宋" w:cs="仿宋"/>
                <w:color w:val="000000"/>
                <w:sz w:val="28"/>
                <w:szCs w:val="30"/>
                <w:highlight w:val="none"/>
              </w:rPr>
            </w:pPr>
          </w:p>
        </w:tc>
        <w:tc>
          <w:tcPr>
            <w:tcW w:w="1020" w:type="dxa"/>
          </w:tcPr>
          <w:p w14:paraId="23EB2368">
            <w:pPr>
              <w:rPr>
                <w:rFonts w:ascii="仿宋" w:hAnsi="仿宋" w:eastAsia="仿宋" w:cs="仿宋"/>
                <w:color w:val="000000"/>
                <w:sz w:val="28"/>
                <w:szCs w:val="30"/>
                <w:highlight w:val="none"/>
              </w:rPr>
            </w:pPr>
          </w:p>
        </w:tc>
        <w:tc>
          <w:tcPr>
            <w:tcW w:w="921" w:type="dxa"/>
          </w:tcPr>
          <w:p w14:paraId="61248D28">
            <w:pPr>
              <w:rPr>
                <w:rFonts w:ascii="仿宋" w:hAnsi="仿宋" w:eastAsia="仿宋" w:cs="仿宋"/>
                <w:color w:val="000000"/>
                <w:sz w:val="28"/>
                <w:szCs w:val="30"/>
                <w:highlight w:val="none"/>
              </w:rPr>
            </w:pPr>
          </w:p>
        </w:tc>
      </w:tr>
      <w:tr w14:paraId="2E630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3C91476">
            <w:pPr>
              <w:rPr>
                <w:rFonts w:ascii="仿宋" w:hAnsi="仿宋" w:eastAsia="仿宋" w:cs="仿宋"/>
                <w:color w:val="000000"/>
                <w:sz w:val="28"/>
                <w:szCs w:val="30"/>
                <w:highlight w:val="none"/>
              </w:rPr>
            </w:pPr>
          </w:p>
        </w:tc>
        <w:tc>
          <w:tcPr>
            <w:tcW w:w="1418" w:type="dxa"/>
          </w:tcPr>
          <w:p w14:paraId="4F899A21">
            <w:pPr>
              <w:rPr>
                <w:rFonts w:ascii="仿宋" w:hAnsi="仿宋" w:eastAsia="仿宋" w:cs="仿宋"/>
                <w:color w:val="000000"/>
                <w:sz w:val="28"/>
                <w:szCs w:val="30"/>
                <w:highlight w:val="none"/>
              </w:rPr>
            </w:pPr>
          </w:p>
        </w:tc>
        <w:tc>
          <w:tcPr>
            <w:tcW w:w="850" w:type="dxa"/>
          </w:tcPr>
          <w:p w14:paraId="5ED4B50C">
            <w:pPr>
              <w:rPr>
                <w:rFonts w:ascii="仿宋" w:hAnsi="仿宋" w:eastAsia="仿宋" w:cs="仿宋"/>
                <w:color w:val="000000"/>
                <w:sz w:val="28"/>
                <w:szCs w:val="30"/>
                <w:highlight w:val="none"/>
              </w:rPr>
            </w:pPr>
          </w:p>
        </w:tc>
        <w:tc>
          <w:tcPr>
            <w:tcW w:w="1058" w:type="dxa"/>
          </w:tcPr>
          <w:p w14:paraId="205DD5BB">
            <w:pPr>
              <w:rPr>
                <w:rFonts w:ascii="仿宋" w:hAnsi="仿宋" w:eastAsia="仿宋" w:cs="仿宋"/>
                <w:color w:val="000000"/>
                <w:sz w:val="28"/>
                <w:szCs w:val="30"/>
                <w:highlight w:val="none"/>
              </w:rPr>
            </w:pPr>
          </w:p>
        </w:tc>
        <w:tc>
          <w:tcPr>
            <w:tcW w:w="880" w:type="dxa"/>
          </w:tcPr>
          <w:p w14:paraId="40EB72F4">
            <w:pPr>
              <w:rPr>
                <w:rFonts w:ascii="仿宋" w:hAnsi="仿宋" w:eastAsia="仿宋" w:cs="仿宋"/>
                <w:color w:val="000000"/>
                <w:sz w:val="28"/>
                <w:szCs w:val="30"/>
                <w:highlight w:val="none"/>
              </w:rPr>
            </w:pPr>
          </w:p>
        </w:tc>
        <w:tc>
          <w:tcPr>
            <w:tcW w:w="1020" w:type="dxa"/>
          </w:tcPr>
          <w:p w14:paraId="619B2D07">
            <w:pPr>
              <w:rPr>
                <w:rFonts w:ascii="仿宋" w:hAnsi="仿宋" w:eastAsia="仿宋" w:cs="仿宋"/>
                <w:color w:val="000000"/>
                <w:sz w:val="28"/>
                <w:szCs w:val="30"/>
                <w:highlight w:val="none"/>
              </w:rPr>
            </w:pPr>
          </w:p>
        </w:tc>
        <w:tc>
          <w:tcPr>
            <w:tcW w:w="1480" w:type="dxa"/>
          </w:tcPr>
          <w:p w14:paraId="0CB8A51E">
            <w:pPr>
              <w:rPr>
                <w:rFonts w:ascii="仿宋" w:hAnsi="仿宋" w:eastAsia="仿宋" w:cs="仿宋"/>
                <w:color w:val="000000"/>
                <w:sz w:val="28"/>
                <w:szCs w:val="30"/>
                <w:highlight w:val="none"/>
              </w:rPr>
            </w:pPr>
          </w:p>
        </w:tc>
        <w:tc>
          <w:tcPr>
            <w:tcW w:w="1020" w:type="dxa"/>
          </w:tcPr>
          <w:p w14:paraId="0808D20C">
            <w:pPr>
              <w:rPr>
                <w:rFonts w:ascii="仿宋" w:hAnsi="仿宋" w:eastAsia="仿宋" w:cs="仿宋"/>
                <w:color w:val="000000"/>
                <w:sz w:val="28"/>
                <w:szCs w:val="30"/>
                <w:highlight w:val="none"/>
              </w:rPr>
            </w:pPr>
          </w:p>
        </w:tc>
        <w:tc>
          <w:tcPr>
            <w:tcW w:w="921" w:type="dxa"/>
          </w:tcPr>
          <w:p w14:paraId="687AE7EB">
            <w:pPr>
              <w:rPr>
                <w:rFonts w:ascii="仿宋" w:hAnsi="仿宋" w:eastAsia="仿宋" w:cs="仿宋"/>
                <w:color w:val="000000"/>
                <w:sz w:val="28"/>
                <w:szCs w:val="30"/>
                <w:highlight w:val="none"/>
              </w:rPr>
            </w:pPr>
          </w:p>
        </w:tc>
      </w:tr>
      <w:tr w14:paraId="52397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B803B47">
            <w:pPr>
              <w:rPr>
                <w:rFonts w:ascii="仿宋" w:hAnsi="仿宋" w:eastAsia="仿宋" w:cs="仿宋"/>
                <w:color w:val="000000"/>
                <w:sz w:val="28"/>
                <w:szCs w:val="30"/>
                <w:highlight w:val="none"/>
              </w:rPr>
            </w:pPr>
          </w:p>
        </w:tc>
        <w:tc>
          <w:tcPr>
            <w:tcW w:w="1418" w:type="dxa"/>
          </w:tcPr>
          <w:p w14:paraId="6AACBA01">
            <w:pPr>
              <w:rPr>
                <w:rFonts w:ascii="仿宋" w:hAnsi="仿宋" w:eastAsia="仿宋" w:cs="仿宋"/>
                <w:color w:val="000000"/>
                <w:sz w:val="28"/>
                <w:szCs w:val="30"/>
                <w:highlight w:val="none"/>
              </w:rPr>
            </w:pPr>
          </w:p>
        </w:tc>
        <w:tc>
          <w:tcPr>
            <w:tcW w:w="850" w:type="dxa"/>
          </w:tcPr>
          <w:p w14:paraId="0C19C0C1">
            <w:pPr>
              <w:rPr>
                <w:rFonts w:ascii="仿宋" w:hAnsi="仿宋" w:eastAsia="仿宋" w:cs="仿宋"/>
                <w:color w:val="000000"/>
                <w:sz w:val="28"/>
                <w:szCs w:val="30"/>
                <w:highlight w:val="none"/>
              </w:rPr>
            </w:pPr>
          </w:p>
        </w:tc>
        <w:tc>
          <w:tcPr>
            <w:tcW w:w="1058" w:type="dxa"/>
          </w:tcPr>
          <w:p w14:paraId="0E6EF195">
            <w:pPr>
              <w:rPr>
                <w:rFonts w:ascii="仿宋" w:hAnsi="仿宋" w:eastAsia="仿宋" w:cs="仿宋"/>
                <w:color w:val="000000"/>
                <w:sz w:val="28"/>
                <w:szCs w:val="30"/>
                <w:highlight w:val="none"/>
              </w:rPr>
            </w:pPr>
          </w:p>
        </w:tc>
        <w:tc>
          <w:tcPr>
            <w:tcW w:w="880" w:type="dxa"/>
          </w:tcPr>
          <w:p w14:paraId="23A85CFF">
            <w:pPr>
              <w:rPr>
                <w:rFonts w:ascii="仿宋" w:hAnsi="仿宋" w:eastAsia="仿宋" w:cs="仿宋"/>
                <w:color w:val="000000"/>
                <w:sz w:val="28"/>
                <w:szCs w:val="30"/>
                <w:highlight w:val="none"/>
              </w:rPr>
            </w:pPr>
          </w:p>
        </w:tc>
        <w:tc>
          <w:tcPr>
            <w:tcW w:w="1020" w:type="dxa"/>
          </w:tcPr>
          <w:p w14:paraId="64F78EEE">
            <w:pPr>
              <w:rPr>
                <w:rFonts w:ascii="仿宋" w:hAnsi="仿宋" w:eastAsia="仿宋" w:cs="仿宋"/>
                <w:color w:val="000000"/>
                <w:sz w:val="28"/>
                <w:szCs w:val="30"/>
                <w:highlight w:val="none"/>
              </w:rPr>
            </w:pPr>
          </w:p>
        </w:tc>
        <w:tc>
          <w:tcPr>
            <w:tcW w:w="1480" w:type="dxa"/>
          </w:tcPr>
          <w:p w14:paraId="62D99152">
            <w:pPr>
              <w:rPr>
                <w:rFonts w:ascii="仿宋" w:hAnsi="仿宋" w:eastAsia="仿宋" w:cs="仿宋"/>
                <w:color w:val="000000"/>
                <w:sz w:val="28"/>
                <w:szCs w:val="30"/>
                <w:highlight w:val="none"/>
              </w:rPr>
            </w:pPr>
          </w:p>
        </w:tc>
        <w:tc>
          <w:tcPr>
            <w:tcW w:w="1020" w:type="dxa"/>
          </w:tcPr>
          <w:p w14:paraId="1DC8F3EA">
            <w:pPr>
              <w:rPr>
                <w:rFonts w:ascii="仿宋" w:hAnsi="仿宋" w:eastAsia="仿宋" w:cs="仿宋"/>
                <w:color w:val="000000"/>
                <w:sz w:val="28"/>
                <w:szCs w:val="30"/>
                <w:highlight w:val="none"/>
              </w:rPr>
            </w:pPr>
          </w:p>
        </w:tc>
        <w:tc>
          <w:tcPr>
            <w:tcW w:w="921" w:type="dxa"/>
          </w:tcPr>
          <w:p w14:paraId="5EACF7EA">
            <w:pPr>
              <w:rPr>
                <w:rFonts w:ascii="仿宋" w:hAnsi="仿宋" w:eastAsia="仿宋" w:cs="仿宋"/>
                <w:color w:val="000000"/>
                <w:sz w:val="28"/>
                <w:szCs w:val="30"/>
                <w:highlight w:val="none"/>
              </w:rPr>
            </w:pPr>
          </w:p>
        </w:tc>
      </w:tr>
      <w:tr w14:paraId="3A1E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731652B">
            <w:pPr>
              <w:rPr>
                <w:rFonts w:ascii="仿宋" w:hAnsi="仿宋" w:eastAsia="仿宋" w:cs="仿宋"/>
                <w:color w:val="000000"/>
                <w:sz w:val="28"/>
                <w:szCs w:val="30"/>
                <w:highlight w:val="none"/>
              </w:rPr>
            </w:pPr>
          </w:p>
        </w:tc>
        <w:tc>
          <w:tcPr>
            <w:tcW w:w="1418" w:type="dxa"/>
          </w:tcPr>
          <w:p w14:paraId="37627B63">
            <w:pPr>
              <w:rPr>
                <w:rFonts w:ascii="仿宋" w:hAnsi="仿宋" w:eastAsia="仿宋" w:cs="仿宋"/>
                <w:color w:val="000000"/>
                <w:sz w:val="28"/>
                <w:szCs w:val="30"/>
                <w:highlight w:val="none"/>
              </w:rPr>
            </w:pPr>
          </w:p>
        </w:tc>
        <w:tc>
          <w:tcPr>
            <w:tcW w:w="850" w:type="dxa"/>
          </w:tcPr>
          <w:p w14:paraId="4195AA5C">
            <w:pPr>
              <w:rPr>
                <w:rFonts w:ascii="仿宋" w:hAnsi="仿宋" w:eastAsia="仿宋" w:cs="仿宋"/>
                <w:color w:val="000000"/>
                <w:sz w:val="28"/>
                <w:szCs w:val="30"/>
                <w:highlight w:val="none"/>
              </w:rPr>
            </w:pPr>
          </w:p>
        </w:tc>
        <w:tc>
          <w:tcPr>
            <w:tcW w:w="1058" w:type="dxa"/>
          </w:tcPr>
          <w:p w14:paraId="0309FEF4">
            <w:pPr>
              <w:rPr>
                <w:rFonts w:ascii="仿宋" w:hAnsi="仿宋" w:eastAsia="仿宋" w:cs="仿宋"/>
                <w:color w:val="000000"/>
                <w:sz w:val="28"/>
                <w:szCs w:val="30"/>
                <w:highlight w:val="none"/>
              </w:rPr>
            </w:pPr>
          </w:p>
        </w:tc>
        <w:tc>
          <w:tcPr>
            <w:tcW w:w="880" w:type="dxa"/>
          </w:tcPr>
          <w:p w14:paraId="7CA20B26">
            <w:pPr>
              <w:rPr>
                <w:rFonts w:ascii="仿宋" w:hAnsi="仿宋" w:eastAsia="仿宋" w:cs="仿宋"/>
                <w:color w:val="000000"/>
                <w:sz w:val="28"/>
                <w:szCs w:val="30"/>
                <w:highlight w:val="none"/>
              </w:rPr>
            </w:pPr>
          </w:p>
        </w:tc>
        <w:tc>
          <w:tcPr>
            <w:tcW w:w="1020" w:type="dxa"/>
          </w:tcPr>
          <w:p w14:paraId="7A1DC53B">
            <w:pPr>
              <w:rPr>
                <w:rFonts w:ascii="仿宋" w:hAnsi="仿宋" w:eastAsia="仿宋" w:cs="仿宋"/>
                <w:color w:val="000000"/>
                <w:sz w:val="28"/>
                <w:szCs w:val="30"/>
                <w:highlight w:val="none"/>
              </w:rPr>
            </w:pPr>
          </w:p>
        </w:tc>
        <w:tc>
          <w:tcPr>
            <w:tcW w:w="1480" w:type="dxa"/>
          </w:tcPr>
          <w:p w14:paraId="23A93C86">
            <w:pPr>
              <w:rPr>
                <w:rFonts w:ascii="仿宋" w:hAnsi="仿宋" w:eastAsia="仿宋" w:cs="仿宋"/>
                <w:color w:val="000000"/>
                <w:sz w:val="28"/>
                <w:szCs w:val="30"/>
                <w:highlight w:val="none"/>
              </w:rPr>
            </w:pPr>
          </w:p>
        </w:tc>
        <w:tc>
          <w:tcPr>
            <w:tcW w:w="1020" w:type="dxa"/>
          </w:tcPr>
          <w:p w14:paraId="695ED86E">
            <w:pPr>
              <w:rPr>
                <w:rFonts w:ascii="仿宋" w:hAnsi="仿宋" w:eastAsia="仿宋" w:cs="仿宋"/>
                <w:color w:val="000000"/>
                <w:sz w:val="28"/>
                <w:szCs w:val="30"/>
                <w:highlight w:val="none"/>
              </w:rPr>
            </w:pPr>
          </w:p>
        </w:tc>
        <w:tc>
          <w:tcPr>
            <w:tcW w:w="921" w:type="dxa"/>
          </w:tcPr>
          <w:p w14:paraId="6402C2DF">
            <w:pPr>
              <w:rPr>
                <w:rFonts w:ascii="仿宋" w:hAnsi="仿宋" w:eastAsia="仿宋" w:cs="仿宋"/>
                <w:color w:val="000000"/>
                <w:sz w:val="28"/>
                <w:szCs w:val="30"/>
                <w:highlight w:val="none"/>
              </w:rPr>
            </w:pPr>
          </w:p>
        </w:tc>
      </w:tr>
      <w:tr w14:paraId="11E1B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922EE65">
            <w:pPr>
              <w:rPr>
                <w:rFonts w:ascii="仿宋" w:hAnsi="仿宋" w:eastAsia="仿宋" w:cs="仿宋"/>
                <w:color w:val="000000"/>
                <w:sz w:val="28"/>
                <w:szCs w:val="30"/>
                <w:highlight w:val="none"/>
              </w:rPr>
            </w:pPr>
          </w:p>
        </w:tc>
        <w:tc>
          <w:tcPr>
            <w:tcW w:w="1418" w:type="dxa"/>
          </w:tcPr>
          <w:p w14:paraId="6001540C">
            <w:pPr>
              <w:rPr>
                <w:rFonts w:ascii="仿宋" w:hAnsi="仿宋" w:eastAsia="仿宋" w:cs="仿宋"/>
                <w:color w:val="000000"/>
                <w:sz w:val="28"/>
                <w:szCs w:val="30"/>
                <w:highlight w:val="none"/>
              </w:rPr>
            </w:pPr>
          </w:p>
        </w:tc>
        <w:tc>
          <w:tcPr>
            <w:tcW w:w="850" w:type="dxa"/>
          </w:tcPr>
          <w:p w14:paraId="70588B40">
            <w:pPr>
              <w:rPr>
                <w:rFonts w:ascii="仿宋" w:hAnsi="仿宋" w:eastAsia="仿宋" w:cs="仿宋"/>
                <w:color w:val="000000"/>
                <w:sz w:val="28"/>
                <w:szCs w:val="30"/>
                <w:highlight w:val="none"/>
              </w:rPr>
            </w:pPr>
          </w:p>
        </w:tc>
        <w:tc>
          <w:tcPr>
            <w:tcW w:w="1058" w:type="dxa"/>
          </w:tcPr>
          <w:p w14:paraId="0501FDED">
            <w:pPr>
              <w:rPr>
                <w:rFonts w:ascii="仿宋" w:hAnsi="仿宋" w:eastAsia="仿宋" w:cs="仿宋"/>
                <w:color w:val="000000"/>
                <w:sz w:val="28"/>
                <w:szCs w:val="30"/>
                <w:highlight w:val="none"/>
              </w:rPr>
            </w:pPr>
          </w:p>
        </w:tc>
        <w:tc>
          <w:tcPr>
            <w:tcW w:w="880" w:type="dxa"/>
          </w:tcPr>
          <w:p w14:paraId="106B018C">
            <w:pPr>
              <w:rPr>
                <w:rFonts w:ascii="仿宋" w:hAnsi="仿宋" w:eastAsia="仿宋" w:cs="仿宋"/>
                <w:color w:val="000000"/>
                <w:sz w:val="28"/>
                <w:szCs w:val="30"/>
                <w:highlight w:val="none"/>
              </w:rPr>
            </w:pPr>
          </w:p>
        </w:tc>
        <w:tc>
          <w:tcPr>
            <w:tcW w:w="1020" w:type="dxa"/>
          </w:tcPr>
          <w:p w14:paraId="3672B936">
            <w:pPr>
              <w:rPr>
                <w:rFonts w:ascii="仿宋" w:hAnsi="仿宋" w:eastAsia="仿宋" w:cs="仿宋"/>
                <w:color w:val="000000"/>
                <w:sz w:val="28"/>
                <w:szCs w:val="30"/>
                <w:highlight w:val="none"/>
              </w:rPr>
            </w:pPr>
          </w:p>
        </w:tc>
        <w:tc>
          <w:tcPr>
            <w:tcW w:w="1480" w:type="dxa"/>
          </w:tcPr>
          <w:p w14:paraId="5DB271BC">
            <w:pPr>
              <w:rPr>
                <w:rFonts w:ascii="仿宋" w:hAnsi="仿宋" w:eastAsia="仿宋" w:cs="仿宋"/>
                <w:color w:val="000000"/>
                <w:sz w:val="28"/>
                <w:szCs w:val="30"/>
                <w:highlight w:val="none"/>
              </w:rPr>
            </w:pPr>
          </w:p>
        </w:tc>
        <w:tc>
          <w:tcPr>
            <w:tcW w:w="1020" w:type="dxa"/>
          </w:tcPr>
          <w:p w14:paraId="4018719C">
            <w:pPr>
              <w:rPr>
                <w:rFonts w:ascii="仿宋" w:hAnsi="仿宋" w:eastAsia="仿宋" w:cs="仿宋"/>
                <w:color w:val="000000"/>
                <w:sz w:val="28"/>
                <w:szCs w:val="30"/>
                <w:highlight w:val="none"/>
              </w:rPr>
            </w:pPr>
          </w:p>
        </w:tc>
        <w:tc>
          <w:tcPr>
            <w:tcW w:w="921" w:type="dxa"/>
          </w:tcPr>
          <w:p w14:paraId="40C256FF">
            <w:pPr>
              <w:rPr>
                <w:rFonts w:ascii="仿宋" w:hAnsi="仿宋" w:eastAsia="仿宋" w:cs="仿宋"/>
                <w:color w:val="000000"/>
                <w:sz w:val="28"/>
                <w:szCs w:val="30"/>
                <w:highlight w:val="none"/>
              </w:rPr>
            </w:pPr>
          </w:p>
        </w:tc>
      </w:tr>
    </w:tbl>
    <w:p w14:paraId="45FEDF2F">
      <w:pPr>
        <w:spacing w:line="440" w:lineRule="exac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附</w:t>
      </w:r>
      <w:bookmarkStart w:id="1445" w:name="_Toc296503228"/>
      <w:bookmarkStart w:id="1446" w:name="_Toc296891056"/>
      <w:bookmarkStart w:id="1447" w:name="_Toc296346729"/>
      <w:bookmarkStart w:id="1448" w:name="_Toc296891268"/>
      <w:bookmarkStart w:id="1449" w:name="_Toc296944567"/>
      <w:bookmarkStart w:id="1450" w:name="_Toc296347227"/>
      <w:bookmarkStart w:id="1451" w:name="_Toc267261699"/>
      <w:r>
        <w:rPr>
          <w:rFonts w:hint="eastAsia" w:ascii="仿宋" w:hAnsi="仿宋" w:eastAsia="仿宋" w:cs="仿宋"/>
          <w:color w:val="000000"/>
          <w:sz w:val="28"/>
          <w:szCs w:val="30"/>
          <w:highlight w:val="none"/>
        </w:rPr>
        <w:t>件3：</w:t>
      </w:r>
    </w:p>
    <w:bookmarkEnd w:id="1445"/>
    <w:bookmarkEnd w:id="1446"/>
    <w:bookmarkEnd w:id="1447"/>
    <w:bookmarkEnd w:id="1448"/>
    <w:bookmarkEnd w:id="1449"/>
    <w:bookmarkEnd w:id="1450"/>
    <w:bookmarkEnd w:id="1451"/>
    <w:p w14:paraId="200B7D03">
      <w:pPr>
        <w:adjustRightInd w:val="0"/>
        <w:snapToGrid w:val="0"/>
        <w:spacing w:line="580" w:lineRule="exact"/>
        <w:jc w:val="center"/>
        <w:rPr>
          <w:rFonts w:ascii="仿宋" w:hAnsi="仿宋" w:eastAsia="仿宋" w:cs="仿宋"/>
          <w:b/>
          <w:kern w:val="0"/>
          <w:sz w:val="28"/>
          <w:szCs w:val="30"/>
          <w:highlight w:val="none"/>
        </w:rPr>
      </w:pPr>
      <w:r>
        <w:rPr>
          <w:rFonts w:hint="eastAsia" w:ascii="仿宋" w:hAnsi="仿宋" w:eastAsia="仿宋" w:cs="仿宋"/>
          <w:color w:val="000000"/>
          <w:sz w:val="28"/>
          <w:szCs w:val="30"/>
          <w:highlight w:val="none"/>
        </w:rPr>
        <w:t>承包人主要施工管理人员表</w:t>
      </w:r>
      <w:r>
        <w:rPr>
          <w:rFonts w:hint="eastAsia" w:ascii="仿宋" w:hAnsi="仿宋" w:eastAsia="仿宋" w:cs="仿宋"/>
          <w:b/>
          <w:kern w:val="0"/>
          <w:sz w:val="28"/>
          <w:szCs w:val="30"/>
          <w:highlight w:val="none"/>
        </w:rPr>
        <w:t>（必填）</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7640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BC2C7ED">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名    称</w:t>
            </w:r>
          </w:p>
        </w:tc>
        <w:tc>
          <w:tcPr>
            <w:tcW w:w="1418" w:type="dxa"/>
            <w:tcBorders>
              <w:top w:val="single" w:color="auto" w:sz="12" w:space="0"/>
              <w:bottom w:val="double" w:color="auto" w:sz="6" w:space="0"/>
            </w:tcBorders>
            <w:vAlign w:val="center"/>
          </w:tcPr>
          <w:p w14:paraId="5E23E2FB">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姓名</w:t>
            </w:r>
          </w:p>
        </w:tc>
        <w:tc>
          <w:tcPr>
            <w:tcW w:w="1134" w:type="dxa"/>
            <w:tcBorders>
              <w:top w:val="single" w:color="auto" w:sz="12" w:space="0"/>
              <w:bottom w:val="double" w:color="auto" w:sz="6" w:space="0"/>
            </w:tcBorders>
            <w:vAlign w:val="center"/>
          </w:tcPr>
          <w:p w14:paraId="1E4DF3D8">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职务</w:t>
            </w:r>
          </w:p>
        </w:tc>
        <w:tc>
          <w:tcPr>
            <w:tcW w:w="1134" w:type="dxa"/>
            <w:tcBorders>
              <w:top w:val="single" w:color="auto" w:sz="12" w:space="0"/>
              <w:bottom w:val="double" w:color="auto" w:sz="6" w:space="0"/>
            </w:tcBorders>
            <w:vAlign w:val="center"/>
          </w:tcPr>
          <w:p w14:paraId="752A10AC">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职称</w:t>
            </w:r>
          </w:p>
        </w:tc>
        <w:tc>
          <w:tcPr>
            <w:tcW w:w="4252" w:type="dxa"/>
            <w:tcBorders>
              <w:top w:val="single" w:color="auto" w:sz="12" w:space="0"/>
              <w:bottom w:val="double" w:color="auto" w:sz="6" w:space="0"/>
            </w:tcBorders>
            <w:vAlign w:val="center"/>
          </w:tcPr>
          <w:p w14:paraId="2F9721B4">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主要资历、经验及承担过的项目</w:t>
            </w:r>
          </w:p>
        </w:tc>
      </w:tr>
      <w:tr w14:paraId="2F871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2BAE4C7">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一、总部人员</w:t>
            </w:r>
          </w:p>
        </w:tc>
      </w:tr>
      <w:tr w14:paraId="05F73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610F1DF">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项目主管</w:t>
            </w:r>
          </w:p>
        </w:tc>
        <w:tc>
          <w:tcPr>
            <w:tcW w:w="1418" w:type="dxa"/>
            <w:tcBorders>
              <w:top w:val="nil"/>
            </w:tcBorders>
            <w:vAlign w:val="center"/>
          </w:tcPr>
          <w:p w14:paraId="2C7E0B49">
            <w:pPr>
              <w:pStyle w:val="23"/>
              <w:keepNext/>
              <w:spacing w:line="440" w:lineRule="exact"/>
              <w:ind w:left="63" w:right="63"/>
              <w:rPr>
                <w:rFonts w:ascii="仿宋" w:hAnsi="仿宋" w:eastAsia="仿宋" w:cs="仿宋"/>
                <w:color w:val="000000"/>
                <w:sz w:val="24"/>
                <w:szCs w:val="30"/>
                <w:highlight w:val="none"/>
              </w:rPr>
            </w:pPr>
          </w:p>
        </w:tc>
        <w:tc>
          <w:tcPr>
            <w:tcW w:w="1134" w:type="dxa"/>
            <w:tcBorders>
              <w:top w:val="nil"/>
            </w:tcBorders>
            <w:vAlign w:val="center"/>
          </w:tcPr>
          <w:p w14:paraId="4F6D284C">
            <w:pPr>
              <w:pStyle w:val="23"/>
              <w:keepNext/>
              <w:spacing w:line="440" w:lineRule="exact"/>
              <w:ind w:left="63" w:right="63"/>
              <w:rPr>
                <w:rFonts w:ascii="仿宋" w:hAnsi="仿宋" w:eastAsia="仿宋" w:cs="仿宋"/>
                <w:color w:val="000000"/>
                <w:sz w:val="28"/>
                <w:szCs w:val="30"/>
                <w:highlight w:val="none"/>
              </w:rPr>
            </w:pPr>
          </w:p>
        </w:tc>
        <w:tc>
          <w:tcPr>
            <w:tcW w:w="1134" w:type="dxa"/>
            <w:tcBorders>
              <w:top w:val="nil"/>
            </w:tcBorders>
            <w:vAlign w:val="center"/>
          </w:tcPr>
          <w:p w14:paraId="584FF633">
            <w:pPr>
              <w:pStyle w:val="23"/>
              <w:keepNext/>
              <w:spacing w:line="440" w:lineRule="exact"/>
              <w:ind w:left="63" w:right="63"/>
              <w:rPr>
                <w:rFonts w:ascii="仿宋" w:hAnsi="仿宋" w:eastAsia="仿宋" w:cs="仿宋"/>
                <w:color w:val="000000"/>
                <w:sz w:val="28"/>
                <w:szCs w:val="30"/>
                <w:highlight w:val="none"/>
              </w:rPr>
            </w:pPr>
          </w:p>
        </w:tc>
        <w:tc>
          <w:tcPr>
            <w:tcW w:w="4252" w:type="dxa"/>
            <w:tcBorders>
              <w:top w:val="nil"/>
            </w:tcBorders>
            <w:vAlign w:val="center"/>
          </w:tcPr>
          <w:p w14:paraId="704C981C">
            <w:pPr>
              <w:pStyle w:val="23"/>
              <w:keepNext/>
              <w:spacing w:line="440" w:lineRule="exact"/>
              <w:ind w:left="63" w:right="63"/>
              <w:rPr>
                <w:rFonts w:ascii="仿宋" w:hAnsi="仿宋" w:eastAsia="仿宋" w:cs="仿宋"/>
                <w:color w:val="000000"/>
                <w:sz w:val="28"/>
                <w:szCs w:val="30"/>
                <w:highlight w:val="none"/>
              </w:rPr>
            </w:pPr>
          </w:p>
        </w:tc>
      </w:tr>
      <w:tr w14:paraId="0D49A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77822B5">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606533A0">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3E5F8B24">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069D93A0">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7817AE61">
            <w:pPr>
              <w:pStyle w:val="23"/>
              <w:keepNext/>
              <w:spacing w:line="440" w:lineRule="exact"/>
              <w:ind w:left="63" w:right="63"/>
              <w:rPr>
                <w:rFonts w:ascii="仿宋" w:hAnsi="仿宋" w:eastAsia="仿宋" w:cs="仿宋"/>
                <w:color w:val="000000"/>
                <w:sz w:val="28"/>
                <w:szCs w:val="30"/>
                <w:highlight w:val="none"/>
              </w:rPr>
            </w:pPr>
          </w:p>
        </w:tc>
      </w:tr>
      <w:tr w14:paraId="7653B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20AD2A6">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其他人员</w:t>
            </w:r>
          </w:p>
        </w:tc>
        <w:tc>
          <w:tcPr>
            <w:tcW w:w="1418" w:type="dxa"/>
            <w:vAlign w:val="center"/>
          </w:tcPr>
          <w:p w14:paraId="2E72BC67">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6B9E0AB">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2E989B9F">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030CA891">
            <w:pPr>
              <w:pStyle w:val="23"/>
              <w:keepNext/>
              <w:spacing w:line="440" w:lineRule="exact"/>
              <w:ind w:left="63" w:right="63"/>
              <w:rPr>
                <w:rFonts w:ascii="仿宋" w:hAnsi="仿宋" w:eastAsia="仿宋" w:cs="仿宋"/>
                <w:color w:val="000000"/>
                <w:sz w:val="28"/>
                <w:szCs w:val="30"/>
                <w:highlight w:val="none"/>
              </w:rPr>
            </w:pPr>
          </w:p>
        </w:tc>
      </w:tr>
      <w:tr w14:paraId="1BB2D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C1443AE">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2A183D2F">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18FB1455">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3CB03043">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7E496960">
            <w:pPr>
              <w:pStyle w:val="23"/>
              <w:keepNext/>
              <w:spacing w:line="440" w:lineRule="exact"/>
              <w:ind w:left="63" w:right="63"/>
              <w:rPr>
                <w:rFonts w:ascii="仿宋" w:hAnsi="仿宋" w:eastAsia="仿宋" w:cs="仿宋"/>
                <w:color w:val="000000"/>
                <w:sz w:val="28"/>
                <w:szCs w:val="30"/>
                <w:highlight w:val="none"/>
              </w:rPr>
            </w:pPr>
          </w:p>
        </w:tc>
      </w:tr>
      <w:tr w14:paraId="78689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23E3537">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二、现场人员</w:t>
            </w:r>
          </w:p>
        </w:tc>
      </w:tr>
      <w:tr w14:paraId="3058F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33CE22">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项目经理</w:t>
            </w:r>
          </w:p>
        </w:tc>
        <w:tc>
          <w:tcPr>
            <w:tcW w:w="1418" w:type="dxa"/>
            <w:vAlign w:val="center"/>
          </w:tcPr>
          <w:p w14:paraId="6AD082BA">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71A2C6D">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14C95AD">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51B23368">
            <w:pPr>
              <w:pStyle w:val="23"/>
              <w:keepNext/>
              <w:spacing w:line="440" w:lineRule="exact"/>
              <w:ind w:left="63" w:right="63"/>
              <w:rPr>
                <w:rFonts w:ascii="仿宋" w:hAnsi="仿宋" w:eastAsia="仿宋" w:cs="仿宋"/>
                <w:color w:val="000000"/>
                <w:sz w:val="28"/>
                <w:szCs w:val="30"/>
                <w:highlight w:val="none"/>
              </w:rPr>
            </w:pPr>
          </w:p>
        </w:tc>
      </w:tr>
      <w:tr w14:paraId="708EB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64A91D">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项目副经理</w:t>
            </w:r>
          </w:p>
        </w:tc>
        <w:tc>
          <w:tcPr>
            <w:tcW w:w="1418" w:type="dxa"/>
            <w:vAlign w:val="center"/>
          </w:tcPr>
          <w:p w14:paraId="4AB66E46">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4F3E4E77">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0F58E198">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0CA6B7C8">
            <w:pPr>
              <w:pStyle w:val="23"/>
              <w:keepNext/>
              <w:spacing w:line="440" w:lineRule="exact"/>
              <w:ind w:left="63" w:right="63"/>
              <w:rPr>
                <w:rFonts w:ascii="仿宋" w:hAnsi="仿宋" w:eastAsia="仿宋" w:cs="仿宋"/>
                <w:color w:val="000000"/>
                <w:sz w:val="28"/>
                <w:szCs w:val="30"/>
                <w:highlight w:val="none"/>
              </w:rPr>
            </w:pPr>
          </w:p>
        </w:tc>
      </w:tr>
      <w:tr w14:paraId="0374B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8C6F6C">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技术负责人</w:t>
            </w:r>
          </w:p>
        </w:tc>
        <w:tc>
          <w:tcPr>
            <w:tcW w:w="1418" w:type="dxa"/>
            <w:vAlign w:val="center"/>
          </w:tcPr>
          <w:p w14:paraId="2D59A35B">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66402B38">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32933A3E">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6E4AB48C">
            <w:pPr>
              <w:pStyle w:val="23"/>
              <w:keepNext/>
              <w:spacing w:line="440" w:lineRule="exact"/>
              <w:ind w:left="63" w:right="63"/>
              <w:rPr>
                <w:rFonts w:ascii="仿宋" w:hAnsi="仿宋" w:eastAsia="仿宋" w:cs="仿宋"/>
                <w:color w:val="000000"/>
                <w:sz w:val="28"/>
                <w:szCs w:val="30"/>
                <w:highlight w:val="none"/>
              </w:rPr>
            </w:pPr>
          </w:p>
        </w:tc>
      </w:tr>
      <w:tr w14:paraId="77224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9549AD">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造价管理</w:t>
            </w:r>
          </w:p>
        </w:tc>
        <w:tc>
          <w:tcPr>
            <w:tcW w:w="1418" w:type="dxa"/>
            <w:vAlign w:val="center"/>
          </w:tcPr>
          <w:p w14:paraId="4C4A765B">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6B2E259">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E3369BB">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121F30A1">
            <w:pPr>
              <w:pStyle w:val="23"/>
              <w:keepNext/>
              <w:spacing w:line="440" w:lineRule="exact"/>
              <w:ind w:left="63" w:right="63"/>
              <w:rPr>
                <w:rFonts w:ascii="仿宋" w:hAnsi="仿宋" w:eastAsia="仿宋" w:cs="仿宋"/>
                <w:color w:val="000000"/>
                <w:sz w:val="28"/>
                <w:szCs w:val="30"/>
                <w:highlight w:val="none"/>
              </w:rPr>
            </w:pPr>
          </w:p>
        </w:tc>
      </w:tr>
      <w:tr w14:paraId="3109A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4333BB">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质量管理</w:t>
            </w:r>
          </w:p>
        </w:tc>
        <w:tc>
          <w:tcPr>
            <w:tcW w:w="1418" w:type="dxa"/>
            <w:vAlign w:val="center"/>
          </w:tcPr>
          <w:p w14:paraId="3B92C642">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3CCACC41">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A1AC9E5">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D201690">
            <w:pPr>
              <w:pStyle w:val="23"/>
              <w:keepNext/>
              <w:spacing w:line="440" w:lineRule="exact"/>
              <w:ind w:left="63" w:right="63"/>
              <w:rPr>
                <w:rFonts w:ascii="仿宋" w:hAnsi="仿宋" w:eastAsia="仿宋" w:cs="仿宋"/>
                <w:color w:val="000000"/>
                <w:sz w:val="28"/>
                <w:szCs w:val="30"/>
                <w:highlight w:val="none"/>
              </w:rPr>
            </w:pPr>
          </w:p>
        </w:tc>
      </w:tr>
      <w:tr w14:paraId="17089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694418">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材料管理</w:t>
            </w:r>
          </w:p>
        </w:tc>
        <w:tc>
          <w:tcPr>
            <w:tcW w:w="1418" w:type="dxa"/>
            <w:vAlign w:val="center"/>
          </w:tcPr>
          <w:p w14:paraId="17363F97">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D95BAC0">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A926E60">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E3A32D8">
            <w:pPr>
              <w:pStyle w:val="23"/>
              <w:keepNext/>
              <w:spacing w:line="440" w:lineRule="exact"/>
              <w:ind w:left="63" w:right="63"/>
              <w:rPr>
                <w:rFonts w:ascii="仿宋" w:hAnsi="仿宋" w:eastAsia="仿宋" w:cs="仿宋"/>
                <w:color w:val="000000"/>
                <w:sz w:val="28"/>
                <w:szCs w:val="30"/>
                <w:highlight w:val="none"/>
              </w:rPr>
            </w:pPr>
          </w:p>
        </w:tc>
      </w:tr>
      <w:tr w14:paraId="66749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161221">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计划管理</w:t>
            </w:r>
          </w:p>
        </w:tc>
        <w:tc>
          <w:tcPr>
            <w:tcW w:w="1418" w:type="dxa"/>
            <w:vAlign w:val="center"/>
          </w:tcPr>
          <w:p w14:paraId="39EB7489">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65FA539A">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B5A60C6">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98A7D18">
            <w:pPr>
              <w:pStyle w:val="23"/>
              <w:keepNext/>
              <w:spacing w:line="440" w:lineRule="exact"/>
              <w:ind w:left="63" w:right="63"/>
              <w:rPr>
                <w:rFonts w:ascii="仿宋" w:hAnsi="仿宋" w:eastAsia="仿宋" w:cs="仿宋"/>
                <w:color w:val="000000"/>
                <w:sz w:val="28"/>
                <w:szCs w:val="30"/>
                <w:highlight w:val="none"/>
              </w:rPr>
            </w:pPr>
          </w:p>
        </w:tc>
      </w:tr>
      <w:tr w14:paraId="278E8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CBC99C8">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安全管理</w:t>
            </w:r>
          </w:p>
        </w:tc>
        <w:tc>
          <w:tcPr>
            <w:tcW w:w="1418" w:type="dxa"/>
            <w:vAlign w:val="center"/>
          </w:tcPr>
          <w:p w14:paraId="24657E28">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385DD1DA">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E303B3F">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C85A4D2">
            <w:pPr>
              <w:pStyle w:val="23"/>
              <w:keepNext/>
              <w:spacing w:line="440" w:lineRule="exact"/>
              <w:ind w:left="63" w:right="63"/>
              <w:rPr>
                <w:rFonts w:ascii="仿宋" w:hAnsi="仿宋" w:eastAsia="仿宋" w:cs="仿宋"/>
                <w:color w:val="000000"/>
                <w:sz w:val="28"/>
                <w:szCs w:val="30"/>
                <w:highlight w:val="none"/>
              </w:rPr>
            </w:pPr>
          </w:p>
        </w:tc>
      </w:tr>
      <w:tr w14:paraId="3C2B5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67F3C8A">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其他人员</w:t>
            </w:r>
          </w:p>
        </w:tc>
        <w:tc>
          <w:tcPr>
            <w:tcW w:w="1418" w:type="dxa"/>
            <w:vAlign w:val="center"/>
          </w:tcPr>
          <w:p w14:paraId="5435A10D">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261CEA19">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6E392825">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96935F4">
            <w:pPr>
              <w:pStyle w:val="23"/>
              <w:keepNext/>
              <w:spacing w:line="440" w:lineRule="exact"/>
              <w:ind w:left="63" w:right="63"/>
              <w:rPr>
                <w:rFonts w:ascii="仿宋" w:hAnsi="仿宋" w:eastAsia="仿宋" w:cs="仿宋"/>
                <w:color w:val="000000"/>
                <w:sz w:val="28"/>
                <w:szCs w:val="30"/>
                <w:highlight w:val="none"/>
              </w:rPr>
            </w:pPr>
          </w:p>
        </w:tc>
      </w:tr>
      <w:tr w14:paraId="67D81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5104589">
            <w:pPr>
              <w:pStyle w:val="23"/>
              <w:keepNext/>
              <w:spacing w:line="440" w:lineRule="exact"/>
              <w:ind w:left="63" w:right="63"/>
              <w:rPr>
                <w:rFonts w:ascii="仿宋" w:hAnsi="仿宋" w:eastAsia="仿宋" w:cs="仿宋"/>
                <w:color w:val="000000"/>
                <w:sz w:val="24"/>
                <w:szCs w:val="30"/>
                <w:highlight w:val="none"/>
              </w:rPr>
            </w:pPr>
          </w:p>
        </w:tc>
        <w:tc>
          <w:tcPr>
            <w:tcW w:w="1418" w:type="dxa"/>
            <w:tcBorders>
              <w:bottom w:val="nil"/>
            </w:tcBorders>
            <w:vAlign w:val="center"/>
          </w:tcPr>
          <w:p w14:paraId="186DD5BA">
            <w:pPr>
              <w:pStyle w:val="23"/>
              <w:keepNext/>
              <w:spacing w:line="440" w:lineRule="exact"/>
              <w:ind w:left="63" w:right="63"/>
              <w:rPr>
                <w:rFonts w:ascii="仿宋" w:hAnsi="仿宋" w:eastAsia="仿宋" w:cs="仿宋"/>
                <w:color w:val="000000"/>
                <w:sz w:val="24"/>
                <w:szCs w:val="30"/>
                <w:highlight w:val="none"/>
              </w:rPr>
            </w:pPr>
          </w:p>
        </w:tc>
        <w:tc>
          <w:tcPr>
            <w:tcW w:w="1134" w:type="dxa"/>
            <w:tcBorders>
              <w:bottom w:val="nil"/>
            </w:tcBorders>
            <w:vAlign w:val="center"/>
          </w:tcPr>
          <w:p w14:paraId="328F8440">
            <w:pPr>
              <w:pStyle w:val="23"/>
              <w:keepNext/>
              <w:spacing w:line="440" w:lineRule="exact"/>
              <w:ind w:left="63" w:right="63"/>
              <w:rPr>
                <w:rFonts w:ascii="仿宋" w:hAnsi="仿宋" w:eastAsia="仿宋" w:cs="仿宋"/>
                <w:color w:val="000000"/>
                <w:sz w:val="28"/>
                <w:szCs w:val="30"/>
                <w:highlight w:val="none"/>
              </w:rPr>
            </w:pPr>
          </w:p>
        </w:tc>
        <w:tc>
          <w:tcPr>
            <w:tcW w:w="1134" w:type="dxa"/>
            <w:tcBorders>
              <w:bottom w:val="nil"/>
            </w:tcBorders>
            <w:vAlign w:val="center"/>
          </w:tcPr>
          <w:p w14:paraId="3B62D44E">
            <w:pPr>
              <w:pStyle w:val="23"/>
              <w:keepNext/>
              <w:spacing w:line="440" w:lineRule="exact"/>
              <w:ind w:left="63" w:right="63"/>
              <w:rPr>
                <w:rFonts w:ascii="仿宋" w:hAnsi="仿宋" w:eastAsia="仿宋" w:cs="仿宋"/>
                <w:color w:val="000000"/>
                <w:sz w:val="28"/>
                <w:szCs w:val="30"/>
                <w:highlight w:val="none"/>
              </w:rPr>
            </w:pPr>
          </w:p>
        </w:tc>
        <w:tc>
          <w:tcPr>
            <w:tcW w:w="4252" w:type="dxa"/>
            <w:tcBorders>
              <w:bottom w:val="nil"/>
            </w:tcBorders>
            <w:vAlign w:val="center"/>
          </w:tcPr>
          <w:p w14:paraId="1466EF9C">
            <w:pPr>
              <w:pStyle w:val="23"/>
              <w:keepNext/>
              <w:spacing w:line="440" w:lineRule="exact"/>
              <w:ind w:left="63" w:right="63"/>
              <w:rPr>
                <w:rFonts w:ascii="仿宋" w:hAnsi="仿宋" w:eastAsia="仿宋" w:cs="仿宋"/>
                <w:color w:val="000000"/>
                <w:sz w:val="28"/>
                <w:szCs w:val="30"/>
                <w:highlight w:val="none"/>
              </w:rPr>
            </w:pPr>
          </w:p>
        </w:tc>
      </w:tr>
      <w:tr w14:paraId="5326C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1D48521">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30EA93F0">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212F11E9">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4A0DFBDA">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24FFF23">
            <w:pPr>
              <w:pStyle w:val="23"/>
              <w:keepNext/>
              <w:spacing w:line="440" w:lineRule="exact"/>
              <w:ind w:left="63" w:right="63"/>
              <w:rPr>
                <w:rFonts w:ascii="仿宋" w:hAnsi="仿宋" w:eastAsia="仿宋" w:cs="仿宋"/>
                <w:color w:val="000000"/>
                <w:sz w:val="28"/>
                <w:szCs w:val="30"/>
                <w:highlight w:val="none"/>
              </w:rPr>
            </w:pPr>
          </w:p>
        </w:tc>
      </w:tr>
      <w:tr w14:paraId="3FA71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C1CE06">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7269274F">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26A32E5E">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D23AFD9">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2760AE6">
            <w:pPr>
              <w:pStyle w:val="23"/>
              <w:keepNext/>
              <w:spacing w:line="440" w:lineRule="exact"/>
              <w:ind w:left="63" w:right="63"/>
              <w:rPr>
                <w:rFonts w:ascii="仿宋" w:hAnsi="仿宋" w:eastAsia="仿宋" w:cs="仿宋"/>
                <w:color w:val="000000"/>
                <w:sz w:val="28"/>
                <w:szCs w:val="30"/>
                <w:highlight w:val="none"/>
              </w:rPr>
            </w:pPr>
          </w:p>
        </w:tc>
      </w:tr>
      <w:tr w14:paraId="4F570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9D22EA">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6A521DD9">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4BB6F1D4">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3584607A">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E045E79">
            <w:pPr>
              <w:pStyle w:val="23"/>
              <w:keepNext/>
              <w:spacing w:line="440" w:lineRule="exact"/>
              <w:ind w:left="63" w:right="63"/>
              <w:rPr>
                <w:rFonts w:ascii="仿宋" w:hAnsi="仿宋" w:eastAsia="仿宋" w:cs="仿宋"/>
                <w:color w:val="000000"/>
                <w:sz w:val="28"/>
                <w:szCs w:val="30"/>
                <w:highlight w:val="none"/>
              </w:rPr>
            </w:pPr>
          </w:p>
        </w:tc>
      </w:tr>
      <w:tr w14:paraId="5EA45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C695999">
            <w:pPr>
              <w:pStyle w:val="23"/>
              <w:keepNext/>
              <w:spacing w:line="440" w:lineRule="exact"/>
              <w:ind w:left="63" w:right="63"/>
              <w:rPr>
                <w:rFonts w:ascii="仿宋" w:hAnsi="仿宋" w:eastAsia="仿宋" w:cs="仿宋"/>
                <w:color w:val="000000"/>
                <w:sz w:val="24"/>
                <w:szCs w:val="30"/>
                <w:highlight w:val="none"/>
              </w:rPr>
            </w:pPr>
          </w:p>
        </w:tc>
        <w:tc>
          <w:tcPr>
            <w:tcW w:w="1418" w:type="dxa"/>
            <w:tcBorders>
              <w:bottom w:val="single" w:color="auto" w:sz="12" w:space="0"/>
            </w:tcBorders>
            <w:vAlign w:val="center"/>
          </w:tcPr>
          <w:p w14:paraId="37867E15">
            <w:pPr>
              <w:pStyle w:val="23"/>
              <w:keepNext/>
              <w:spacing w:line="440" w:lineRule="exact"/>
              <w:ind w:left="63" w:right="63"/>
              <w:rPr>
                <w:rFonts w:ascii="仿宋" w:hAnsi="仿宋" w:eastAsia="仿宋" w:cs="仿宋"/>
                <w:color w:val="000000"/>
                <w:sz w:val="24"/>
                <w:szCs w:val="30"/>
                <w:highlight w:val="none"/>
              </w:rPr>
            </w:pPr>
          </w:p>
        </w:tc>
        <w:tc>
          <w:tcPr>
            <w:tcW w:w="1134" w:type="dxa"/>
            <w:tcBorders>
              <w:bottom w:val="single" w:color="auto" w:sz="12" w:space="0"/>
            </w:tcBorders>
            <w:vAlign w:val="center"/>
          </w:tcPr>
          <w:p w14:paraId="78088B0B">
            <w:pPr>
              <w:pStyle w:val="23"/>
              <w:keepNext/>
              <w:spacing w:line="440" w:lineRule="exact"/>
              <w:ind w:left="63" w:right="63"/>
              <w:rPr>
                <w:rFonts w:ascii="仿宋" w:hAnsi="仿宋" w:eastAsia="仿宋" w:cs="仿宋"/>
                <w:color w:val="000000"/>
                <w:sz w:val="28"/>
                <w:szCs w:val="30"/>
                <w:highlight w:val="none"/>
              </w:rPr>
            </w:pPr>
          </w:p>
        </w:tc>
        <w:tc>
          <w:tcPr>
            <w:tcW w:w="1134" w:type="dxa"/>
            <w:tcBorders>
              <w:bottom w:val="single" w:color="auto" w:sz="12" w:space="0"/>
            </w:tcBorders>
            <w:vAlign w:val="center"/>
          </w:tcPr>
          <w:p w14:paraId="7CAC50DD">
            <w:pPr>
              <w:pStyle w:val="23"/>
              <w:keepNext/>
              <w:spacing w:line="440" w:lineRule="exact"/>
              <w:ind w:left="63" w:right="63"/>
              <w:rPr>
                <w:rFonts w:ascii="仿宋" w:hAnsi="仿宋" w:eastAsia="仿宋" w:cs="仿宋"/>
                <w:color w:val="000000"/>
                <w:sz w:val="28"/>
                <w:szCs w:val="30"/>
                <w:highlight w:val="none"/>
              </w:rPr>
            </w:pPr>
          </w:p>
        </w:tc>
        <w:tc>
          <w:tcPr>
            <w:tcW w:w="4252" w:type="dxa"/>
            <w:tcBorders>
              <w:bottom w:val="single" w:color="auto" w:sz="12" w:space="0"/>
            </w:tcBorders>
            <w:vAlign w:val="center"/>
          </w:tcPr>
          <w:p w14:paraId="5DBB6AA7">
            <w:pPr>
              <w:pStyle w:val="23"/>
              <w:keepNext/>
              <w:spacing w:line="440" w:lineRule="exact"/>
              <w:ind w:left="63" w:right="63"/>
              <w:rPr>
                <w:rFonts w:ascii="仿宋" w:hAnsi="仿宋" w:eastAsia="仿宋" w:cs="仿宋"/>
                <w:color w:val="000000"/>
                <w:sz w:val="28"/>
                <w:szCs w:val="30"/>
                <w:highlight w:val="none"/>
              </w:rPr>
            </w:pPr>
          </w:p>
        </w:tc>
      </w:tr>
    </w:tbl>
    <w:p w14:paraId="3584ABD4">
      <w:pPr>
        <w:spacing w:line="440" w:lineRule="exac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br w:type="page"/>
      </w:r>
      <w:r>
        <w:rPr>
          <w:rFonts w:hint="eastAsia" w:ascii="仿宋" w:hAnsi="仿宋" w:eastAsia="仿宋" w:cs="仿宋"/>
          <w:color w:val="000000"/>
          <w:sz w:val="28"/>
          <w:szCs w:val="30"/>
          <w:highlight w:val="none"/>
        </w:rPr>
        <w:t>附</w:t>
      </w:r>
      <w:bookmarkStart w:id="1452" w:name="_Toc296944568"/>
      <w:bookmarkStart w:id="1453" w:name="_Toc296503229"/>
      <w:bookmarkStart w:id="1454" w:name="_Toc296346730"/>
      <w:bookmarkStart w:id="1455" w:name="_Toc296347228"/>
      <w:bookmarkStart w:id="1456" w:name="_Toc296891269"/>
      <w:bookmarkStart w:id="1457" w:name="_Toc296891057"/>
      <w:r>
        <w:rPr>
          <w:rFonts w:hint="eastAsia" w:ascii="仿宋" w:hAnsi="仿宋" w:eastAsia="仿宋" w:cs="仿宋"/>
          <w:color w:val="000000"/>
          <w:sz w:val="28"/>
          <w:szCs w:val="30"/>
          <w:highlight w:val="none"/>
        </w:rPr>
        <w:t>件4：</w:t>
      </w:r>
    </w:p>
    <w:bookmarkEnd w:id="1452"/>
    <w:bookmarkEnd w:id="1453"/>
    <w:bookmarkEnd w:id="1454"/>
    <w:bookmarkEnd w:id="1455"/>
    <w:bookmarkEnd w:id="1456"/>
    <w:bookmarkEnd w:id="1457"/>
    <w:p w14:paraId="113F2F75">
      <w:pPr>
        <w:spacing w:beforeLines="50"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分包人主要施工管理人员表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819A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DCFB956">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名    称</w:t>
            </w:r>
          </w:p>
        </w:tc>
        <w:tc>
          <w:tcPr>
            <w:tcW w:w="1418" w:type="dxa"/>
            <w:tcBorders>
              <w:top w:val="single" w:color="auto" w:sz="12" w:space="0"/>
              <w:bottom w:val="double" w:color="auto" w:sz="6" w:space="0"/>
            </w:tcBorders>
            <w:vAlign w:val="center"/>
          </w:tcPr>
          <w:p w14:paraId="6595866F">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姓名</w:t>
            </w:r>
          </w:p>
        </w:tc>
        <w:tc>
          <w:tcPr>
            <w:tcW w:w="1134" w:type="dxa"/>
            <w:tcBorders>
              <w:top w:val="single" w:color="auto" w:sz="12" w:space="0"/>
              <w:bottom w:val="double" w:color="auto" w:sz="6" w:space="0"/>
            </w:tcBorders>
            <w:vAlign w:val="center"/>
          </w:tcPr>
          <w:p w14:paraId="15B52B08">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职务</w:t>
            </w:r>
          </w:p>
        </w:tc>
        <w:tc>
          <w:tcPr>
            <w:tcW w:w="1134" w:type="dxa"/>
            <w:tcBorders>
              <w:top w:val="single" w:color="auto" w:sz="12" w:space="0"/>
              <w:bottom w:val="double" w:color="auto" w:sz="6" w:space="0"/>
            </w:tcBorders>
            <w:vAlign w:val="center"/>
          </w:tcPr>
          <w:p w14:paraId="6CE40A9E">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职称</w:t>
            </w:r>
          </w:p>
        </w:tc>
        <w:tc>
          <w:tcPr>
            <w:tcW w:w="4252" w:type="dxa"/>
            <w:tcBorders>
              <w:top w:val="single" w:color="auto" w:sz="12" w:space="0"/>
              <w:bottom w:val="double" w:color="auto" w:sz="6" w:space="0"/>
            </w:tcBorders>
            <w:vAlign w:val="center"/>
          </w:tcPr>
          <w:p w14:paraId="5EE5CE62">
            <w:pPr>
              <w:pStyle w:val="23"/>
              <w:keepNext/>
              <w:spacing w:line="440" w:lineRule="exact"/>
              <w:ind w:left="63" w:right="63"/>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主要资历、经验及承担过的项目</w:t>
            </w:r>
          </w:p>
        </w:tc>
      </w:tr>
      <w:tr w14:paraId="341D6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3C4D818">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一、总部人员</w:t>
            </w:r>
          </w:p>
        </w:tc>
      </w:tr>
      <w:tr w14:paraId="5E6C5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2DBF0DD">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项目主管</w:t>
            </w:r>
          </w:p>
        </w:tc>
        <w:tc>
          <w:tcPr>
            <w:tcW w:w="1418" w:type="dxa"/>
            <w:tcBorders>
              <w:top w:val="nil"/>
            </w:tcBorders>
            <w:vAlign w:val="center"/>
          </w:tcPr>
          <w:p w14:paraId="095613AD">
            <w:pPr>
              <w:pStyle w:val="23"/>
              <w:keepNext/>
              <w:spacing w:line="440" w:lineRule="exact"/>
              <w:ind w:left="63" w:right="63"/>
              <w:rPr>
                <w:rFonts w:ascii="仿宋" w:hAnsi="仿宋" w:eastAsia="仿宋" w:cs="仿宋"/>
                <w:color w:val="000000"/>
                <w:sz w:val="24"/>
                <w:szCs w:val="30"/>
                <w:highlight w:val="none"/>
              </w:rPr>
            </w:pPr>
          </w:p>
        </w:tc>
        <w:tc>
          <w:tcPr>
            <w:tcW w:w="1134" w:type="dxa"/>
            <w:tcBorders>
              <w:top w:val="nil"/>
            </w:tcBorders>
            <w:vAlign w:val="center"/>
          </w:tcPr>
          <w:p w14:paraId="52015C15">
            <w:pPr>
              <w:pStyle w:val="23"/>
              <w:keepNext/>
              <w:spacing w:line="440" w:lineRule="exact"/>
              <w:ind w:left="63" w:right="63"/>
              <w:rPr>
                <w:rFonts w:ascii="仿宋" w:hAnsi="仿宋" w:eastAsia="仿宋" w:cs="仿宋"/>
                <w:color w:val="000000"/>
                <w:sz w:val="28"/>
                <w:szCs w:val="30"/>
                <w:highlight w:val="none"/>
              </w:rPr>
            </w:pPr>
          </w:p>
        </w:tc>
        <w:tc>
          <w:tcPr>
            <w:tcW w:w="1134" w:type="dxa"/>
            <w:tcBorders>
              <w:top w:val="nil"/>
            </w:tcBorders>
            <w:vAlign w:val="center"/>
          </w:tcPr>
          <w:p w14:paraId="26CA534B">
            <w:pPr>
              <w:pStyle w:val="23"/>
              <w:keepNext/>
              <w:spacing w:line="440" w:lineRule="exact"/>
              <w:ind w:left="63" w:right="63"/>
              <w:rPr>
                <w:rFonts w:ascii="仿宋" w:hAnsi="仿宋" w:eastAsia="仿宋" w:cs="仿宋"/>
                <w:color w:val="000000"/>
                <w:sz w:val="28"/>
                <w:szCs w:val="30"/>
                <w:highlight w:val="none"/>
              </w:rPr>
            </w:pPr>
          </w:p>
        </w:tc>
        <w:tc>
          <w:tcPr>
            <w:tcW w:w="4252" w:type="dxa"/>
            <w:tcBorders>
              <w:top w:val="nil"/>
            </w:tcBorders>
            <w:vAlign w:val="center"/>
          </w:tcPr>
          <w:p w14:paraId="552147C5">
            <w:pPr>
              <w:pStyle w:val="23"/>
              <w:keepNext/>
              <w:spacing w:line="440" w:lineRule="exact"/>
              <w:ind w:left="63" w:right="63"/>
              <w:rPr>
                <w:rFonts w:ascii="仿宋" w:hAnsi="仿宋" w:eastAsia="仿宋" w:cs="仿宋"/>
                <w:color w:val="000000"/>
                <w:sz w:val="28"/>
                <w:szCs w:val="30"/>
                <w:highlight w:val="none"/>
              </w:rPr>
            </w:pPr>
          </w:p>
        </w:tc>
      </w:tr>
      <w:tr w14:paraId="26DAA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5B05526">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1151152F">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78ECC811">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8378E62">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5AABDB8">
            <w:pPr>
              <w:pStyle w:val="23"/>
              <w:keepNext/>
              <w:spacing w:line="440" w:lineRule="exact"/>
              <w:ind w:left="63" w:right="63"/>
              <w:rPr>
                <w:rFonts w:ascii="仿宋" w:hAnsi="仿宋" w:eastAsia="仿宋" w:cs="仿宋"/>
                <w:color w:val="000000"/>
                <w:sz w:val="28"/>
                <w:szCs w:val="30"/>
                <w:highlight w:val="none"/>
              </w:rPr>
            </w:pPr>
          </w:p>
        </w:tc>
      </w:tr>
      <w:tr w14:paraId="27340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51C07DC">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其他人员</w:t>
            </w:r>
          </w:p>
        </w:tc>
        <w:tc>
          <w:tcPr>
            <w:tcW w:w="1418" w:type="dxa"/>
            <w:vAlign w:val="center"/>
          </w:tcPr>
          <w:p w14:paraId="5FD21E3D">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0091AB58">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353A5AF">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5B9AA341">
            <w:pPr>
              <w:pStyle w:val="23"/>
              <w:keepNext/>
              <w:spacing w:line="440" w:lineRule="exact"/>
              <w:ind w:left="63" w:right="63"/>
              <w:rPr>
                <w:rFonts w:ascii="仿宋" w:hAnsi="仿宋" w:eastAsia="仿宋" w:cs="仿宋"/>
                <w:color w:val="000000"/>
                <w:sz w:val="28"/>
                <w:szCs w:val="30"/>
                <w:highlight w:val="none"/>
              </w:rPr>
            </w:pPr>
          </w:p>
        </w:tc>
      </w:tr>
      <w:tr w14:paraId="40436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4B050CF">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24BBD59D">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0824ADB1">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D831A63">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1510AA2">
            <w:pPr>
              <w:pStyle w:val="23"/>
              <w:keepNext/>
              <w:spacing w:line="440" w:lineRule="exact"/>
              <w:ind w:left="63" w:right="63"/>
              <w:rPr>
                <w:rFonts w:ascii="仿宋" w:hAnsi="仿宋" w:eastAsia="仿宋" w:cs="仿宋"/>
                <w:color w:val="000000"/>
                <w:sz w:val="28"/>
                <w:szCs w:val="30"/>
                <w:highlight w:val="none"/>
              </w:rPr>
            </w:pPr>
          </w:p>
        </w:tc>
      </w:tr>
      <w:tr w14:paraId="1B80C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E8347A2">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二、现场人员</w:t>
            </w:r>
          </w:p>
        </w:tc>
      </w:tr>
      <w:tr w14:paraId="13264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B7E4C1">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项目经理</w:t>
            </w:r>
          </w:p>
        </w:tc>
        <w:tc>
          <w:tcPr>
            <w:tcW w:w="1418" w:type="dxa"/>
            <w:vAlign w:val="center"/>
          </w:tcPr>
          <w:p w14:paraId="725A8AF7">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7F37137C">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D99E98B">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6115BFB">
            <w:pPr>
              <w:pStyle w:val="23"/>
              <w:keepNext/>
              <w:spacing w:line="440" w:lineRule="exact"/>
              <w:ind w:left="63" w:right="63"/>
              <w:rPr>
                <w:rFonts w:ascii="仿宋" w:hAnsi="仿宋" w:eastAsia="仿宋" w:cs="仿宋"/>
                <w:color w:val="000000"/>
                <w:sz w:val="28"/>
                <w:szCs w:val="30"/>
                <w:highlight w:val="none"/>
              </w:rPr>
            </w:pPr>
          </w:p>
        </w:tc>
      </w:tr>
      <w:tr w14:paraId="12C6A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C971C94">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项目副经理</w:t>
            </w:r>
          </w:p>
        </w:tc>
        <w:tc>
          <w:tcPr>
            <w:tcW w:w="1418" w:type="dxa"/>
            <w:vAlign w:val="center"/>
          </w:tcPr>
          <w:p w14:paraId="4F65176B">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340108E0">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BC0D6D3">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2D50EA1E">
            <w:pPr>
              <w:pStyle w:val="23"/>
              <w:keepNext/>
              <w:spacing w:line="440" w:lineRule="exact"/>
              <w:ind w:left="63" w:right="63"/>
              <w:rPr>
                <w:rFonts w:ascii="仿宋" w:hAnsi="仿宋" w:eastAsia="仿宋" w:cs="仿宋"/>
                <w:color w:val="000000"/>
                <w:sz w:val="28"/>
                <w:szCs w:val="30"/>
                <w:highlight w:val="none"/>
              </w:rPr>
            </w:pPr>
          </w:p>
        </w:tc>
      </w:tr>
      <w:tr w14:paraId="420C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E790FD">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技术负责人</w:t>
            </w:r>
          </w:p>
        </w:tc>
        <w:tc>
          <w:tcPr>
            <w:tcW w:w="1418" w:type="dxa"/>
            <w:vAlign w:val="center"/>
          </w:tcPr>
          <w:p w14:paraId="6FE3E1EA">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4F296A45">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FCAD036">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1C998CE0">
            <w:pPr>
              <w:pStyle w:val="23"/>
              <w:keepNext/>
              <w:spacing w:line="440" w:lineRule="exact"/>
              <w:ind w:left="63" w:right="63"/>
              <w:rPr>
                <w:rFonts w:ascii="仿宋" w:hAnsi="仿宋" w:eastAsia="仿宋" w:cs="仿宋"/>
                <w:color w:val="000000"/>
                <w:sz w:val="28"/>
                <w:szCs w:val="30"/>
                <w:highlight w:val="none"/>
              </w:rPr>
            </w:pPr>
          </w:p>
        </w:tc>
      </w:tr>
      <w:tr w14:paraId="02525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AB2033E">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造价管理</w:t>
            </w:r>
          </w:p>
        </w:tc>
        <w:tc>
          <w:tcPr>
            <w:tcW w:w="1418" w:type="dxa"/>
            <w:vAlign w:val="center"/>
          </w:tcPr>
          <w:p w14:paraId="5DFFA11E">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4CB54ECE">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62F46D49">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6367A5A8">
            <w:pPr>
              <w:pStyle w:val="23"/>
              <w:keepNext/>
              <w:spacing w:line="440" w:lineRule="exact"/>
              <w:ind w:left="63" w:right="63"/>
              <w:rPr>
                <w:rFonts w:ascii="仿宋" w:hAnsi="仿宋" w:eastAsia="仿宋" w:cs="仿宋"/>
                <w:color w:val="000000"/>
                <w:sz w:val="28"/>
                <w:szCs w:val="30"/>
                <w:highlight w:val="none"/>
              </w:rPr>
            </w:pPr>
          </w:p>
        </w:tc>
      </w:tr>
      <w:tr w14:paraId="1BEBD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2BA32E">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质量管理</w:t>
            </w:r>
          </w:p>
        </w:tc>
        <w:tc>
          <w:tcPr>
            <w:tcW w:w="1418" w:type="dxa"/>
            <w:vAlign w:val="center"/>
          </w:tcPr>
          <w:p w14:paraId="34EFFA4C">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7DA1304F">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7FD4FBF">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2FF16A3">
            <w:pPr>
              <w:pStyle w:val="23"/>
              <w:keepNext/>
              <w:spacing w:line="440" w:lineRule="exact"/>
              <w:ind w:left="63" w:right="63"/>
              <w:rPr>
                <w:rFonts w:ascii="仿宋" w:hAnsi="仿宋" w:eastAsia="仿宋" w:cs="仿宋"/>
                <w:color w:val="000000"/>
                <w:sz w:val="28"/>
                <w:szCs w:val="30"/>
                <w:highlight w:val="none"/>
              </w:rPr>
            </w:pPr>
          </w:p>
        </w:tc>
      </w:tr>
      <w:tr w14:paraId="4B323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B651D1">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材料管理</w:t>
            </w:r>
          </w:p>
        </w:tc>
        <w:tc>
          <w:tcPr>
            <w:tcW w:w="1418" w:type="dxa"/>
            <w:vAlign w:val="center"/>
          </w:tcPr>
          <w:p w14:paraId="4781E624">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6AAC2B74">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79098E5">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2D64003A">
            <w:pPr>
              <w:pStyle w:val="23"/>
              <w:keepNext/>
              <w:spacing w:line="440" w:lineRule="exact"/>
              <w:ind w:left="63" w:right="63"/>
              <w:rPr>
                <w:rFonts w:ascii="仿宋" w:hAnsi="仿宋" w:eastAsia="仿宋" w:cs="仿宋"/>
                <w:color w:val="000000"/>
                <w:sz w:val="28"/>
                <w:szCs w:val="30"/>
                <w:highlight w:val="none"/>
              </w:rPr>
            </w:pPr>
          </w:p>
        </w:tc>
      </w:tr>
      <w:tr w14:paraId="5FA1B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0C35BF">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计划管理</w:t>
            </w:r>
          </w:p>
        </w:tc>
        <w:tc>
          <w:tcPr>
            <w:tcW w:w="1418" w:type="dxa"/>
            <w:vAlign w:val="center"/>
          </w:tcPr>
          <w:p w14:paraId="127CA83C">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761F4CE5">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DCF1A63">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ECD3AA2">
            <w:pPr>
              <w:pStyle w:val="23"/>
              <w:keepNext/>
              <w:spacing w:line="440" w:lineRule="exact"/>
              <w:ind w:left="63" w:right="63"/>
              <w:rPr>
                <w:rFonts w:ascii="仿宋" w:hAnsi="仿宋" w:eastAsia="仿宋" w:cs="仿宋"/>
                <w:color w:val="000000"/>
                <w:sz w:val="28"/>
                <w:szCs w:val="30"/>
                <w:highlight w:val="none"/>
              </w:rPr>
            </w:pPr>
          </w:p>
        </w:tc>
      </w:tr>
      <w:tr w14:paraId="4EDEA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E1D43B6">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安全管理</w:t>
            </w:r>
          </w:p>
        </w:tc>
        <w:tc>
          <w:tcPr>
            <w:tcW w:w="1418" w:type="dxa"/>
            <w:vAlign w:val="center"/>
          </w:tcPr>
          <w:p w14:paraId="2165D210">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D0F9872">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778263B">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5701E57C">
            <w:pPr>
              <w:pStyle w:val="23"/>
              <w:keepNext/>
              <w:spacing w:line="440" w:lineRule="exact"/>
              <w:ind w:left="63" w:right="63"/>
              <w:rPr>
                <w:rFonts w:ascii="仿宋" w:hAnsi="仿宋" w:eastAsia="仿宋" w:cs="仿宋"/>
                <w:color w:val="000000"/>
                <w:sz w:val="28"/>
                <w:szCs w:val="30"/>
                <w:highlight w:val="none"/>
              </w:rPr>
            </w:pPr>
          </w:p>
        </w:tc>
      </w:tr>
      <w:tr w14:paraId="0823B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0250C1F">
            <w:pPr>
              <w:pStyle w:val="23"/>
              <w:keepNext/>
              <w:spacing w:line="440" w:lineRule="exact"/>
              <w:ind w:left="63" w:right="63"/>
              <w:rPr>
                <w:rFonts w:ascii="仿宋" w:hAnsi="仿宋" w:eastAsia="仿宋" w:cs="仿宋"/>
                <w:color w:val="000000"/>
                <w:sz w:val="24"/>
                <w:szCs w:val="30"/>
                <w:highlight w:val="none"/>
              </w:rPr>
            </w:pPr>
            <w:r>
              <w:rPr>
                <w:rFonts w:hint="eastAsia" w:ascii="仿宋" w:hAnsi="仿宋" w:eastAsia="仿宋" w:cs="仿宋"/>
                <w:color w:val="000000"/>
                <w:sz w:val="24"/>
                <w:szCs w:val="30"/>
                <w:highlight w:val="none"/>
              </w:rPr>
              <w:t>其他人员</w:t>
            </w:r>
          </w:p>
        </w:tc>
        <w:tc>
          <w:tcPr>
            <w:tcW w:w="1418" w:type="dxa"/>
            <w:vAlign w:val="center"/>
          </w:tcPr>
          <w:p w14:paraId="059E3D6E">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525BB14D">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5FF267CB">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4E9E041">
            <w:pPr>
              <w:pStyle w:val="23"/>
              <w:keepNext/>
              <w:spacing w:line="440" w:lineRule="exact"/>
              <w:ind w:left="63" w:right="63"/>
              <w:rPr>
                <w:rFonts w:ascii="仿宋" w:hAnsi="仿宋" w:eastAsia="仿宋" w:cs="仿宋"/>
                <w:color w:val="000000"/>
                <w:sz w:val="28"/>
                <w:szCs w:val="30"/>
                <w:highlight w:val="none"/>
              </w:rPr>
            </w:pPr>
          </w:p>
        </w:tc>
      </w:tr>
      <w:tr w14:paraId="05690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82FBA96">
            <w:pPr>
              <w:pStyle w:val="23"/>
              <w:keepNext/>
              <w:spacing w:line="440" w:lineRule="exact"/>
              <w:ind w:left="63" w:right="63"/>
              <w:rPr>
                <w:rFonts w:ascii="仿宋" w:hAnsi="仿宋" w:eastAsia="仿宋" w:cs="仿宋"/>
                <w:color w:val="000000"/>
                <w:sz w:val="24"/>
                <w:szCs w:val="30"/>
                <w:highlight w:val="none"/>
              </w:rPr>
            </w:pPr>
          </w:p>
        </w:tc>
        <w:tc>
          <w:tcPr>
            <w:tcW w:w="1418" w:type="dxa"/>
            <w:tcBorders>
              <w:bottom w:val="nil"/>
            </w:tcBorders>
            <w:vAlign w:val="center"/>
          </w:tcPr>
          <w:p w14:paraId="534748F1">
            <w:pPr>
              <w:pStyle w:val="23"/>
              <w:keepNext/>
              <w:spacing w:line="440" w:lineRule="exact"/>
              <w:ind w:left="63" w:right="63"/>
              <w:rPr>
                <w:rFonts w:ascii="仿宋" w:hAnsi="仿宋" w:eastAsia="仿宋" w:cs="仿宋"/>
                <w:color w:val="000000"/>
                <w:sz w:val="24"/>
                <w:szCs w:val="30"/>
                <w:highlight w:val="none"/>
              </w:rPr>
            </w:pPr>
          </w:p>
        </w:tc>
        <w:tc>
          <w:tcPr>
            <w:tcW w:w="1134" w:type="dxa"/>
            <w:tcBorders>
              <w:bottom w:val="nil"/>
            </w:tcBorders>
            <w:vAlign w:val="center"/>
          </w:tcPr>
          <w:p w14:paraId="4712E83F">
            <w:pPr>
              <w:pStyle w:val="23"/>
              <w:keepNext/>
              <w:spacing w:line="440" w:lineRule="exact"/>
              <w:ind w:left="63" w:right="63"/>
              <w:rPr>
                <w:rFonts w:ascii="仿宋" w:hAnsi="仿宋" w:eastAsia="仿宋" w:cs="仿宋"/>
                <w:color w:val="000000"/>
                <w:sz w:val="28"/>
                <w:szCs w:val="30"/>
                <w:highlight w:val="none"/>
              </w:rPr>
            </w:pPr>
          </w:p>
        </w:tc>
        <w:tc>
          <w:tcPr>
            <w:tcW w:w="1134" w:type="dxa"/>
            <w:tcBorders>
              <w:bottom w:val="nil"/>
            </w:tcBorders>
            <w:vAlign w:val="center"/>
          </w:tcPr>
          <w:p w14:paraId="4A179320">
            <w:pPr>
              <w:pStyle w:val="23"/>
              <w:keepNext/>
              <w:spacing w:line="440" w:lineRule="exact"/>
              <w:ind w:left="63" w:right="63"/>
              <w:rPr>
                <w:rFonts w:ascii="仿宋" w:hAnsi="仿宋" w:eastAsia="仿宋" w:cs="仿宋"/>
                <w:color w:val="000000"/>
                <w:sz w:val="28"/>
                <w:szCs w:val="30"/>
                <w:highlight w:val="none"/>
              </w:rPr>
            </w:pPr>
          </w:p>
        </w:tc>
        <w:tc>
          <w:tcPr>
            <w:tcW w:w="4252" w:type="dxa"/>
            <w:tcBorders>
              <w:bottom w:val="nil"/>
            </w:tcBorders>
            <w:vAlign w:val="center"/>
          </w:tcPr>
          <w:p w14:paraId="6E527E95">
            <w:pPr>
              <w:pStyle w:val="23"/>
              <w:keepNext/>
              <w:spacing w:line="440" w:lineRule="exact"/>
              <w:ind w:left="63" w:right="63"/>
              <w:rPr>
                <w:rFonts w:ascii="仿宋" w:hAnsi="仿宋" w:eastAsia="仿宋" w:cs="仿宋"/>
                <w:color w:val="000000"/>
                <w:sz w:val="28"/>
                <w:szCs w:val="30"/>
                <w:highlight w:val="none"/>
              </w:rPr>
            </w:pPr>
          </w:p>
        </w:tc>
      </w:tr>
      <w:tr w14:paraId="5DDA7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F5B6BA3">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1FAD465F">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209B97ED">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781F58BA">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4D5E7D11">
            <w:pPr>
              <w:pStyle w:val="23"/>
              <w:keepNext/>
              <w:spacing w:line="440" w:lineRule="exact"/>
              <w:ind w:left="63" w:right="63"/>
              <w:rPr>
                <w:rFonts w:ascii="仿宋" w:hAnsi="仿宋" w:eastAsia="仿宋" w:cs="仿宋"/>
                <w:color w:val="000000"/>
                <w:sz w:val="28"/>
                <w:szCs w:val="30"/>
                <w:highlight w:val="none"/>
              </w:rPr>
            </w:pPr>
          </w:p>
        </w:tc>
      </w:tr>
      <w:tr w14:paraId="58751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54B705">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5B9BA39B">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49D8E1DB">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48882B73">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29E2F446">
            <w:pPr>
              <w:pStyle w:val="23"/>
              <w:keepNext/>
              <w:spacing w:line="440" w:lineRule="exact"/>
              <w:ind w:left="63" w:right="63"/>
              <w:rPr>
                <w:rFonts w:ascii="仿宋" w:hAnsi="仿宋" w:eastAsia="仿宋" w:cs="仿宋"/>
                <w:color w:val="000000"/>
                <w:sz w:val="28"/>
                <w:szCs w:val="30"/>
                <w:highlight w:val="none"/>
              </w:rPr>
            </w:pPr>
          </w:p>
        </w:tc>
      </w:tr>
      <w:tr w14:paraId="2C643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B84AB08">
            <w:pPr>
              <w:pStyle w:val="23"/>
              <w:keepNext/>
              <w:spacing w:line="440" w:lineRule="exact"/>
              <w:ind w:left="63" w:right="63"/>
              <w:rPr>
                <w:rFonts w:ascii="仿宋" w:hAnsi="仿宋" w:eastAsia="仿宋" w:cs="仿宋"/>
                <w:color w:val="000000"/>
                <w:sz w:val="24"/>
                <w:szCs w:val="30"/>
                <w:highlight w:val="none"/>
              </w:rPr>
            </w:pPr>
          </w:p>
        </w:tc>
        <w:tc>
          <w:tcPr>
            <w:tcW w:w="1418" w:type="dxa"/>
            <w:vAlign w:val="center"/>
          </w:tcPr>
          <w:p w14:paraId="05D2B485">
            <w:pPr>
              <w:pStyle w:val="23"/>
              <w:keepNext/>
              <w:spacing w:line="440" w:lineRule="exact"/>
              <w:ind w:left="63" w:right="63"/>
              <w:rPr>
                <w:rFonts w:ascii="仿宋" w:hAnsi="仿宋" w:eastAsia="仿宋" w:cs="仿宋"/>
                <w:color w:val="000000"/>
                <w:sz w:val="24"/>
                <w:szCs w:val="30"/>
                <w:highlight w:val="none"/>
              </w:rPr>
            </w:pPr>
          </w:p>
        </w:tc>
        <w:tc>
          <w:tcPr>
            <w:tcW w:w="1134" w:type="dxa"/>
            <w:vAlign w:val="center"/>
          </w:tcPr>
          <w:p w14:paraId="38656D6C">
            <w:pPr>
              <w:pStyle w:val="23"/>
              <w:keepNext/>
              <w:spacing w:line="440" w:lineRule="exact"/>
              <w:ind w:left="63" w:right="63"/>
              <w:rPr>
                <w:rFonts w:ascii="仿宋" w:hAnsi="仿宋" w:eastAsia="仿宋" w:cs="仿宋"/>
                <w:color w:val="000000"/>
                <w:sz w:val="28"/>
                <w:szCs w:val="30"/>
                <w:highlight w:val="none"/>
              </w:rPr>
            </w:pPr>
          </w:p>
        </w:tc>
        <w:tc>
          <w:tcPr>
            <w:tcW w:w="1134" w:type="dxa"/>
            <w:vAlign w:val="center"/>
          </w:tcPr>
          <w:p w14:paraId="175B0441">
            <w:pPr>
              <w:pStyle w:val="23"/>
              <w:keepNext/>
              <w:spacing w:line="440" w:lineRule="exact"/>
              <w:ind w:left="63" w:right="63"/>
              <w:rPr>
                <w:rFonts w:ascii="仿宋" w:hAnsi="仿宋" w:eastAsia="仿宋" w:cs="仿宋"/>
                <w:color w:val="000000"/>
                <w:sz w:val="28"/>
                <w:szCs w:val="30"/>
                <w:highlight w:val="none"/>
              </w:rPr>
            </w:pPr>
          </w:p>
        </w:tc>
        <w:tc>
          <w:tcPr>
            <w:tcW w:w="4252" w:type="dxa"/>
            <w:vAlign w:val="center"/>
          </w:tcPr>
          <w:p w14:paraId="35279671">
            <w:pPr>
              <w:pStyle w:val="23"/>
              <w:keepNext/>
              <w:spacing w:line="440" w:lineRule="exact"/>
              <w:ind w:left="63" w:right="63"/>
              <w:rPr>
                <w:rFonts w:ascii="仿宋" w:hAnsi="仿宋" w:eastAsia="仿宋" w:cs="仿宋"/>
                <w:color w:val="000000"/>
                <w:sz w:val="28"/>
                <w:szCs w:val="30"/>
                <w:highlight w:val="none"/>
              </w:rPr>
            </w:pPr>
          </w:p>
        </w:tc>
      </w:tr>
      <w:tr w14:paraId="35DCC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19C3520">
            <w:pPr>
              <w:pStyle w:val="23"/>
              <w:keepNext/>
              <w:spacing w:line="440" w:lineRule="exact"/>
              <w:ind w:left="63" w:right="63"/>
              <w:rPr>
                <w:rFonts w:ascii="仿宋" w:hAnsi="仿宋" w:eastAsia="仿宋" w:cs="仿宋"/>
                <w:color w:val="000000"/>
                <w:sz w:val="24"/>
                <w:szCs w:val="30"/>
                <w:highlight w:val="none"/>
              </w:rPr>
            </w:pPr>
          </w:p>
        </w:tc>
        <w:tc>
          <w:tcPr>
            <w:tcW w:w="1418" w:type="dxa"/>
            <w:tcBorders>
              <w:bottom w:val="single" w:color="auto" w:sz="12" w:space="0"/>
            </w:tcBorders>
            <w:vAlign w:val="center"/>
          </w:tcPr>
          <w:p w14:paraId="47FB4225">
            <w:pPr>
              <w:pStyle w:val="23"/>
              <w:keepNext/>
              <w:spacing w:line="440" w:lineRule="exact"/>
              <w:ind w:left="63" w:right="63"/>
              <w:rPr>
                <w:rFonts w:ascii="仿宋" w:hAnsi="仿宋" w:eastAsia="仿宋" w:cs="仿宋"/>
                <w:color w:val="000000"/>
                <w:sz w:val="24"/>
                <w:szCs w:val="30"/>
                <w:highlight w:val="none"/>
              </w:rPr>
            </w:pPr>
          </w:p>
        </w:tc>
        <w:tc>
          <w:tcPr>
            <w:tcW w:w="1134" w:type="dxa"/>
            <w:tcBorders>
              <w:bottom w:val="single" w:color="auto" w:sz="12" w:space="0"/>
            </w:tcBorders>
            <w:vAlign w:val="center"/>
          </w:tcPr>
          <w:p w14:paraId="3DB6C4BC">
            <w:pPr>
              <w:pStyle w:val="23"/>
              <w:keepNext/>
              <w:spacing w:line="440" w:lineRule="exact"/>
              <w:ind w:left="63" w:right="63"/>
              <w:rPr>
                <w:rFonts w:ascii="仿宋" w:hAnsi="仿宋" w:eastAsia="仿宋" w:cs="仿宋"/>
                <w:color w:val="000000"/>
                <w:sz w:val="28"/>
                <w:szCs w:val="30"/>
                <w:highlight w:val="none"/>
              </w:rPr>
            </w:pPr>
          </w:p>
        </w:tc>
        <w:tc>
          <w:tcPr>
            <w:tcW w:w="1134" w:type="dxa"/>
            <w:tcBorders>
              <w:bottom w:val="single" w:color="auto" w:sz="12" w:space="0"/>
            </w:tcBorders>
            <w:vAlign w:val="center"/>
          </w:tcPr>
          <w:p w14:paraId="0164D359">
            <w:pPr>
              <w:pStyle w:val="23"/>
              <w:keepNext/>
              <w:spacing w:line="440" w:lineRule="exact"/>
              <w:ind w:left="63" w:right="63"/>
              <w:rPr>
                <w:rFonts w:ascii="仿宋" w:hAnsi="仿宋" w:eastAsia="仿宋" w:cs="仿宋"/>
                <w:color w:val="000000"/>
                <w:sz w:val="28"/>
                <w:szCs w:val="30"/>
                <w:highlight w:val="none"/>
              </w:rPr>
            </w:pPr>
          </w:p>
        </w:tc>
        <w:tc>
          <w:tcPr>
            <w:tcW w:w="4252" w:type="dxa"/>
            <w:tcBorders>
              <w:bottom w:val="single" w:color="auto" w:sz="12" w:space="0"/>
            </w:tcBorders>
            <w:vAlign w:val="center"/>
          </w:tcPr>
          <w:p w14:paraId="799C9085">
            <w:pPr>
              <w:pStyle w:val="23"/>
              <w:keepNext/>
              <w:spacing w:line="440" w:lineRule="exact"/>
              <w:ind w:left="63" w:right="63"/>
              <w:rPr>
                <w:rFonts w:ascii="仿宋" w:hAnsi="仿宋" w:eastAsia="仿宋" w:cs="仿宋"/>
                <w:color w:val="000000"/>
                <w:sz w:val="28"/>
                <w:szCs w:val="30"/>
                <w:highlight w:val="none"/>
              </w:rPr>
            </w:pPr>
          </w:p>
        </w:tc>
      </w:tr>
    </w:tbl>
    <w:p w14:paraId="3279958A">
      <w:pPr>
        <w:spacing w:line="440" w:lineRule="exact"/>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br w:type="page"/>
      </w:r>
      <w:bookmarkStart w:id="1458" w:name="_Toc267261701"/>
      <w:r>
        <w:rPr>
          <w:rFonts w:hint="eastAsia" w:ascii="仿宋" w:hAnsi="仿宋" w:eastAsia="仿宋" w:cs="仿宋"/>
          <w:color w:val="000000"/>
          <w:sz w:val="28"/>
          <w:szCs w:val="30"/>
          <w:highlight w:val="none"/>
        </w:rPr>
        <w:t>附</w:t>
      </w:r>
      <w:bookmarkStart w:id="1459" w:name="_Toc296503231"/>
      <w:bookmarkStart w:id="1460" w:name="_Toc296347230"/>
      <w:bookmarkStart w:id="1461" w:name="_Toc296346732"/>
      <w:bookmarkStart w:id="1462" w:name="_Toc296891059"/>
      <w:bookmarkStart w:id="1463" w:name="_Toc296891271"/>
      <w:bookmarkStart w:id="1464" w:name="_Toc296944570"/>
      <w:r>
        <w:rPr>
          <w:rFonts w:hint="eastAsia" w:ascii="仿宋" w:hAnsi="仿宋" w:eastAsia="仿宋" w:cs="仿宋"/>
          <w:color w:val="000000"/>
          <w:sz w:val="28"/>
          <w:szCs w:val="30"/>
          <w:highlight w:val="none"/>
        </w:rPr>
        <w:t>件5：</w:t>
      </w:r>
    </w:p>
    <w:bookmarkEnd w:id="1458"/>
    <w:bookmarkEnd w:id="1459"/>
    <w:bookmarkEnd w:id="1460"/>
    <w:bookmarkEnd w:id="1461"/>
    <w:bookmarkEnd w:id="1462"/>
    <w:bookmarkEnd w:id="1463"/>
    <w:bookmarkEnd w:id="1464"/>
    <w:p w14:paraId="72F34569">
      <w:pPr>
        <w:spacing w:beforeLines="50"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履约担保</w:t>
      </w:r>
    </w:p>
    <w:p w14:paraId="405FD331">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rPr>
        <w:t>（发包人名称）：</w:t>
      </w:r>
    </w:p>
    <w:p w14:paraId="67A38F4E">
      <w:pPr>
        <w:rPr>
          <w:rFonts w:ascii="仿宋" w:hAnsi="仿宋" w:eastAsia="仿宋" w:cs="仿宋"/>
          <w:color w:val="000000"/>
          <w:sz w:val="24"/>
          <w:szCs w:val="24"/>
          <w:highlight w:val="none"/>
        </w:rPr>
      </w:pPr>
    </w:p>
    <w:p w14:paraId="08F7BEA7">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鉴于（发包人名称，以下简称“发包人”）与</w:t>
      </w:r>
    </w:p>
    <w:p w14:paraId="28EBFF79">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7E305718">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 担保金额及低价风险保证金（若有）人民币（大写）元（¥</w:t>
      </w:r>
      <w:r>
        <w:rPr>
          <w:rFonts w:hint="eastAsia" w:ascii="仿宋" w:hAnsi="仿宋" w:eastAsia="仿宋" w:cs="仿宋"/>
          <w:color w:val="000000"/>
          <w:sz w:val="24"/>
          <w:szCs w:val="24"/>
          <w:highlight w:val="none"/>
          <w:lang w:val="en-US" w:eastAsia="zh-CN"/>
        </w:rPr>
        <w:t xml:space="preserve">        元</w:t>
      </w:r>
      <w:r>
        <w:rPr>
          <w:rFonts w:hint="eastAsia" w:ascii="仿宋" w:hAnsi="仿宋" w:eastAsia="仿宋" w:cs="仿宋"/>
          <w:color w:val="000000"/>
          <w:sz w:val="24"/>
          <w:szCs w:val="24"/>
          <w:highlight w:val="none"/>
        </w:rPr>
        <w:t>）。</w:t>
      </w:r>
    </w:p>
    <w:p w14:paraId="608995B8">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 担保有效期自你方与承包人签订的合同生效之日起至你方签发或应签发工程接收证书之日止。</w:t>
      </w:r>
    </w:p>
    <w:p w14:paraId="6356DDD0">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7806D7DF">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 你方和承包人按合同约定变更合同时，我方</w:t>
      </w:r>
      <w:r>
        <w:rPr>
          <w:rFonts w:hint="eastAsia"/>
          <w:highlight w:val="none"/>
          <w:lang w:val="en-US" w:eastAsia="zh-CN"/>
        </w:rPr>
        <w:t xml:space="preserve">   （此处填写担保人名称）                      </w:t>
      </w:r>
      <w:r>
        <w:rPr>
          <w:rFonts w:hint="eastAsia" w:ascii="仿宋" w:hAnsi="仿宋" w:eastAsia="仿宋" w:cs="仿宋"/>
          <w:color w:val="000000"/>
          <w:sz w:val="24"/>
          <w:szCs w:val="24"/>
          <w:highlight w:val="none"/>
        </w:rPr>
        <w:t>承担本担保规定的义务不变。</w:t>
      </w:r>
    </w:p>
    <w:p w14:paraId="0AE09229">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 因本保函发生的纠纷，可由双方协商解决，协商不成的，任何一方均可向杭州市上城区人民法院提起诉讼。</w:t>
      </w:r>
    </w:p>
    <w:p w14:paraId="23540592">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 本保函自我方法定代表人（或其授权代理人）签字并加盖公章之日起生效。</w:t>
      </w:r>
    </w:p>
    <w:p w14:paraId="08C78F30">
      <w:pPr>
        <w:rPr>
          <w:rFonts w:ascii="仿宋" w:hAnsi="仿宋" w:eastAsia="仿宋" w:cs="仿宋"/>
          <w:color w:val="000000"/>
          <w:sz w:val="24"/>
          <w:szCs w:val="24"/>
          <w:highlight w:val="none"/>
        </w:rPr>
      </w:pPr>
    </w:p>
    <w:p w14:paraId="7ECCF9FD">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担 保 人：（盖单位章）</w:t>
      </w:r>
    </w:p>
    <w:p w14:paraId="5C3F3C42">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p>
    <w:p w14:paraId="04BF33E2">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p>
    <w:p w14:paraId="3D376B4F">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p>
    <w:p w14:paraId="65520698">
      <w:p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电    话：</w:t>
      </w:r>
    </w:p>
    <w:p w14:paraId="20B36F96">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    真：</w:t>
      </w:r>
    </w:p>
    <w:p w14:paraId="1FDA8A0F">
      <w:pPr>
        <w:jc w:val="left"/>
        <w:rPr>
          <w:rFonts w:ascii="仿宋" w:hAnsi="仿宋" w:eastAsia="仿宋" w:cs="仿宋"/>
          <w:color w:val="000000"/>
          <w:sz w:val="24"/>
          <w:szCs w:val="24"/>
          <w:highlight w:val="none"/>
          <w:u w:val="single"/>
        </w:rPr>
      </w:pPr>
    </w:p>
    <w:p w14:paraId="386788A4">
      <w:pPr>
        <w:ind w:left="1519" w:hanging="1519" w:hangingChars="633"/>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年月日</w:t>
      </w:r>
    </w:p>
    <w:p w14:paraId="39FD5EE3">
      <w:pPr>
        <w:spacing w:line="360" w:lineRule="auto"/>
        <w:ind w:left="1772" w:hanging="1772" w:hangingChars="633"/>
        <w:rPr>
          <w:rFonts w:ascii="仿宋" w:hAnsi="仿宋" w:eastAsia="仿宋" w:cs="仿宋"/>
          <w:color w:val="000000"/>
          <w:sz w:val="28"/>
          <w:szCs w:val="30"/>
          <w:highlight w:val="none"/>
        </w:rPr>
      </w:pPr>
    </w:p>
    <w:p w14:paraId="636DEF6A">
      <w:pPr>
        <w:spacing w:line="360" w:lineRule="auto"/>
        <w:ind w:left="1772" w:hanging="1772" w:hangingChars="633"/>
        <w:rPr>
          <w:rFonts w:ascii="仿宋" w:hAnsi="仿宋" w:eastAsia="仿宋" w:cs="仿宋"/>
          <w:color w:val="000000"/>
          <w:sz w:val="28"/>
          <w:szCs w:val="30"/>
          <w:highlight w:val="none"/>
        </w:rPr>
      </w:pPr>
    </w:p>
    <w:p w14:paraId="56A51ED3">
      <w:pPr>
        <w:spacing w:line="360" w:lineRule="auto"/>
        <w:ind w:left="1772" w:hanging="1772" w:hangingChars="633"/>
        <w:rPr>
          <w:rFonts w:ascii="仿宋" w:hAnsi="仿宋" w:eastAsia="仿宋" w:cs="仿宋"/>
          <w:color w:val="000000"/>
          <w:sz w:val="28"/>
          <w:szCs w:val="30"/>
          <w:highlight w:val="none"/>
        </w:rPr>
      </w:pPr>
    </w:p>
    <w:p w14:paraId="2C40B4EC">
      <w:pPr>
        <w:spacing w:line="360" w:lineRule="auto"/>
        <w:ind w:left="1772" w:hanging="1772" w:hangingChars="633"/>
        <w:rPr>
          <w:rFonts w:ascii="仿宋" w:hAnsi="仿宋" w:eastAsia="仿宋" w:cs="仿宋"/>
          <w:color w:val="000000"/>
          <w:sz w:val="28"/>
          <w:szCs w:val="30"/>
          <w:highlight w:val="none"/>
        </w:rPr>
      </w:pPr>
    </w:p>
    <w:p w14:paraId="00432A0A">
      <w:pPr>
        <w:pStyle w:val="42"/>
        <w:rPr>
          <w:rFonts w:ascii="仿宋" w:hAnsi="仿宋" w:eastAsia="仿宋" w:cs="仿宋"/>
          <w:highlight w:val="none"/>
        </w:rPr>
      </w:pPr>
    </w:p>
    <w:p w14:paraId="2C6B45C3">
      <w:pPr>
        <w:rPr>
          <w:rFonts w:ascii="仿宋" w:hAnsi="仿宋" w:eastAsia="仿宋" w:cs="仿宋"/>
          <w:highlight w:val="none"/>
        </w:rPr>
      </w:pPr>
    </w:p>
    <w:p w14:paraId="51A72C3A">
      <w:pPr>
        <w:pStyle w:val="42"/>
        <w:rPr>
          <w:rFonts w:ascii="仿宋" w:hAnsi="仿宋" w:eastAsia="仿宋" w:cs="仿宋"/>
          <w:highlight w:val="none"/>
        </w:rPr>
      </w:pPr>
    </w:p>
    <w:p w14:paraId="69A20397">
      <w:pPr>
        <w:pStyle w:val="42"/>
        <w:rPr>
          <w:rFonts w:ascii="仿宋" w:hAnsi="仿宋" w:eastAsia="仿宋" w:cs="仿宋"/>
          <w:highlight w:val="none"/>
        </w:rPr>
      </w:pPr>
    </w:p>
    <w:p w14:paraId="1977D9C5">
      <w:pPr>
        <w:rPr>
          <w:rFonts w:ascii="仿宋" w:hAnsi="仿宋" w:eastAsia="仿宋" w:cs="仿宋"/>
          <w:highlight w:val="none"/>
        </w:rPr>
      </w:pPr>
    </w:p>
    <w:p w14:paraId="2D5E974C">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5C4CEBB">
      <w:pPr>
        <w:adjustRightInd w:val="0"/>
        <w:snapToGrid w:val="0"/>
        <w:spacing w:line="340" w:lineRule="atLeast"/>
        <w:rPr>
          <w:rFonts w:ascii="仿宋" w:hAnsi="仿宋" w:eastAsia="仿宋" w:cs="仿宋"/>
          <w:kern w:val="0"/>
          <w:sz w:val="24"/>
          <w:szCs w:val="24"/>
          <w:highlight w:val="none"/>
        </w:rPr>
      </w:pPr>
      <w:r>
        <w:rPr>
          <w:rFonts w:hint="eastAsia" w:ascii="仿宋" w:hAnsi="仿宋" w:eastAsia="仿宋" w:cs="仿宋"/>
          <w:sz w:val="24"/>
          <w:szCs w:val="24"/>
          <w:highlight w:val="none"/>
        </w:rPr>
        <w:t>附件6：</w:t>
      </w:r>
    </w:p>
    <w:p w14:paraId="036E9C30">
      <w:pPr>
        <w:adjustRightInd w:val="0"/>
        <w:snapToGrid w:val="0"/>
        <w:spacing w:line="340" w:lineRule="atLeast"/>
        <w:jc w:val="center"/>
        <w:rPr>
          <w:rFonts w:ascii="仿宋" w:hAnsi="仿宋" w:eastAsia="仿宋" w:cs="仿宋"/>
          <w:kern w:val="0"/>
          <w:sz w:val="36"/>
          <w:szCs w:val="36"/>
          <w:highlight w:val="none"/>
        </w:rPr>
      </w:pPr>
      <w:r>
        <w:rPr>
          <w:rFonts w:hint="eastAsia" w:ascii="仿宋" w:hAnsi="仿宋" w:eastAsia="仿宋" w:cs="仿宋"/>
          <w:b/>
          <w:kern w:val="0"/>
          <w:sz w:val="36"/>
          <w:szCs w:val="36"/>
          <w:highlight w:val="none"/>
        </w:rPr>
        <w:t>建设工程廉政责任书</w:t>
      </w:r>
    </w:p>
    <w:p w14:paraId="30CC04E5">
      <w:pPr>
        <w:spacing w:line="340" w:lineRule="atLeast"/>
        <w:rPr>
          <w:rFonts w:ascii="仿宋" w:hAnsi="仿宋" w:eastAsia="仿宋" w:cs="仿宋"/>
          <w:sz w:val="24"/>
          <w:szCs w:val="24"/>
          <w:highlight w:val="none"/>
        </w:rPr>
      </w:pPr>
    </w:p>
    <w:p w14:paraId="312C8DC1">
      <w:pPr>
        <w:widowControl/>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工程项目名称：</w:t>
      </w:r>
      <w:r>
        <w:rPr>
          <w:rFonts w:hint="eastAsia" w:ascii="仿宋" w:hAnsi="仿宋" w:eastAsia="仿宋" w:cs="仿宋"/>
          <w:sz w:val="24"/>
          <w:szCs w:val="24"/>
          <w:highlight w:val="none"/>
          <w:u w:val="single"/>
          <w:lang w:val="en-US" w:eastAsia="zh-CN"/>
        </w:rPr>
        <w:t xml:space="preserve">                                 </w:t>
      </w:r>
    </w:p>
    <w:p w14:paraId="1AD3E114">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工程项目地址：</w:t>
      </w:r>
      <w:r>
        <w:rPr>
          <w:rFonts w:hint="eastAsia" w:ascii="仿宋" w:hAnsi="仿宋" w:eastAsia="仿宋" w:cs="仿宋"/>
          <w:sz w:val="24"/>
          <w:szCs w:val="24"/>
          <w:highlight w:val="none"/>
          <w:u w:val="single"/>
        </w:rPr>
        <w:t xml:space="preserve">  杭州市上城区</w:t>
      </w:r>
    </w:p>
    <w:p w14:paraId="394A9DF2">
      <w:pPr>
        <w:spacing w:line="340" w:lineRule="atLeas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甲方（建设单位）：</w:t>
      </w:r>
      <w:r>
        <w:rPr>
          <w:rFonts w:hint="eastAsia" w:ascii="仿宋" w:hAnsi="仿宋" w:eastAsia="仿宋" w:cs="仿宋"/>
          <w:sz w:val="24"/>
          <w:szCs w:val="24"/>
          <w:highlight w:val="none"/>
          <w:u w:val="single"/>
          <w:lang w:val="en-US" w:eastAsia="zh-CN"/>
        </w:rPr>
        <w:t xml:space="preserve">                                         </w:t>
      </w:r>
    </w:p>
    <w:p w14:paraId="44280743">
      <w:pPr>
        <w:spacing w:line="340" w:lineRule="atLeas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乙方（施工单位）：</w:t>
      </w:r>
      <w:r>
        <w:rPr>
          <w:rFonts w:hint="eastAsia" w:ascii="仿宋" w:hAnsi="仿宋" w:eastAsia="仿宋" w:cs="仿宋"/>
          <w:sz w:val="24"/>
          <w:szCs w:val="24"/>
          <w:highlight w:val="none"/>
          <w:u w:val="single"/>
          <w:lang w:val="en-US" w:eastAsia="zh-CN"/>
        </w:rPr>
        <w:t xml:space="preserve">                                         </w:t>
      </w:r>
    </w:p>
    <w:p w14:paraId="3B357688">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00E58728">
      <w:pPr>
        <w:spacing w:line="340" w:lineRule="atLeast"/>
        <w:rPr>
          <w:rFonts w:ascii="仿宋" w:hAnsi="仿宋" w:eastAsia="仿宋" w:cs="仿宋"/>
          <w:b/>
          <w:bCs/>
          <w:sz w:val="24"/>
          <w:szCs w:val="24"/>
          <w:highlight w:val="none"/>
        </w:rPr>
      </w:pPr>
      <w:r>
        <w:rPr>
          <w:rFonts w:hint="eastAsia" w:ascii="仿宋" w:hAnsi="仿宋" w:eastAsia="仿宋" w:cs="仿宋"/>
          <w:b/>
          <w:bCs/>
          <w:sz w:val="24"/>
          <w:szCs w:val="24"/>
          <w:highlight w:val="none"/>
        </w:rPr>
        <w:t>第一条 甲、乙双方的</w:t>
      </w:r>
      <w:r>
        <w:rPr>
          <w:rFonts w:hint="eastAsia" w:ascii="仿宋" w:hAnsi="仿宋" w:eastAsia="仿宋" w:cs="仿宋"/>
          <w:b/>
          <w:bCs/>
          <w:sz w:val="24"/>
          <w:szCs w:val="24"/>
          <w:highlight w:val="none"/>
          <w:lang w:val="en-US" w:eastAsia="zh-CN"/>
        </w:rPr>
        <w:t>共同</w:t>
      </w:r>
      <w:r>
        <w:rPr>
          <w:rFonts w:hint="eastAsia" w:ascii="仿宋" w:hAnsi="仿宋" w:eastAsia="仿宋" w:cs="仿宋"/>
          <w:b/>
          <w:bCs/>
          <w:sz w:val="24"/>
          <w:szCs w:val="24"/>
          <w:highlight w:val="none"/>
        </w:rPr>
        <w:t>责任</w:t>
      </w:r>
    </w:p>
    <w:p w14:paraId="0B84D78C">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（一）应严格遵守国家关于市场准入、项目招标投标、工程建设、工程监理和市场活动的有关法律、法规，相关政策，以及廉政建设的各项规定。</w:t>
      </w:r>
    </w:p>
    <w:p w14:paraId="6C5AEB0B">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（二）严格执行建设工程项目合同文件，自觉按合同办事。</w:t>
      </w:r>
    </w:p>
    <w:p w14:paraId="64F8611C">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（三）业务活动必须坚持公开、公平、诚信、透明的原则（除法律法规另有规定者外），不得为获取不正当利益，损害国家、集体和对方利益，不得违反工程建设的规章制度。</w:t>
      </w:r>
    </w:p>
    <w:p w14:paraId="5F733CAA">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（四）发现对方在业务活动中有违规、违纪、违法行为的，应及时提醒对方，情节严重的，应向其上级主管部门或纪检监察、司法等有关机关举报。</w:t>
      </w:r>
    </w:p>
    <w:p w14:paraId="76C0FBDF">
      <w:pPr>
        <w:spacing w:line="340" w:lineRule="atLeast"/>
        <w:rPr>
          <w:rFonts w:ascii="仿宋" w:hAnsi="仿宋" w:eastAsia="仿宋" w:cs="仿宋"/>
          <w:b/>
          <w:bCs/>
          <w:sz w:val="24"/>
          <w:szCs w:val="24"/>
          <w:highlight w:val="none"/>
        </w:rPr>
      </w:pPr>
      <w:r>
        <w:rPr>
          <w:rFonts w:hint="eastAsia" w:ascii="仿宋" w:hAnsi="仿宋" w:eastAsia="仿宋" w:cs="仿宋"/>
          <w:b/>
          <w:bCs/>
          <w:sz w:val="24"/>
          <w:szCs w:val="24"/>
          <w:highlight w:val="none"/>
        </w:rPr>
        <w:t>第二条 甲方的责任</w:t>
      </w:r>
    </w:p>
    <w:p w14:paraId="430090BC">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甲方的领导和从事该建设工程项目的工作人员在工程建设的事前、事中、事后应遵守以下规定：</w:t>
      </w:r>
    </w:p>
    <w:p w14:paraId="32EC57F9">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（一）不准向乙方和相关单位索要或接受回扣、礼金、有价证券、贵重物品和好处费、感谢费等。</w:t>
      </w:r>
    </w:p>
    <w:p w14:paraId="09F317B2">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（二）不准在乙方和相关单位报销任何应由甲方或个人支付的费用。</w:t>
      </w:r>
    </w:p>
    <w:p w14:paraId="5EA9379A">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（三）不准要求、暗示或接受乙方和相关单位为个人装修住房、婚丧嫁娶、配偶子女的工作安排以及出国（境）、旅游等提供方便。</w:t>
      </w:r>
    </w:p>
    <w:p w14:paraId="0D4CDD78">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（四）不准参加有可能影响公正执行公务的乙方和相关单位的宴请、健身、娱乐等活动。</w:t>
      </w:r>
    </w:p>
    <w:p w14:paraId="31E11DCA">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五）不准向乙方和相关单位介绍或为配偶、子女、亲属参与同甲方项目工程合同有关的设备、材料、工程分包、监理分包、劳务等经济活动。不得以任何理由向乙方和相关单位推荐分包单位和要求购买与项目工程合同规定以外的材料、设备等。</w:t>
      </w:r>
    </w:p>
    <w:p w14:paraId="641C6F5A">
      <w:pPr>
        <w:spacing w:line="340" w:lineRule="atLeast"/>
        <w:rPr>
          <w:rFonts w:ascii="仿宋" w:hAnsi="仿宋" w:eastAsia="仿宋" w:cs="仿宋"/>
          <w:sz w:val="24"/>
          <w:szCs w:val="24"/>
          <w:highlight w:val="none"/>
        </w:rPr>
      </w:pPr>
      <w:r>
        <w:rPr>
          <w:rFonts w:hint="eastAsia" w:ascii="仿宋" w:hAnsi="仿宋" w:eastAsia="仿宋" w:cs="仿宋"/>
          <w:b/>
          <w:bCs/>
          <w:sz w:val="24"/>
          <w:szCs w:val="24"/>
          <w:highlight w:val="none"/>
        </w:rPr>
        <w:t>第三条 乙方的责任</w:t>
      </w:r>
    </w:p>
    <w:p w14:paraId="2C607321">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应与甲方和相关单位保持正常的业务交往，按照有关法律法规和程序开展业务工作，严格执行工程建设的方针、政策，认真履行职责，并遵守以下规定：</w:t>
      </w:r>
    </w:p>
    <w:p w14:paraId="3F31845F">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（一）不准以任何理由向甲方和相关单位及其工作人员索要、接收或赠送礼金、有价证券、贵重物品及回扣、好处费、感谢费等。</w:t>
      </w:r>
    </w:p>
    <w:p w14:paraId="66276E67">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（二）不准以任何理由为甲方和相关单位报销应由对方或个人支付的费用。</w:t>
      </w:r>
    </w:p>
    <w:p w14:paraId="5B9207F5">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（三）不准接受或暗示为甲方、相关单位或个人装修住房、婚丧嫁娶、配偶子女的工作安排以及出国（境）、旅游等提供方便。</w:t>
      </w:r>
    </w:p>
    <w:p w14:paraId="1C8FB132">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（四）不准违反合同约定而使用甲方、相关单位提供的通信、交通工具和高档办公用品。</w:t>
      </w:r>
    </w:p>
    <w:p w14:paraId="3850AA4B">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（五）不准以任何理由为甲方、相关单位或个人组织有可能影响公正执行公务的宴请、健身、娱乐等活动。</w:t>
      </w:r>
    </w:p>
    <w:p w14:paraId="7DCE9BA5">
      <w:pPr>
        <w:spacing w:line="340" w:lineRule="atLeast"/>
        <w:rPr>
          <w:rFonts w:ascii="仿宋" w:hAnsi="仿宋" w:eastAsia="仿宋" w:cs="仿宋"/>
          <w:sz w:val="24"/>
          <w:szCs w:val="24"/>
          <w:highlight w:val="none"/>
        </w:rPr>
      </w:pPr>
      <w:r>
        <w:rPr>
          <w:rFonts w:hint="eastAsia" w:ascii="仿宋" w:hAnsi="仿宋" w:eastAsia="仿宋" w:cs="仿宋"/>
          <w:b/>
          <w:bCs/>
          <w:sz w:val="24"/>
          <w:szCs w:val="24"/>
          <w:highlight w:val="none"/>
        </w:rPr>
        <w:t>第四条 违约责任</w:t>
      </w:r>
    </w:p>
    <w:p w14:paraId="07AD5439">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一）甲方工作人员有违反本责任书第一、二条责任行为的，按照管理权限，依据有关法律法规给予党纪、政纪处分或组织处理；涉嫌犯罪的，移交司法机关追究刑事责任；给乙方单位造成经济损失的，应予以赔偿。</w:t>
      </w:r>
    </w:p>
    <w:p w14:paraId="5FEBA176">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    （二）乙方工作人员有违反本责任书第一、三条责任行为的，按照管理权限，依据有关法律法规给予党纪、政纪处分或组织处理；涉嫌犯罪的，移交司法机关追究刑事责任；给甲方单位造成经济损失的，应予以赔偿。</w:t>
      </w:r>
    </w:p>
    <w:p w14:paraId="05EA40DA">
      <w:pPr>
        <w:spacing w:line="340" w:lineRule="atLeas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第五条 本责任书效力</w:t>
      </w:r>
    </w:p>
    <w:p w14:paraId="05198B54">
      <w:pPr>
        <w:spacing w:line="340" w:lineRule="atLeas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本责任书作为工程合同的附件，与工程合同具有同等法律效力。经双方</w:t>
      </w:r>
      <w:r>
        <w:rPr>
          <w:rFonts w:hint="eastAsia" w:ascii="仿宋" w:hAnsi="仿宋" w:eastAsia="仿宋" w:cs="仿宋"/>
          <w:b/>
          <w:bCs/>
          <w:sz w:val="24"/>
          <w:szCs w:val="24"/>
          <w:highlight w:val="none"/>
          <w:lang w:val="en-US" w:eastAsia="zh-CN"/>
        </w:rPr>
        <w:t>签字盖章</w:t>
      </w:r>
      <w:r>
        <w:rPr>
          <w:rFonts w:hint="eastAsia" w:ascii="仿宋" w:hAnsi="仿宋" w:eastAsia="仿宋" w:cs="仿宋"/>
          <w:b/>
          <w:bCs/>
          <w:sz w:val="24"/>
          <w:szCs w:val="24"/>
          <w:highlight w:val="none"/>
        </w:rPr>
        <w:t>后立即生效。</w:t>
      </w:r>
    </w:p>
    <w:p w14:paraId="1BCDB623">
      <w:pPr>
        <w:spacing w:line="340" w:lineRule="atLeas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第六条 责任承担期限</w:t>
      </w:r>
    </w:p>
    <w:p w14:paraId="1C23B0DB">
      <w:pPr>
        <w:spacing w:line="340" w:lineRule="atLeas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本责任书的有效期为双方</w:t>
      </w:r>
      <w:r>
        <w:rPr>
          <w:rFonts w:hint="eastAsia" w:ascii="仿宋" w:hAnsi="仿宋" w:eastAsia="仿宋" w:cs="仿宋"/>
          <w:b/>
          <w:bCs/>
          <w:sz w:val="24"/>
          <w:szCs w:val="24"/>
          <w:highlight w:val="none"/>
          <w:lang w:val="en-US" w:eastAsia="zh-CN"/>
        </w:rPr>
        <w:t>签字盖章</w:t>
      </w:r>
      <w:r>
        <w:rPr>
          <w:rFonts w:hint="eastAsia" w:ascii="仿宋" w:hAnsi="仿宋" w:eastAsia="仿宋" w:cs="仿宋"/>
          <w:b/>
          <w:bCs/>
          <w:sz w:val="24"/>
          <w:szCs w:val="24"/>
          <w:highlight w:val="none"/>
        </w:rPr>
        <w:t>之日起至该工程项目竣工验收合格时止。</w:t>
      </w:r>
    </w:p>
    <w:p w14:paraId="6775CD4F">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（以下为签字页）</w:t>
      </w:r>
    </w:p>
    <w:p w14:paraId="47A7E82A">
      <w:pPr>
        <w:spacing w:line="340" w:lineRule="atLeast"/>
        <w:rPr>
          <w:rFonts w:ascii="仿宋" w:hAnsi="仿宋" w:eastAsia="仿宋" w:cs="仿宋"/>
          <w:sz w:val="24"/>
          <w:szCs w:val="24"/>
          <w:highlight w:val="none"/>
        </w:rPr>
      </w:pPr>
    </w:p>
    <w:p w14:paraId="26AB3575">
      <w:pPr>
        <w:spacing w:line="340" w:lineRule="atLeast"/>
        <w:rPr>
          <w:rFonts w:ascii="仿宋" w:hAnsi="仿宋" w:eastAsia="仿宋" w:cs="仿宋"/>
          <w:sz w:val="24"/>
          <w:szCs w:val="24"/>
          <w:highlight w:val="none"/>
        </w:rPr>
      </w:pPr>
    </w:p>
    <w:p w14:paraId="44F40C20">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甲方单位：（盖章）</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乙方单位：（盖章）</w:t>
      </w:r>
    </w:p>
    <w:p w14:paraId="704EE8A9">
      <w:pPr>
        <w:spacing w:line="340" w:lineRule="atLeast"/>
        <w:rPr>
          <w:rFonts w:ascii="仿宋" w:hAnsi="仿宋" w:eastAsia="仿宋" w:cs="仿宋"/>
          <w:sz w:val="24"/>
          <w:szCs w:val="24"/>
          <w:highlight w:val="none"/>
        </w:rPr>
      </w:pPr>
    </w:p>
    <w:p w14:paraId="6EEE8492">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法定代表人：</w:t>
      </w:r>
    </w:p>
    <w:p w14:paraId="61AB78CD">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地址：                            地址：</w:t>
      </w:r>
    </w:p>
    <w:p w14:paraId="42859C63">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 xml:space="preserve">电话：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rPr>
        <w:tab/>
      </w:r>
    </w:p>
    <w:p w14:paraId="74380023">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年  月  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年  月  日</w:t>
      </w:r>
    </w:p>
    <w:p w14:paraId="0BB4AAD4">
      <w:pPr>
        <w:spacing w:line="340" w:lineRule="atLeast"/>
        <w:rPr>
          <w:rFonts w:ascii="仿宋" w:hAnsi="仿宋" w:eastAsia="仿宋" w:cs="仿宋"/>
          <w:sz w:val="24"/>
          <w:szCs w:val="24"/>
          <w:highlight w:val="none"/>
        </w:rPr>
      </w:pPr>
    </w:p>
    <w:p w14:paraId="11819EE5">
      <w:pPr>
        <w:spacing w:line="340" w:lineRule="atLeast"/>
        <w:rPr>
          <w:rFonts w:ascii="仿宋" w:hAnsi="仿宋" w:eastAsia="仿宋" w:cs="仿宋"/>
          <w:sz w:val="24"/>
          <w:szCs w:val="24"/>
          <w:highlight w:val="none"/>
        </w:rPr>
      </w:pPr>
    </w:p>
    <w:p w14:paraId="3EA1B642">
      <w:pPr>
        <w:rPr>
          <w:highlight w:val="none"/>
        </w:rPr>
      </w:pPr>
    </w:p>
    <w:p w14:paraId="5E907774">
      <w:pPr>
        <w:rPr>
          <w:highlight w:val="none"/>
        </w:rPr>
      </w:pPr>
    </w:p>
    <w:p w14:paraId="467F405F">
      <w:pPr>
        <w:rPr>
          <w:highlight w:val="none"/>
        </w:rPr>
      </w:pPr>
    </w:p>
    <w:p w14:paraId="646C9597">
      <w:pPr>
        <w:rPr>
          <w:highlight w:val="none"/>
        </w:rPr>
      </w:pPr>
    </w:p>
    <w:p w14:paraId="051D5EE2">
      <w:pPr>
        <w:rPr>
          <w:highlight w:val="none"/>
        </w:rPr>
      </w:pPr>
    </w:p>
    <w:p w14:paraId="4B996B3E">
      <w:pPr>
        <w:rPr>
          <w:highlight w:val="none"/>
        </w:rPr>
      </w:pPr>
    </w:p>
    <w:p w14:paraId="6C306E1D">
      <w:pPr>
        <w:rPr>
          <w:highlight w:val="none"/>
        </w:rPr>
      </w:pPr>
    </w:p>
    <w:p w14:paraId="03ACCFA3">
      <w:pPr>
        <w:rPr>
          <w:highlight w:val="none"/>
        </w:rPr>
      </w:pPr>
    </w:p>
    <w:p w14:paraId="2681E4F8">
      <w:pPr>
        <w:tabs>
          <w:tab w:val="left" w:pos="1583"/>
        </w:tabs>
        <w:jc w:val="left"/>
        <w:rPr>
          <w:highlight w:val="none"/>
        </w:rPr>
        <w:sectPr>
          <w:pgSz w:w="11906" w:h="16838"/>
          <w:pgMar w:top="1418" w:right="1555" w:bottom="1418" w:left="1531" w:header="851" w:footer="992" w:gutter="0"/>
          <w:pgNumType w:fmt="decimal"/>
          <w:cols w:space="720" w:num="1"/>
          <w:titlePg/>
          <w:docGrid w:type="lines" w:linePitch="312" w:charSpace="0"/>
        </w:sectPr>
      </w:pPr>
    </w:p>
    <w:p w14:paraId="43AAB030">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附件7：</w:t>
      </w:r>
    </w:p>
    <w:p w14:paraId="0A3FCA79">
      <w:pPr>
        <w:adjustRightInd w:val="0"/>
        <w:snapToGrid w:val="0"/>
        <w:spacing w:line="340" w:lineRule="atLeast"/>
        <w:jc w:val="left"/>
        <w:rPr>
          <w:rFonts w:ascii="仿宋" w:hAnsi="仿宋" w:eastAsia="仿宋" w:cs="仿宋"/>
          <w:sz w:val="24"/>
          <w:szCs w:val="24"/>
          <w:highlight w:val="none"/>
        </w:rPr>
      </w:pPr>
    </w:p>
    <w:p w14:paraId="66417053">
      <w:pPr>
        <w:adjustRightInd w:val="0"/>
        <w:snapToGrid w:val="0"/>
        <w:spacing w:line="340" w:lineRule="atLeas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 xml:space="preserve">市政建设工程质量安全文明施工责任书 </w:t>
      </w:r>
    </w:p>
    <w:p w14:paraId="78F4003F">
      <w:pPr>
        <w:adjustRightInd w:val="0"/>
        <w:snapToGrid w:val="0"/>
        <w:spacing w:line="340" w:lineRule="atLeast"/>
        <w:jc w:val="center"/>
        <w:rPr>
          <w:rFonts w:ascii="仿宋" w:hAnsi="仿宋" w:eastAsia="仿宋" w:cs="仿宋"/>
          <w:kern w:val="0"/>
          <w:sz w:val="24"/>
          <w:szCs w:val="24"/>
          <w:highlight w:val="none"/>
        </w:rPr>
      </w:pPr>
    </w:p>
    <w:p w14:paraId="37418B4B">
      <w:pPr>
        <w:spacing w:line="340" w:lineRule="atLeast"/>
        <w:rPr>
          <w:rFonts w:ascii="仿宋" w:hAnsi="仿宋" w:eastAsia="仿宋" w:cs="仿宋"/>
          <w:sz w:val="24"/>
          <w:szCs w:val="24"/>
          <w:highlight w:val="none"/>
        </w:rPr>
      </w:pPr>
    </w:p>
    <w:p w14:paraId="45F8C8A7">
      <w:pPr>
        <w:widowControl/>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 xml:space="preserve"> </w:t>
      </w:r>
    </w:p>
    <w:p w14:paraId="17749353">
      <w:pPr>
        <w:rPr>
          <w:rFonts w:ascii="仿宋" w:hAnsi="仿宋" w:eastAsia="仿宋" w:cs="仿宋"/>
          <w:sz w:val="24"/>
          <w:szCs w:val="24"/>
          <w:highlight w:val="none"/>
        </w:rPr>
      </w:pPr>
    </w:p>
    <w:p w14:paraId="0536EE32">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建设单位（简称甲方）：</w:t>
      </w:r>
      <w:r>
        <w:rPr>
          <w:rFonts w:hint="eastAsia" w:ascii="仿宋" w:hAnsi="仿宋" w:eastAsia="仿宋" w:cs="仿宋"/>
          <w:bCs/>
          <w:color w:val="000000"/>
          <w:sz w:val="24"/>
          <w:szCs w:val="24"/>
          <w:highlight w:val="none"/>
          <w:lang w:val="en-US" w:eastAsia="zh-CN"/>
        </w:rPr>
        <w:t xml:space="preserve"> </w:t>
      </w:r>
    </w:p>
    <w:p w14:paraId="687FB638">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14:paraId="4AC506A2">
      <w:pPr>
        <w:rPr>
          <w:rFonts w:ascii="仿宋" w:hAnsi="仿宋" w:eastAsia="仿宋" w:cs="仿宋"/>
          <w:sz w:val="24"/>
          <w:szCs w:val="24"/>
          <w:highlight w:val="none"/>
        </w:rPr>
      </w:pPr>
    </w:p>
    <w:p w14:paraId="0BE904EF">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施工单位（简称乙方）：</w:t>
      </w:r>
      <w:r>
        <w:rPr>
          <w:rFonts w:hint="eastAsia" w:ascii="仿宋" w:hAnsi="仿宋" w:eastAsia="仿宋" w:cs="仿宋"/>
          <w:sz w:val="24"/>
          <w:szCs w:val="24"/>
          <w:highlight w:val="none"/>
          <w:lang w:val="en-US" w:eastAsia="zh-CN"/>
        </w:rPr>
        <w:t xml:space="preserve"> </w:t>
      </w:r>
    </w:p>
    <w:p w14:paraId="226C0C6B">
      <w:pPr>
        <w:rPr>
          <w:rFonts w:ascii="仿宋" w:hAnsi="仿宋" w:eastAsia="仿宋" w:cs="仿宋"/>
          <w:sz w:val="24"/>
          <w:szCs w:val="24"/>
          <w:highlight w:val="none"/>
        </w:rPr>
      </w:pPr>
    </w:p>
    <w:p w14:paraId="7DE20BF9">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14:paraId="3BE7EDB2">
      <w:pPr>
        <w:rPr>
          <w:rFonts w:ascii="仿宋" w:hAnsi="仿宋" w:eastAsia="仿宋" w:cs="仿宋"/>
          <w:sz w:val="24"/>
          <w:szCs w:val="24"/>
          <w:highlight w:val="none"/>
        </w:rPr>
      </w:pPr>
    </w:p>
    <w:p w14:paraId="0CA32B38">
      <w:pPr>
        <w:rPr>
          <w:rFonts w:ascii="仿宋" w:hAnsi="仿宋" w:eastAsia="仿宋" w:cs="仿宋"/>
          <w:sz w:val="24"/>
          <w:szCs w:val="24"/>
          <w:highlight w:val="none"/>
        </w:rPr>
      </w:pPr>
      <w:r>
        <w:rPr>
          <w:rFonts w:hint="eastAsia" w:ascii="仿宋" w:hAnsi="仿宋" w:eastAsia="仿宋" w:cs="仿宋"/>
          <w:sz w:val="24"/>
          <w:szCs w:val="24"/>
          <w:highlight w:val="none"/>
        </w:rPr>
        <w:t>监理单位（简称丙方）：</w:t>
      </w:r>
    </w:p>
    <w:p w14:paraId="63407469">
      <w:pPr>
        <w:rPr>
          <w:rFonts w:ascii="仿宋" w:hAnsi="仿宋" w:eastAsia="仿宋" w:cs="仿宋"/>
          <w:sz w:val="24"/>
          <w:szCs w:val="24"/>
          <w:highlight w:val="none"/>
        </w:rPr>
      </w:pPr>
    </w:p>
    <w:p w14:paraId="2279C72E">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14:paraId="5C81D941">
      <w:pPr>
        <w:rPr>
          <w:rFonts w:ascii="仿宋" w:hAnsi="仿宋" w:eastAsia="仿宋" w:cs="仿宋"/>
          <w:sz w:val="24"/>
          <w:szCs w:val="24"/>
          <w:highlight w:val="none"/>
        </w:rPr>
      </w:pPr>
    </w:p>
    <w:p w14:paraId="0AC92200">
      <w:pPr>
        <w:rPr>
          <w:rFonts w:ascii="仿宋" w:hAnsi="仿宋" w:eastAsia="仿宋" w:cs="仿宋"/>
          <w:sz w:val="24"/>
          <w:szCs w:val="24"/>
          <w:highlight w:val="none"/>
        </w:rPr>
      </w:pPr>
    </w:p>
    <w:p w14:paraId="6325D5E2">
      <w:pPr>
        <w:rPr>
          <w:rFonts w:ascii="仿宋" w:hAnsi="仿宋" w:eastAsia="仿宋" w:cs="仿宋"/>
          <w:sz w:val="24"/>
          <w:szCs w:val="24"/>
          <w:highlight w:val="none"/>
        </w:rPr>
      </w:pPr>
      <w:r>
        <w:rPr>
          <w:rFonts w:hint="eastAsia" w:ascii="仿宋" w:hAnsi="仿宋" w:eastAsia="仿宋" w:cs="仿宋"/>
          <w:sz w:val="24"/>
          <w:szCs w:val="24"/>
          <w:highlight w:val="none"/>
        </w:rPr>
        <w:t>签订日期：     年   月    日</w:t>
      </w:r>
    </w:p>
    <w:p w14:paraId="09788202">
      <w:pPr>
        <w:rPr>
          <w:rFonts w:ascii="仿宋" w:hAnsi="仿宋" w:eastAsia="仿宋" w:cs="仿宋"/>
          <w:sz w:val="24"/>
          <w:szCs w:val="24"/>
          <w:highlight w:val="none"/>
        </w:rPr>
      </w:pPr>
    </w:p>
    <w:p w14:paraId="68E8ED44">
      <w:pPr>
        <w:rPr>
          <w:rFonts w:ascii="仿宋" w:hAnsi="仿宋" w:eastAsia="仿宋" w:cs="仿宋"/>
          <w:sz w:val="24"/>
          <w:szCs w:val="24"/>
          <w:highlight w:val="none"/>
        </w:rPr>
      </w:pPr>
    </w:p>
    <w:p w14:paraId="19C49C59">
      <w:pPr>
        <w:rPr>
          <w:rFonts w:ascii="仿宋" w:hAnsi="仿宋" w:eastAsia="仿宋" w:cs="仿宋"/>
          <w:sz w:val="24"/>
          <w:szCs w:val="24"/>
          <w:highlight w:val="none"/>
        </w:rPr>
      </w:pPr>
      <w:r>
        <w:rPr>
          <w:rFonts w:hint="eastAsia" w:ascii="仿宋" w:hAnsi="仿宋" w:eastAsia="仿宋" w:cs="仿宋"/>
          <w:sz w:val="24"/>
          <w:szCs w:val="24"/>
          <w:highlight w:val="none"/>
        </w:rPr>
        <w:t xml:space="preserve">    根据《中华人民共和国安全生产法》、《中华人民共和国建筑法》、《建设工程质量管理条例》、《建设工程安全生产管理条例》、《建筑施工安全检查标准》等有关法律法规和强制性标准、承发包双方签订的《建设工程施工合同》等。本责任书作为施工合同的附件，对各方在工程实施过程中质量安全文明施工管理职责和要求进一步明确如下：</w:t>
      </w:r>
    </w:p>
    <w:p w14:paraId="6FF009F0">
      <w:pPr>
        <w:rPr>
          <w:rFonts w:ascii="仿宋" w:hAnsi="仿宋" w:eastAsia="仿宋" w:cs="仿宋"/>
          <w:b/>
          <w:bCs/>
          <w:sz w:val="24"/>
          <w:szCs w:val="24"/>
          <w:highlight w:val="none"/>
        </w:rPr>
      </w:pPr>
      <w:r>
        <w:rPr>
          <w:rFonts w:hint="eastAsia" w:ascii="仿宋" w:hAnsi="仿宋" w:eastAsia="仿宋" w:cs="仿宋"/>
          <w:b/>
          <w:bCs/>
          <w:sz w:val="24"/>
          <w:szCs w:val="24"/>
          <w:highlight w:val="none"/>
        </w:rPr>
        <w:t>一、各方职责</w:t>
      </w:r>
    </w:p>
    <w:p w14:paraId="6417AD92">
      <w:pPr>
        <w:rPr>
          <w:rFonts w:ascii="仿宋" w:hAnsi="仿宋" w:eastAsia="仿宋" w:cs="仿宋"/>
          <w:b/>
          <w:bCs/>
          <w:sz w:val="24"/>
          <w:szCs w:val="24"/>
          <w:highlight w:val="none"/>
        </w:rPr>
      </w:pPr>
      <w:r>
        <w:rPr>
          <w:rFonts w:hint="eastAsia" w:ascii="仿宋" w:hAnsi="仿宋" w:eastAsia="仿宋" w:cs="仿宋"/>
          <w:b/>
          <w:bCs/>
          <w:sz w:val="24"/>
          <w:szCs w:val="24"/>
          <w:highlight w:val="none"/>
        </w:rPr>
        <w:t>（一）甲方职责</w:t>
      </w:r>
    </w:p>
    <w:p w14:paraId="4B26B7F7">
      <w:pPr>
        <w:rPr>
          <w:rFonts w:ascii="仿宋" w:hAnsi="仿宋" w:eastAsia="仿宋" w:cs="仿宋"/>
          <w:sz w:val="24"/>
          <w:szCs w:val="24"/>
          <w:highlight w:val="none"/>
        </w:rPr>
      </w:pPr>
      <w:r>
        <w:rPr>
          <w:rFonts w:hint="eastAsia" w:ascii="仿宋" w:hAnsi="仿宋" w:eastAsia="仿宋" w:cs="仿宋"/>
          <w:sz w:val="24"/>
          <w:szCs w:val="24"/>
          <w:highlight w:val="none"/>
        </w:rPr>
        <w:t xml:space="preserve">    1、按合同要求在开工前提供符合开工条件的施工场地，落实施工所需的水、电等接口。</w:t>
      </w:r>
    </w:p>
    <w:p w14:paraId="17A7964D">
      <w:pPr>
        <w:rPr>
          <w:rFonts w:ascii="仿宋" w:hAnsi="仿宋" w:eastAsia="仿宋" w:cs="仿宋"/>
          <w:sz w:val="24"/>
          <w:szCs w:val="24"/>
          <w:highlight w:val="none"/>
        </w:rPr>
      </w:pPr>
      <w:r>
        <w:rPr>
          <w:rFonts w:hint="eastAsia" w:ascii="仿宋" w:hAnsi="仿宋" w:eastAsia="仿宋" w:cs="仿宋"/>
          <w:sz w:val="24"/>
          <w:szCs w:val="24"/>
          <w:highlight w:val="none"/>
        </w:rPr>
        <w:t xml:space="preserve">    2、向乙方提供工程地质报告和施工现场及毗邻区域内供水、排水、供电、供气、供热、通信、广播电视等地下管线资料，气象和水文观测资料，相邻建筑物和构筑物、地下工程的有关资料，在现有条件下，尽可能保证资料的真实、准确、完整。同时组织会审乙方制定的管线保护及周边建筑物保护方案，落实相关费用。</w:t>
      </w:r>
    </w:p>
    <w:p w14:paraId="0011485D">
      <w:pPr>
        <w:rPr>
          <w:rFonts w:ascii="仿宋" w:hAnsi="仿宋" w:eastAsia="仿宋" w:cs="仿宋"/>
          <w:sz w:val="24"/>
          <w:szCs w:val="24"/>
          <w:highlight w:val="none"/>
        </w:rPr>
      </w:pPr>
      <w:r>
        <w:rPr>
          <w:rFonts w:hint="eastAsia" w:ascii="仿宋" w:hAnsi="仿宋" w:eastAsia="仿宋" w:cs="仿宋"/>
          <w:sz w:val="24"/>
          <w:szCs w:val="24"/>
          <w:highlight w:val="none"/>
        </w:rPr>
        <w:t xml:space="preserve">    3、实行监理的建设工程，甲方应当委托具有相应资质等级的工程监理单位进行监理。</w:t>
      </w:r>
    </w:p>
    <w:p w14:paraId="3B7187D5">
      <w:pPr>
        <w:rPr>
          <w:rFonts w:ascii="仿宋" w:hAnsi="仿宋" w:eastAsia="仿宋" w:cs="仿宋"/>
          <w:sz w:val="24"/>
          <w:szCs w:val="24"/>
          <w:highlight w:val="none"/>
        </w:rPr>
      </w:pPr>
      <w:r>
        <w:rPr>
          <w:rFonts w:hint="eastAsia" w:ascii="仿宋" w:hAnsi="仿宋" w:eastAsia="仿宋" w:cs="仿宋"/>
          <w:sz w:val="24"/>
          <w:szCs w:val="24"/>
          <w:highlight w:val="none"/>
        </w:rPr>
        <w:t xml:space="preserve">    4、按照施工合同约定，由甲方采购工程材料、构配件和设备的，甲方应当保证建筑材料、建筑构配件和设备符合设计文件和合同要求。不得明示或者暗示乙方使用不合格的建筑材料、建筑构配件和设备。</w:t>
      </w:r>
    </w:p>
    <w:p w14:paraId="6AFD9D7C">
      <w:pPr>
        <w:rPr>
          <w:rFonts w:ascii="仿宋" w:hAnsi="仿宋" w:eastAsia="仿宋" w:cs="仿宋"/>
          <w:sz w:val="24"/>
          <w:szCs w:val="24"/>
          <w:highlight w:val="none"/>
        </w:rPr>
      </w:pPr>
      <w:r>
        <w:rPr>
          <w:rFonts w:hint="eastAsia" w:ascii="仿宋" w:hAnsi="仿宋" w:eastAsia="仿宋" w:cs="仿宋"/>
          <w:sz w:val="24"/>
          <w:szCs w:val="24"/>
          <w:highlight w:val="none"/>
        </w:rPr>
        <w:t xml:space="preserve">    5、对施工过程中的交通组织、社会治安等外围工作进行协调处理。对同一施工场地内的多家施工单位（分包除外）的管理进行协调。</w:t>
      </w:r>
    </w:p>
    <w:p w14:paraId="180C5B33">
      <w:pPr>
        <w:rPr>
          <w:rFonts w:ascii="仿宋" w:hAnsi="仿宋" w:eastAsia="仿宋" w:cs="仿宋"/>
          <w:sz w:val="24"/>
          <w:szCs w:val="24"/>
          <w:highlight w:val="none"/>
        </w:rPr>
      </w:pPr>
      <w:r>
        <w:rPr>
          <w:rFonts w:hint="eastAsia" w:ascii="仿宋" w:hAnsi="仿宋" w:eastAsia="仿宋" w:cs="仿宋"/>
          <w:sz w:val="24"/>
          <w:szCs w:val="24"/>
          <w:highlight w:val="none"/>
        </w:rPr>
        <w:t xml:space="preserve">    6、涉及工程主体和承重结构变动的工程，甲方应当在施工前委托原设计单位或者具有相应资质等级的设计单位提出设计方案；没有设计方案的，不得施工。</w:t>
      </w:r>
    </w:p>
    <w:p w14:paraId="30418EBA">
      <w:pPr>
        <w:rPr>
          <w:rFonts w:ascii="仿宋" w:hAnsi="仿宋" w:eastAsia="仿宋" w:cs="仿宋"/>
          <w:sz w:val="24"/>
          <w:szCs w:val="24"/>
          <w:highlight w:val="none"/>
        </w:rPr>
      </w:pPr>
      <w:r>
        <w:rPr>
          <w:rFonts w:hint="eastAsia" w:ascii="仿宋" w:hAnsi="仿宋" w:eastAsia="仿宋" w:cs="仿宋"/>
          <w:sz w:val="24"/>
          <w:szCs w:val="24"/>
          <w:highlight w:val="none"/>
        </w:rPr>
        <w:t xml:space="preserve">    7、对甲方进入施工现场的人员加强安全教育，自觉遵守现场各项安全管理规定，提供必要的劳动保护用品。</w:t>
      </w:r>
    </w:p>
    <w:p w14:paraId="6D2D4672">
      <w:pPr>
        <w:rPr>
          <w:rFonts w:ascii="仿宋" w:hAnsi="仿宋" w:eastAsia="仿宋" w:cs="仿宋"/>
          <w:sz w:val="24"/>
          <w:szCs w:val="24"/>
          <w:highlight w:val="none"/>
        </w:rPr>
      </w:pPr>
      <w:r>
        <w:rPr>
          <w:rFonts w:hint="eastAsia" w:ascii="仿宋" w:hAnsi="仿宋" w:eastAsia="仿宋" w:cs="仿宋"/>
          <w:sz w:val="24"/>
          <w:szCs w:val="24"/>
          <w:highlight w:val="none"/>
        </w:rPr>
        <w:t xml:space="preserve">    8、督促乙方制订完善质量安全文明施工措施计划、质量安全专项组织设计及其它有关承诺的落实情况，监督检查质量安全文明施工费及质量安全措施费的使用情况。</w:t>
      </w:r>
    </w:p>
    <w:p w14:paraId="2DF8909B">
      <w:pPr>
        <w:rPr>
          <w:rFonts w:ascii="仿宋" w:hAnsi="仿宋" w:eastAsia="仿宋" w:cs="仿宋"/>
          <w:sz w:val="24"/>
          <w:szCs w:val="24"/>
          <w:highlight w:val="none"/>
        </w:rPr>
      </w:pPr>
      <w:r>
        <w:rPr>
          <w:rFonts w:hint="eastAsia" w:ascii="仿宋" w:hAnsi="仿宋" w:eastAsia="仿宋" w:cs="仿宋"/>
          <w:sz w:val="24"/>
          <w:szCs w:val="24"/>
          <w:highlight w:val="none"/>
        </w:rPr>
        <w:t xml:space="preserve">    9、根据各级主管部门布置的质量安全文明施工管理要求，进行定期或不定期检查考评或专项整治督查，提出整改意见，出具整改通知书。</w:t>
      </w:r>
    </w:p>
    <w:p w14:paraId="5756C40A">
      <w:pPr>
        <w:rPr>
          <w:rFonts w:ascii="仿宋" w:hAnsi="仿宋" w:eastAsia="仿宋" w:cs="仿宋"/>
          <w:sz w:val="24"/>
          <w:szCs w:val="24"/>
          <w:highlight w:val="none"/>
        </w:rPr>
      </w:pPr>
      <w:r>
        <w:rPr>
          <w:rFonts w:hint="eastAsia" w:ascii="仿宋" w:hAnsi="仿宋" w:eastAsia="仿宋" w:cs="仿宋"/>
          <w:sz w:val="24"/>
          <w:szCs w:val="24"/>
          <w:highlight w:val="none"/>
        </w:rPr>
        <w:t xml:space="preserve">    10、收到建设工程竣工报告后，应当及时组织各管理单位以及设计、施工、工程监理等有关单位进行竣工验收。</w:t>
      </w:r>
    </w:p>
    <w:p w14:paraId="3D4621A3">
      <w:pPr>
        <w:rPr>
          <w:rFonts w:ascii="仿宋" w:hAnsi="仿宋" w:eastAsia="仿宋" w:cs="仿宋"/>
          <w:sz w:val="24"/>
          <w:szCs w:val="24"/>
          <w:highlight w:val="none"/>
        </w:rPr>
      </w:pPr>
      <w:r>
        <w:rPr>
          <w:rFonts w:hint="eastAsia" w:ascii="仿宋" w:hAnsi="仿宋" w:eastAsia="仿宋" w:cs="仿宋"/>
          <w:sz w:val="24"/>
          <w:szCs w:val="24"/>
          <w:highlight w:val="none"/>
        </w:rPr>
        <w:t xml:space="preserve">    11、严格按照国家有关档案管理的规定，及时收集、整理建设项目各环节的文件资料，建立、健全建设项目档案，并在建设工程竣工验收后，及时向建设行政主管部门或者其他有关部门移交建设项目档案。</w:t>
      </w:r>
    </w:p>
    <w:p w14:paraId="192D0D0F">
      <w:pPr>
        <w:rPr>
          <w:rFonts w:ascii="仿宋" w:hAnsi="仿宋" w:eastAsia="仿宋" w:cs="仿宋"/>
          <w:sz w:val="24"/>
          <w:szCs w:val="24"/>
          <w:highlight w:val="none"/>
        </w:rPr>
      </w:pPr>
      <w:r>
        <w:rPr>
          <w:rFonts w:hint="eastAsia" w:ascii="仿宋" w:hAnsi="仿宋" w:eastAsia="仿宋" w:cs="仿宋"/>
          <w:sz w:val="24"/>
          <w:szCs w:val="24"/>
          <w:highlight w:val="none"/>
        </w:rPr>
        <w:t xml:space="preserve">    12、督促乙方落实交通安全管理责任、制度，将工程交通安全管理纳入建设工程安全监管之中。检查乙方对工程车辆的交通安全监管及驾驶员的安全教育情况。</w:t>
      </w:r>
    </w:p>
    <w:p w14:paraId="3C805910">
      <w:pPr>
        <w:rPr>
          <w:rFonts w:ascii="仿宋" w:hAnsi="仿宋" w:eastAsia="仿宋" w:cs="仿宋"/>
          <w:b/>
          <w:bCs/>
          <w:sz w:val="24"/>
          <w:szCs w:val="24"/>
          <w:highlight w:val="none"/>
        </w:rPr>
      </w:pPr>
      <w:r>
        <w:rPr>
          <w:rFonts w:hint="eastAsia" w:ascii="仿宋" w:hAnsi="仿宋" w:eastAsia="仿宋" w:cs="仿宋"/>
          <w:b/>
          <w:bCs/>
          <w:sz w:val="24"/>
          <w:szCs w:val="24"/>
          <w:highlight w:val="none"/>
        </w:rPr>
        <w:t>（二）乙方职责</w:t>
      </w:r>
    </w:p>
    <w:p w14:paraId="3B38967E">
      <w:pPr>
        <w:rPr>
          <w:rFonts w:ascii="仿宋" w:hAnsi="仿宋" w:eastAsia="仿宋" w:cs="仿宋"/>
          <w:sz w:val="24"/>
          <w:szCs w:val="24"/>
          <w:highlight w:val="none"/>
        </w:rPr>
      </w:pPr>
      <w:r>
        <w:rPr>
          <w:rFonts w:hint="eastAsia" w:ascii="仿宋" w:hAnsi="仿宋" w:eastAsia="仿宋" w:cs="仿宋"/>
          <w:sz w:val="24"/>
          <w:szCs w:val="24"/>
          <w:highlight w:val="none"/>
        </w:rPr>
        <w:t xml:space="preserve">    1、严格遵守有关工程质量、安全生产、文明施工的法律、法规的规定，建立健全质量安全生产责任制确定安全与技术负责人和施工管理负责人，制定各项质量安全生产规章制度和操作规程，保证本项目质量安全文明施工费用的专款专用。</w:t>
      </w:r>
    </w:p>
    <w:p w14:paraId="4494EA7C">
      <w:pPr>
        <w:rPr>
          <w:rFonts w:ascii="仿宋" w:hAnsi="仿宋" w:eastAsia="仿宋" w:cs="仿宋"/>
          <w:sz w:val="24"/>
          <w:szCs w:val="24"/>
          <w:highlight w:val="none"/>
        </w:rPr>
      </w:pPr>
      <w:r>
        <w:rPr>
          <w:rFonts w:hint="eastAsia" w:ascii="仿宋" w:hAnsi="仿宋" w:eastAsia="仿宋" w:cs="仿宋"/>
          <w:sz w:val="24"/>
          <w:szCs w:val="24"/>
          <w:highlight w:val="none"/>
        </w:rPr>
        <w:t xml:space="preserve">    2、在施工组织设计中编制安全技术措施和施工现场临时用电方案，对达到一定规模的基坑支护与降水工程、土方开挖工程、模板工程、起重吊装工程、脚手架工程、拆除与爆破工程等危险性较大的分部分项工程，编制专项施工方案，经监理单位和总监签字审定后，报甲方备案。</w:t>
      </w:r>
    </w:p>
    <w:p w14:paraId="2C2899B1">
      <w:pPr>
        <w:rPr>
          <w:rFonts w:ascii="仿宋" w:hAnsi="仿宋" w:eastAsia="仿宋" w:cs="仿宋"/>
          <w:sz w:val="24"/>
          <w:szCs w:val="24"/>
          <w:highlight w:val="none"/>
        </w:rPr>
      </w:pPr>
      <w:r>
        <w:rPr>
          <w:rFonts w:hint="eastAsia" w:ascii="仿宋" w:hAnsi="仿宋" w:eastAsia="仿宋" w:cs="仿宋"/>
          <w:sz w:val="24"/>
          <w:szCs w:val="24"/>
          <w:highlight w:val="none"/>
        </w:rPr>
        <w:t xml:space="preserve">    3、严格按照工程设计图纸和施工技术标准施工，不得擅自修改工程设计，不得偷工减料。</w:t>
      </w:r>
    </w:p>
    <w:p w14:paraId="0A75C196">
      <w:pPr>
        <w:rPr>
          <w:rFonts w:ascii="仿宋" w:hAnsi="仿宋" w:eastAsia="仿宋" w:cs="仿宋"/>
          <w:sz w:val="24"/>
          <w:szCs w:val="24"/>
          <w:highlight w:val="none"/>
        </w:rPr>
      </w:pPr>
      <w:r>
        <w:rPr>
          <w:rFonts w:hint="eastAsia" w:ascii="仿宋" w:hAnsi="仿宋" w:eastAsia="仿宋" w:cs="仿宋"/>
          <w:sz w:val="24"/>
          <w:szCs w:val="24"/>
          <w:highlight w:val="none"/>
        </w:rPr>
        <w:t xml:space="preserve">    4、组织各级质量控制要点和安全技术交底，开展经常性的自查自纠，切实加强质量管理和安全生产工作。</w:t>
      </w:r>
    </w:p>
    <w:p w14:paraId="4F16ED1D">
      <w:pPr>
        <w:rPr>
          <w:rFonts w:ascii="仿宋" w:hAnsi="仿宋" w:eastAsia="仿宋" w:cs="仿宋"/>
          <w:sz w:val="24"/>
          <w:szCs w:val="24"/>
          <w:highlight w:val="none"/>
        </w:rPr>
      </w:pPr>
      <w:r>
        <w:rPr>
          <w:rFonts w:hint="eastAsia" w:ascii="仿宋" w:hAnsi="仿宋" w:eastAsia="仿宋" w:cs="仿宋"/>
          <w:sz w:val="24"/>
          <w:szCs w:val="24"/>
          <w:highlight w:val="none"/>
        </w:rPr>
        <w:t xml:space="preserve">    5、按照工程设计要求、施工技术标准和合同约定，对工程材料、构配件、设备和商品混凝土进行检验，检验应当有书面记录和专人签字；未经检验或者检验不合格的，不得使用。</w:t>
      </w:r>
    </w:p>
    <w:p w14:paraId="02D57484">
      <w:pPr>
        <w:rPr>
          <w:rFonts w:ascii="仿宋" w:hAnsi="仿宋" w:eastAsia="仿宋" w:cs="仿宋"/>
          <w:sz w:val="24"/>
          <w:szCs w:val="24"/>
          <w:highlight w:val="none"/>
        </w:rPr>
      </w:pPr>
      <w:r>
        <w:rPr>
          <w:rFonts w:hint="eastAsia" w:ascii="仿宋" w:hAnsi="仿宋" w:eastAsia="仿宋" w:cs="仿宋"/>
          <w:sz w:val="24"/>
          <w:szCs w:val="24"/>
          <w:highlight w:val="none"/>
        </w:rPr>
        <w:t xml:space="preserve">    6、建立、健全施工质量的检验制度，严格工序管理，作好隐蔽工程的质量检查和记录。隐蔽工程在隐蔽前，乙方应当通知甲方和建设工程质量监督机构。</w:t>
      </w:r>
    </w:p>
    <w:p w14:paraId="412C0E93">
      <w:pPr>
        <w:rPr>
          <w:rFonts w:ascii="仿宋" w:hAnsi="仿宋" w:eastAsia="仿宋" w:cs="仿宋"/>
          <w:sz w:val="24"/>
          <w:szCs w:val="24"/>
          <w:highlight w:val="none"/>
        </w:rPr>
      </w:pPr>
      <w:r>
        <w:rPr>
          <w:rFonts w:hint="eastAsia" w:ascii="仿宋" w:hAnsi="仿宋" w:eastAsia="仿宋" w:cs="仿宋"/>
          <w:sz w:val="24"/>
          <w:szCs w:val="24"/>
          <w:highlight w:val="none"/>
        </w:rPr>
        <w:t xml:space="preserve">    7、对涉及结构安全的试块、试件以及有关材料，应当在甲方或者工程监理单位监督下现场取样，并送具有相应资质等级的质量检测单位进行检测。</w:t>
      </w:r>
    </w:p>
    <w:p w14:paraId="5AB8FAE7">
      <w:pPr>
        <w:rPr>
          <w:rFonts w:ascii="仿宋" w:hAnsi="仿宋" w:eastAsia="仿宋" w:cs="仿宋"/>
          <w:sz w:val="24"/>
          <w:szCs w:val="24"/>
          <w:highlight w:val="none"/>
        </w:rPr>
      </w:pPr>
      <w:r>
        <w:rPr>
          <w:rFonts w:hint="eastAsia" w:ascii="仿宋" w:hAnsi="仿宋" w:eastAsia="仿宋" w:cs="仿宋"/>
          <w:sz w:val="24"/>
          <w:szCs w:val="24"/>
          <w:highlight w:val="none"/>
        </w:rPr>
        <w:t xml:space="preserve">    8、建立、健全质量安全生产教育培训制度，特种作业人员必须按照国家有关规定经过专门的安全作业培训，取得操作资格证后，方可上岗作业，并按期复检。</w:t>
      </w:r>
    </w:p>
    <w:p w14:paraId="52A3D7E4">
      <w:pPr>
        <w:rPr>
          <w:rFonts w:ascii="仿宋" w:hAnsi="仿宋" w:eastAsia="仿宋" w:cs="仿宋"/>
          <w:sz w:val="24"/>
          <w:szCs w:val="24"/>
          <w:highlight w:val="none"/>
        </w:rPr>
      </w:pPr>
      <w:r>
        <w:rPr>
          <w:rFonts w:hint="eastAsia" w:ascii="仿宋" w:hAnsi="仿宋" w:eastAsia="仿宋" w:cs="仿宋"/>
          <w:sz w:val="24"/>
          <w:szCs w:val="24"/>
          <w:highlight w:val="none"/>
        </w:rPr>
        <w:t xml:space="preserve">    9、严格执行建设部发布的《工程建设重大事故报告和调查程序规定》，一旦出现事故应按照规定，及时向建设行政主管部门及甲方报告，对发生重大质量安全事故或重大治安案件报告的及时性负责，并对由于发生瞒报、迟报而产生的后果承担全部责任。</w:t>
      </w:r>
    </w:p>
    <w:p w14:paraId="066E2F70">
      <w:pPr>
        <w:rPr>
          <w:rFonts w:ascii="仿宋" w:hAnsi="仿宋" w:eastAsia="仿宋" w:cs="仿宋"/>
          <w:sz w:val="24"/>
          <w:szCs w:val="24"/>
          <w:highlight w:val="none"/>
        </w:rPr>
      </w:pPr>
      <w:r>
        <w:rPr>
          <w:rFonts w:hint="eastAsia" w:ascii="仿宋" w:hAnsi="仿宋" w:eastAsia="仿宋" w:cs="仿宋"/>
          <w:sz w:val="24"/>
          <w:szCs w:val="24"/>
          <w:highlight w:val="none"/>
        </w:rPr>
        <w:t xml:space="preserve">    10、接受各行业主管部门开展的质量安全文明施工监督检查；接受甲方的检查考评，及时落实整改，并限期向甲方消项；接受监理方现场管理与监督，对发现的违规施工和存在的质量安全事故隐患，应当及时整改。</w:t>
      </w:r>
    </w:p>
    <w:p w14:paraId="43D46EE4">
      <w:pPr>
        <w:rPr>
          <w:rFonts w:ascii="仿宋" w:hAnsi="仿宋" w:eastAsia="仿宋" w:cs="仿宋"/>
          <w:sz w:val="24"/>
          <w:szCs w:val="24"/>
          <w:highlight w:val="none"/>
        </w:rPr>
      </w:pPr>
      <w:r>
        <w:rPr>
          <w:rFonts w:hint="eastAsia" w:ascii="仿宋" w:hAnsi="仿宋" w:eastAsia="仿宋" w:cs="仿宋"/>
          <w:sz w:val="24"/>
          <w:szCs w:val="24"/>
          <w:highlight w:val="none"/>
        </w:rPr>
        <w:t xml:space="preserve">    11、对施工中出现质量问题的建设工程或者竣工验收不合格的建设工程，应当负责返修。工程竣工后，在未验收交接前须加强成品质量和安全管理，确保设施完好，防止事故发生。</w:t>
      </w:r>
    </w:p>
    <w:p w14:paraId="1B7261F6">
      <w:pPr>
        <w:rPr>
          <w:rFonts w:ascii="仿宋" w:hAnsi="仿宋" w:eastAsia="仿宋" w:cs="仿宋"/>
          <w:sz w:val="24"/>
          <w:szCs w:val="24"/>
          <w:highlight w:val="none"/>
        </w:rPr>
      </w:pPr>
      <w:r>
        <w:rPr>
          <w:rFonts w:hint="eastAsia" w:ascii="仿宋" w:hAnsi="仿宋" w:eastAsia="仿宋" w:cs="仿宋"/>
          <w:sz w:val="24"/>
          <w:szCs w:val="24"/>
          <w:highlight w:val="none"/>
        </w:rPr>
        <w:t xml:space="preserve">    12、施工前积极主动进行现场管线调查，组织安全生产文明施工技术交底，开展经常性的自查自纠，切实加强安全生产文明施工工作。</w:t>
      </w:r>
    </w:p>
    <w:p w14:paraId="3CECAFDC">
      <w:pPr>
        <w:rPr>
          <w:rFonts w:ascii="仿宋" w:hAnsi="仿宋" w:eastAsia="仿宋" w:cs="仿宋"/>
          <w:b/>
          <w:bCs/>
          <w:sz w:val="24"/>
          <w:szCs w:val="24"/>
          <w:highlight w:val="none"/>
        </w:rPr>
      </w:pPr>
      <w:r>
        <w:rPr>
          <w:rFonts w:hint="eastAsia" w:ascii="仿宋" w:hAnsi="仿宋" w:eastAsia="仿宋" w:cs="仿宋"/>
          <w:b/>
          <w:bCs/>
          <w:sz w:val="24"/>
          <w:szCs w:val="24"/>
          <w:highlight w:val="none"/>
        </w:rPr>
        <w:t>（三）丙方职责</w:t>
      </w:r>
    </w:p>
    <w:p w14:paraId="157CAADE">
      <w:pPr>
        <w:rPr>
          <w:rFonts w:ascii="仿宋" w:hAnsi="仿宋" w:eastAsia="仿宋" w:cs="仿宋"/>
          <w:sz w:val="24"/>
          <w:szCs w:val="24"/>
          <w:highlight w:val="none"/>
        </w:rPr>
      </w:pPr>
      <w:r>
        <w:rPr>
          <w:rFonts w:hint="eastAsia" w:ascii="仿宋" w:hAnsi="仿宋" w:eastAsia="仿宋" w:cs="仿宋"/>
          <w:sz w:val="24"/>
          <w:szCs w:val="24"/>
          <w:highlight w:val="none"/>
        </w:rPr>
        <w:t xml:space="preserve">    1、应当按照法律、法规和工程建设强制性标准实施监理，并对建设工程的质量和安全生产承担监理责任。</w:t>
      </w:r>
    </w:p>
    <w:p w14:paraId="36A957E1">
      <w:pPr>
        <w:rPr>
          <w:rFonts w:ascii="仿宋" w:hAnsi="仿宋" w:eastAsia="仿宋" w:cs="仿宋"/>
          <w:sz w:val="24"/>
          <w:szCs w:val="24"/>
          <w:highlight w:val="none"/>
        </w:rPr>
      </w:pPr>
      <w:r>
        <w:rPr>
          <w:rFonts w:hint="eastAsia" w:ascii="仿宋" w:hAnsi="仿宋" w:eastAsia="仿宋" w:cs="仿宋"/>
          <w:sz w:val="24"/>
          <w:szCs w:val="24"/>
          <w:highlight w:val="none"/>
        </w:rPr>
        <w:t xml:space="preserve">    2、对工程设计中的技术问题,按照安全和优化的原则,向设计人提出建议;当发现工程设计不符合国家颁布的建设工程质量标准或设计合同约定的质量标准时,应当书面报告甲方。</w:t>
      </w:r>
    </w:p>
    <w:p w14:paraId="4DE54883">
      <w:pPr>
        <w:rPr>
          <w:rFonts w:ascii="仿宋" w:hAnsi="仿宋" w:eastAsia="仿宋" w:cs="仿宋"/>
          <w:sz w:val="24"/>
          <w:szCs w:val="24"/>
          <w:highlight w:val="none"/>
        </w:rPr>
      </w:pPr>
      <w:r>
        <w:rPr>
          <w:rFonts w:hint="eastAsia" w:ascii="仿宋" w:hAnsi="仿宋" w:eastAsia="仿宋" w:cs="仿宋"/>
          <w:sz w:val="24"/>
          <w:szCs w:val="24"/>
          <w:highlight w:val="none"/>
        </w:rPr>
        <w:t xml:space="preserve">    3、及时编制监理规划和监理细则,并报甲方审核后认真实施。及时认真审核乙方的工程施工组织设计和各种专项技术、安全方案,并报甲方备案后实施。</w:t>
      </w:r>
    </w:p>
    <w:p w14:paraId="28FB74A8">
      <w:pPr>
        <w:rPr>
          <w:rFonts w:ascii="仿宋" w:hAnsi="仿宋" w:eastAsia="仿宋" w:cs="仿宋"/>
          <w:sz w:val="24"/>
          <w:szCs w:val="24"/>
          <w:highlight w:val="none"/>
        </w:rPr>
      </w:pPr>
      <w:r>
        <w:rPr>
          <w:rFonts w:hint="eastAsia" w:ascii="仿宋" w:hAnsi="仿宋" w:eastAsia="仿宋" w:cs="仿宋"/>
          <w:sz w:val="24"/>
          <w:szCs w:val="24"/>
          <w:highlight w:val="none"/>
        </w:rPr>
        <w:t xml:space="preserve">    4、总监主持每周监理例会和按照合同要求主持或参加其它协调会, 监理人员按照规范要求旁站到位,并严格执行见证制度。</w:t>
      </w:r>
    </w:p>
    <w:p w14:paraId="7769F906">
      <w:pPr>
        <w:rPr>
          <w:rFonts w:ascii="仿宋" w:hAnsi="仿宋" w:eastAsia="仿宋" w:cs="仿宋"/>
          <w:sz w:val="24"/>
          <w:szCs w:val="24"/>
          <w:highlight w:val="none"/>
        </w:rPr>
      </w:pPr>
      <w:r>
        <w:rPr>
          <w:rFonts w:hint="eastAsia" w:ascii="仿宋" w:hAnsi="仿宋" w:eastAsia="仿宋" w:cs="仿宋"/>
          <w:sz w:val="24"/>
          <w:szCs w:val="24"/>
          <w:highlight w:val="none"/>
        </w:rPr>
        <w:t xml:space="preserve">    5、在实施监理过程中，发现存在质量和安全事故隐患的，应当要求乙方整改；情况严重的，应当要求乙方暂时停止施工，并及时报告甲方。乙方拒不整改或者不停止施工的，丙方应当及时向有关主管部门报告。严格执行建设部发布的《工程建设重大事故报告和调查程序规定》，一旦出现事故应按照规定，及时向建设行政主管部门及甲方报告，对发生重大质量安全事故或重大治安案件报告的及时性负责，并对由于丙方原因发生瞒报、迟报而产生的后果承担全部责任。</w:t>
      </w:r>
    </w:p>
    <w:p w14:paraId="0790DB6E">
      <w:pPr>
        <w:rPr>
          <w:rFonts w:ascii="仿宋" w:hAnsi="仿宋" w:eastAsia="仿宋" w:cs="仿宋"/>
          <w:sz w:val="24"/>
          <w:szCs w:val="24"/>
          <w:highlight w:val="none"/>
        </w:rPr>
      </w:pPr>
      <w:r>
        <w:rPr>
          <w:rFonts w:hint="eastAsia" w:ascii="仿宋" w:hAnsi="仿宋" w:eastAsia="仿宋" w:cs="仿宋"/>
          <w:sz w:val="24"/>
          <w:szCs w:val="24"/>
          <w:highlight w:val="none"/>
        </w:rPr>
        <w:t xml:space="preserve">    6、对甲方发出的有效指令和按照协调会议精神认真执行。按照要求认真审核施工单位的工程变更联系单并及时报甲方审核。</w:t>
      </w:r>
    </w:p>
    <w:p w14:paraId="28B4C910">
      <w:pPr>
        <w:rPr>
          <w:rFonts w:ascii="仿宋" w:hAnsi="仿宋" w:eastAsia="仿宋" w:cs="仿宋"/>
          <w:sz w:val="24"/>
          <w:szCs w:val="24"/>
          <w:highlight w:val="none"/>
        </w:rPr>
      </w:pPr>
      <w:r>
        <w:rPr>
          <w:rFonts w:hint="eastAsia" w:ascii="仿宋" w:hAnsi="仿宋" w:eastAsia="仿宋" w:cs="仿宋"/>
          <w:sz w:val="24"/>
          <w:szCs w:val="24"/>
          <w:highlight w:val="none"/>
        </w:rPr>
        <w:t xml:space="preserve">    7、对施工单位的本月工程完成情况和工程进度款支付申请进行认真及时的审核,并提出相应意见。及时向甲方提供监理月报和监理费用支付。</w:t>
      </w:r>
    </w:p>
    <w:p w14:paraId="67754497">
      <w:pPr>
        <w:rPr>
          <w:rFonts w:ascii="仿宋" w:hAnsi="仿宋" w:eastAsia="仿宋" w:cs="仿宋"/>
          <w:sz w:val="24"/>
          <w:szCs w:val="24"/>
          <w:highlight w:val="none"/>
        </w:rPr>
      </w:pPr>
      <w:r>
        <w:rPr>
          <w:rFonts w:hint="eastAsia" w:ascii="仿宋" w:hAnsi="仿宋" w:eastAsia="仿宋" w:cs="仿宋"/>
          <w:sz w:val="24"/>
          <w:szCs w:val="24"/>
          <w:highlight w:val="none"/>
        </w:rPr>
        <w:t xml:space="preserve">    8、监理资料按照要求及时整理完成,并督促施工单位及时按照要求整理完成本月施工资料。</w:t>
      </w:r>
    </w:p>
    <w:p w14:paraId="14FBDBD4">
      <w:pPr>
        <w:rPr>
          <w:rFonts w:ascii="仿宋" w:hAnsi="仿宋" w:eastAsia="仿宋" w:cs="仿宋"/>
          <w:sz w:val="24"/>
          <w:szCs w:val="24"/>
          <w:highlight w:val="none"/>
        </w:rPr>
      </w:pPr>
      <w:r>
        <w:rPr>
          <w:rFonts w:hint="eastAsia" w:ascii="仿宋" w:hAnsi="仿宋" w:eastAsia="仿宋" w:cs="仿宋"/>
          <w:sz w:val="24"/>
          <w:szCs w:val="24"/>
          <w:highlight w:val="none"/>
        </w:rPr>
        <w:t xml:space="preserve">    9、接受各行业主管部门开展的质量安全文明施工监督检查；接受甲方的检查考评，及时落实整改，并限期向甲方消项。</w:t>
      </w:r>
    </w:p>
    <w:p w14:paraId="6E143C5D">
      <w:pPr>
        <w:rPr>
          <w:rFonts w:ascii="仿宋" w:hAnsi="仿宋" w:eastAsia="仿宋" w:cs="仿宋"/>
          <w:sz w:val="24"/>
          <w:szCs w:val="24"/>
          <w:highlight w:val="none"/>
        </w:rPr>
      </w:pPr>
      <w:r>
        <w:rPr>
          <w:rFonts w:hint="eastAsia" w:ascii="仿宋" w:hAnsi="仿宋" w:eastAsia="仿宋" w:cs="仿宋"/>
          <w:sz w:val="24"/>
          <w:szCs w:val="24"/>
          <w:highlight w:val="none"/>
        </w:rPr>
        <w:t xml:space="preserve">    10、对施工中出现质量问题的建设工程或者竣工验收不合格的建设工程，应当督促乙方负责返修。工程竣工后，在未验收交接要督促乙方前加强成品质量和安全管理，确保设施完好，防止事故发生。</w:t>
      </w:r>
    </w:p>
    <w:p w14:paraId="29FF7225">
      <w:pPr>
        <w:rPr>
          <w:rFonts w:ascii="仿宋" w:hAnsi="仿宋" w:eastAsia="仿宋" w:cs="仿宋"/>
          <w:b/>
          <w:bCs/>
          <w:sz w:val="24"/>
          <w:szCs w:val="24"/>
          <w:highlight w:val="none"/>
        </w:rPr>
      </w:pPr>
      <w:r>
        <w:rPr>
          <w:rFonts w:hint="eastAsia" w:ascii="仿宋" w:hAnsi="仿宋" w:eastAsia="仿宋" w:cs="仿宋"/>
          <w:b/>
          <w:bCs/>
          <w:sz w:val="24"/>
          <w:szCs w:val="24"/>
          <w:highlight w:val="none"/>
        </w:rPr>
        <w:t>二、关于甲方的检查与评价</w:t>
      </w:r>
    </w:p>
    <w:p w14:paraId="38EA8D54">
      <w:pPr>
        <w:rPr>
          <w:rFonts w:ascii="仿宋" w:hAnsi="仿宋" w:eastAsia="仿宋" w:cs="仿宋"/>
          <w:sz w:val="24"/>
          <w:szCs w:val="24"/>
          <w:highlight w:val="none"/>
        </w:rPr>
      </w:pPr>
      <w:r>
        <w:rPr>
          <w:rFonts w:hint="eastAsia" w:ascii="仿宋" w:hAnsi="仿宋" w:eastAsia="仿宋" w:cs="仿宋"/>
          <w:sz w:val="24"/>
          <w:szCs w:val="24"/>
          <w:highlight w:val="none"/>
        </w:rPr>
        <w:t xml:space="preserve">    甲方对质量安全文明施工检查考评，采取日常检查和事故双控制，即通过对质量安全文明施工每月现场检查综合评价，以及在施工过程中是否发生工程建设有责质量安全事故，作为对乙方、丙方质量安全文明施工管理的评价依据，分为优良、合格、不合格三个档次。</w:t>
      </w:r>
    </w:p>
    <w:p w14:paraId="45D3258E">
      <w:pPr>
        <w:rPr>
          <w:rFonts w:ascii="仿宋" w:hAnsi="仿宋" w:eastAsia="仿宋" w:cs="仿宋"/>
          <w:sz w:val="24"/>
          <w:szCs w:val="24"/>
          <w:highlight w:val="none"/>
        </w:rPr>
      </w:pPr>
      <w:r>
        <w:rPr>
          <w:rFonts w:hint="eastAsia" w:ascii="仿宋" w:hAnsi="仿宋" w:eastAsia="仿宋" w:cs="仿宋"/>
          <w:sz w:val="24"/>
          <w:szCs w:val="24"/>
          <w:highlight w:val="none"/>
        </w:rPr>
        <w:t xml:space="preserve">    1、优良</w:t>
      </w:r>
    </w:p>
    <w:p w14:paraId="1E634A3A">
      <w:pPr>
        <w:rPr>
          <w:rFonts w:ascii="仿宋" w:hAnsi="仿宋" w:eastAsia="仿宋" w:cs="仿宋"/>
          <w:sz w:val="24"/>
          <w:szCs w:val="24"/>
          <w:highlight w:val="none"/>
        </w:rPr>
      </w:pPr>
      <w:r>
        <w:rPr>
          <w:rFonts w:hint="eastAsia" w:ascii="仿宋" w:hAnsi="仿宋" w:eastAsia="仿宋" w:cs="仿宋"/>
          <w:sz w:val="24"/>
          <w:szCs w:val="24"/>
          <w:highlight w:val="none"/>
        </w:rPr>
        <w:t xml:space="preserve">    日常管理严格按照质量安全文明施工要求组织施工，建设各方、政府部门及沿线社区（单位）反映良好，施工过程中未发生工程建设有责质量安全事故，且月度考评分数在85分以上（含85分）的。</w:t>
      </w:r>
    </w:p>
    <w:p w14:paraId="32B83CB3">
      <w:pPr>
        <w:rPr>
          <w:rFonts w:ascii="仿宋" w:hAnsi="仿宋" w:eastAsia="仿宋" w:cs="仿宋"/>
          <w:sz w:val="24"/>
          <w:szCs w:val="24"/>
          <w:highlight w:val="none"/>
        </w:rPr>
      </w:pPr>
      <w:r>
        <w:rPr>
          <w:rFonts w:hint="eastAsia" w:ascii="仿宋" w:hAnsi="仿宋" w:eastAsia="仿宋" w:cs="仿宋"/>
          <w:sz w:val="24"/>
          <w:szCs w:val="24"/>
          <w:highlight w:val="none"/>
        </w:rPr>
        <w:t xml:space="preserve">    2、合格</w:t>
      </w:r>
    </w:p>
    <w:p w14:paraId="7C8FBE26">
      <w:pPr>
        <w:rPr>
          <w:rFonts w:ascii="仿宋" w:hAnsi="仿宋" w:eastAsia="仿宋" w:cs="仿宋"/>
          <w:sz w:val="24"/>
          <w:szCs w:val="24"/>
          <w:highlight w:val="none"/>
        </w:rPr>
      </w:pPr>
      <w:r>
        <w:rPr>
          <w:rFonts w:hint="eastAsia" w:ascii="仿宋" w:hAnsi="仿宋" w:eastAsia="仿宋" w:cs="仿宋"/>
          <w:sz w:val="24"/>
          <w:szCs w:val="24"/>
          <w:highlight w:val="none"/>
        </w:rPr>
        <w:t xml:space="preserve">    日常管理基本按照质量安全文明施工要求组织施工，施工过程中未发生工程建设有责质量安全事故，且月度考评分数在70分以上（含70分）85分以下的。</w:t>
      </w:r>
    </w:p>
    <w:p w14:paraId="0D8A18A7">
      <w:pPr>
        <w:rPr>
          <w:rFonts w:ascii="仿宋" w:hAnsi="仿宋" w:eastAsia="仿宋" w:cs="仿宋"/>
          <w:sz w:val="24"/>
          <w:szCs w:val="24"/>
          <w:highlight w:val="none"/>
        </w:rPr>
      </w:pPr>
      <w:r>
        <w:rPr>
          <w:rFonts w:hint="eastAsia" w:ascii="仿宋" w:hAnsi="仿宋" w:eastAsia="仿宋" w:cs="仿宋"/>
          <w:sz w:val="24"/>
          <w:szCs w:val="24"/>
          <w:highlight w:val="none"/>
        </w:rPr>
        <w:t xml:space="preserve">    3、不合格</w:t>
      </w:r>
    </w:p>
    <w:p w14:paraId="02578750">
      <w:pPr>
        <w:rPr>
          <w:rFonts w:ascii="仿宋" w:hAnsi="仿宋" w:eastAsia="仿宋" w:cs="仿宋"/>
          <w:sz w:val="24"/>
          <w:szCs w:val="24"/>
          <w:highlight w:val="none"/>
        </w:rPr>
      </w:pPr>
      <w:r>
        <w:rPr>
          <w:rFonts w:hint="eastAsia" w:ascii="仿宋" w:hAnsi="仿宋" w:eastAsia="仿宋" w:cs="仿宋"/>
          <w:sz w:val="24"/>
          <w:szCs w:val="24"/>
          <w:highlight w:val="none"/>
        </w:rPr>
        <w:t xml:space="preserve">    由于乙方责任导致施工过程中发生工程建设有责质量安全事故的；主管部门或质量安全监督部门检查中发现问题较多；被通报批评或新闻曝光、网上曝光，并经查实确为乙方责任的；甲方在日常监督检查中发现问题较多、较严重，整改不及时不到位的；月度考评分数在70分以下的。</w:t>
      </w:r>
    </w:p>
    <w:p w14:paraId="78BD1F3B">
      <w:pPr>
        <w:rPr>
          <w:rFonts w:ascii="仿宋" w:hAnsi="仿宋" w:eastAsia="仿宋" w:cs="仿宋"/>
          <w:sz w:val="24"/>
          <w:szCs w:val="24"/>
          <w:highlight w:val="none"/>
        </w:rPr>
      </w:pPr>
      <w:r>
        <w:rPr>
          <w:rFonts w:hint="eastAsia" w:ascii="仿宋" w:hAnsi="仿宋" w:eastAsia="仿宋" w:cs="仿宋"/>
          <w:sz w:val="24"/>
          <w:szCs w:val="24"/>
          <w:highlight w:val="none"/>
        </w:rPr>
        <w:t xml:space="preserve">    甲方每月施工现场进行一次检查考评或不定期抽查，并将每月检查考评结果予以通报。</w:t>
      </w:r>
    </w:p>
    <w:p w14:paraId="6418424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三、责任承担期限</w:t>
      </w:r>
    </w:p>
    <w:p w14:paraId="32496C5E">
      <w:pPr>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本责任书自项目开工之日至工程通过竣工验收并交付管理单位日止。</w:t>
      </w:r>
    </w:p>
    <w:p w14:paraId="6258A3C6">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四、生效时间</w:t>
      </w:r>
    </w:p>
    <w:p w14:paraId="73A4B362">
      <w:pPr>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本责任书经甲、乙、丙三方签字盖章后生效。</w:t>
      </w:r>
    </w:p>
    <w:p w14:paraId="33B3930C">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（以下为签字页）</w:t>
      </w:r>
    </w:p>
    <w:p w14:paraId="526B98F5">
      <w:pPr>
        <w:ind w:firstLine="480" w:firstLineChars="200"/>
        <w:rPr>
          <w:rFonts w:ascii="仿宋" w:hAnsi="仿宋" w:eastAsia="仿宋" w:cs="仿宋"/>
          <w:sz w:val="24"/>
          <w:szCs w:val="24"/>
          <w:highlight w:val="none"/>
        </w:rPr>
      </w:pPr>
    </w:p>
    <w:p w14:paraId="081DE9FC">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甲方单位：（盖章）</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乙方单位：（盖章）</w:t>
      </w:r>
    </w:p>
    <w:p w14:paraId="6FEC222A">
      <w:pPr>
        <w:spacing w:line="340" w:lineRule="atLeast"/>
        <w:ind w:firstLine="480" w:firstLineChars="200"/>
        <w:rPr>
          <w:rFonts w:ascii="仿宋" w:hAnsi="仿宋" w:eastAsia="仿宋" w:cs="仿宋"/>
          <w:sz w:val="24"/>
          <w:szCs w:val="24"/>
          <w:highlight w:val="none"/>
        </w:rPr>
      </w:pPr>
    </w:p>
    <w:p w14:paraId="779B1E14">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法定代表人：</w:t>
      </w:r>
    </w:p>
    <w:p w14:paraId="75B2B12E">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                            地址：</w:t>
      </w:r>
    </w:p>
    <w:p w14:paraId="0FF8B25E">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电话：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rPr>
        <w:tab/>
      </w:r>
    </w:p>
    <w:p w14:paraId="35951666">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年  月  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年  月  日</w:t>
      </w:r>
    </w:p>
    <w:p w14:paraId="456FE57E">
      <w:pPr>
        <w:ind w:firstLine="640" w:firstLineChars="200"/>
        <w:rPr>
          <w:rFonts w:ascii="仿宋" w:hAnsi="仿宋" w:eastAsia="仿宋" w:cs="Times New Roman"/>
          <w:sz w:val="32"/>
          <w:szCs w:val="24"/>
          <w:highlight w:val="none"/>
        </w:rPr>
      </w:pPr>
    </w:p>
    <w:p w14:paraId="1B57EF26">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丙方单位：（盖章）</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557A58B4">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03C05CEE">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14814649">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电话：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27BDFEDF">
      <w:pPr>
        <w:spacing w:line="3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年  月  日</w:t>
      </w:r>
      <w:r>
        <w:rPr>
          <w:rFonts w:hint="eastAsia" w:ascii="仿宋" w:hAnsi="仿宋" w:eastAsia="仿宋" w:cs="仿宋"/>
          <w:sz w:val="24"/>
          <w:szCs w:val="24"/>
          <w:highlight w:val="none"/>
        </w:rPr>
        <w:tab/>
      </w:r>
    </w:p>
    <w:p w14:paraId="719FDA2F">
      <w:pPr>
        <w:spacing w:before="156" w:after="156" w:line="360" w:lineRule="auto"/>
        <w:rPr>
          <w:rFonts w:ascii="仿宋" w:hAnsi="仿宋" w:eastAsia="仿宋" w:cs="仿宋"/>
          <w:highlight w:val="none"/>
        </w:rPr>
      </w:pPr>
    </w:p>
    <w:p w14:paraId="6F354DD4">
      <w:pPr>
        <w:ind w:firstLine="640" w:firstLineChars="200"/>
        <w:rPr>
          <w:rFonts w:ascii="仿宋" w:hAnsi="仿宋" w:eastAsia="仿宋" w:cs="Times New Roman"/>
          <w:sz w:val="32"/>
          <w:szCs w:val="24"/>
          <w:highlight w:val="none"/>
        </w:rPr>
      </w:pPr>
    </w:p>
    <w:p w14:paraId="3C72BB0C">
      <w:pPr>
        <w:ind w:firstLine="640" w:firstLineChars="200"/>
        <w:rPr>
          <w:rFonts w:ascii="仿宋" w:hAnsi="仿宋" w:eastAsia="仿宋" w:cs="Times New Roman"/>
          <w:sz w:val="32"/>
          <w:szCs w:val="24"/>
          <w:highlight w:val="none"/>
        </w:rPr>
      </w:pPr>
    </w:p>
    <w:p w14:paraId="137B2CE8">
      <w:pPr>
        <w:ind w:firstLine="640" w:firstLineChars="200"/>
        <w:rPr>
          <w:rFonts w:ascii="仿宋" w:hAnsi="仿宋" w:eastAsia="仿宋" w:cs="Times New Roman"/>
          <w:sz w:val="32"/>
          <w:szCs w:val="24"/>
          <w:highlight w:val="none"/>
        </w:rPr>
      </w:pPr>
    </w:p>
    <w:p w14:paraId="3682AD77">
      <w:pPr>
        <w:ind w:firstLine="640" w:firstLineChars="200"/>
        <w:rPr>
          <w:rFonts w:ascii="仿宋" w:hAnsi="仿宋" w:eastAsia="仿宋" w:cs="Times New Roman"/>
          <w:sz w:val="32"/>
          <w:szCs w:val="24"/>
          <w:highlight w:val="none"/>
        </w:rPr>
      </w:pPr>
    </w:p>
    <w:p w14:paraId="3C006389">
      <w:pPr>
        <w:pStyle w:val="42"/>
        <w:rPr>
          <w:highlight w:val="none"/>
        </w:rPr>
      </w:pPr>
    </w:p>
    <w:p w14:paraId="500D00AA">
      <w:pPr>
        <w:rPr>
          <w:highlight w:val="none"/>
        </w:rPr>
      </w:pPr>
    </w:p>
    <w:p w14:paraId="6178B0CD">
      <w:pPr>
        <w:pStyle w:val="42"/>
        <w:rPr>
          <w:highlight w:val="none"/>
        </w:rPr>
      </w:pPr>
    </w:p>
    <w:p w14:paraId="3FB75C7D">
      <w:pPr>
        <w:rPr>
          <w:highlight w:val="none"/>
        </w:rPr>
      </w:pPr>
    </w:p>
    <w:p w14:paraId="65B4D685">
      <w:pPr>
        <w:pStyle w:val="42"/>
        <w:rPr>
          <w:highlight w:val="none"/>
        </w:rPr>
      </w:pPr>
    </w:p>
    <w:p w14:paraId="1C776BEA">
      <w:pPr>
        <w:rPr>
          <w:highlight w:val="none"/>
        </w:rPr>
      </w:pPr>
    </w:p>
    <w:p w14:paraId="0ED72E02">
      <w:pPr>
        <w:pStyle w:val="42"/>
        <w:rPr>
          <w:highlight w:val="none"/>
        </w:rPr>
      </w:pPr>
    </w:p>
    <w:p w14:paraId="1E31B584">
      <w:pPr>
        <w:rPr>
          <w:highlight w:val="none"/>
        </w:rPr>
      </w:pPr>
    </w:p>
    <w:p w14:paraId="1BCA67BD">
      <w:pPr>
        <w:pStyle w:val="42"/>
        <w:rPr>
          <w:highlight w:val="none"/>
        </w:rPr>
      </w:pPr>
    </w:p>
    <w:p w14:paraId="10A87A00">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附件8：</w:t>
      </w:r>
    </w:p>
    <w:p w14:paraId="3FB7D362">
      <w:pPr>
        <w:autoSpaceDE w:val="0"/>
        <w:autoSpaceDN w:val="0"/>
        <w:adjustRightInd w:val="0"/>
        <w:jc w:val="center"/>
        <w:rPr>
          <w:rFonts w:ascii="黑体" w:hAnsi="黑体" w:eastAsia="黑体" w:cs="方正小标宋简体"/>
          <w:kern w:val="0"/>
          <w:sz w:val="44"/>
          <w:szCs w:val="44"/>
          <w:highlight w:val="none"/>
          <w:lang w:val="zh-CN"/>
        </w:rPr>
      </w:pPr>
      <w:r>
        <w:rPr>
          <w:rFonts w:hint="eastAsia" w:ascii="黑体" w:hAnsi="黑体" w:eastAsia="黑体" w:cs="方正小标宋简体"/>
          <w:kern w:val="0"/>
          <w:sz w:val="44"/>
          <w:szCs w:val="44"/>
          <w:highlight w:val="none"/>
          <w:lang w:val="zh-CN"/>
        </w:rPr>
        <w:t>杭州市新建市政</w:t>
      </w:r>
      <w:r>
        <w:rPr>
          <w:rFonts w:hint="eastAsia" w:ascii="黑体" w:hAnsi="黑体" w:eastAsia="黑体" w:cs="方正小标宋简体"/>
          <w:kern w:val="0"/>
          <w:sz w:val="44"/>
          <w:szCs w:val="44"/>
          <w:highlight w:val="none"/>
        </w:rPr>
        <w:t>道路</w:t>
      </w:r>
      <w:r>
        <w:rPr>
          <w:rFonts w:hint="eastAsia" w:ascii="黑体" w:hAnsi="黑体" w:eastAsia="黑体" w:cs="方正小标宋简体"/>
          <w:kern w:val="0"/>
          <w:sz w:val="44"/>
          <w:szCs w:val="44"/>
          <w:highlight w:val="none"/>
          <w:lang w:val="zh-CN"/>
        </w:rPr>
        <w:t>工程移交接收检测</w:t>
      </w:r>
    </w:p>
    <w:p w14:paraId="5D93B625">
      <w:pPr>
        <w:autoSpaceDE w:val="0"/>
        <w:autoSpaceDN w:val="0"/>
        <w:adjustRightInd w:val="0"/>
        <w:jc w:val="center"/>
        <w:rPr>
          <w:rFonts w:ascii="黑体" w:hAnsi="黑体" w:eastAsia="黑体" w:cs="方正小标宋简体"/>
          <w:kern w:val="0"/>
          <w:sz w:val="44"/>
          <w:szCs w:val="44"/>
          <w:highlight w:val="none"/>
        </w:rPr>
      </w:pPr>
      <w:r>
        <w:rPr>
          <w:rFonts w:hint="eastAsia" w:ascii="黑体" w:hAnsi="黑体" w:eastAsia="黑体" w:cs="方正小标宋简体"/>
          <w:kern w:val="0"/>
          <w:sz w:val="44"/>
          <w:szCs w:val="44"/>
          <w:highlight w:val="none"/>
        </w:rPr>
        <w:t>实施方案</w:t>
      </w:r>
    </w:p>
    <w:p w14:paraId="6020C34B">
      <w:pPr>
        <w:spacing w:line="620" w:lineRule="exact"/>
        <w:ind w:firstLine="480" w:firstLineChars="200"/>
        <w:jc w:val="left"/>
        <w:rPr>
          <w:rFonts w:ascii="仿宋" w:hAnsi="仿宋" w:eastAsia="仿宋" w:cs="仿宋"/>
          <w:kern w:val="0"/>
          <w:sz w:val="24"/>
          <w:szCs w:val="24"/>
          <w:highlight w:val="none"/>
          <w:lang w:val="zh-CN"/>
        </w:rPr>
      </w:pPr>
    </w:p>
    <w:p w14:paraId="3753A462">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为加强市政道路工程建设项目移交接收管理，推进关口前移、管理前置，确保新接收道路工程质量，依据工程建设管理相关规定，进一步完善《杭州市市政工程建设项目移交接管实施细则（试行）》（杭城管委[2012]279号），结合新版《杭州市建设工程质量监督报告》及工作实际，制定本实施意见。</w:t>
      </w:r>
    </w:p>
    <w:p w14:paraId="39C6BC1D">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一、工作目标</w:t>
      </w:r>
    </w:p>
    <w:p w14:paraId="0BCC7BE3">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深入贯彻市政基础设施全生命周期管理理念，通过技术检测手段，切实把好市政道路设施移交接收关，强化建管衔接，避免“带病移交”，提升道路品质，确保道路设施高品质安全运行。</w:t>
      </w:r>
    </w:p>
    <w:p w14:paraId="26194195">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二、适用范围</w:t>
      </w:r>
    </w:p>
    <w:p w14:paraId="6EA98700">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杭州全市范围内新建、改建、扩建的市政道路设施。</w:t>
      </w:r>
    </w:p>
    <w:p w14:paraId="5186A59F">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三、检测依据及判定标准</w:t>
      </w:r>
    </w:p>
    <w:p w14:paraId="517FD9DF">
      <w:pPr>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1.《城镇道路工程施工与质量验收规范》CJJ1；</w:t>
      </w:r>
    </w:p>
    <w:p w14:paraId="479EEF86">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2.《公路路基路面现场测试规程》 JTG 3450 </w:t>
      </w:r>
    </w:p>
    <w:p w14:paraId="0338C105">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3.《公路工程质量检验评定标准 第一册 土建工程》JTGF80/1；</w:t>
      </w:r>
    </w:p>
    <w:p w14:paraId="22FEDA15">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4.《公路沥青路面施工技术规范》JTG F40；</w:t>
      </w:r>
    </w:p>
    <w:p w14:paraId="66F27266">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5.《混凝土路面砖》GB/T 28635；</w:t>
      </w:r>
    </w:p>
    <w:p w14:paraId="5F13F5AC">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6.《天然饰面石材试验方法》GB/T 9966；</w:t>
      </w:r>
    </w:p>
    <w:p w14:paraId="548A6C8B">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7.《给水排水管道工程施工及验收规范》 GB50268；</w:t>
      </w:r>
    </w:p>
    <w:p w14:paraId="3A95D6D4">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8.《城镇排水管道维护安全技术规程》CJJ6；</w:t>
      </w:r>
    </w:p>
    <w:p w14:paraId="37728760">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9.《城镇排水管道检测与评估技术规程》CJJ181；</w:t>
      </w:r>
    </w:p>
    <w:p w14:paraId="7B1128E2">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10.其他相关标准规范及设计文件。</w:t>
      </w:r>
    </w:p>
    <w:p w14:paraId="5C1909A0">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（注：以上标准规范版本以最新版本为准）</w:t>
      </w:r>
    </w:p>
    <w:p w14:paraId="4200B8CF">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推荐采用方法：</w:t>
      </w:r>
    </w:p>
    <w:p w14:paraId="68239BC3">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T0912  挖坑和钻芯测试路面厚度方法</w:t>
      </w:r>
    </w:p>
    <w:p w14:paraId="5EF4BE0D">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T0924  钻芯测试路面压实度方法</w:t>
      </w:r>
    </w:p>
    <w:p w14:paraId="723806E0">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T0931  三米直尺测试平整度方法</w:t>
      </w:r>
    </w:p>
    <w:p w14:paraId="44638963">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T0932  连续式平整度仪测试平整度方法</w:t>
      </w:r>
    </w:p>
    <w:p w14:paraId="0559C0BC">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T0951  贝克曼梁测试路基路面回弹弯沉方法</w:t>
      </w:r>
    </w:p>
    <w:p w14:paraId="2C016DAF">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四、实施方法</w:t>
      </w:r>
    </w:p>
    <w:p w14:paraId="0B1171D2">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由城管部门(接收部门)负责委托有资质的第三方检测机构，按验收规范要求进行抽样检测。</w:t>
      </w:r>
    </w:p>
    <w:p w14:paraId="21673DCC">
      <w:pPr>
        <w:autoSpaceDE w:val="0"/>
        <w:autoSpaceDN w:val="0"/>
        <w:adjustRightInd w:val="0"/>
        <w:ind w:firstLine="482" w:firstLineChars="200"/>
        <w:rPr>
          <w:rFonts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（一）检测项目</w:t>
      </w:r>
    </w:p>
    <w:p w14:paraId="18569303">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1.车行道（含非机动车道）：主控项目为沥青混合料面层压实度、面层（基层）厚度、弯沉、平整度。</w:t>
      </w:r>
    </w:p>
    <w:p w14:paraId="08908FFB">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2.人行道：主控项目为平整度、沥青混合料铺筑人行道厚度、沥青混合料压实度；一般项目为料石、混凝土预制砌块铺砌人行道强度和料石铺砌人行道外观尺寸。</w:t>
      </w:r>
    </w:p>
    <w:p w14:paraId="608CD26D">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3.排水管道：开展管道CCTV检测、潜望镜检测，为主控项目，必要时对管道材质进行抽检。</w:t>
      </w:r>
    </w:p>
    <w:p w14:paraId="52DAF001">
      <w:pPr>
        <w:autoSpaceDE w:val="0"/>
        <w:autoSpaceDN w:val="0"/>
        <w:adjustRightInd w:val="0"/>
        <w:ind w:firstLine="482" w:firstLineChars="200"/>
        <w:rPr>
          <w:rFonts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（二）检测方法</w:t>
      </w:r>
    </w:p>
    <w:p w14:paraId="7F2D5DDD">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新建、改建、扩建的市政道路移交前，由城管部门（接收部门）委托有资质的第三方检测机构现场</w:t>
      </w:r>
      <w:r>
        <w:rPr>
          <w:rFonts w:hint="eastAsia" w:ascii="仿宋" w:hAnsi="仿宋" w:eastAsia="仿宋" w:cs="仿宋"/>
          <w:kern w:val="0"/>
          <w:sz w:val="24"/>
          <w:szCs w:val="24"/>
          <w:highlight w:val="none"/>
        </w:rPr>
        <w:t>抽</w:t>
      </w:r>
      <w:r>
        <w:rPr>
          <w:rFonts w:hint="eastAsia" w:ascii="仿宋" w:hAnsi="仿宋" w:eastAsia="仿宋" w:cs="仿宋"/>
          <w:kern w:val="0"/>
          <w:sz w:val="24"/>
          <w:szCs w:val="24"/>
          <w:highlight w:val="none"/>
          <w:lang w:val="zh-CN"/>
        </w:rPr>
        <w:t>检，</w:t>
      </w:r>
      <w:r>
        <w:rPr>
          <w:rFonts w:hint="eastAsia" w:ascii="仿宋" w:hAnsi="仿宋" w:eastAsia="仿宋" w:cs="仿宋"/>
          <w:kern w:val="0"/>
          <w:sz w:val="24"/>
          <w:szCs w:val="24"/>
          <w:highlight w:val="none"/>
        </w:rPr>
        <w:t>根据抽检报告，</w:t>
      </w:r>
      <w:r>
        <w:rPr>
          <w:rFonts w:hint="eastAsia" w:ascii="仿宋" w:hAnsi="仿宋" w:eastAsia="仿宋" w:cs="仿宋"/>
          <w:kern w:val="0"/>
          <w:sz w:val="24"/>
          <w:szCs w:val="24"/>
          <w:highlight w:val="none"/>
          <w:lang w:val="zh-CN"/>
        </w:rPr>
        <w:t>城管部门</w:t>
      </w:r>
      <w:r>
        <w:rPr>
          <w:rFonts w:hint="eastAsia" w:ascii="仿宋" w:hAnsi="仿宋" w:eastAsia="仿宋" w:cs="仿宋"/>
          <w:kern w:val="0"/>
          <w:sz w:val="24"/>
          <w:szCs w:val="24"/>
          <w:highlight w:val="none"/>
        </w:rPr>
        <w:t>及时</w:t>
      </w:r>
      <w:r>
        <w:rPr>
          <w:rFonts w:hint="eastAsia" w:ascii="仿宋" w:hAnsi="仿宋" w:eastAsia="仿宋" w:cs="仿宋"/>
          <w:kern w:val="0"/>
          <w:sz w:val="24"/>
          <w:szCs w:val="24"/>
          <w:highlight w:val="none"/>
          <w:lang w:val="zh-CN"/>
        </w:rPr>
        <w:t>组织建设等单位，邀请建设主管部门召开移交检测会议。</w:t>
      </w:r>
    </w:p>
    <w:p w14:paraId="1FADCB95">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按照项目每标段、每200米、每半幅为一个检测单元（不满200米按一个单元计，每标段至少一个单元），检测单元进行编号，现场随机抽取10%-20%的单元进行检测，抽检频率详见附件1。检测过程由检测单位采用录像拍照等方式记录留档，检测样品做好存档。</w:t>
      </w:r>
    </w:p>
    <w:p w14:paraId="374BC19C">
      <w:pPr>
        <w:autoSpaceDE w:val="0"/>
        <w:autoSpaceDN w:val="0"/>
        <w:adjustRightInd w:val="0"/>
        <w:ind w:firstLine="482" w:firstLineChars="200"/>
        <w:rPr>
          <w:rFonts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（三）判定标准（详见附件2）</w:t>
      </w:r>
    </w:p>
    <w:p w14:paraId="55BBB95B">
      <w:pPr>
        <w:autoSpaceDE w:val="0"/>
        <w:autoSpaceDN w:val="0"/>
        <w:adjustRightInd w:val="0"/>
        <w:ind w:firstLine="482" w:firstLineChars="200"/>
        <w:rPr>
          <w:rFonts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（四）成果资料</w:t>
      </w:r>
    </w:p>
    <w:p w14:paraId="4103ECE9">
      <w:pPr>
        <w:numPr>
          <w:ilvl w:val="255"/>
          <w:numId w:val="0"/>
        </w:numPr>
        <w:autoSpaceDE w:val="0"/>
        <w:autoSpaceDN w:val="0"/>
        <w:adjustRightInd w:val="0"/>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1.检测报告：各项检测内容出具书面报告。检测报告应包含：工程概况、检测范围、检测依据、检测设备、检测结论、分项检测报告等（详见附件5）。</w:t>
      </w:r>
    </w:p>
    <w:p w14:paraId="4DAD99D9">
      <w:pPr>
        <w:numPr>
          <w:ilvl w:val="255"/>
          <w:numId w:val="0"/>
        </w:numPr>
        <w:autoSpaceDE w:val="0"/>
        <w:autoSpaceDN w:val="0"/>
        <w:adjustRightInd w:val="0"/>
        <w:ind w:firstLine="480" w:firstLineChars="200"/>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2.检测资料存档：市、区两级城管部门（接收部门），应做好资料的整理归档工作，存档期限不得少于三年，重要资料应长期保存。</w:t>
      </w:r>
    </w:p>
    <w:p w14:paraId="3E509715">
      <w:pPr>
        <w:autoSpaceDE w:val="0"/>
        <w:autoSpaceDN w:val="0"/>
        <w:adjustRightInd w:val="0"/>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五、工作要求</w:t>
      </w:r>
    </w:p>
    <w:p w14:paraId="51A38815">
      <w:pPr>
        <w:autoSpaceDE w:val="0"/>
        <w:autoSpaceDN w:val="0"/>
        <w:adjustRightInd w:val="0"/>
        <w:ind w:firstLine="482" w:firstLineChars="200"/>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1.建立机制。</w:t>
      </w:r>
      <w:r>
        <w:rPr>
          <w:rFonts w:hint="eastAsia" w:ascii="仿宋" w:hAnsi="仿宋" w:eastAsia="仿宋" w:cs="仿宋"/>
          <w:kern w:val="0"/>
          <w:sz w:val="24"/>
          <w:szCs w:val="24"/>
          <w:highlight w:val="none"/>
        </w:rPr>
        <w:t>各</w:t>
      </w:r>
      <w:r>
        <w:rPr>
          <w:rFonts w:hint="eastAsia" w:ascii="仿宋" w:hAnsi="仿宋" w:eastAsia="仿宋" w:cs="仿宋"/>
          <w:kern w:val="0"/>
          <w:sz w:val="24"/>
          <w:szCs w:val="24"/>
          <w:highlight w:val="none"/>
          <w:lang w:val="zh-CN"/>
        </w:rPr>
        <w:t>区城管局</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应结合城区实际，建立并落实市政</w:t>
      </w:r>
      <w:r>
        <w:rPr>
          <w:rFonts w:hint="eastAsia" w:ascii="仿宋" w:hAnsi="仿宋" w:eastAsia="仿宋" w:cs="仿宋"/>
          <w:kern w:val="0"/>
          <w:sz w:val="24"/>
          <w:szCs w:val="24"/>
          <w:highlight w:val="none"/>
        </w:rPr>
        <w:t>道路工程</w:t>
      </w:r>
      <w:r>
        <w:rPr>
          <w:rFonts w:hint="eastAsia" w:ascii="仿宋" w:hAnsi="仿宋" w:eastAsia="仿宋" w:cs="仿宋"/>
          <w:kern w:val="0"/>
          <w:sz w:val="24"/>
          <w:szCs w:val="24"/>
          <w:highlight w:val="none"/>
          <w:lang w:val="zh-CN"/>
        </w:rPr>
        <w:t>移交接收检测工作机制，一是主动与住建部门对接，了解新建、改建、扩建的市政</w:t>
      </w:r>
      <w:r>
        <w:rPr>
          <w:rFonts w:hint="eastAsia" w:ascii="仿宋" w:hAnsi="仿宋" w:eastAsia="仿宋" w:cs="仿宋"/>
          <w:kern w:val="0"/>
          <w:sz w:val="24"/>
          <w:szCs w:val="24"/>
          <w:highlight w:val="none"/>
        </w:rPr>
        <w:t>道路</w:t>
      </w:r>
      <w:r>
        <w:rPr>
          <w:rFonts w:hint="eastAsia" w:ascii="仿宋" w:hAnsi="仿宋" w:eastAsia="仿宋" w:cs="仿宋"/>
          <w:kern w:val="0"/>
          <w:sz w:val="24"/>
          <w:szCs w:val="24"/>
          <w:highlight w:val="none"/>
          <w:lang w:val="zh-CN"/>
        </w:rPr>
        <w:t>设施情况；二是委托有资质的第三方开展检测，确保新接收市政道路设施检测工作全覆盖；三是检测合格项目及时办理移交；</w:t>
      </w:r>
      <w:r>
        <w:rPr>
          <w:rFonts w:hint="eastAsia" w:ascii="仿宋" w:hAnsi="仿宋" w:eastAsia="仿宋" w:cs="仿宋"/>
          <w:kern w:val="0"/>
          <w:sz w:val="24"/>
          <w:szCs w:val="24"/>
          <w:highlight w:val="none"/>
        </w:rPr>
        <w:t>四是检测工作开展</w:t>
      </w:r>
      <w:r>
        <w:rPr>
          <w:rFonts w:hint="eastAsia" w:ascii="仿宋" w:hAnsi="仿宋" w:eastAsia="仿宋" w:cs="仿宋"/>
          <w:kern w:val="0"/>
          <w:sz w:val="24"/>
          <w:szCs w:val="24"/>
          <w:highlight w:val="none"/>
          <w:lang w:val="zh-CN"/>
        </w:rPr>
        <w:t>情况纳入城市管理目标考核。</w:t>
      </w:r>
    </w:p>
    <w:p w14:paraId="5A24D93C">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2.保障经费。</w:t>
      </w:r>
      <w:r>
        <w:rPr>
          <w:rFonts w:hint="eastAsia" w:ascii="仿宋" w:hAnsi="仿宋" w:eastAsia="仿宋" w:cs="仿宋"/>
          <w:kern w:val="0"/>
          <w:sz w:val="24"/>
          <w:szCs w:val="24"/>
          <w:highlight w:val="none"/>
        </w:rPr>
        <w:t>项目检测经费由各级相关部门统筹安排。一是</w:t>
      </w:r>
      <w:r>
        <w:rPr>
          <w:rFonts w:hint="eastAsia" w:ascii="仿宋" w:hAnsi="仿宋" w:eastAsia="仿宋" w:cs="仿宋"/>
          <w:kern w:val="0"/>
          <w:sz w:val="24"/>
          <w:szCs w:val="24"/>
          <w:highlight w:val="none"/>
          <w:lang w:val="zh-CN"/>
        </w:rPr>
        <w:t>市本级投资建设的道路，检测工作由市政中心负责，经费争取市财政保障；</w:t>
      </w:r>
      <w:r>
        <w:rPr>
          <w:rFonts w:hint="eastAsia" w:ascii="仿宋" w:hAnsi="仿宋" w:eastAsia="仿宋" w:cs="仿宋"/>
          <w:kern w:val="0"/>
          <w:sz w:val="24"/>
          <w:szCs w:val="24"/>
          <w:highlight w:val="none"/>
        </w:rPr>
        <w:t>二是其他建成后移交城管部门管养的道路</w:t>
      </w:r>
      <w:r>
        <w:rPr>
          <w:rFonts w:hint="eastAsia" w:ascii="仿宋" w:hAnsi="仿宋" w:eastAsia="仿宋" w:cs="仿宋"/>
          <w:kern w:val="0"/>
          <w:sz w:val="24"/>
          <w:szCs w:val="24"/>
          <w:highlight w:val="none"/>
          <w:lang w:val="zh-CN"/>
        </w:rPr>
        <w:t>，检测工作各区城管部门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负责，经费争取区财政保障。</w:t>
      </w:r>
    </w:p>
    <w:p w14:paraId="3F697FD2">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3.问题整改</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市本级投资建设道路检测发现的问题，由市城管局抄送市建委；区级财政投资建设道路检测发现的问题，由各区城管局部门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抄送属地住建部门，并</w:t>
      </w:r>
      <w:r>
        <w:rPr>
          <w:rFonts w:hint="eastAsia" w:ascii="仿宋" w:hAnsi="仿宋" w:eastAsia="仿宋" w:cs="仿宋"/>
          <w:kern w:val="0"/>
          <w:sz w:val="24"/>
          <w:szCs w:val="24"/>
          <w:highlight w:val="none"/>
        </w:rPr>
        <w:t>上报</w:t>
      </w:r>
      <w:r>
        <w:rPr>
          <w:rFonts w:hint="eastAsia" w:ascii="仿宋" w:hAnsi="仿宋" w:eastAsia="仿宋" w:cs="仿宋"/>
          <w:kern w:val="0"/>
          <w:sz w:val="24"/>
          <w:szCs w:val="24"/>
          <w:highlight w:val="none"/>
          <w:lang w:val="zh-CN"/>
        </w:rPr>
        <w:t>市城管局。</w:t>
      </w:r>
    </w:p>
    <w:p w14:paraId="2BB8BA1D">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六、结果应用 </w:t>
      </w:r>
    </w:p>
    <w:p w14:paraId="32765DAB">
      <w:pPr>
        <w:autoSpaceDE w:val="0"/>
        <w:autoSpaceDN w:val="0"/>
        <w:adjustRightInd w:val="0"/>
        <w:ind w:firstLine="482" w:firstLineChars="200"/>
        <w:rPr>
          <w:rFonts w:ascii="仿宋" w:hAnsi="仿宋" w:eastAsia="仿宋" w:cs="仿宋"/>
          <w:kern w:val="0"/>
          <w:sz w:val="24"/>
          <w:szCs w:val="24"/>
          <w:highlight w:val="none"/>
        </w:rPr>
      </w:pPr>
      <w:r>
        <w:rPr>
          <w:rFonts w:hint="eastAsia" w:ascii="仿宋" w:hAnsi="仿宋" w:eastAsia="仿宋" w:cs="仿宋"/>
          <w:b/>
          <w:bCs/>
          <w:kern w:val="0"/>
          <w:sz w:val="24"/>
          <w:szCs w:val="24"/>
          <w:highlight w:val="none"/>
          <w:lang w:val="zh-CN"/>
        </w:rPr>
        <w:t>1.作为</w:t>
      </w:r>
      <w:r>
        <w:rPr>
          <w:rFonts w:hint="eastAsia" w:ascii="仿宋" w:hAnsi="仿宋" w:eastAsia="仿宋" w:cs="仿宋"/>
          <w:b/>
          <w:bCs/>
          <w:kern w:val="0"/>
          <w:sz w:val="24"/>
          <w:szCs w:val="24"/>
          <w:highlight w:val="none"/>
        </w:rPr>
        <w:t>移交接收依据。</w:t>
      </w:r>
      <w:r>
        <w:rPr>
          <w:rFonts w:hint="eastAsia" w:ascii="仿宋" w:hAnsi="仿宋" w:eastAsia="仿宋" w:cs="仿宋"/>
          <w:kern w:val="0"/>
          <w:sz w:val="24"/>
          <w:szCs w:val="24"/>
          <w:highlight w:val="none"/>
        </w:rPr>
        <w:t>移交接收检测</w:t>
      </w:r>
      <w:r>
        <w:rPr>
          <w:rFonts w:hint="eastAsia" w:ascii="仿宋" w:hAnsi="仿宋" w:eastAsia="仿宋" w:cs="仿宋"/>
          <w:kern w:val="0"/>
          <w:sz w:val="24"/>
          <w:szCs w:val="24"/>
          <w:highlight w:val="none"/>
          <w:lang w:val="zh-CN"/>
        </w:rPr>
        <w:t>结果</w:t>
      </w:r>
      <w:r>
        <w:rPr>
          <w:rFonts w:hint="eastAsia" w:ascii="仿宋" w:hAnsi="仿宋" w:eastAsia="仿宋" w:cs="仿宋"/>
          <w:kern w:val="0"/>
          <w:sz w:val="24"/>
          <w:szCs w:val="24"/>
          <w:highlight w:val="none"/>
        </w:rPr>
        <w:t>未经城管部门认可</w:t>
      </w:r>
      <w:r>
        <w:rPr>
          <w:rFonts w:hint="eastAsia" w:ascii="仿宋" w:hAnsi="仿宋" w:eastAsia="仿宋" w:cs="仿宋"/>
          <w:kern w:val="0"/>
          <w:sz w:val="24"/>
          <w:szCs w:val="24"/>
          <w:highlight w:val="none"/>
          <w:lang w:val="zh-CN"/>
        </w:rPr>
        <w:t>的工程不予接收，不合格问题经整改销项，征得城管部门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同意后方可接收。</w:t>
      </w:r>
      <w:r>
        <w:rPr>
          <w:rFonts w:hint="eastAsia" w:ascii="仿宋" w:hAnsi="仿宋" w:eastAsia="仿宋" w:cs="仿宋"/>
          <w:kern w:val="0"/>
          <w:sz w:val="24"/>
          <w:szCs w:val="24"/>
          <w:highlight w:val="none"/>
        </w:rPr>
        <w:t>必要时城管部门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rPr>
        <w:t>将组织专家对整改销项完成情况进行论证。</w:t>
      </w:r>
    </w:p>
    <w:p w14:paraId="1684739A">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2.组织召开例会通报。</w:t>
      </w:r>
      <w:r>
        <w:rPr>
          <w:rFonts w:hint="eastAsia" w:ascii="仿宋" w:hAnsi="仿宋" w:eastAsia="仿宋" w:cs="仿宋"/>
          <w:bCs/>
          <w:kern w:val="0"/>
          <w:sz w:val="24"/>
          <w:szCs w:val="24"/>
          <w:highlight w:val="none"/>
        </w:rPr>
        <w:t>市、区</w:t>
      </w:r>
      <w:r>
        <w:rPr>
          <w:rFonts w:hint="eastAsia" w:ascii="仿宋" w:hAnsi="仿宋" w:eastAsia="仿宋" w:cs="仿宋"/>
          <w:kern w:val="0"/>
          <w:sz w:val="24"/>
          <w:szCs w:val="24"/>
          <w:highlight w:val="none"/>
        </w:rPr>
        <w:t>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rPr>
        <w:t>组织召开道路移交接收管理工作例会，邀请建设和财政部门、行业专家参加，</w:t>
      </w:r>
      <w:r>
        <w:rPr>
          <w:rFonts w:hint="eastAsia" w:ascii="仿宋" w:hAnsi="仿宋" w:eastAsia="仿宋" w:cs="仿宋"/>
          <w:kern w:val="0"/>
          <w:sz w:val="24"/>
          <w:szCs w:val="24"/>
          <w:highlight w:val="none"/>
          <w:lang w:val="zh-CN"/>
        </w:rPr>
        <w:t>通报市政道路设施移交接收检测和整改工作情况。</w:t>
      </w:r>
    </w:p>
    <w:p w14:paraId="652F0E6E">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3.</w:t>
      </w:r>
      <w:r>
        <w:rPr>
          <w:rFonts w:hint="eastAsia" w:ascii="仿宋" w:hAnsi="仿宋" w:eastAsia="仿宋" w:cs="仿宋"/>
          <w:b/>
          <w:bCs/>
          <w:kern w:val="0"/>
          <w:sz w:val="24"/>
          <w:szCs w:val="24"/>
          <w:highlight w:val="none"/>
          <w:lang w:val="zh-CN"/>
        </w:rPr>
        <w:t>纳入信用管理体系。</w:t>
      </w:r>
      <w:r>
        <w:rPr>
          <w:rFonts w:hint="eastAsia" w:ascii="仿宋" w:hAnsi="仿宋" w:eastAsia="仿宋" w:cs="仿宋"/>
          <w:kern w:val="0"/>
          <w:sz w:val="24"/>
          <w:szCs w:val="24"/>
          <w:highlight w:val="none"/>
        </w:rPr>
        <w:t>一是</w:t>
      </w:r>
      <w:r>
        <w:rPr>
          <w:rFonts w:hint="eastAsia" w:ascii="仿宋" w:hAnsi="仿宋" w:eastAsia="仿宋" w:cs="仿宋"/>
          <w:kern w:val="0"/>
          <w:sz w:val="24"/>
          <w:szCs w:val="24"/>
          <w:highlight w:val="none"/>
          <w:lang w:val="zh-CN"/>
        </w:rPr>
        <w:t>对涉及道路建设质量问题</w:t>
      </w:r>
      <w:r>
        <w:rPr>
          <w:rFonts w:hint="eastAsia" w:ascii="仿宋" w:hAnsi="仿宋" w:eastAsia="仿宋" w:cs="仿宋"/>
          <w:kern w:val="0"/>
          <w:sz w:val="24"/>
          <w:szCs w:val="24"/>
          <w:highlight w:val="none"/>
        </w:rPr>
        <w:t>的建设、施工、监理、检测等责任单位，在后续其他道路设施移交检测中增加抽检频率；</w:t>
      </w:r>
      <w:r>
        <w:rPr>
          <w:rFonts w:hint="eastAsia" w:ascii="仿宋" w:hAnsi="仿宋" w:eastAsia="仿宋" w:cs="仿宋"/>
          <w:kern w:val="0"/>
          <w:sz w:val="24"/>
          <w:szCs w:val="24"/>
          <w:highlight w:val="none"/>
          <w:lang w:val="zh-CN"/>
        </w:rPr>
        <w:t>对道路移交接收检测工作积极配合、检测结果较好的相关</w:t>
      </w:r>
      <w:r>
        <w:rPr>
          <w:rFonts w:hint="eastAsia" w:ascii="仿宋" w:hAnsi="仿宋" w:eastAsia="仿宋" w:cs="仿宋"/>
          <w:kern w:val="0"/>
          <w:sz w:val="24"/>
          <w:szCs w:val="24"/>
          <w:highlight w:val="none"/>
        </w:rPr>
        <w:t>单位，可减少检测频率或免检。二是将</w:t>
      </w:r>
      <w:r>
        <w:rPr>
          <w:rFonts w:hint="eastAsia" w:ascii="仿宋" w:hAnsi="仿宋" w:eastAsia="仿宋" w:cs="仿宋"/>
          <w:kern w:val="0"/>
          <w:sz w:val="24"/>
          <w:szCs w:val="24"/>
          <w:highlight w:val="none"/>
          <w:lang w:val="zh-CN"/>
        </w:rPr>
        <w:t>涉及道路建设质量问题</w:t>
      </w:r>
      <w:r>
        <w:rPr>
          <w:rFonts w:hint="eastAsia" w:ascii="仿宋" w:hAnsi="仿宋" w:eastAsia="仿宋" w:cs="仿宋"/>
          <w:kern w:val="0"/>
          <w:sz w:val="24"/>
          <w:szCs w:val="24"/>
          <w:highlight w:val="none"/>
        </w:rPr>
        <w:t>的责任主体纳入城管系统信用管理，限制进入城管相关投标项目。</w:t>
      </w:r>
      <w:r>
        <w:rPr>
          <w:rFonts w:hint="eastAsia" w:ascii="仿宋" w:hAnsi="仿宋" w:eastAsia="仿宋" w:cs="仿宋"/>
          <w:kern w:val="0"/>
          <w:sz w:val="24"/>
          <w:szCs w:val="24"/>
          <w:highlight w:val="none"/>
          <w:lang w:val="zh-CN"/>
        </w:rPr>
        <w:t>三是对检测发现不合格问题拒不整改、未按规定时间整改或整改不到位的，</w:t>
      </w:r>
      <w:r>
        <w:rPr>
          <w:rFonts w:hint="eastAsia" w:ascii="仿宋" w:hAnsi="仿宋" w:eastAsia="仿宋" w:cs="仿宋"/>
          <w:kern w:val="0"/>
          <w:sz w:val="24"/>
          <w:szCs w:val="24"/>
          <w:highlight w:val="none"/>
        </w:rPr>
        <w:t>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rPr>
        <w:t>将有关情况抄送建设主管部门。</w:t>
      </w:r>
    </w:p>
    <w:p w14:paraId="6BC6E263">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4</w:t>
      </w:r>
      <w:r>
        <w:rPr>
          <w:rFonts w:hint="eastAsia" w:ascii="仿宋" w:hAnsi="仿宋" w:eastAsia="仿宋" w:cs="仿宋"/>
          <w:b/>
          <w:bCs/>
          <w:kern w:val="0"/>
          <w:sz w:val="24"/>
          <w:szCs w:val="24"/>
          <w:highlight w:val="none"/>
          <w:lang w:val="zh-CN"/>
        </w:rPr>
        <w:t>.建议取消评奖资格。</w:t>
      </w:r>
      <w:r>
        <w:rPr>
          <w:rFonts w:hint="eastAsia" w:ascii="仿宋" w:hAnsi="仿宋" w:eastAsia="仿宋" w:cs="仿宋"/>
          <w:kern w:val="0"/>
          <w:sz w:val="24"/>
          <w:szCs w:val="24"/>
          <w:highlight w:val="none"/>
          <w:lang w:val="zh-CN"/>
        </w:rPr>
        <w:t>对检测发现存在严重建设质量问题的</w:t>
      </w:r>
      <w:r>
        <w:rPr>
          <w:rFonts w:hint="eastAsia" w:ascii="仿宋" w:hAnsi="仿宋" w:eastAsia="仿宋" w:cs="仿宋"/>
          <w:kern w:val="0"/>
          <w:sz w:val="24"/>
          <w:szCs w:val="24"/>
          <w:highlight w:val="none"/>
        </w:rPr>
        <w:t>道路</w:t>
      </w:r>
      <w:r>
        <w:rPr>
          <w:rFonts w:hint="eastAsia" w:ascii="仿宋" w:hAnsi="仿宋" w:eastAsia="仿宋" w:cs="仿宋"/>
          <w:kern w:val="0"/>
          <w:sz w:val="24"/>
          <w:szCs w:val="24"/>
          <w:highlight w:val="none"/>
          <w:lang w:val="zh-CN"/>
        </w:rPr>
        <w:t>，城管部门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将有关情况</w:t>
      </w:r>
      <w:r>
        <w:rPr>
          <w:rFonts w:hint="eastAsia" w:ascii="仿宋" w:hAnsi="仿宋" w:eastAsia="仿宋" w:cs="仿宋"/>
          <w:kern w:val="0"/>
          <w:sz w:val="24"/>
          <w:szCs w:val="24"/>
          <w:highlight w:val="none"/>
        </w:rPr>
        <w:t>抄送有关部门，建议</w:t>
      </w:r>
      <w:r>
        <w:rPr>
          <w:rFonts w:hint="eastAsia" w:ascii="仿宋" w:hAnsi="仿宋" w:eastAsia="仿宋" w:cs="仿宋"/>
          <w:kern w:val="0"/>
          <w:sz w:val="24"/>
          <w:szCs w:val="24"/>
          <w:highlight w:val="none"/>
          <w:lang w:val="zh-CN"/>
        </w:rPr>
        <w:t>取消该项目参加行业相关奖项的评选资格。</w:t>
      </w:r>
    </w:p>
    <w:p w14:paraId="06A06B5C">
      <w:pPr>
        <w:autoSpaceDE w:val="0"/>
        <w:autoSpaceDN w:val="0"/>
        <w:adjustRightInd w:val="0"/>
        <w:ind w:firstLine="482" w:firstLineChars="200"/>
        <w:rPr>
          <w:rFonts w:ascii="仿宋" w:hAnsi="仿宋" w:eastAsia="仿宋" w:cs="仿宋"/>
          <w:kern w:val="0"/>
          <w:sz w:val="24"/>
          <w:szCs w:val="24"/>
          <w:highlight w:val="none"/>
          <w:lang w:val="zh-CN"/>
        </w:rPr>
      </w:pPr>
      <w:r>
        <w:rPr>
          <w:rFonts w:hint="eastAsia" w:ascii="仿宋" w:hAnsi="仿宋" w:eastAsia="仿宋" w:cs="仿宋"/>
          <w:b/>
          <w:bCs/>
          <w:kern w:val="0"/>
          <w:sz w:val="24"/>
          <w:szCs w:val="24"/>
          <w:highlight w:val="none"/>
        </w:rPr>
        <w:t>5</w:t>
      </w:r>
      <w:r>
        <w:rPr>
          <w:rFonts w:hint="eastAsia" w:ascii="仿宋" w:hAnsi="仿宋" w:eastAsia="仿宋" w:cs="仿宋"/>
          <w:b/>
          <w:bCs/>
          <w:kern w:val="0"/>
          <w:sz w:val="24"/>
          <w:szCs w:val="24"/>
          <w:highlight w:val="none"/>
          <w:lang w:val="zh-CN"/>
        </w:rPr>
        <w:t>.及时通报有关问题。</w:t>
      </w:r>
      <w:r>
        <w:rPr>
          <w:rFonts w:hint="eastAsia" w:ascii="仿宋" w:hAnsi="仿宋" w:eastAsia="仿宋" w:cs="仿宋"/>
          <w:kern w:val="0"/>
          <w:sz w:val="24"/>
          <w:szCs w:val="24"/>
          <w:highlight w:val="none"/>
          <w:lang w:val="zh-CN"/>
        </w:rPr>
        <w:t>经检测发现存在严重建设质量问题或在抽检过程中弄虚作假的责任单位、相关人员等情况，城管部门</w:t>
      </w:r>
      <w:r>
        <w:rPr>
          <w:rFonts w:hint="eastAsia" w:ascii="仿宋" w:hAnsi="仿宋" w:eastAsia="仿宋" w:cs="仿宋"/>
          <w:bCs/>
          <w:kern w:val="0"/>
          <w:sz w:val="24"/>
          <w:szCs w:val="24"/>
          <w:highlight w:val="none"/>
        </w:rPr>
        <w:t>（接收部门）</w:t>
      </w:r>
      <w:r>
        <w:rPr>
          <w:rFonts w:hint="eastAsia" w:ascii="仿宋" w:hAnsi="仿宋" w:eastAsia="仿宋" w:cs="仿宋"/>
          <w:kern w:val="0"/>
          <w:sz w:val="24"/>
          <w:szCs w:val="24"/>
          <w:highlight w:val="none"/>
          <w:lang w:val="zh-CN"/>
        </w:rPr>
        <w:t>将向有关部门</w:t>
      </w:r>
      <w:r>
        <w:rPr>
          <w:rFonts w:hint="eastAsia" w:ascii="仿宋" w:hAnsi="仿宋" w:eastAsia="仿宋" w:cs="仿宋"/>
          <w:kern w:val="0"/>
          <w:sz w:val="24"/>
          <w:szCs w:val="24"/>
          <w:highlight w:val="none"/>
        </w:rPr>
        <w:t>及时通报</w:t>
      </w:r>
      <w:r>
        <w:rPr>
          <w:rFonts w:hint="eastAsia" w:ascii="仿宋" w:hAnsi="仿宋" w:eastAsia="仿宋" w:cs="仿宋"/>
          <w:kern w:val="0"/>
          <w:sz w:val="24"/>
          <w:szCs w:val="24"/>
          <w:highlight w:val="none"/>
          <w:lang w:val="zh-CN"/>
        </w:rPr>
        <w:t>。</w:t>
      </w:r>
    </w:p>
    <w:p w14:paraId="285D138E">
      <w:pPr>
        <w:autoSpaceDE w:val="0"/>
        <w:autoSpaceDN w:val="0"/>
        <w:adjustRightInd w:val="0"/>
        <w:ind w:firstLine="561"/>
        <w:rPr>
          <w:rFonts w:ascii="仿宋" w:hAnsi="仿宋" w:eastAsia="仿宋" w:cs="仿宋"/>
          <w:kern w:val="0"/>
          <w:sz w:val="24"/>
          <w:szCs w:val="24"/>
          <w:highlight w:val="none"/>
          <w:lang w:val="zh-CN"/>
        </w:rPr>
      </w:pPr>
    </w:p>
    <w:p w14:paraId="6652EA74">
      <w:pPr>
        <w:autoSpaceDE w:val="0"/>
        <w:autoSpaceDN w:val="0"/>
        <w:adjustRightInd w:val="0"/>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检测项目抽检频率</w:t>
      </w:r>
    </w:p>
    <w:p w14:paraId="79462744">
      <w:pPr>
        <w:autoSpaceDE w:val="0"/>
        <w:autoSpaceDN w:val="0"/>
        <w:adjustRightInd w:val="0"/>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检测项目判定标准</w:t>
      </w:r>
    </w:p>
    <w:p w14:paraId="1B75C1C2">
      <w:pPr>
        <w:autoSpaceDE w:val="0"/>
        <w:autoSpaceDN w:val="0"/>
        <w:adjustRightInd w:val="0"/>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杭州市新建市政道路工程移交接收检测记录表 </w:t>
      </w:r>
    </w:p>
    <w:p w14:paraId="2DA7A89E">
      <w:pPr>
        <w:numPr>
          <w:ilvl w:val="255"/>
          <w:numId w:val="0"/>
        </w:numPr>
        <w:autoSpaceDE w:val="0"/>
        <w:autoSpaceDN w:val="0"/>
        <w:adjustRightInd w:val="0"/>
        <w:ind w:firstLine="1200" w:firstLineChars="5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杭州市新建市政道路工程移交接收检测</w:t>
      </w:r>
      <w:r>
        <w:rPr>
          <w:rFonts w:hint="eastAsia" w:ascii="仿宋" w:hAnsi="仿宋" w:eastAsia="仿宋" w:cs="仿宋"/>
          <w:kern w:val="0"/>
          <w:sz w:val="24"/>
          <w:szCs w:val="24"/>
          <w:highlight w:val="none"/>
        </w:rPr>
        <w:t>委托单</w:t>
      </w:r>
    </w:p>
    <w:p w14:paraId="055597D9">
      <w:pPr>
        <w:numPr>
          <w:ilvl w:val="255"/>
          <w:numId w:val="0"/>
        </w:numPr>
        <w:autoSpaceDE w:val="0"/>
        <w:autoSpaceDN w:val="0"/>
        <w:adjustRightInd w:val="0"/>
        <w:ind w:firstLine="1200" w:firstLineChars="5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杭州市新建市政道路工程移交接收检测</w:t>
      </w:r>
      <w:r>
        <w:rPr>
          <w:rFonts w:hint="eastAsia" w:ascii="仿宋" w:hAnsi="仿宋" w:eastAsia="仿宋" w:cs="仿宋"/>
          <w:kern w:val="0"/>
          <w:sz w:val="24"/>
          <w:szCs w:val="24"/>
          <w:highlight w:val="none"/>
        </w:rPr>
        <w:t>报告</w:t>
      </w:r>
    </w:p>
    <w:p w14:paraId="06973AB2">
      <w:pPr>
        <w:autoSpaceDE w:val="0"/>
        <w:autoSpaceDN w:val="0"/>
        <w:adjustRightInd w:val="0"/>
        <w:spacing w:line="620" w:lineRule="exact"/>
        <w:ind w:firstLine="561"/>
        <w:rPr>
          <w:rFonts w:ascii="仿宋" w:eastAsia="仿宋" w:cs="仿宋"/>
          <w:kern w:val="0"/>
          <w:sz w:val="32"/>
          <w:szCs w:val="32"/>
          <w:highlight w:val="none"/>
        </w:rPr>
      </w:pPr>
    </w:p>
    <w:p w14:paraId="4C8159A1">
      <w:pPr>
        <w:autoSpaceDE w:val="0"/>
        <w:autoSpaceDN w:val="0"/>
        <w:adjustRightInd w:val="0"/>
        <w:spacing w:line="620" w:lineRule="exact"/>
        <w:ind w:firstLine="561"/>
        <w:rPr>
          <w:rFonts w:ascii="仿宋" w:eastAsia="仿宋" w:cs="仿宋"/>
          <w:kern w:val="0"/>
          <w:sz w:val="32"/>
          <w:szCs w:val="32"/>
          <w:highlight w:val="none"/>
        </w:rPr>
      </w:pPr>
    </w:p>
    <w:p w14:paraId="2270D53D">
      <w:pPr>
        <w:jc w:val="left"/>
        <w:rPr>
          <w:rFonts w:ascii="黑体" w:hAnsi="黑体" w:eastAsia="黑体"/>
          <w:sz w:val="32"/>
          <w:szCs w:val="32"/>
          <w:highlight w:val="none"/>
        </w:rPr>
      </w:pPr>
    </w:p>
    <w:p w14:paraId="173584AC">
      <w:pPr>
        <w:jc w:val="left"/>
        <w:rPr>
          <w:rFonts w:ascii="黑体" w:hAnsi="黑体" w:eastAsia="黑体"/>
          <w:sz w:val="32"/>
          <w:szCs w:val="32"/>
          <w:highlight w:val="none"/>
        </w:rPr>
      </w:pPr>
    </w:p>
    <w:p w14:paraId="777FAF6B">
      <w:pPr>
        <w:jc w:val="left"/>
        <w:rPr>
          <w:rFonts w:ascii="黑体" w:hAnsi="黑体" w:eastAsia="黑体"/>
          <w:sz w:val="32"/>
          <w:szCs w:val="32"/>
          <w:highlight w:val="none"/>
        </w:rPr>
      </w:pPr>
    </w:p>
    <w:p w14:paraId="599B2C3D">
      <w:pPr>
        <w:jc w:val="left"/>
        <w:rPr>
          <w:rFonts w:ascii="黑体" w:hAnsi="黑体" w:eastAsia="黑体"/>
          <w:sz w:val="32"/>
          <w:szCs w:val="32"/>
          <w:highlight w:val="none"/>
        </w:rPr>
      </w:pPr>
    </w:p>
    <w:p w14:paraId="099BAA83">
      <w:pPr>
        <w:pStyle w:val="42"/>
        <w:rPr>
          <w:rFonts w:ascii="黑体" w:hAnsi="黑体" w:eastAsia="黑体"/>
          <w:sz w:val="32"/>
          <w:szCs w:val="32"/>
          <w:highlight w:val="none"/>
        </w:rPr>
      </w:pPr>
    </w:p>
    <w:p w14:paraId="45EA1248">
      <w:pPr>
        <w:rPr>
          <w:rFonts w:ascii="黑体" w:hAnsi="黑体" w:eastAsia="黑体"/>
          <w:sz w:val="32"/>
          <w:szCs w:val="32"/>
          <w:highlight w:val="none"/>
        </w:rPr>
      </w:pPr>
    </w:p>
    <w:p w14:paraId="59DFFC09">
      <w:pPr>
        <w:pStyle w:val="42"/>
        <w:rPr>
          <w:rFonts w:ascii="黑体" w:hAnsi="黑体" w:eastAsia="黑体"/>
          <w:sz w:val="32"/>
          <w:szCs w:val="32"/>
          <w:highlight w:val="none"/>
        </w:rPr>
      </w:pPr>
    </w:p>
    <w:p w14:paraId="6E01B69A">
      <w:pPr>
        <w:rPr>
          <w:rFonts w:ascii="黑体" w:hAnsi="黑体" w:eastAsia="黑体"/>
          <w:sz w:val="32"/>
          <w:szCs w:val="32"/>
          <w:highlight w:val="none"/>
        </w:rPr>
      </w:pPr>
    </w:p>
    <w:p w14:paraId="27127C7B">
      <w:pPr>
        <w:pStyle w:val="42"/>
        <w:rPr>
          <w:rFonts w:ascii="黑体" w:hAnsi="黑体" w:eastAsia="黑体"/>
          <w:sz w:val="32"/>
          <w:szCs w:val="32"/>
          <w:highlight w:val="none"/>
        </w:rPr>
      </w:pPr>
    </w:p>
    <w:p w14:paraId="346CA821">
      <w:pPr>
        <w:rPr>
          <w:rFonts w:ascii="黑体" w:hAnsi="黑体" w:eastAsia="黑体"/>
          <w:sz w:val="32"/>
          <w:szCs w:val="32"/>
          <w:highlight w:val="none"/>
        </w:rPr>
      </w:pPr>
    </w:p>
    <w:p w14:paraId="3261FBD1">
      <w:pPr>
        <w:pStyle w:val="42"/>
        <w:rPr>
          <w:rFonts w:ascii="黑体" w:hAnsi="黑体" w:eastAsia="黑体"/>
          <w:sz w:val="32"/>
          <w:szCs w:val="32"/>
          <w:highlight w:val="none"/>
        </w:rPr>
      </w:pPr>
    </w:p>
    <w:p w14:paraId="3AC39C29">
      <w:pPr>
        <w:rPr>
          <w:rFonts w:ascii="黑体" w:hAnsi="黑体" w:eastAsia="黑体"/>
          <w:sz w:val="32"/>
          <w:szCs w:val="32"/>
          <w:highlight w:val="none"/>
        </w:rPr>
      </w:pPr>
    </w:p>
    <w:p w14:paraId="61DFCDC5">
      <w:pPr>
        <w:pStyle w:val="42"/>
        <w:rPr>
          <w:rFonts w:ascii="黑体" w:hAnsi="黑体" w:eastAsia="黑体"/>
          <w:sz w:val="32"/>
          <w:szCs w:val="32"/>
          <w:highlight w:val="none"/>
        </w:rPr>
      </w:pPr>
    </w:p>
    <w:p w14:paraId="39DDA036">
      <w:pPr>
        <w:rPr>
          <w:rFonts w:ascii="黑体" w:hAnsi="黑体" w:eastAsia="黑体"/>
          <w:sz w:val="32"/>
          <w:szCs w:val="32"/>
          <w:highlight w:val="none"/>
        </w:rPr>
      </w:pPr>
    </w:p>
    <w:p w14:paraId="272911D5">
      <w:pPr>
        <w:pStyle w:val="42"/>
        <w:rPr>
          <w:rFonts w:ascii="黑体" w:hAnsi="黑体" w:eastAsia="黑体"/>
          <w:sz w:val="32"/>
          <w:szCs w:val="32"/>
          <w:highlight w:val="none"/>
        </w:rPr>
      </w:pPr>
    </w:p>
    <w:p w14:paraId="30D01189">
      <w:pPr>
        <w:rPr>
          <w:rFonts w:ascii="黑体" w:hAnsi="黑体" w:eastAsia="黑体"/>
          <w:sz w:val="32"/>
          <w:szCs w:val="32"/>
          <w:highlight w:val="none"/>
        </w:rPr>
      </w:pPr>
    </w:p>
    <w:p w14:paraId="57AA3A1E">
      <w:pPr>
        <w:pStyle w:val="42"/>
        <w:rPr>
          <w:rFonts w:ascii="黑体" w:hAnsi="黑体" w:eastAsia="黑体"/>
          <w:sz w:val="32"/>
          <w:szCs w:val="32"/>
          <w:highlight w:val="none"/>
        </w:rPr>
      </w:pPr>
    </w:p>
    <w:p w14:paraId="7165E5B7">
      <w:pPr>
        <w:rPr>
          <w:highlight w:val="none"/>
        </w:rPr>
      </w:pPr>
    </w:p>
    <w:p w14:paraId="73DAF9BD">
      <w:pPr>
        <w:pStyle w:val="42"/>
        <w:rPr>
          <w:rFonts w:ascii="黑体" w:hAnsi="黑体" w:eastAsia="黑体"/>
          <w:sz w:val="32"/>
          <w:szCs w:val="32"/>
          <w:highlight w:val="none"/>
        </w:rPr>
      </w:pPr>
    </w:p>
    <w:p w14:paraId="215742D3">
      <w:pPr>
        <w:rPr>
          <w:highlight w:val="none"/>
        </w:rPr>
      </w:pPr>
    </w:p>
    <w:p w14:paraId="16DF81F3">
      <w:pPr>
        <w:jc w:val="left"/>
        <w:rPr>
          <w:rFonts w:ascii="黑体" w:hAnsi="黑体" w:eastAsia="黑体"/>
          <w:sz w:val="32"/>
          <w:szCs w:val="32"/>
          <w:highlight w:val="none"/>
        </w:rPr>
      </w:pPr>
    </w:p>
    <w:p w14:paraId="73B33438">
      <w:pPr>
        <w:spacing w:afterLines="50"/>
        <w:jc w:val="center"/>
        <w:rPr>
          <w:rFonts w:ascii="黑体" w:hAnsi="黑体" w:eastAsia="黑体"/>
          <w:sz w:val="84"/>
          <w:highlight w:val="none"/>
        </w:rPr>
      </w:pPr>
      <w:r>
        <w:rPr>
          <w:rFonts w:hint="eastAsia" w:ascii="黑体" w:hAnsi="黑体" w:eastAsia="黑体" w:cs="仿宋"/>
          <w:kern w:val="0"/>
          <w:sz w:val="44"/>
          <w:szCs w:val="44"/>
          <w:highlight w:val="none"/>
        </w:rPr>
        <w:t>检测项目抽检</w:t>
      </w:r>
      <w:r>
        <w:rPr>
          <w:rFonts w:hint="eastAsia" w:ascii="黑体" w:hAnsi="黑体" w:eastAsia="黑体" w:cs="仿宋"/>
          <w:kern w:val="0"/>
          <w:sz w:val="44"/>
          <w:szCs w:val="44"/>
          <w:highlight w:val="none"/>
          <w:lang w:val="zh-CN"/>
        </w:rPr>
        <w:t>频率</w:t>
      </w:r>
    </w:p>
    <w:tbl>
      <w:tblPr>
        <w:tblStyle w:val="62"/>
        <w:tblW w:w="9417" w:type="dxa"/>
        <w:jc w:val="center"/>
        <w:tblLayout w:type="fixed"/>
        <w:tblCellMar>
          <w:top w:w="0" w:type="dxa"/>
          <w:left w:w="0" w:type="dxa"/>
          <w:bottom w:w="0" w:type="dxa"/>
          <w:right w:w="0" w:type="dxa"/>
        </w:tblCellMar>
      </w:tblPr>
      <w:tblGrid>
        <w:gridCol w:w="600"/>
        <w:gridCol w:w="1183"/>
        <w:gridCol w:w="2673"/>
        <w:gridCol w:w="4961"/>
      </w:tblGrid>
      <w:tr w14:paraId="359BB2D2">
        <w:tblPrEx>
          <w:tblCellMar>
            <w:top w:w="0" w:type="dxa"/>
            <w:left w:w="0" w:type="dxa"/>
            <w:bottom w:w="0" w:type="dxa"/>
            <w:right w:w="0" w:type="dxa"/>
          </w:tblCellMar>
        </w:tblPrEx>
        <w:trPr>
          <w:trHeight w:val="54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D605A">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2DB61">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部位</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54DF0">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检测项目</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E116">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检测频率</w:t>
            </w:r>
          </w:p>
        </w:tc>
      </w:tr>
      <w:tr w14:paraId="4284758E">
        <w:tblPrEx>
          <w:tblCellMar>
            <w:top w:w="0" w:type="dxa"/>
            <w:left w:w="0" w:type="dxa"/>
            <w:bottom w:w="0" w:type="dxa"/>
            <w:right w:w="0" w:type="dxa"/>
          </w:tblCellMar>
        </w:tblPrEx>
        <w:trPr>
          <w:trHeight w:val="75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53CC8">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5ED9F">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车行道（含非机动车道）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4825B">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★沥青混合料面层压实度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B75DC">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每1000</w:t>
            </w:r>
            <w:r>
              <w:rPr>
                <w:rFonts w:hint="eastAsia" w:ascii="仿宋_GB2312" w:hAnsi="宋体"/>
                <w:sz w:val="24"/>
                <w:szCs w:val="24"/>
                <w:highlight w:val="none"/>
              </w:rPr>
              <w:t>㎡</w:t>
            </w:r>
            <w:r>
              <w:rPr>
                <w:rFonts w:hint="eastAsia" w:ascii="仿宋_GB2312" w:hAnsi="宋体" w:eastAsia="仿宋_GB2312"/>
                <w:sz w:val="24"/>
                <w:szCs w:val="24"/>
                <w:highlight w:val="none"/>
              </w:rPr>
              <w:t>测1点（不满1000</w:t>
            </w:r>
            <w:r>
              <w:rPr>
                <w:rFonts w:hint="eastAsia" w:ascii="仿宋_GB2312" w:hAnsi="宋体"/>
                <w:sz w:val="24"/>
                <w:szCs w:val="24"/>
                <w:highlight w:val="none"/>
              </w:rPr>
              <w:t>㎡</w:t>
            </w:r>
            <w:r>
              <w:rPr>
                <w:rFonts w:hint="eastAsia" w:ascii="仿宋_GB2312" w:hAnsi="宋体" w:eastAsia="仿宋_GB2312"/>
                <w:sz w:val="24"/>
                <w:szCs w:val="24"/>
                <w:highlight w:val="none"/>
              </w:rPr>
              <w:t>的按1000</w:t>
            </w:r>
            <w:r>
              <w:rPr>
                <w:rFonts w:hint="eastAsia" w:ascii="仿宋_GB2312" w:hAnsi="宋体"/>
                <w:sz w:val="24"/>
                <w:szCs w:val="24"/>
                <w:highlight w:val="none"/>
              </w:rPr>
              <w:t>㎡</w:t>
            </w:r>
            <w:r>
              <w:rPr>
                <w:rFonts w:hint="eastAsia" w:ascii="仿宋_GB2312" w:hAnsi="宋体" w:eastAsia="仿宋_GB2312"/>
                <w:sz w:val="24"/>
                <w:szCs w:val="24"/>
                <w:highlight w:val="none"/>
              </w:rPr>
              <w:t>测）。</w:t>
            </w:r>
          </w:p>
        </w:tc>
      </w:tr>
      <w:tr w14:paraId="6C148942">
        <w:tblPrEx>
          <w:tblCellMar>
            <w:top w:w="0" w:type="dxa"/>
            <w:left w:w="0" w:type="dxa"/>
            <w:bottom w:w="0" w:type="dxa"/>
            <w:right w:w="0" w:type="dxa"/>
          </w:tblCellMar>
        </w:tblPrEx>
        <w:trPr>
          <w:trHeight w:val="57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41092">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683C9">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5F17E">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★面层（基层）厚度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4CA75">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每1000</w:t>
            </w:r>
            <w:r>
              <w:rPr>
                <w:rFonts w:hint="eastAsia" w:ascii="仿宋_GB2312" w:hAnsi="宋体"/>
                <w:sz w:val="24"/>
                <w:szCs w:val="24"/>
                <w:highlight w:val="none"/>
              </w:rPr>
              <w:t>㎡</w:t>
            </w:r>
            <w:r>
              <w:rPr>
                <w:rFonts w:hint="eastAsia" w:ascii="仿宋_GB2312" w:hAnsi="宋体" w:eastAsia="仿宋_GB2312"/>
                <w:sz w:val="24"/>
                <w:szCs w:val="24"/>
                <w:highlight w:val="none"/>
              </w:rPr>
              <w:t>测1点。</w:t>
            </w:r>
          </w:p>
        </w:tc>
      </w:tr>
      <w:tr w14:paraId="2C71697E">
        <w:tblPrEx>
          <w:tblCellMar>
            <w:top w:w="0" w:type="dxa"/>
            <w:left w:w="0" w:type="dxa"/>
            <w:bottom w:w="0" w:type="dxa"/>
            <w:right w:w="0" w:type="dxa"/>
          </w:tblCellMar>
        </w:tblPrEx>
        <w:trPr>
          <w:trHeight w:val="60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252AC">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19D31">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DE44A">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★弯沉</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EC824">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每车道、每20m，测1点。</w:t>
            </w:r>
          </w:p>
        </w:tc>
      </w:tr>
      <w:tr w14:paraId="23DD4024">
        <w:tblPrEx>
          <w:tblCellMar>
            <w:top w:w="0" w:type="dxa"/>
            <w:left w:w="0" w:type="dxa"/>
            <w:bottom w:w="0" w:type="dxa"/>
            <w:right w:w="0" w:type="dxa"/>
          </w:tblCellMar>
        </w:tblPrEx>
        <w:trPr>
          <w:trHeight w:val="11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997FA">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22930">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8EA96">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★平整度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B15FE">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路宽＜9m，每100米1条测线；</w:t>
            </w:r>
          </w:p>
          <w:p w14:paraId="43503941">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路宽9m-15m，每100米2条测线；</w:t>
            </w:r>
          </w:p>
          <w:p w14:paraId="3CB790F3">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路宽＞15m，每100米3条测线。</w:t>
            </w:r>
          </w:p>
        </w:tc>
      </w:tr>
      <w:tr w14:paraId="43A57AAC">
        <w:tblPrEx>
          <w:tblCellMar>
            <w:top w:w="0" w:type="dxa"/>
            <w:left w:w="0" w:type="dxa"/>
            <w:bottom w:w="0" w:type="dxa"/>
            <w:right w:w="0" w:type="dxa"/>
          </w:tblCellMar>
        </w:tblPrEx>
        <w:trPr>
          <w:trHeight w:val="73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55323">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1BC0C">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人行道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02B09">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料石、混凝土预制砌块铺砌人行道强度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6A994">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每标段工程对应样品检测1组。</w:t>
            </w:r>
          </w:p>
        </w:tc>
      </w:tr>
      <w:tr w14:paraId="179F0537">
        <w:tblPrEx>
          <w:tblCellMar>
            <w:top w:w="0" w:type="dxa"/>
            <w:left w:w="0" w:type="dxa"/>
            <w:bottom w:w="0" w:type="dxa"/>
            <w:right w:w="0" w:type="dxa"/>
          </w:tblCellMar>
        </w:tblPrEx>
        <w:trPr>
          <w:trHeight w:val="70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CB401">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D301D">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3BD0A">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料石铺砌人行道外观尺寸</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51E71">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每标段工程对应样品检测1组。</w:t>
            </w:r>
          </w:p>
        </w:tc>
      </w:tr>
      <w:tr w14:paraId="434B101C">
        <w:tblPrEx>
          <w:tblCellMar>
            <w:top w:w="0" w:type="dxa"/>
            <w:left w:w="0" w:type="dxa"/>
            <w:bottom w:w="0" w:type="dxa"/>
            <w:right w:w="0" w:type="dxa"/>
          </w:tblCellMar>
        </w:tblPrEx>
        <w:trPr>
          <w:trHeight w:val="69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83C59">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F81B7">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01360">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★平整度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F6436">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每单元每20米测1点。</w:t>
            </w:r>
          </w:p>
        </w:tc>
      </w:tr>
      <w:tr w14:paraId="2AE63729">
        <w:tblPrEx>
          <w:tblCellMar>
            <w:top w:w="0" w:type="dxa"/>
            <w:left w:w="0" w:type="dxa"/>
            <w:bottom w:w="0" w:type="dxa"/>
            <w:right w:w="0" w:type="dxa"/>
          </w:tblCellMar>
        </w:tblPrEx>
        <w:trPr>
          <w:trHeight w:val="7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47A52">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E310E">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BF323">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★沥青混合料铺筑人行道厚度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D70C0">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每单元每100米测1点。</w:t>
            </w:r>
          </w:p>
        </w:tc>
      </w:tr>
      <w:tr w14:paraId="6E54C1A0">
        <w:tblPrEx>
          <w:tblCellMar>
            <w:top w:w="0" w:type="dxa"/>
            <w:left w:w="0" w:type="dxa"/>
            <w:bottom w:w="0" w:type="dxa"/>
            <w:right w:w="0" w:type="dxa"/>
          </w:tblCellMar>
        </w:tblPrEx>
        <w:trPr>
          <w:trHeight w:val="73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CF1E9">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65074">
            <w:pPr>
              <w:spacing w:line="440" w:lineRule="exact"/>
              <w:jc w:val="center"/>
              <w:rPr>
                <w:rFonts w:ascii="仿宋_GB2312" w:hAnsi="宋体" w:eastAsia="仿宋_GB2312"/>
                <w:sz w:val="24"/>
                <w:szCs w:val="24"/>
                <w:highlight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1C5EC">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★沥青混合料压实度</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33900">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每单元每100米查1点。</w:t>
            </w:r>
          </w:p>
        </w:tc>
      </w:tr>
      <w:tr w14:paraId="3ED0A19C">
        <w:tblPrEx>
          <w:tblCellMar>
            <w:top w:w="0" w:type="dxa"/>
            <w:left w:w="0" w:type="dxa"/>
            <w:bottom w:w="0" w:type="dxa"/>
            <w:right w:w="0"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AED1A">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F2E4B">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排水管道</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77CF6">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★排水管道检测</w:t>
            </w:r>
          </w:p>
        </w:tc>
        <w:tc>
          <w:tcPr>
            <w:tcW w:w="4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5F9B1">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每单元范围内所有排水管道。</w:t>
            </w:r>
          </w:p>
        </w:tc>
      </w:tr>
      <w:tr w14:paraId="24431201">
        <w:tblPrEx>
          <w:tblCellMar>
            <w:top w:w="0" w:type="dxa"/>
            <w:left w:w="0" w:type="dxa"/>
            <w:bottom w:w="0" w:type="dxa"/>
            <w:right w:w="0" w:type="dxa"/>
          </w:tblCellMar>
        </w:tblPrEx>
        <w:trPr>
          <w:trHeight w:val="596" w:hRule="atLeast"/>
          <w:jc w:val="center"/>
        </w:trPr>
        <w:tc>
          <w:tcPr>
            <w:tcW w:w="941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4E2F2">
            <w:pPr>
              <w:widowControl/>
              <w:tabs>
                <w:tab w:val="left" w:pos="7962"/>
              </w:tabs>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 xml:space="preserve"> 注：带★为主控项目，其余为一般项目。</w:t>
            </w:r>
            <w:r>
              <w:rPr>
                <w:rFonts w:hint="eastAsia" w:ascii="仿宋_GB2312" w:hAnsi="宋体" w:eastAsia="仿宋_GB2312"/>
                <w:sz w:val="24"/>
                <w:szCs w:val="24"/>
                <w:highlight w:val="none"/>
              </w:rPr>
              <w:tab/>
            </w:r>
          </w:p>
        </w:tc>
      </w:tr>
    </w:tbl>
    <w:p w14:paraId="0A9E5D4B">
      <w:pPr>
        <w:autoSpaceDE w:val="0"/>
        <w:autoSpaceDN w:val="0"/>
        <w:adjustRightInd w:val="0"/>
        <w:spacing w:line="620" w:lineRule="exact"/>
        <w:ind w:firstLine="560"/>
        <w:rPr>
          <w:rFonts w:ascii="仿宋_GB2312" w:eastAsia="仿宋_GB2312" w:cs="仿宋"/>
          <w:b/>
          <w:kern w:val="0"/>
          <w:sz w:val="32"/>
          <w:szCs w:val="32"/>
          <w:highlight w:val="none"/>
          <w:lang w:val="zh-CN"/>
        </w:rPr>
      </w:pPr>
    </w:p>
    <w:p w14:paraId="6FEAF499">
      <w:pPr>
        <w:autoSpaceDE w:val="0"/>
        <w:autoSpaceDN w:val="0"/>
        <w:adjustRightInd w:val="0"/>
        <w:spacing w:line="620" w:lineRule="exact"/>
        <w:ind w:firstLine="560"/>
        <w:rPr>
          <w:rFonts w:ascii="仿宋_GB2312" w:eastAsia="仿宋_GB2312" w:cs="仿宋"/>
          <w:b/>
          <w:kern w:val="0"/>
          <w:sz w:val="32"/>
          <w:szCs w:val="32"/>
          <w:highlight w:val="none"/>
          <w:lang w:val="zh-CN"/>
        </w:rPr>
      </w:pPr>
    </w:p>
    <w:p w14:paraId="7B7D61AD">
      <w:pPr>
        <w:autoSpaceDE w:val="0"/>
        <w:autoSpaceDN w:val="0"/>
        <w:adjustRightInd w:val="0"/>
        <w:spacing w:line="620" w:lineRule="exact"/>
        <w:ind w:firstLine="560"/>
        <w:rPr>
          <w:rFonts w:ascii="仿宋_GB2312" w:eastAsia="仿宋_GB2312" w:cs="仿宋"/>
          <w:b/>
          <w:kern w:val="0"/>
          <w:sz w:val="32"/>
          <w:szCs w:val="32"/>
          <w:highlight w:val="none"/>
          <w:lang w:val="zh-CN"/>
        </w:rPr>
      </w:pPr>
    </w:p>
    <w:p w14:paraId="030BA347">
      <w:pPr>
        <w:rPr>
          <w:rFonts w:ascii="黑体" w:hAnsi="黑体" w:eastAsia="黑体" w:cs="仿宋"/>
          <w:kern w:val="0"/>
          <w:sz w:val="44"/>
          <w:szCs w:val="44"/>
          <w:highlight w:val="none"/>
        </w:rPr>
      </w:pPr>
      <w:r>
        <w:rPr>
          <w:rFonts w:hint="eastAsia" w:ascii="黑体" w:hAnsi="黑体" w:eastAsia="黑体" w:cs="仿宋"/>
          <w:kern w:val="0"/>
          <w:sz w:val="44"/>
          <w:szCs w:val="44"/>
          <w:highlight w:val="none"/>
        </w:rPr>
        <w:br w:type="page"/>
      </w:r>
    </w:p>
    <w:p w14:paraId="74EF52EF">
      <w:pPr>
        <w:spacing w:afterLines="50"/>
        <w:jc w:val="center"/>
        <w:rPr>
          <w:rFonts w:ascii="黑体" w:hAnsi="黑体" w:eastAsia="黑体"/>
          <w:sz w:val="84"/>
          <w:highlight w:val="none"/>
        </w:rPr>
      </w:pPr>
      <w:r>
        <w:rPr>
          <w:rFonts w:hint="eastAsia" w:ascii="黑体" w:hAnsi="黑体" w:eastAsia="黑体" w:cs="仿宋"/>
          <w:kern w:val="0"/>
          <w:sz w:val="44"/>
          <w:szCs w:val="44"/>
          <w:highlight w:val="none"/>
        </w:rPr>
        <w:t>检测项目判定标准</w:t>
      </w:r>
    </w:p>
    <w:tbl>
      <w:tblPr>
        <w:tblStyle w:val="6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160"/>
        <w:gridCol w:w="5290"/>
      </w:tblGrid>
      <w:tr w14:paraId="323B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jc w:val="center"/>
        </w:trPr>
        <w:tc>
          <w:tcPr>
            <w:tcW w:w="697" w:type="dxa"/>
            <w:vAlign w:val="center"/>
          </w:tcPr>
          <w:p w14:paraId="5C9211DA">
            <w:pPr>
              <w:spacing w:before="120" w:after="120"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序号</w:t>
            </w:r>
          </w:p>
        </w:tc>
        <w:tc>
          <w:tcPr>
            <w:tcW w:w="3160" w:type="dxa"/>
            <w:vAlign w:val="center"/>
          </w:tcPr>
          <w:p w14:paraId="3C91B755">
            <w:pPr>
              <w:spacing w:before="120" w:after="120"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项目名称</w:t>
            </w:r>
          </w:p>
        </w:tc>
        <w:tc>
          <w:tcPr>
            <w:tcW w:w="5290" w:type="dxa"/>
            <w:vAlign w:val="center"/>
          </w:tcPr>
          <w:p w14:paraId="4F471B3B">
            <w:pPr>
              <w:spacing w:before="120" w:after="120"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判定标准</w:t>
            </w:r>
          </w:p>
        </w:tc>
      </w:tr>
      <w:tr w14:paraId="3470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97" w:type="dxa"/>
            <w:vAlign w:val="center"/>
          </w:tcPr>
          <w:p w14:paraId="46036608">
            <w:pPr>
              <w:spacing w:line="440" w:lineRule="exact"/>
              <w:jc w:val="center"/>
              <w:rPr>
                <w:rFonts w:ascii="仿宋_GB2312" w:hAnsi="??" w:eastAsia="仿宋_GB2312"/>
                <w:sz w:val="24"/>
                <w:szCs w:val="24"/>
                <w:highlight w:val="none"/>
              </w:rPr>
            </w:pPr>
            <w:r>
              <w:rPr>
                <w:rFonts w:hint="eastAsia" w:ascii="仿宋_GB2312" w:hAnsi="??" w:eastAsia="仿宋_GB2312"/>
                <w:sz w:val="24"/>
                <w:szCs w:val="24"/>
                <w:highlight w:val="none"/>
              </w:rPr>
              <w:t>1</w:t>
            </w:r>
          </w:p>
        </w:tc>
        <w:tc>
          <w:tcPr>
            <w:tcW w:w="3160" w:type="dxa"/>
            <w:vAlign w:val="center"/>
          </w:tcPr>
          <w:p w14:paraId="64941357">
            <w:pPr>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★车行道弯沉值</w:t>
            </w:r>
          </w:p>
        </w:tc>
        <w:tc>
          <w:tcPr>
            <w:tcW w:w="5290" w:type="dxa"/>
            <w:vAlign w:val="center"/>
          </w:tcPr>
          <w:p w14:paraId="1F5D7F8C">
            <w:pPr>
              <w:widowControl/>
              <w:spacing w:line="440" w:lineRule="exact"/>
              <w:jc w:val="left"/>
              <w:rPr>
                <w:rFonts w:ascii="仿宋_GB2312" w:hAnsi="??" w:eastAsia="仿宋_GB2312"/>
                <w:sz w:val="24"/>
                <w:szCs w:val="24"/>
                <w:highlight w:val="none"/>
              </w:rPr>
            </w:pPr>
            <w:r>
              <w:rPr>
                <w:rFonts w:hint="eastAsia" w:ascii="仿宋_GB2312" w:hAnsi="??" w:eastAsia="仿宋_GB2312"/>
                <w:sz w:val="24"/>
                <w:szCs w:val="24"/>
                <w:highlight w:val="none"/>
              </w:rPr>
              <w:t>实测弯沉值不应大于设计规定。</w:t>
            </w:r>
          </w:p>
        </w:tc>
      </w:tr>
      <w:tr w14:paraId="5255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697" w:type="dxa"/>
            <w:vAlign w:val="center"/>
          </w:tcPr>
          <w:p w14:paraId="7DC2674C">
            <w:pPr>
              <w:spacing w:line="440" w:lineRule="exact"/>
              <w:jc w:val="center"/>
              <w:rPr>
                <w:rFonts w:ascii="仿宋_GB2312" w:hAnsi="??" w:eastAsia="仿宋_GB2312"/>
                <w:sz w:val="24"/>
                <w:szCs w:val="24"/>
                <w:highlight w:val="none"/>
              </w:rPr>
            </w:pPr>
            <w:r>
              <w:rPr>
                <w:rFonts w:hint="eastAsia" w:ascii="仿宋_GB2312" w:hAnsi="??" w:eastAsia="仿宋_GB2312"/>
                <w:sz w:val="24"/>
                <w:szCs w:val="24"/>
                <w:highlight w:val="none"/>
              </w:rPr>
              <w:t>2</w:t>
            </w:r>
          </w:p>
        </w:tc>
        <w:tc>
          <w:tcPr>
            <w:tcW w:w="3160" w:type="dxa"/>
            <w:vAlign w:val="center"/>
          </w:tcPr>
          <w:p w14:paraId="3AF7BCA5">
            <w:pPr>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★车行道结构层厚度</w:t>
            </w:r>
          </w:p>
        </w:tc>
        <w:tc>
          <w:tcPr>
            <w:tcW w:w="5290" w:type="dxa"/>
            <w:vAlign w:val="center"/>
          </w:tcPr>
          <w:p w14:paraId="187BE88E">
            <w:pPr>
              <w:widowControl/>
              <w:spacing w:line="360" w:lineRule="exact"/>
              <w:jc w:val="left"/>
              <w:rPr>
                <w:rFonts w:ascii="仿宋_GB2312" w:hAnsi="??" w:eastAsia="仿宋_GB2312"/>
                <w:sz w:val="24"/>
                <w:szCs w:val="24"/>
                <w:highlight w:val="none"/>
              </w:rPr>
            </w:pPr>
            <w:r>
              <w:rPr>
                <w:rFonts w:hint="eastAsia" w:ascii="仿宋_GB2312" w:hAnsi="??" w:eastAsia="仿宋_GB2312"/>
                <w:sz w:val="24"/>
                <w:szCs w:val="24"/>
                <w:highlight w:val="none"/>
              </w:rPr>
              <w:t>1.符合设计规定；</w:t>
            </w:r>
          </w:p>
          <w:p w14:paraId="30A8D8DE">
            <w:pPr>
              <w:widowControl/>
              <w:spacing w:line="360" w:lineRule="exact"/>
              <w:jc w:val="left"/>
              <w:rPr>
                <w:rFonts w:ascii="仿宋_GB2312" w:hAnsi="??" w:eastAsia="仿宋_GB2312"/>
                <w:sz w:val="24"/>
                <w:szCs w:val="24"/>
                <w:highlight w:val="none"/>
              </w:rPr>
            </w:pPr>
            <w:r>
              <w:rPr>
                <w:rFonts w:hint="eastAsia" w:ascii="仿宋_GB2312" w:hAnsi="??" w:eastAsia="仿宋_GB2312"/>
                <w:sz w:val="24"/>
                <w:szCs w:val="24"/>
                <w:highlight w:val="none"/>
              </w:rPr>
              <w:t>2.沥青混合料面层厚度允许偏差为+10— -5mm；</w:t>
            </w:r>
          </w:p>
          <w:p w14:paraId="5B6D82D2">
            <w:pPr>
              <w:widowControl/>
              <w:spacing w:line="360" w:lineRule="exact"/>
              <w:jc w:val="left"/>
              <w:rPr>
                <w:rFonts w:ascii="仿宋_GB2312" w:hAnsi="??" w:eastAsia="仿宋_GB2312"/>
                <w:sz w:val="24"/>
                <w:szCs w:val="24"/>
                <w:highlight w:val="none"/>
              </w:rPr>
            </w:pPr>
            <w:r>
              <w:rPr>
                <w:rFonts w:hint="eastAsia" w:ascii="仿宋_GB2312" w:hAnsi="??" w:eastAsia="仿宋_GB2312"/>
                <w:sz w:val="24"/>
                <w:szCs w:val="24"/>
                <w:highlight w:val="none"/>
              </w:rPr>
              <w:t>3.基层厚度根据不同类型确定允许偏差：</w:t>
            </w:r>
          </w:p>
          <w:p w14:paraId="72C6E101">
            <w:pPr>
              <w:widowControl/>
              <w:spacing w:line="360" w:lineRule="exact"/>
              <w:jc w:val="left"/>
              <w:rPr>
                <w:rFonts w:ascii="仿宋_GB2312" w:hAnsi="??" w:eastAsia="仿宋_GB2312"/>
                <w:sz w:val="24"/>
                <w:szCs w:val="24"/>
                <w:highlight w:val="none"/>
              </w:rPr>
            </w:pPr>
            <w:r>
              <w:rPr>
                <w:rFonts w:hint="eastAsia" w:ascii="仿宋_GB2312" w:hAnsi="??" w:eastAsia="仿宋_GB2312"/>
                <w:sz w:val="24"/>
                <w:szCs w:val="24"/>
                <w:highlight w:val="none"/>
              </w:rPr>
              <w:t>石灰稳定土类基层及底基层和沥青碎石基层允许偏差为±10mm；级配砂砾石（碎石）及级配砾石（砂碎石）基层和底基层中砂石允许偏差为+20— -10mm，砾石允许偏差为+20mm— -10%层厚；</w:t>
            </w:r>
          </w:p>
          <w:p w14:paraId="3EE8A052">
            <w:pPr>
              <w:widowControl/>
              <w:spacing w:line="360" w:lineRule="exact"/>
              <w:jc w:val="left"/>
              <w:rPr>
                <w:rFonts w:ascii="仿宋_GB2312" w:hAnsi="??" w:eastAsia="仿宋_GB2312"/>
                <w:sz w:val="24"/>
                <w:szCs w:val="24"/>
                <w:highlight w:val="none"/>
              </w:rPr>
            </w:pPr>
            <w:r>
              <w:rPr>
                <w:rFonts w:hint="eastAsia" w:ascii="仿宋_GB2312" w:hAnsi="??" w:eastAsia="仿宋_GB2312"/>
                <w:sz w:val="24"/>
                <w:szCs w:val="24"/>
                <w:highlight w:val="none"/>
              </w:rPr>
              <w:t>沥青贯入式碎石基层和底基层允许偏差为+20mm— -10%层厚。</w:t>
            </w:r>
          </w:p>
        </w:tc>
      </w:tr>
      <w:tr w14:paraId="6EB1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97" w:type="dxa"/>
            <w:vMerge w:val="restart"/>
            <w:vAlign w:val="center"/>
          </w:tcPr>
          <w:p w14:paraId="64BC0F5E">
            <w:pPr>
              <w:spacing w:line="440" w:lineRule="exact"/>
              <w:jc w:val="center"/>
              <w:rPr>
                <w:rFonts w:ascii="仿宋_GB2312" w:hAnsi="??" w:eastAsia="仿宋_GB2312"/>
                <w:sz w:val="24"/>
                <w:szCs w:val="24"/>
                <w:highlight w:val="none"/>
              </w:rPr>
            </w:pPr>
            <w:r>
              <w:rPr>
                <w:rFonts w:hint="eastAsia" w:ascii="仿宋_GB2312" w:hAnsi="??" w:eastAsia="仿宋_GB2312"/>
                <w:sz w:val="24"/>
                <w:szCs w:val="24"/>
                <w:highlight w:val="none"/>
              </w:rPr>
              <w:t>3</w:t>
            </w:r>
          </w:p>
        </w:tc>
        <w:tc>
          <w:tcPr>
            <w:tcW w:w="3160" w:type="dxa"/>
            <w:vMerge w:val="restart"/>
            <w:vAlign w:val="center"/>
          </w:tcPr>
          <w:p w14:paraId="47C94742">
            <w:pPr>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★车行道平整度</w:t>
            </w:r>
          </w:p>
        </w:tc>
        <w:tc>
          <w:tcPr>
            <w:tcW w:w="5290" w:type="dxa"/>
            <w:vAlign w:val="center"/>
          </w:tcPr>
          <w:p w14:paraId="6BBDD9A5">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快速路和主干路：标准差δ值≤1.5mm。</w:t>
            </w:r>
          </w:p>
        </w:tc>
      </w:tr>
      <w:tr w14:paraId="4966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7" w:type="dxa"/>
            <w:vMerge w:val="continue"/>
            <w:vAlign w:val="center"/>
          </w:tcPr>
          <w:p w14:paraId="59CC3937">
            <w:pPr>
              <w:spacing w:line="440" w:lineRule="exact"/>
              <w:jc w:val="center"/>
              <w:rPr>
                <w:rFonts w:ascii="仿宋_GB2312" w:hAnsi="??" w:eastAsia="仿宋_GB2312"/>
                <w:sz w:val="24"/>
                <w:szCs w:val="24"/>
                <w:highlight w:val="none"/>
              </w:rPr>
            </w:pPr>
          </w:p>
        </w:tc>
        <w:tc>
          <w:tcPr>
            <w:tcW w:w="3160" w:type="dxa"/>
            <w:vMerge w:val="continue"/>
            <w:vAlign w:val="center"/>
          </w:tcPr>
          <w:p w14:paraId="7FD4E48C">
            <w:pPr>
              <w:spacing w:line="440" w:lineRule="exact"/>
              <w:jc w:val="center"/>
              <w:rPr>
                <w:rFonts w:ascii="仿宋_GB2312" w:hAnsi="宋体" w:eastAsia="仿宋_GB2312"/>
                <w:sz w:val="24"/>
                <w:szCs w:val="24"/>
                <w:highlight w:val="none"/>
              </w:rPr>
            </w:pPr>
          </w:p>
        </w:tc>
        <w:tc>
          <w:tcPr>
            <w:tcW w:w="5290" w:type="dxa"/>
            <w:vAlign w:val="center"/>
          </w:tcPr>
          <w:p w14:paraId="2D88944B">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次干路和支路：标准差δ值≤2.4mm。</w:t>
            </w:r>
          </w:p>
        </w:tc>
      </w:tr>
      <w:tr w14:paraId="1969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97" w:type="dxa"/>
            <w:vMerge w:val="restart"/>
            <w:vAlign w:val="center"/>
          </w:tcPr>
          <w:p w14:paraId="1C255C95">
            <w:pPr>
              <w:spacing w:line="440" w:lineRule="exact"/>
              <w:jc w:val="center"/>
              <w:rPr>
                <w:rFonts w:ascii="仿宋_GB2312" w:hAnsi="??" w:eastAsia="仿宋_GB2312"/>
                <w:sz w:val="24"/>
                <w:szCs w:val="24"/>
                <w:highlight w:val="none"/>
              </w:rPr>
            </w:pPr>
            <w:r>
              <w:rPr>
                <w:rFonts w:hint="eastAsia" w:ascii="仿宋_GB2312" w:hAnsi="??" w:eastAsia="仿宋_GB2312"/>
                <w:sz w:val="24"/>
                <w:szCs w:val="24"/>
                <w:highlight w:val="none"/>
              </w:rPr>
              <w:t>4</w:t>
            </w:r>
          </w:p>
        </w:tc>
        <w:tc>
          <w:tcPr>
            <w:tcW w:w="3160" w:type="dxa"/>
            <w:vMerge w:val="restart"/>
            <w:vAlign w:val="center"/>
          </w:tcPr>
          <w:p w14:paraId="1641BB78">
            <w:pPr>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★沥青混合料面层压实度</w:t>
            </w:r>
          </w:p>
        </w:tc>
        <w:tc>
          <w:tcPr>
            <w:tcW w:w="5290" w:type="dxa"/>
            <w:vAlign w:val="center"/>
          </w:tcPr>
          <w:p w14:paraId="5D41AB29">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城市快速路、主干路不应小于96%。</w:t>
            </w:r>
          </w:p>
        </w:tc>
      </w:tr>
      <w:tr w14:paraId="1ABA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97" w:type="dxa"/>
            <w:vMerge w:val="continue"/>
            <w:vAlign w:val="center"/>
          </w:tcPr>
          <w:p w14:paraId="511E6680">
            <w:pPr>
              <w:spacing w:line="440" w:lineRule="exact"/>
              <w:jc w:val="center"/>
              <w:rPr>
                <w:rFonts w:ascii="仿宋_GB2312" w:hAnsi="??" w:eastAsia="仿宋_GB2312"/>
                <w:sz w:val="24"/>
                <w:szCs w:val="24"/>
                <w:highlight w:val="none"/>
              </w:rPr>
            </w:pPr>
          </w:p>
        </w:tc>
        <w:tc>
          <w:tcPr>
            <w:tcW w:w="3160" w:type="dxa"/>
            <w:vMerge w:val="continue"/>
            <w:vAlign w:val="center"/>
          </w:tcPr>
          <w:p w14:paraId="128C3C7C">
            <w:pPr>
              <w:spacing w:line="440" w:lineRule="exact"/>
              <w:jc w:val="center"/>
              <w:rPr>
                <w:rFonts w:ascii="仿宋_GB2312" w:hAnsi="宋体" w:eastAsia="仿宋_GB2312"/>
                <w:sz w:val="24"/>
                <w:szCs w:val="24"/>
                <w:highlight w:val="none"/>
              </w:rPr>
            </w:pPr>
          </w:p>
        </w:tc>
        <w:tc>
          <w:tcPr>
            <w:tcW w:w="5290" w:type="dxa"/>
            <w:vAlign w:val="center"/>
          </w:tcPr>
          <w:p w14:paraId="60104E73">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次干路及以下道路不应小于95%。</w:t>
            </w:r>
          </w:p>
        </w:tc>
      </w:tr>
      <w:tr w14:paraId="08B2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97" w:type="dxa"/>
            <w:vAlign w:val="center"/>
          </w:tcPr>
          <w:p w14:paraId="5220C963">
            <w:pPr>
              <w:widowControl/>
              <w:spacing w:line="440" w:lineRule="exact"/>
              <w:jc w:val="center"/>
              <w:rPr>
                <w:rFonts w:ascii="仿宋_GB2312" w:hAnsi="??" w:eastAsia="仿宋_GB2312"/>
                <w:spacing w:val="20"/>
                <w:sz w:val="24"/>
                <w:szCs w:val="24"/>
                <w:highlight w:val="none"/>
              </w:rPr>
            </w:pPr>
            <w:r>
              <w:rPr>
                <w:rFonts w:hint="eastAsia" w:ascii="仿宋_GB2312" w:hAnsi="??" w:eastAsia="仿宋_GB2312"/>
                <w:spacing w:val="20"/>
                <w:sz w:val="24"/>
                <w:szCs w:val="24"/>
                <w:highlight w:val="none"/>
              </w:rPr>
              <w:t>5</w:t>
            </w:r>
          </w:p>
        </w:tc>
        <w:tc>
          <w:tcPr>
            <w:tcW w:w="3160" w:type="dxa"/>
            <w:vAlign w:val="center"/>
          </w:tcPr>
          <w:p w14:paraId="7FECB9B3">
            <w:pPr>
              <w:widowControl/>
              <w:spacing w:line="440" w:lineRule="exact"/>
              <w:jc w:val="center"/>
              <w:rPr>
                <w:rFonts w:ascii="仿宋_GB2312" w:hAnsi="??" w:eastAsia="仿宋_GB2312"/>
                <w:sz w:val="24"/>
                <w:szCs w:val="24"/>
                <w:highlight w:val="none"/>
              </w:rPr>
            </w:pPr>
            <w:r>
              <w:rPr>
                <w:rFonts w:hint="eastAsia" w:ascii="仿宋_GB2312" w:hAnsi="??" w:eastAsia="仿宋_GB2312"/>
                <w:sz w:val="24"/>
                <w:szCs w:val="24"/>
                <w:highlight w:val="none"/>
              </w:rPr>
              <w:t>人行道材料强度</w:t>
            </w:r>
          </w:p>
        </w:tc>
        <w:tc>
          <w:tcPr>
            <w:tcW w:w="5290" w:type="dxa"/>
            <w:vAlign w:val="center"/>
          </w:tcPr>
          <w:p w14:paraId="74FD5A0C">
            <w:pPr>
              <w:widowControl/>
              <w:spacing w:line="440" w:lineRule="exact"/>
              <w:jc w:val="left"/>
              <w:rPr>
                <w:rFonts w:ascii="仿宋_GB2312" w:hAnsi="??" w:eastAsia="仿宋_GB2312"/>
                <w:sz w:val="24"/>
                <w:szCs w:val="24"/>
                <w:highlight w:val="none"/>
              </w:rPr>
            </w:pPr>
            <w:r>
              <w:rPr>
                <w:rFonts w:hint="eastAsia" w:ascii="仿宋_GB2312" w:hAnsi="??" w:eastAsia="仿宋_GB2312"/>
                <w:sz w:val="24"/>
                <w:szCs w:val="24"/>
                <w:highlight w:val="none"/>
              </w:rPr>
              <w:t>符合设计规定。</w:t>
            </w:r>
          </w:p>
        </w:tc>
      </w:tr>
      <w:tr w14:paraId="54C9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97" w:type="dxa"/>
            <w:vAlign w:val="center"/>
          </w:tcPr>
          <w:p w14:paraId="4DD0AA03">
            <w:pPr>
              <w:widowControl/>
              <w:spacing w:line="440" w:lineRule="exact"/>
              <w:jc w:val="center"/>
              <w:rPr>
                <w:rFonts w:ascii="仿宋_GB2312" w:hAnsi="??" w:eastAsia="仿宋_GB2312"/>
                <w:spacing w:val="-22"/>
                <w:sz w:val="24"/>
                <w:szCs w:val="24"/>
                <w:highlight w:val="none"/>
              </w:rPr>
            </w:pPr>
            <w:r>
              <w:rPr>
                <w:rFonts w:hint="eastAsia" w:ascii="仿宋_GB2312" w:hAnsi="??" w:eastAsia="仿宋_GB2312"/>
                <w:spacing w:val="-22"/>
                <w:sz w:val="24"/>
                <w:szCs w:val="24"/>
                <w:highlight w:val="none"/>
              </w:rPr>
              <w:t>6</w:t>
            </w:r>
          </w:p>
        </w:tc>
        <w:tc>
          <w:tcPr>
            <w:tcW w:w="3160" w:type="dxa"/>
            <w:vAlign w:val="center"/>
          </w:tcPr>
          <w:p w14:paraId="15408A46">
            <w:pPr>
              <w:widowControl/>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人行道材料外观尺寸</w:t>
            </w:r>
          </w:p>
        </w:tc>
        <w:tc>
          <w:tcPr>
            <w:tcW w:w="5290" w:type="dxa"/>
            <w:vAlign w:val="center"/>
          </w:tcPr>
          <w:p w14:paraId="68A94638">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符合设计规定。</w:t>
            </w:r>
          </w:p>
        </w:tc>
      </w:tr>
      <w:tr w14:paraId="6DF6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97" w:type="dxa"/>
            <w:vMerge w:val="restart"/>
            <w:vAlign w:val="center"/>
          </w:tcPr>
          <w:p w14:paraId="7741451C">
            <w:pPr>
              <w:widowControl/>
              <w:spacing w:line="440" w:lineRule="exact"/>
              <w:jc w:val="center"/>
              <w:rPr>
                <w:rFonts w:ascii="仿宋_GB2312" w:hAnsi="??" w:eastAsia="仿宋_GB2312"/>
                <w:spacing w:val="20"/>
                <w:sz w:val="24"/>
                <w:szCs w:val="24"/>
                <w:highlight w:val="none"/>
              </w:rPr>
            </w:pPr>
            <w:r>
              <w:rPr>
                <w:rFonts w:hint="eastAsia" w:ascii="仿宋_GB2312" w:hAnsi="??" w:eastAsia="仿宋_GB2312"/>
                <w:spacing w:val="20"/>
                <w:sz w:val="24"/>
                <w:szCs w:val="24"/>
                <w:highlight w:val="none"/>
              </w:rPr>
              <w:t>7</w:t>
            </w:r>
          </w:p>
        </w:tc>
        <w:tc>
          <w:tcPr>
            <w:tcW w:w="3160" w:type="dxa"/>
            <w:vMerge w:val="restart"/>
            <w:vAlign w:val="center"/>
          </w:tcPr>
          <w:p w14:paraId="1660FC83">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★人行道平整度</w:t>
            </w:r>
          </w:p>
        </w:tc>
        <w:tc>
          <w:tcPr>
            <w:tcW w:w="5290" w:type="dxa"/>
            <w:vAlign w:val="center"/>
          </w:tcPr>
          <w:p w14:paraId="657474DD">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料石铺砌人行道：允许偏差≤3mm。</w:t>
            </w:r>
          </w:p>
        </w:tc>
      </w:tr>
      <w:tr w14:paraId="1995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97" w:type="dxa"/>
            <w:vMerge w:val="continue"/>
            <w:vAlign w:val="center"/>
          </w:tcPr>
          <w:p w14:paraId="5CE6CC9E">
            <w:pPr>
              <w:widowControl/>
              <w:spacing w:line="440" w:lineRule="exact"/>
              <w:jc w:val="center"/>
              <w:rPr>
                <w:rFonts w:ascii="仿宋_GB2312" w:hAnsi="??" w:eastAsia="仿宋_GB2312"/>
                <w:spacing w:val="20"/>
                <w:sz w:val="24"/>
                <w:szCs w:val="24"/>
                <w:highlight w:val="none"/>
              </w:rPr>
            </w:pPr>
          </w:p>
        </w:tc>
        <w:tc>
          <w:tcPr>
            <w:tcW w:w="3160" w:type="dxa"/>
            <w:vMerge w:val="continue"/>
            <w:vAlign w:val="center"/>
          </w:tcPr>
          <w:p w14:paraId="0AFFBDE6">
            <w:pPr>
              <w:widowControl/>
              <w:spacing w:line="440" w:lineRule="exact"/>
              <w:jc w:val="center"/>
              <w:rPr>
                <w:rFonts w:ascii="仿宋_GB2312" w:hAnsi="宋体" w:eastAsia="仿宋_GB2312"/>
                <w:sz w:val="24"/>
                <w:szCs w:val="24"/>
                <w:highlight w:val="none"/>
              </w:rPr>
            </w:pPr>
          </w:p>
        </w:tc>
        <w:tc>
          <w:tcPr>
            <w:tcW w:w="5290" w:type="dxa"/>
            <w:vAlign w:val="center"/>
          </w:tcPr>
          <w:p w14:paraId="20924135">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预制砌块铺砌人行道：允许偏差≤5mm。</w:t>
            </w:r>
          </w:p>
        </w:tc>
      </w:tr>
      <w:tr w14:paraId="6CF4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697" w:type="dxa"/>
            <w:vMerge w:val="continue"/>
            <w:vAlign w:val="center"/>
          </w:tcPr>
          <w:p w14:paraId="7E7E3A2C">
            <w:pPr>
              <w:widowControl/>
              <w:spacing w:line="440" w:lineRule="exact"/>
              <w:jc w:val="center"/>
              <w:rPr>
                <w:rFonts w:ascii="仿宋_GB2312" w:hAnsi="??" w:eastAsia="仿宋_GB2312"/>
                <w:spacing w:val="20"/>
                <w:sz w:val="24"/>
                <w:szCs w:val="24"/>
                <w:highlight w:val="none"/>
              </w:rPr>
            </w:pPr>
          </w:p>
        </w:tc>
        <w:tc>
          <w:tcPr>
            <w:tcW w:w="3160" w:type="dxa"/>
            <w:vMerge w:val="continue"/>
            <w:vAlign w:val="center"/>
          </w:tcPr>
          <w:p w14:paraId="0B22FDBF">
            <w:pPr>
              <w:widowControl/>
              <w:spacing w:line="440" w:lineRule="exact"/>
              <w:jc w:val="center"/>
              <w:rPr>
                <w:rFonts w:ascii="仿宋_GB2312" w:hAnsi="宋体" w:eastAsia="仿宋_GB2312"/>
                <w:sz w:val="24"/>
                <w:szCs w:val="24"/>
                <w:highlight w:val="none"/>
              </w:rPr>
            </w:pPr>
          </w:p>
        </w:tc>
        <w:tc>
          <w:tcPr>
            <w:tcW w:w="5290" w:type="dxa"/>
            <w:vAlign w:val="center"/>
          </w:tcPr>
          <w:p w14:paraId="0BC9B71B">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沥青混合料铺筑人行道：沥青混凝土允许偏差≤5mm，其他类型允许偏差≤7mm。</w:t>
            </w:r>
          </w:p>
        </w:tc>
      </w:tr>
      <w:tr w14:paraId="018D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97" w:type="dxa"/>
            <w:vAlign w:val="center"/>
          </w:tcPr>
          <w:p w14:paraId="42E6D0D3">
            <w:pPr>
              <w:widowControl/>
              <w:spacing w:line="440" w:lineRule="exact"/>
              <w:jc w:val="center"/>
              <w:rPr>
                <w:rFonts w:ascii="仿宋_GB2312" w:hAnsi="??" w:eastAsia="仿宋_GB2312"/>
                <w:spacing w:val="20"/>
                <w:sz w:val="24"/>
                <w:szCs w:val="24"/>
                <w:highlight w:val="none"/>
              </w:rPr>
            </w:pPr>
            <w:r>
              <w:rPr>
                <w:rFonts w:hint="eastAsia" w:ascii="仿宋_GB2312" w:hAnsi="??" w:eastAsia="仿宋_GB2312"/>
                <w:spacing w:val="20"/>
                <w:sz w:val="24"/>
                <w:szCs w:val="24"/>
                <w:highlight w:val="none"/>
              </w:rPr>
              <w:t>8</w:t>
            </w:r>
          </w:p>
        </w:tc>
        <w:tc>
          <w:tcPr>
            <w:tcW w:w="3160" w:type="dxa"/>
            <w:vAlign w:val="center"/>
          </w:tcPr>
          <w:p w14:paraId="539CB613">
            <w:pPr>
              <w:widowControl/>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沥青混合料铺筑人行道厚度</w:t>
            </w:r>
          </w:p>
        </w:tc>
        <w:tc>
          <w:tcPr>
            <w:tcW w:w="5290" w:type="dxa"/>
            <w:vAlign w:val="center"/>
          </w:tcPr>
          <w:p w14:paraId="4666D71F">
            <w:pPr>
              <w:widowControl/>
              <w:spacing w:line="440" w:lineRule="exact"/>
              <w:rPr>
                <w:rFonts w:ascii="仿宋_GB2312" w:hAnsi="??" w:eastAsia="仿宋_GB2312"/>
                <w:spacing w:val="20"/>
                <w:sz w:val="24"/>
                <w:szCs w:val="24"/>
                <w:highlight w:val="none"/>
              </w:rPr>
            </w:pPr>
            <w:r>
              <w:rPr>
                <w:rFonts w:hint="eastAsia" w:ascii="仿宋_GB2312" w:hAnsi="??" w:eastAsia="仿宋_GB2312"/>
                <w:sz w:val="24"/>
                <w:szCs w:val="24"/>
                <w:highlight w:val="none"/>
              </w:rPr>
              <w:t>符合设计规定，允许偏差为±5mm。</w:t>
            </w:r>
          </w:p>
        </w:tc>
      </w:tr>
      <w:tr w14:paraId="0C4A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97" w:type="dxa"/>
            <w:vAlign w:val="center"/>
          </w:tcPr>
          <w:p w14:paraId="65414987">
            <w:pPr>
              <w:widowControl/>
              <w:spacing w:line="440" w:lineRule="exact"/>
              <w:jc w:val="center"/>
              <w:rPr>
                <w:rFonts w:ascii="仿宋_GB2312" w:hAnsi="??" w:eastAsia="仿宋_GB2312"/>
                <w:spacing w:val="20"/>
                <w:sz w:val="24"/>
                <w:szCs w:val="24"/>
                <w:highlight w:val="none"/>
              </w:rPr>
            </w:pPr>
            <w:r>
              <w:rPr>
                <w:rFonts w:hint="eastAsia" w:ascii="仿宋_GB2312" w:hAnsi="??" w:eastAsia="仿宋_GB2312"/>
                <w:spacing w:val="20"/>
                <w:sz w:val="24"/>
                <w:szCs w:val="24"/>
                <w:highlight w:val="none"/>
              </w:rPr>
              <w:t>9</w:t>
            </w:r>
          </w:p>
        </w:tc>
        <w:tc>
          <w:tcPr>
            <w:tcW w:w="3160" w:type="dxa"/>
            <w:vAlign w:val="center"/>
          </w:tcPr>
          <w:p w14:paraId="1A9A1B2F">
            <w:pPr>
              <w:widowControl/>
              <w:spacing w:line="440" w:lineRule="exact"/>
              <w:jc w:val="center"/>
              <w:rPr>
                <w:rFonts w:ascii="仿宋_GB2312" w:hAnsi="??" w:eastAsia="仿宋_GB2312"/>
                <w:sz w:val="24"/>
                <w:szCs w:val="24"/>
                <w:highlight w:val="none"/>
              </w:rPr>
            </w:pPr>
            <w:r>
              <w:rPr>
                <w:rFonts w:hint="eastAsia" w:ascii="仿宋_GB2312" w:hAnsi="宋体" w:eastAsia="仿宋_GB2312"/>
                <w:sz w:val="24"/>
                <w:szCs w:val="24"/>
                <w:highlight w:val="none"/>
              </w:rPr>
              <w:t>★人行道沥青混合料压实度</w:t>
            </w:r>
          </w:p>
        </w:tc>
        <w:tc>
          <w:tcPr>
            <w:tcW w:w="5290" w:type="dxa"/>
            <w:vAlign w:val="center"/>
          </w:tcPr>
          <w:p w14:paraId="382BCA20">
            <w:pPr>
              <w:widowControl/>
              <w:spacing w:line="440" w:lineRule="exact"/>
              <w:jc w:val="left"/>
              <w:rPr>
                <w:rFonts w:ascii="仿宋_GB2312" w:hAnsi="??" w:eastAsia="仿宋_GB2312"/>
                <w:spacing w:val="20"/>
                <w:sz w:val="24"/>
                <w:szCs w:val="24"/>
                <w:highlight w:val="none"/>
              </w:rPr>
            </w:pPr>
            <w:r>
              <w:rPr>
                <w:rFonts w:hint="eastAsia" w:ascii="仿宋_GB2312" w:hAnsi="??" w:eastAsia="仿宋_GB2312"/>
                <w:sz w:val="24"/>
                <w:szCs w:val="24"/>
                <w:highlight w:val="none"/>
              </w:rPr>
              <w:t>不应小于95%。</w:t>
            </w:r>
          </w:p>
        </w:tc>
      </w:tr>
      <w:tr w14:paraId="0A7F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97" w:type="dxa"/>
            <w:vAlign w:val="center"/>
          </w:tcPr>
          <w:p w14:paraId="166596A9">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3160" w:type="dxa"/>
            <w:vAlign w:val="center"/>
          </w:tcPr>
          <w:p w14:paraId="73A0E496">
            <w:pPr>
              <w:widowControl/>
              <w:spacing w:line="44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★管道CCTV</w:t>
            </w:r>
          </w:p>
        </w:tc>
        <w:tc>
          <w:tcPr>
            <w:tcW w:w="5290" w:type="dxa"/>
            <w:vAlign w:val="center"/>
          </w:tcPr>
          <w:p w14:paraId="280C96F7">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符合规范要求。</w:t>
            </w:r>
          </w:p>
        </w:tc>
      </w:tr>
      <w:tr w14:paraId="27A4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147" w:type="dxa"/>
            <w:gridSpan w:val="3"/>
            <w:vAlign w:val="center"/>
          </w:tcPr>
          <w:p w14:paraId="30184E39">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注：带★为主控项目，其余为一般项目。</w:t>
            </w:r>
          </w:p>
        </w:tc>
      </w:tr>
    </w:tbl>
    <w:p w14:paraId="17C660A3">
      <w:pPr>
        <w:jc w:val="left"/>
        <w:rPr>
          <w:rFonts w:ascii="仿宋" w:hAnsi="仿宋" w:eastAsia="仿宋"/>
          <w:spacing w:val="20"/>
          <w:sz w:val="32"/>
          <w:szCs w:val="32"/>
          <w:highlight w:val="none"/>
        </w:rPr>
      </w:pPr>
    </w:p>
    <w:p w14:paraId="2A4C9D98">
      <w:pPr>
        <w:jc w:val="center"/>
        <w:rPr>
          <w:rFonts w:ascii="黑体" w:hAnsi="黑体" w:eastAsia="黑体"/>
          <w:spacing w:val="20"/>
          <w:sz w:val="52"/>
          <w:szCs w:val="52"/>
          <w:highlight w:val="none"/>
        </w:rPr>
      </w:pPr>
      <w:r>
        <w:rPr>
          <w:rFonts w:hint="eastAsia" w:ascii="黑体" w:hAnsi="黑体" w:eastAsia="黑体"/>
          <w:spacing w:val="20"/>
          <w:sz w:val="52"/>
          <w:szCs w:val="52"/>
          <w:highlight w:val="none"/>
        </w:rPr>
        <w:t>杭州市新建市政道路工程移交接收</w:t>
      </w:r>
    </w:p>
    <w:p w14:paraId="353E544D">
      <w:pPr>
        <w:jc w:val="center"/>
        <w:rPr>
          <w:rFonts w:ascii="黑体" w:hAnsi="黑体" w:eastAsia="黑体"/>
          <w:spacing w:val="20"/>
          <w:sz w:val="52"/>
          <w:szCs w:val="52"/>
          <w:highlight w:val="none"/>
        </w:rPr>
      </w:pPr>
      <w:r>
        <w:rPr>
          <w:rFonts w:hint="eastAsia" w:ascii="黑体" w:hAnsi="黑体" w:eastAsia="黑体"/>
          <w:spacing w:val="20"/>
          <w:sz w:val="52"/>
          <w:szCs w:val="52"/>
          <w:highlight w:val="none"/>
        </w:rPr>
        <w:t>检测记录表</w:t>
      </w:r>
    </w:p>
    <w:p w14:paraId="7B347B28">
      <w:pPr>
        <w:jc w:val="center"/>
        <w:rPr>
          <w:rFonts w:ascii="??" w:hAnsi="??"/>
          <w:sz w:val="36"/>
          <w:highlight w:val="none"/>
        </w:rPr>
      </w:pPr>
    </w:p>
    <w:p w14:paraId="36234051">
      <w:pPr>
        <w:jc w:val="center"/>
        <w:rPr>
          <w:rFonts w:ascii="??" w:hAnsi="??"/>
          <w:sz w:val="36"/>
          <w:highlight w:val="none"/>
        </w:rPr>
      </w:pPr>
    </w:p>
    <w:p w14:paraId="265938B9">
      <w:pPr>
        <w:jc w:val="center"/>
        <w:rPr>
          <w:rFonts w:ascii="??" w:hAnsi="??"/>
          <w:sz w:val="36"/>
          <w:highlight w:val="none"/>
        </w:rPr>
      </w:pPr>
    </w:p>
    <w:p w14:paraId="7C68DEFD">
      <w:pPr>
        <w:jc w:val="center"/>
        <w:rPr>
          <w:rFonts w:ascii="??" w:hAnsi="??"/>
          <w:sz w:val="36"/>
          <w:highlight w:val="none"/>
        </w:rPr>
      </w:pPr>
    </w:p>
    <w:p w14:paraId="7CA5AE9E">
      <w:pPr>
        <w:jc w:val="center"/>
        <w:rPr>
          <w:rFonts w:ascii="??" w:hAnsi="??"/>
          <w:sz w:val="36"/>
          <w:highlight w:val="none"/>
        </w:rPr>
      </w:pPr>
    </w:p>
    <w:p w14:paraId="00D8FE86">
      <w:pPr>
        <w:jc w:val="center"/>
        <w:rPr>
          <w:rFonts w:ascii="??" w:hAnsi="??"/>
          <w:sz w:val="36"/>
          <w:highlight w:val="none"/>
        </w:rPr>
      </w:pPr>
    </w:p>
    <w:p w14:paraId="028A7A2A">
      <w:pPr>
        <w:ind w:firstLine="1260" w:firstLineChars="600"/>
        <w:rPr>
          <w:rFonts w:ascii="??" w:hAnsi="??" w:eastAsia="Times New Roman"/>
          <w:sz w:val="30"/>
          <w:szCs w:val="30"/>
          <w:highlight w:val="none"/>
        </w:rPr>
      </w:pPr>
      <w:r>
        <w:rPr>
          <w:rFonts w:ascii="Calibri" w:hAnsi="Calibri" w:eastAsia="宋体"/>
          <w:highlight w:val="none"/>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297180</wp:posOffset>
                </wp:positionV>
                <wp:extent cx="2628900" cy="0"/>
                <wp:effectExtent l="0" t="4445" r="0" b="5080"/>
                <wp:wrapNone/>
                <wp:docPr id="2" name="103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0" o:spid="_x0000_s1026" o:spt="20" style="position:absolute;left:0pt;margin-left:153pt;margin-top:23.4pt;height:0pt;width:207pt;z-index:251665408;mso-width-relative:page;mso-height-relative:page;" filled="f" stroked="t" coordsize="21600,21600" o:gfxdata="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27b91gAAAAkBAAAPAAAA&#10;AAAAAAEAIAAAACIAAABkcnMvZG93bnJldi54bWxQSwECFAAUAAAACACHTuJAzMBGYd4BAADlAwAA&#10;DgAAAAAAAAABACAAAAAlAQAAZHJzL2Uyb0RvYy54bWxQSwUGAAAAAAYABgBZAQAAdQUAAAAA&#10;">
                <v:fill on="f" focussize="0,0"/>
                <v:stroke color="#000000" joinstyle="round"/>
                <v:imagedata o:title=""/>
                <o:lock v:ext="edit" aspectratio="f"/>
              </v:line>
            </w:pict>
          </mc:Fallback>
        </mc:AlternateContent>
      </w:r>
      <w:r>
        <w:rPr>
          <w:rFonts w:ascii="Calibri" w:hAnsi="Calibri" w:eastAsia="宋体"/>
          <w:highlight w:val="none"/>
        </w:rPr>
        <mc:AlternateContent>
          <mc:Choice Requires="wps">
            <w:drawing>
              <wp:anchor distT="0" distB="0" distL="114300" distR="114300" simplePos="0" relativeHeight="251666432" behindDoc="0" locked="0" layoutInCell="0" allowOverlap="1">
                <wp:simplePos x="0" y="0"/>
                <wp:positionH relativeFrom="column">
                  <wp:posOffset>1266825</wp:posOffset>
                </wp:positionH>
                <wp:positionV relativeFrom="paragraph">
                  <wp:posOffset>198120</wp:posOffset>
                </wp:positionV>
                <wp:extent cx="635" cy="0"/>
                <wp:effectExtent l="0" t="4445" r="0" b="5080"/>
                <wp:wrapNone/>
                <wp:docPr id="5" name="103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1" o:spid="_x0000_s1026" o:spt="20" style="position:absolute;left:0pt;margin-left:99.75pt;margin-top:15.6pt;height:0pt;width:0.05pt;z-index:251666432;mso-width-relative:page;mso-height-relative:page;" filled="f" stroked="t" coordsize="21600,21600" o:allowincell="f" o:gfxdata="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xnQ+1gAAAAkBAAAPAAAAAAAA&#10;AAEAIAAAACIAAABkcnMvZG93bnJldi54bWxQSwECFAAUAAAACACHTuJAzne7RtsBAADhAwAADgAA&#10;AAAAAAABACAAAAAlAQAAZHJzL2Uyb0RvYy54bWxQSwUGAAAAAAYABgBZAQAAcgUAAAAA&#10;">
                <v:fill on="f" focussize="0,0"/>
                <v:stroke color="#000000" joinstyle="round"/>
                <v:imagedata o:title=""/>
                <o:lock v:ext="edit" aspectratio="f"/>
              </v:line>
            </w:pict>
          </mc:Fallback>
        </mc:AlternateContent>
      </w:r>
      <w:r>
        <w:rPr>
          <w:rFonts w:ascii="Calibri" w:hAnsi="Calibri" w:eastAsia="宋体"/>
          <w:highlight w:val="none"/>
        </w:rPr>
        <mc:AlternateContent>
          <mc:Choice Requires="wps">
            <w:drawing>
              <wp:anchor distT="0" distB="0" distL="114300" distR="114300" simplePos="0" relativeHeight="251667456" behindDoc="0" locked="0" layoutInCell="0" allowOverlap="1">
                <wp:simplePos x="0" y="0"/>
                <wp:positionH relativeFrom="column">
                  <wp:posOffset>1000125</wp:posOffset>
                </wp:positionH>
                <wp:positionV relativeFrom="paragraph">
                  <wp:posOffset>198120</wp:posOffset>
                </wp:positionV>
                <wp:extent cx="635" cy="0"/>
                <wp:effectExtent l="0" t="4445" r="0" b="5080"/>
                <wp:wrapNone/>
                <wp:docPr id="6" name="103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2" o:spid="_x0000_s1026" o:spt="20" style="position:absolute;left:0pt;margin-left:78.75pt;margin-top:15.6pt;height:0pt;width:0.05pt;z-index:251667456;mso-width-relative:page;mso-height-relative:page;" filled="f" stroked="t" coordsize="21600,21600" o:allowincell="f" o:gfxdata="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TXMDVAAAACQEAAA8AAAAAAAAA&#10;AQAgAAAAIgAAAGRycy9kb3ducmV2LnhtbFBLAQIUABQAAAAIAIdO4kAZVC3s2wEAAOE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30"/>
          <w:highlight w:val="none"/>
        </w:rPr>
        <w:t>工程名称</w:t>
      </w:r>
      <w:r>
        <w:rPr>
          <w:rFonts w:hint="eastAsia" w:ascii="宋体" w:hAnsi="宋体"/>
          <w:sz w:val="30"/>
          <w:szCs w:val="30"/>
          <w:highlight w:val="none"/>
        </w:rPr>
        <w:t>：</w:t>
      </w:r>
    </w:p>
    <w:p w14:paraId="7846CD79">
      <w:pPr>
        <w:ind w:firstLine="1365" w:firstLineChars="650"/>
        <w:rPr>
          <w:rFonts w:ascii="??" w:hAnsi="??" w:eastAsia="Times New Roman"/>
          <w:sz w:val="30"/>
          <w:szCs w:val="30"/>
          <w:highlight w:val="none"/>
        </w:rPr>
      </w:pPr>
      <w:r>
        <w:rPr>
          <w:rFonts w:ascii="Calibri" w:hAnsi="Calibri" w:eastAsia="宋体"/>
          <w:highlight w:val="none"/>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297180</wp:posOffset>
                </wp:positionV>
                <wp:extent cx="2628900" cy="0"/>
                <wp:effectExtent l="0" t="4445" r="0" b="5080"/>
                <wp:wrapNone/>
                <wp:docPr id="9" name="1033"/>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33" o:spid="_x0000_s1026" o:spt="20" style="position:absolute;left:0pt;margin-left:153pt;margin-top:23.4pt;height:0pt;width:207pt;z-index:251669504;mso-width-relative:page;mso-height-relative:page;" filled="f" stroked="t" coordsize="21600,21600" o:gfxdata="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Nu2/dYAAAAJAQAADwAA&#10;AAAAAAABACAAAAAiAAAAZHJzL2Rvd25yZXYueG1sUEsBAhQAFAAAAAgAh07iQGLOiqzfAQAA5Q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sz w:val="30"/>
          <w:szCs w:val="30"/>
          <w:highlight w:val="none"/>
        </w:rPr>
        <w:t>编   号：</w:t>
      </w:r>
    </w:p>
    <w:tbl>
      <w:tblPr>
        <w:tblStyle w:val="62"/>
        <w:tblpPr w:leftFromText="180" w:rightFromText="180" w:vertAnchor="text" w:horzAnchor="page" w:tblpX="1374" w:tblpY="1237"/>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1260"/>
        <w:gridCol w:w="1980"/>
        <w:gridCol w:w="1620"/>
        <w:gridCol w:w="1620"/>
      </w:tblGrid>
      <w:tr w14:paraId="2851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720" w:type="dxa"/>
            <w:gridSpan w:val="6"/>
            <w:tcBorders>
              <w:top w:val="single" w:color="auto" w:sz="8" w:space="0"/>
              <w:left w:val="single" w:color="auto" w:sz="8" w:space="0"/>
              <w:right w:val="single" w:color="auto" w:sz="8" w:space="0"/>
            </w:tcBorders>
          </w:tcPr>
          <w:p w14:paraId="645B5AAA">
            <w:pPr>
              <w:spacing w:before="360" w:line="360" w:lineRule="auto"/>
              <w:ind w:right="284"/>
              <w:rPr>
                <w:rFonts w:ascii="??" w:hAnsi="??" w:eastAsia="Times New Roman"/>
                <w:highlight w:val="none"/>
              </w:rPr>
            </w:pPr>
            <w:r>
              <w:rPr>
                <w:rFonts w:hint="eastAsia" w:ascii="宋体" w:hAnsi="宋体"/>
                <w:highlight w:val="none"/>
              </w:rPr>
              <w:t>经监督，本工程竣工技术资料基本齐全，有关建设工程质量的法律、法规、强制性标准的执行情况基本符合要求，结构质量已经过相关验收认可，并通过工程结构及功能项目监督检查及抽样检测。</w:t>
            </w:r>
          </w:p>
          <w:p w14:paraId="57E42CB2">
            <w:pPr>
              <w:spacing w:line="360" w:lineRule="auto"/>
              <w:ind w:left="284" w:right="284" w:firstLine="645"/>
              <w:rPr>
                <w:rFonts w:ascii="??" w:hAnsi="??" w:eastAsia="Times New Roman"/>
                <w:highlight w:val="none"/>
              </w:rPr>
            </w:pPr>
            <w:r>
              <w:rPr>
                <w:rFonts w:hint="eastAsia" w:ascii="宋体" w:hAnsi="宋体"/>
                <w:highlight w:val="none"/>
              </w:rPr>
              <w:t>经年月日对该工程竣工验收进行监督，该工程已基本具备竣工验收条件。</w:t>
            </w:r>
          </w:p>
          <w:p w14:paraId="6EC26C9B">
            <w:pPr>
              <w:spacing w:line="360" w:lineRule="auto"/>
              <w:ind w:left="284" w:right="284" w:firstLine="645"/>
              <w:rPr>
                <w:rFonts w:ascii="??" w:hAnsi="??" w:eastAsia="Times New Roman"/>
                <w:sz w:val="28"/>
                <w:highlight w:val="none"/>
              </w:rPr>
            </w:pPr>
            <w:r>
              <w:rPr>
                <w:rFonts w:hint="eastAsia" w:ascii="宋体" w:hAnsi="宋体"/>
                <w:highlight w:val="none"/>
              </w:rPr>
              <w:t>全部监督资料附后，目录详封底。</w:t>
            </w:r>
          </w:p>
        </w:tc>
      </w:tr>
      <w:tr w14:paraId="7E1F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720" w:type="dxa"/>
            <w:vMerge w:val="restart"/>
            <w:tcBorders>
              <w:left w:val="single" w:color="auto" w:sz="8" w:space="0"/>
            </w:tcBorders>
            <w:vAlign w:val="center"/>
          </w:tcPr>
          <w:p w14:paraId="5907CB23">
            <w:pPr>
              <w:rPr>
                <w:rFonts w:ascii="??" w:hAnsi="??" w:eastAsia="Times New Roman"/>
                <w:sz w:val="28"/>
                <w:highlight w:val="none"/>
              </w:rPr>
            </w:pPr>
            <w:r>
              <w:rPr>
                <w:rFonts w:hint="eastAsia" w:ascii="宋体" w:hAnsi="宋体"/>
                <w:sz w:val="28"/>
                <w:highlight w:val="none"/>
              </w:rPr>
              <w:t>签</w:t>
            </w:r>
          </w:p>
          <w:p w14:paraId="0167BA25">
            <w:pPr>
              <w:rPr>
                <w:rFonts w:ascii="??" w:hAnsi="??" w:eastAsia="Times New Roman"/>
                <w:sz w:val="28"/>
                <w:highlight w:val="none"/>
              </w:rPr>
            </w:pPr>
            <w:r>
              <w:rPr>
                <w:rFonts w:hint="eastAsia" w:ascii="宋体" w:hAnsi="宋体"/>
                <w:sz w:val="28"/>
                <w:highlight w:val="none"/>
              </w:rPr>
              <w:t>证</w:t>
            </w:r>
          </w:p>
          <w:p w14:paraId="18B14D96">
            <w:pPr>
              <w:rPr>
                <w:rFonts w:ascii="??" w:hAnsi="??" w:eastAsia="Times New Roman"/>
                <w:sz w:val="28"/>
                <w:highlight w:val="none"/>
              </w:rPr>
            </w:pPr>
            <w:r>
              <w:rPr>
                <w:rFonts w:hint="eastAsia" w:ascii="宋体" w:hAnsi="宋体"/>
                <w:sz w:val="28"/>
                <w:highlight w:val="none"/>
              </w:rPr>
              <w:t>情</w:t>
            </w:r>
          </w:p>
          <w:p w14:paraId="2504C7AA">
            <w:pPr>
              <w:rPr>
                <w:rFonts w:ascii="??" w:hAnsi="??" w:eastAsia="Times New Roman"/>
                <w:sz w:val="28"/>
                <w:highlight w:val="none"/>
              </w:rPr>
            </w:pPr>
            <w:r>
              <w:rPr>
                <w:rFonts w:hint="eastAsia" w:ascii="宋体" w:hAnsi="宋体"/>
                <w:sz w:val="28"/>
                <w:highlight w:val="none"/>
              </w:rPr>
              <w:t>况</w:t>
            </w:r>
          </w:p>
        </w:tc>
        <w:tc>
          <w:tcPr>
            <w:tcW w:w="2520" w:type="dxa"/>
            <w:vAlign w:val="center"/>
          </w:tcPr>
          <w:p w14:paraId="6C1E467C">
            <w:pPr>
              <w:jc w:val="center"/>
              <w:rPr>
                <w:rFonts w:ascii="??" w:hAnsi="??" w:eastAsia="Times New Roman"/>
                <w:sz w:val="28"/>
                <w:highlight w:val="none"/>
              </w:rPr>
            </w:pPr>
          </w:p>
        </w:tc>
        <w:tc>
          <w:tcPr>
            <w:tcW w:w="1260" w:type="dxa"/>
            <w:vAlign w:val="center"/>
          </w:tcPr>
          <w:p w14:paraId="7A3DD67E">
            <w:pPr>
              <w:jc w:val="center"/>
              <w:rPr>
                <w:rFonts w:ascii="??" w:hAnsi="??" w:eastAsia="Times New Roman"/>
                <w:sz w:val="30"/>
                <w:highlight w:val="none"/>
              </w:rPr>
            </w:pPr>
            <w:r>
              <w:rPr>
                <w:rFonts w:hint="eastAsia" w:ascii="宋体" w:hAnsi="宋体"/>
                <w:sz w:val="30"/>
                <w:highlight w:val="none"/>
              </w:rPr>
              <w:t>姓名</w:t>
            </w:r>
          </w:p>
        </w:tc>
        <w:tc>
          <w:tcPr>
            <w:tcW w:w="1980" w:type="dxa"/>
            <w:vAlign w:val="center"/>
          </w:tcPr>
          <w:p w14:paraId="68D98C9F">
            <w:pPr>
              <w:jc w:val="center"/>
              <w:rPr>
                <w:rFonts w:ascii="??" w:hAnsi="??" w:eastAsia="Times New Roman"/>
                <w:sz w:val="30"/>
                <w:highlight w:val="none"/>
              </w:rPr>
            </w:pPr>
            <w:r>
              <w:rPr>
                <w:rFonts w:hint="eastAsia" w:ascii="宋体" w:hAnsi="宋体"/>
                <w:sz w:val="30"/>
                <w:highlight w:val="none"/>
              </w:rPr>
              <w:t>部门（专业）</w:t>
            </w:r>
          </w:p>
        </w:tc>
        <w:tc>
          <w:tcPr>
            <w:tcW w:w="1620" w:type="dxa"/>
            <w:vAlign w:val="center"/>
          </w:tcPr>
          <w:p w14:paraId="370F7FD1">
            <w:pPr>
              <w:jc w:val="center"/>
              <w:rPr>
                <w:rFonts w:ascii="??" w:hAnsi="??" w:eastAsia="Times New Roman"/>
                <w:sz w:val="30"/>
                <w:highlight w:val="none"/>
              </w:rPr>
            </w:pPr>
            <w:r>
              <w:rPr>
                <w:rFonts w:hint="eastAsia" w:ascii="宋体" w:hAnsi="宋体"/>
                <w:sz w:val="30"/>
                <w:highlight w:val="none"/>
              </w:rPr>
              <w:t>证件号码</w:t>
            </w:r>
          </w:p>
        </w:tc>
        <w:tc>
          <w:tcPr>
            <w:tcW w:w="1620" w:type="dxa"/>
            <w:tcBorders>
              <w:right w:val="single" w:color="auto" w:sz="8" w:space="0"/>
            </w:tcBorders>
            <w:vAlign w:val="center"/>
          </w:tcPr>
          <w:p w14:paraId="5AD48F08">
            <w:pPr>
              <w:jc w:val="center"/>
              <w:rPr>
                <w:rFonts w:ascii="??" w:hAnsi="??" w:eastAsia="Times New Roman"/>
                <w:sz w:val="30"/>
                <w:highlight w:val="none"/>
              </w:rPr>
            </w:pPr>
            <w:r>
              <w:rPr>
                <w:rFonts w:hint="eastAsia" w:ascii="宋体" w:hAnsi="宋体"/>
                <w:sz w:val="30"/>
                <w:highlight w:val="none"/>
              </w:rPr>
              <w:t>签证日期</w:t>
            </w:r>
          </w:p>
        </w:tc>
      </w:tr>
      <w:tr w14:paraId="2B3E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720" w:type="dxa"/>
            <w:vMerge w:val="continue"/>
            <w:tcBorders>
              <w:left w:val="single" w:color="auto" w:sz="8" w:space="0"/>
            </w:tcBorders>
            <w:vAlign w:val="center"/>
          </w:tcPr>
          <w:p w14:paraId="6B71FEA0">
            <w:pPr>
              <w:jc w:val="center"/>
              <w:rPr>
                <w:rFonts w:ascii="??" w:hAnsi="??" w:eastAsia="Times New Roman"/>
                <w:sz w:val="28"/>
                <w:highlight w:val="none"/>
              </w:rPr>
            </w:pPr>
          </w:p>
        </w:tc>
        <w:tc>
          <w:tcPr>
            <w:tcW w:w="2520" w:type="dxa"/>
            <w:vMerge w:val="restart"/>
            <w:vAlign w:val="center"/>
          </w:tcPr>
          <w:p w14:paraId="482A2A67">
            <w:pPr>
              <w:jc w:val="center"/>
              <w:rPr>
                <w:rFonts w:ascii="??" w:hAnsi="??" w:eastAsia="Times New Roman"/>
                <w:sz w:val="30"/>
                <w:highlight w:val="none"/>
              </w:rPr>
            </w:pPr>
            <w:r>
              <w:rPr>
                <w:rFonts w:hint="eastAsia" w:ascii="宋体" w:hAnsi="宋体"/>
                <w:sz w:val="30"/>
                <w:highlight w:val="none"/>
              </w:rPr>
              <w:t>监督人员</w:t>
            </w:r>
          </w:p>
        </w:tc>
        <w:tc>
          <w:tcPr>
            <w:tcW w:w="1260" w:type="dxa"/>
            <w:vAlign w:val="center"/>
          </w:tcPr>
          <w:p w14:paraId="6580A318">
            <w:pPr>
              <w:jc w:val="center"/>
              <w:rPr>
                <w:rFonts w:ascii="??" w:hAnsi="??" w:eastAsia="Times New Roman"/>
                <w:sz w:val="28"/>
                <w:highlight w:val="none"/>
              </w:rPr>
            </w:pPr>
          </w:p>
        </w:tc>
        <w:tc>
          <w:tcPr>
            <w:tcW w:w="1980" w:type="dxa"/>
            <w:vAlign w:val="center"/>
          </w:tcPr>
          <w:p w14:paraId="78326552">
            <w:pPr>
              <w:jc w:val="center"/>
              <w:rPr>
                <w:rFonts w:ascii="??" w:hAnsi="??" w:eastAsia="Times New Roman"/>
                <w:sz w:val="28"/>
                <w:highlight w:val="none"/>
              </w:rPr>
            </w:pPr>
          </w:p>
        </w:tc>
        <w:tc>
          <w:tcPr>
            <w:tcW w:w="1620" w:type="dxa"/>
            <w:vAlign w:val="center"/>
          </w:tcPr>
          <w:p w14:paraId="03C43AFC">
            <w:pPr>
              <w:jc w:val="center"/>
              <w:rPr>
                <w:rFonts w:ascii="??" w:hAnsi="??" w:eastAsia="Times New Roman"/>
                <w:sz w:val="28"/>
                <w:highlight w:val="none"/>
              </w:rPr>
            </w:pPr>
          </w:p>
        </w:tc>
        <w:tc>
          <w:tcPr>
            <w:tcW w:w="1620" w:type="dxa"/>
            <w:tcBorders>
              <w:right w:val="single" w:color="auto" w:sz="8" w:space="0"/>
            </w:tcBorders>
            <w:vAlign w:val="center"/>
          </w:tcPr>
          <w:p w14:paraId="07408731">
            <w:pPr>
              <w:jc w:val="center"/>
              <w:rPr>
                <w:rFonts w:ascii="??" w:hAnsi="??" w:eastAsia="Times New Roman"/>
                <w:sz w:val="28"/>
                <w:highlight w:val="none"/>
              </w:rPr>
            </w:pPr>
          </w:p>
        </w:tc>
      </w:tr>
      <w:tr w14:paraId="107C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20" w:type="dxa"/>
            <w:vMerge w:val="continue"/>
            <w:tcBorders>
              <w:left w:val="single" w:color="auto" w:sz="8" w:space="0"/>
            </w:tcBorders>
            <w:vAlign w:val="center"/>
          </w:tcPr>
          <w:p w14:paraId="6A011AF6">
            <w:pPr>
              <w:jc w:val="center"/>
              <w:rPr>
                <w:rFonts w:ascii="??" w:hAnsi="??" w:eastAsia="Times New Roman"/>
                <w:sz w:val="28"/>
                <w:highlight w:val="none"/>
              </w:rPr>
            </w:pPr>
          </w:p>
        </w:tc>
        <w:tc>
          <w:tcPr>
            <w:tcW w:w="2520" w:type="dxa"/>
            <w:vMerge w:val="continue"/>
            <w:vAlign w:val="center"/>
          </w:tcPr>
          <w:p w14:paraId="06832060">
            <w:pPr>
              <w:jc w:val="center"/>
              <w:rPr>
                <w:rFonts w:ascii="??" w:hAnsi="??" w:eastAsia="Times New Roman"/>
                <w:sz w:val="30"/>
                <w:highlight w:val="none"/>
              </w:rPr>
            </w:pPr>
          </w:p>
        </w:tc>
        <w:tc>
          <w:tcPr>
            <w:tcW w:w="1260" w:type="dxa"/>
            <w:vAlign w:val="center"/>
          </w:tcPr>
          <w:p w14:paraId="4E32CBB1">
            <w:pPr>
              <w:jc w:val="center"/>
              <w:rPr>
                <w:rFonts w:ascii="??" w:hAnsi="??" w:eastAsia="Times New Roman"/>
                <w:sz w:val="28"/>
                <w:highlight w:val="none"/>
              </w:rPr>
            </w:pPr>
          </w:p>
        </w:tc>
        <w:tc>
          <w:tcPr>
            <w:tcW w:w="1980" w:type="dxa"/>
            <w:vAlign w:val="center"/>
          </w:tcPr>
          <w:p w14:paraId="0E2AE1F9">
            <w:pPr>
              <w:jc w:val="center"/>
              <w:rPr>
                <w:rFonts w:ascii="??" w:hAnsi="??" w:eastAsia="Times New Roman"/>
                <w:sz w:val="28"/>
                <w:highlight w:val="none"/>
              </w:rPr>
            </w:pPr>
          </w:p>
        </w:tc>
        <w:tc>
          <w:tcPr>
            <w:tcW w:w="1620" w:type="dxa"/>
            <w:vAlign w:val="center"/>
          </w:tcPr>
          <w:p w14:paraId="72B0D870">
            <w:pPr>
              <w:jc w:val="center"/>
              <w:rPr>
                <w:rFonts w:ascii="??" w:hAnsi="??" w:eastAsia="Times New Roman"/>
                <w:sz w:val="28"/>
                <w:highlight w:val="none"/>
              </w:rPr>
            </w:pPr>
          </w:p>
        </w:tc>
        <w:tc>
          <w:tcPr>
            <w:tcW w:w="1620" w:type="dxa"/>
            <w:tcBorders>
              <w:right w:val="single" w:color="auto" w:sz="8" w:space="0"/>
            </w:tcBorders>
            <w:vAlign w:val="center"/>
          </w:tcPr>
          <w:p w14:paraId="200123A2">
            <w:pPr>
              <w:jc w:val="center"/>
              <w:rPr>
                <w:rFonts w:ascii="??" w:hAnsi="??" w:eastAsia="Times New Roman"/>
                <w:sz w:val="28"/>
                <w:highlight w:val="none"/>
              </w:rPr>
            </w:pPr>
          </w:p>
        </w:tc>
      </w:tr>
      <w:tr w14:paraId="386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Merge w:val="continue"/>
            <w:tcBorders>
              <w:left w:val="single" w:color="auto" w:sz="8" w:space="0"/>
            </w:tcBorders>
            <w:vAlign w:val="center"/>
          </w:tcPr>
          <w:p w14:paraId="7D9D6388">
            <w:pPr>
              <w:jc w:val="center"/>
              <w:rPr>
                <w:rFonts w:ascii="??" w:hAnsi="??" w:eastAsia="Times New Roman"/>
                <w:sz w:val="28"/>
                <w:highlight w:val="none"/>
              </w:rPr>
            </w:pPr>
          </w:p>
        </w:tc>
        <w:tc>
          <w:tcPr>
            <w:tcW w:w="2520" w:type="dxa"/>
            <w:vAlign w:val="center"/>
          </w:tcPr>
          <w:p w14:paraId="59FC6B24">
            <w:pPr>
              <w:jc w:val="center"/>
              <w:rPr>
                <w:rFonts w:ascii="??" w:hAnsi="??" w:eastAsia="Times New Roman"/>
                <w:sz w:val="30"/>
                <w:highlight w:val="none"/>
              </w:rPr>
            </w:pPr>
            <w:r>
              <w:rPr>
                <w:rFonts w:hint="eastAsia" w:ascii="宋体" w:hAnsi="宋体"/>
                <w:sz w:val="30"/>
                <w:highlight w:val="none"/>
              </w:rPr>
              <w:t>科长（区站站长）</w:t>
            </w:r>
          </w:p>
        </w:tc>
        <w:tc>
          <w:tcPr>
            <w:tcW w:w="1260" w:type="dxa"/>
            <w:vAlign w:val="center"/>
          </w:tcPr>
          <w:p w14:paraId="7AC6FBFA">
            <w:pPr>
              <w:jc w:val="center"/>
              <w:rPr>
                <w:rFonts w:ascii="??" w:hAnsi="??" w:eastAsia="Times New Roman"/>
                <w:sz w:val="28"/>
                <w:highlight w:val="none"/>
              </w:rPr>
            </w:pPr>
          </w:p>
        </w:tc>
        <w:tc>
          <w:tcPr>
            <w:tcW w:w="1980" w:type="dxa"/>
            <w:vAlign w:val="center"/>
          </w:tcPr>
          <w:p w14:paraId="16D23363">
            <w:pPr>
              <w:jc w:val="center"/>
              <w:rPr>
                <w:rFonts w:ascii="??" w:hAnsi="??" w:eastAsia="Times New Roman"/>
                <w:sz w:val="28"/>
                <w:highlight w:val="none"/>
              </w:rPr>
            </w:pPr>
          </w:p>
        </w:tc>
        <w:tc>
          <w:tcPr>
            <w:tcW w:w="1620" w:type="dxa"/>
            <w:vAlign w:val="center"/>
          </w:tcPr>
          <w:p w14:paraId="3F68A859">
            <w:pPr>
              <w:jc w:val="center"/>
              <w:rPr>
                <w:rFonts w:ascii="??" w:hAnsi="??" w:eastAsia="Times New Roman"/>
                <w:sz w:val="28"/>
                <w:highlight w:val="none"/>
              </w:rPr>
            </w:pPr>
          </w:p>
        </w:tc>
        <w:tc>
          <w:tcPr>
            <w:tcW w:w="1620" w:type="dxa"/>
            <w:tcBorders>
              <w:right w:val="single" w:color="auto" w:sz="8" w:space="0"/>
            </w:tcBorders>
            <w:vAlign w:val="center"/>
          </w:tcPr>
          <w:p w14:paraId="30B4392D">
            <w:pPr>
              <w:jc w:val="center"/>
              <w:rPr>
                <w:rFonts w:ascii="??" w:hAnsi="??" w:eastAsia="Times New Roman"/>
                <w:sz w:val="28"/>
                <w:highlight w:val="none"/>
              </w:rPr>
            </w:pPr>
          </w:p>
        </w:tc>
      </w:tr>
      <w:tr w14:paraId="301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720" w:type="dxa"/>
            <w:vMerge w:val="continue"/>
            <w:tcBorders>
              <w:left w:val="single" w:color="auto" w:sz="8" w:space="0"/>
              <w:bottom w:val="single" w:color="auto" w:sz="8" w:space="0"/>
            </w:tcBorders>
            <w:vAlign w:val="center"/>
          </w:tcPr>
          <w:p w14:paraId="347CF144">
            <w:pPr>
              <w:jc w:val="center"/>
              <w:rPr>
                <w:rFonts w:ascii="??" w:hAnsi="??" w:eastAsia="Times New Roman"/>
                <w:sz w:val="28"/>
                <w:highlight w:val="none"/>
              </w:rPr>
            </w:pPr>
          </w:p>
        </w:tc>
        <w:tc>
          <w:tcPr>
            <w:tcW w:w="2520" w:type="dxa"/>
            <w:tcBorders>
              <w:bottom w:val="single" w:color="auto" w:sz="8" w:space="0"/>
            </w:tcBorders>
            <w:vAlign w:val="center"/>
          </w:tcPr>
          <w:p w14:paraId="2F546171">
            <w:pPr>
              <w:jc w:val="center"/>
              <w:rPr>
                <w:rFonts w:ascii="??" w:hAnsi="??" w:eastAsia="Times New Roman"/>
                <w:sz w:val="30"/>
                <w:highlight w:val="none"/>
              </w:rPr>
            </w:pPr>
            <w:r>
              <w:rPr>
                <w:rFonts w:hint="eastAsia" w:ascii="宋体" w:hAnsi="宋体"/>
                <w:sz w:val="30"/>
                <w:highlight w:val="none"/>
              </w:rPr>
              <w:t>总站分管站长</w:t>
            </w:r>
          </w:p>
        </w:tc>
        <w:tc>
          <w:tcPr>
            <w:tcW w:w="1260" w:type="dxa"/>
            <w:tcBorders>
              <w:bottom w:val="single" w:color="auto" w:sz="8" w:space="0"/>
            </w:tcBorders>
            <w:vAlign w:val="center"/>
          </w:tcPr>
          <w:p w14:paraId="232B4E23">
            <w:pPr>
              <w:jc w:val="center"/>
              <w:rPr>
                <w:rFonts w:ascii="??" w:hAnsi="??" w:eastAsia="Times New Roman"/>
                <w:sz w:val="28"/>
                <w:highlight w:val="none"/>
              </w:rPr>
            </w:pPr>
          </w:p>
        </w:tc>
        <w:tc>
          <w:tcPr>
            <w:tcW w:w="1980" w:type="dxa"/>
            <w:tcBorders>
              <w:bottom w:val="single" w:color="auto" w:sz="8" w:space="0"/>
            </w:tcBorders>
            <w:vAlign w:val="center"/>
          </w:tcPr>
          <w:p w14:paraId="134F6DEB">
            <w:pPr>
              <w:jc w:val="center"/>
              <w:rPr>
                <w:rFonts w:ascii="??" w:hAnsi="??" w:eastAsia="Times New Roman"/>
                <w:sz w:val="28"/>
                <w:highlight w:val="none"/>
              </w:rPr>
            </w:pPr>
          </w:p>
        </w:tc>
        <w:tc>
          <w:tcPr>
            <w:tcW w:w="1620" w:type="dxa"/>
            <w:tcBorders>
              <w:bottom w:val="single" w:color="auto" w:sz="8" w:space="0"/>
            </w:tcBorders>
            <w:vAlign w:val="center"/>
          </w:tcPr>
          <w:p w14:paraId="3DD38A2B">
            <w:pPr>
              <w:jc w:val="center"/>
              <w:rPr>
                <w:rFonts w:ascii="??" w:hAnsi="??" w:eastAsia="Times New Roman"/>
                <w:sz w:val="28"/>
                <w:highlight w:val="none"/>
              </w:rPr>
            </w:pPr>
          </w:p>
        </w:tc>
        <w:tc>
          <w:tcPr>
            <w:tcW w:w="1620" w:type="dxa"/>
            <w:tcBorders>
              <w:bottom w:val="single" w:color="auto" w:sz="8" w:space="0"/>
              <w:right w:val="single" w:color="auto" w:sz="8" w:space="0"/>
            </w:tcBorders>
            <w:vAlign w:val="center"/>
          </w:tcPr>
          <w:p w14:paraId="407C5F26">
            <w:pPr>
              <w:jc w:val="center"/>
              <w:rPr>
                <w:rFonts w:ascii="??" w:hAnsi="??" w:eastAsia="Times New Roman"/>
                <w:sz w:val="28"/>
                <w:highlight w:val="none"/>
              </w:rPr>
            </w:pPr>
          </w:p>
        </w:tc>
      </w:tr>
    </w:tbl>
    <w:p w14:paraId="08FA239D">
      <w:pPr>
        <w:rPr>
          <w:rFonts w:ascii="黑体" w:hAnsi="黑体" w:eastAsia="黑体"/>
          <w:bCs/>
          <w:sz w:val="44"/>
          <w:szCs w:val="44"/>
          <w:highlight w:val="none"/>
        </w:rPr>
      </w:pPr>
      <w:r>
        <w:rPr>
          <w:rFonts w:hint="eastAsia" w:ascii="黑体" w:hAnsi="黑体" w:eastAsia="黑体"/>
          <w:bCs/>
          <w:sz w:val="44"/>
          <w:szCs w:val="44"/>
          <w:highlight w:val="none"/>
        </w:rPr>
        <w:br w:type="page"/>
      </w:r>
    </w:p>
    <w:p w14:paraId="591D1DFF">
      <w:pPr>
        <w:spacing w:afterLines="50"/>
        <w:jc w:val="center"/>
        <w:rPr>
          <w:rFonts w:ascii="黑体" w:hAnsi="黑体" w:eastAsia="黑体"/>
          <w:bCs/>
          <w:sz w:val="44"/>
          <w:szCs w:val="44"/>
          <w:highlight w:val="none"/>
        </w:rPr>
      </w:pPr>
      <w:r>
        <w:rPr>
          <w:rFonts w:hint="eastAsia" w:ascii="黑体" w:hAnsi="黑体" w:eastAsia="黑体"/>
          <w:bCs/>
          <w:sz w:val="44"/>
          <w:szCs w:val="44"/>
          <w:highlight w:val="none"/>
        </w:rPr>
        <w:t>杭州市新建市政道路工程移交接收检测记录表</w:t>
      </w:r>
    </w:p>
    <w:tbl>
      <w:tblPr>
        <w:tblStyle w:val="62"/>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63"/>
        <w:gridCol w:w="837"/>
        <w:gridCol w:w="2261"/>
        <w:gridCol w:w="468"/>
        <w:gridCol w:w="1053"/>
        <w:gridCol w:w="1152"/>
        <w:gridCol w:w="528"/>
        <w:gridCol w:w="222"/>
        <w:gridCol w:w="1763"/>
        <w:gridCol w:w="14"/>
      </w:tblGrid>
      <w:tr w14:paraId="552E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restart"/>
            <w:tcBorders>
              <w:top w:val="single" w:color="auto" w:sz="6" w:space="0"/>
              <w:left w:val="single" w:color="auto" w:sz="6" w:space="0"/>
            </w:tcBorders>
            <w:vAlign w:val="center"/>
          </w:tcPr>
          <w:p w14:paraId="1516533D">
            <w:pPr>
              <w:spacing w:line="260" w:lineRule="exact"/>
              <w:jc w:val="center"/>
              <w:rPr>
                <w:rFonts w:ascii="??" w:hAnsi="??" w:eastAsia="Times New Roman"/>
                <w:b/>
                <w:sz w:val="24"/>
                <w:highlight w:val="none"/>
              </w:rPr>
            </w:pPr>
            <w:r>
              <w:rPr>
                <w:rFonts w:hint="eastAsia" w:ascii="宋体" w:hAnsi="宋体"/>
                <w:b/>
                <w:sz w:val="24"/>
                <w:highlight w:val="none"/>
              </w:rPr>
              <w:t>工</w:t>
            </w:r>
          </w:p>
          <w:p w14:paraId="00AA26EE">
            <w:pPr>
              <w:spacing w:line="260" w:lineRule="exact"/>
              <w:jc w:val="center"/>
              <w:rPr>
                <w:rFonts w:ascii="??" w:hAnsi="??" w:eastAsia="Times New Roman"/>
                <w:b/>
                <w:sz w:val="24"/>
                <w:highlight w:val="none"/>
              </w:rPr>
            </w:pPr>
          </w:p>
          <w:p w14:paraId="6789F039">
            <w:pPr>
              <w:spacing w:line="260" w:lineRule="exact"/>
              <w:jc w:val="center"/>
              <w:rPr>
                <w:rFonts w:ascii="??" w:hAnsi="??" w:eastAsia="Times New Roman"/>
                <w:b/>
                <w:sz w:val="24"/>
                <w:highlight w:val="none"/>
              </w:rPr>
            </w:pPr>
            <w:r>
              <w:rPr>
                <w:rFonts w:hint="eastAsia" w:ascii="宋体" w:hAnsi="宋体"/>
                <w:b/>
                <w:sz w:val="24"/>
                <w:highlight w:val="none"/>
              </w:rPr>
              <w:t>程</w:t>
            </w:r>
          </w:p>
          <w:p w14:paraId="13E22730">
            <w:pPr>
              <w:spacing w:line="260" w:lineRule="exact"/>
              <w:jc w:val="center"/>
              <w:rPr>
                <w:rFonts w:ascii="??" w:hAnsi="??" w:eastAsia="Times New Roman"/>
                <w:b/>
                <w:sz w:val="24"/>
                <w:highlight w:val="none"/>
              </w:rPr>
            </w:pPr>
          </w:p>
          <w:p w14:paraId="198C185B">
            <w:pPr>
              <w:spacing w:line="260" w:lineRule="exact"/>
              <w:jc w:val="center"/>
              <w:rPr>
                <w:rFonts w:ascii="??" w:hAnsi="??" w:eastAsia="Times New Roman"/>
                <w:b/>
                <w:sz w:val="24"/>
                <w:highlight w:val="none"/>
              </w:rPr>
            </w:pPr>
            <w:r>
              <w:rPr>
                <w:rFonts w:hint="eastAsia" w:ascii="宋体" w:hAnsi="宋体"/>
                <w:b/>
                <w:sz w:val="24"/>
                <w:highlight w:val="none"/>
              </w:rPr>
              <w:t>基</w:t>
            </w:r>
          </w:p>
          <w:p w14:paraId="1DDD678A">
            <w:pPr>
              <w:spacing w:line="260" w:lineRule="exact"/>
              <w:jc w:val="center"/>
              <w:rPr>
                <w:rFonts w:ascii="??" w:hAnsi="??" w:eastAsia="Times New Roman"/>
                <w:b/>
                <w:sz w:val="24"/>
                <w:highlight w:val="none"/>
              </w:rPr>
            </w:pPr>
          </w:p>
          <w:p w14:paraId="2D447327">
            <w:pPr>
              <w:spacing w:line="260" w:lineRule="exact"/>
              <w:jc w:val="center"/>
              <w:rPr>
                <w:rFonts w:ascii="??" w:hAnsi="??" w:eastAsia="Times New Roman"/>
                <w:b/>
                <w:sz w:val="24"/>
                <w:highlight w:val="none"/>
              </w:rPr>
            </w:pPr>
            <w:r>
              <w:rPr>
                <w:rFonts w:hint="eastAsia" w:ascii="宋体" w:hAnsi="宋体"/>
                <w:b/>
                <w:sz w:val="24"/>
                <w:highlight w:val="none"/>
              </w:rPr>
              <w:t>本</w:t>
            </w:r>
          </w:p>
          <w:p w14:paraId="3ED86E79">
            <w:pPr>
              <w:spacing w:line="260" w:lineRule="exact"/>
              <w:jc w:val="center"/>
              <w:rPr>
                <w:rFonts w:ascii="??" w:hAnsi="??" w:eastAsia="Times New Roman"/>
                <w:b/>
                <w:sz w:val="24"/>
                <w:highlight w:val="none"/>
              </w:rPr>
            </w:pPr>
          </w:p>
          <w:p w14:paraId="0AF1228F">
            <w:pPr>
              <w:spacing w:line="260" w:lineRule="exact"/>
              <w:jc w:val="center"/>
              <w:rPr>
                <w:rFonts w:ascii="??" w:hAnsi="??" w:eastAsia="Times New Roman"/>
                <w:b/>
                <w:sz w:val="24"/>
                <w:highlight w:val="none"/>
              </w:rPr>
            </w:pPr>
            <w:r>
              <w:rPr>
                <w:rFonts w:hint="eastAsia" w:ascii="宋体" w:hAnsi="宋体"/>
                <w:b/>
                <w:sz w:val="24"/>
                <w:highlight w:val="none"/>
              </w:rPr>
              <w:t>情</w:t>
            </w:r>
          </w:p>
          <w:p w14:paraId="4FFE7084">
            <w:pPr>
              <w:spacing w:line="260" w:lineRule="exact"/>
              <w:jc w:val="center"/>
              <w:rPr>
                <w:rFonts w:ascii="??" w:hAnsi="??" w:eastAsia="Times New Roman"/>
                <w:b/>
                <w:sz w:val="24"/>
                <w:highlight w:val="none"/>
              </w:rPr>
            </w:pPr>
          </w:p>
          <w:p w14:paraId="1A41926A">
            <w:pPr>
              <w:spacing w:line="260" w:lineRule="exact"/>
              <w:jc w:val="center"/>
              <w:rPr>
                <w:rFonts w:ascii="??" w:hAnsi="??" w:eastAsia="Times New Roman"/>
                <w:spacing w:val="20"/>
                <w:sz w:val="24"/>
                <w:highlight w:val="none"/>
              </w:rPr>
            </w:pPr>
            <w:r>
              <w:rPr>
                <w:rFonts w:hint="eastAsia" w:ascii="宋体" w:hAnsi="宋体"/>
                <w:b/>
                <w:sz w:val="24"/>
                <w:highlight w:val="none"/>
              </w:rPr>
              <w:t>况</w:t>
            </w:r>
          </w:p>
        </w:tc>
        <w:tc>
          <w:tcPr>
            <w:tcW w:w="2100" w:type="dxa"/>
            <w:gridSpan w:val="2"/>
            <w:tcBorders>
              <w:top w:val="single" w:color="auto" w:sz="6" w:space="0"/>
            </w:tcBorders>
            <w:vAlign w:val="center"/>
          </w:tcPr>
          <w:p w14:paraId="4A9ABECB">
            <w:pPr>
              <w:spacing w:before="120" w:after="120" w:line="260" w:lineRule="exact"/>
              <w:jc w:val="center"/>
              <w:rPr>
                <w:rFonts w:ascii="宋体" w:hAnsi="宋体"/>
                <w:szCs w:val="21"/>
                <w:highlight w:val="none"/>
              </w:rPr>
            </w:pPr>
            <w:r>
              <w:rPr>
                <w:rFonts w:hint="eastAsia" w:ascii="宋体" w:hAnsi="宋体"/>
                <w:szCs w:val="21"/>
                <w:highlight w:val="none"/>
              </w:rPr>
              <w:t>工程名称</w:t>
            </w:r>
          </w:p>
        </w:tc>
        <w:tc>
          <w:tcPr>
            <w:tcW w:w="3782" w:type="dxa"/>
            <w:gridSpan w:val="3"/>
            <w:tcBorders>
              <w:top w:val="single" w:color="auto" w:sz="6" w:space="0"/>
            </w:tcBorders>
            <w:vAlign w:val="center"/>
          </w:tcPr>
          <w:p w14:paraId="148C1D06">
            <w:pPr>
              <w:spacing w:before="120" w:after="120" w:line="260" w:lineRule="exact"/>
              <w:jc w:val="center"/>
              <w:rPr>
                <w:rFonts w:ascii="??" w:hAnsi="??" w:eastAsia="Times New Roman"/>
                <w:spacing w:val="20"/>
                <w:szCs w:val="21"/>
                <w:highlight w:val="none"/>
              </w:rPr>
            </w:pPr>
          </w:p>
        </w:tc>
        <w:tc>
          <w:tcPr>
            <w:tcW w:w="1902" w:type="dxa"/>
            <w:gridSpan w:val="3"/>
            <w:tcBorders>
              <w:top w:val="single" w:color="auto" w:sz="6" w:space="0"/>
            </w:tcBorders>
            <w:vAlign w:val="center"/>
          </w:tcPr>
          <w:p w14:paraId="0046B12D">
            <w:pPr>
              <w:spacing w:before="120" w:after="120" w:line="260" w:lineRule="exact"/>
              <w:jc w:val="center"/>
              <w:rPr>
                <w:rFonts w:ascii="宋体" w:hAnsi="宋体"/>
                <w:szCs w:val="21"/>
                <w:highlight w:val="none"/>
              </w:rPr>
            </w:pPr>
            <w:r>
              <w:rPr>
                <w:rFonts w:hint="eastAsia" w:ascii="宋体" w:hAnsi="宋体"/>
                <w:szCs w:val="21"/>
                <w:highlight w:val="none"/>
              </w:rPr>
              <w:t>工程造价</w:t>
            </w:r>
            <w:r>
              <w:rPr>
                <w:rFonts w:ascii="宋体" w:hAnsi="宋体"/>
                <w:szCs w:val="21"/>
                <w:highlight w:val="none"/>
              </w:rPr>
              <w:t>(</w:t>
            </w:r>
            <w:r>
              <w:rPr>
                <w:rFonts w:hint="eastAsia" w:ascii="宋体" w:hAnsi="宋体"/>
                <w:szCs w:val="21"/>
                <w:highlight w:val="none"/>
              </w:rPr>
              <w:t>万元</w:t>
            </w:r>
            <w:r>
              <w:rPr>
                <w:rFonts w:ascii="宋体" w:hAnsi="宋体"/>
                <w:szCs w:val="21"/>
                <w:highlight w:val="none"/>
              </w:rPr>
              <w:t>)</w:t>
            </w:r>
          </w:p>
        </w:tc>
        <w:tc>
          <w:tcPr>
            <w:tcW w:w="1777" w:type="dxa"/>
            <w:gridSpan w:val="2"/>
            <w:tcBorders>
              <w:top w:val="single" w:color="auto" w:sz="6" w:space="0"/>
            </w:tcBorders>
            <w:vAlign w:val="center"/>
          </w:tcPr>
          <w:p w14:paraId="587DCDDE">
            <w:pPr>
              <w:spacing w:before="120" w:after="120" w:line="260" w:lineRule="exact"/>
              <w:jc w:val="center"/>
              <w:rPr>
                <w:rFonts w:ascii="??" w:hAnsi="??" w:eastAsia="Times New Roman"/>
                <w:spacing w:val="20"/>
                <w:szCs w:val="21"/>
                <w:highlight w:val="none"/>
              </w:rPr>
            </w:pPr>
          </w:p>
        </w:tc>
      </w:tr>
      <w:tr w14:paraId="51AD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107AA762">
            <w:pPr>
              <w:spacing w:line="260" w:lineRule="exact"/>
              <w:jc w:val="center"/>
              <w:rPr>
                <w:rFonts w:ascii="??" w:hAnsi="??" w:eastAsia="Times New Roman"/>
                <w:spacing w:val="20"/>
                <w:sz w:val="24"/>
                <w:highlight w:val="none"/>
              </w:rPr>
            </w:pPr>
          </w:p>
        </w:tc>
        <w:tc>
          <w:tcPr>
            <w:tcW w:w="2100" w:type="dxa"/>
            <w:gridSpan w:val="2"/>
            <w:vAlign w:val="center"/>
          </w:tcPr>
          <w:p w14:paraId="3336C288">
            <w:pPr>
              <w:spacing w:before="120" w:after="120" w:line="260" w:lineRule="exact"/>
              <w:jc w:val="center"/>
              <w:rPr>
                <w:rFonts w:ascii="宋体" w:hAnsi="宋体"/>
                <w:szCs w:val="21"/>
                <w:highlight w:val="none"/>
              </w:rPr>
            </w:pPr>
            <w:r>
              <w:rPr>
                <w:rFonts w:hint="eastAsia" w:ascii="宋体" w:hAnsi="宋体"/>
                <w:szCs w:val="21"/>
                <w:highlight w:val="none"/>
              </w:rPr>
              <w:t>工程地点</w:t>
            </w:r>
          </w:p>
        </w:tc>
        <w:tc>
          <w:tcPr>
            <w:tcW w:w="3782" w:type="dxa"/>
            <w:gridSpan w:val="3"/>
            <w:vAlign w:val="center"/>
          </w:tcPr>
          <w:p w14:paraId="7C60139C">
            <w:pPr>
              <w:spacing w:before="120" w:after="120" w:line="260" w:lineRule="exact"/>
              <w:jc w:val="center"/>
              <w:rPr>
                <w:rFonts w:ascii="??" w:hAnsi="??" w:eastAsia="Times New Roman"/>
                <w:spacing w:val="20"/>
                <w:szCs w:val="21"/>
                <w:highlight w:val="none"/>
              </w:rPr>
            </w:pPr>
          </w:p>
        </w:tc>
        <w:tc>
          <w:tcPr>
            <w:tcW w:w="1902" w:type="dxa"/>
            <w:gridSpan w:val="3"/>
            <w:vAlign w:val="center"/>
          </w:tcPr>
          <w:p w14:paraId="10550DD8">
            <w:pPr>
              <w:spacing w:before="120" w:after="120" w:line="260" w:lineRule="exact"/>
              <w:jc w:val="center"/>
              <w:rPr>
                <w:rFonts w:ascii="宋体" w:hAnsi="宋体"/>
                <w:szCs w:val="21"/>
                <w:highlight w:val="none"/>
              </w:rPr>
            </w:pPr>
            <w:r>
              <w:rPr>
                <w:rFonts w:hint="eastAsia" w:ascii="宋体" w:hAnsi="宋体"/>
                <w:szCs w:val="21"/>
                <w:highlight w:val="none"/>
              </w:rPr>
              <w:t>工程设计使用年限</w:t>
            </w:r>
          </w:p>
        </w:tc>
        <w:tc>
          <w:tcPr>
            <w:tcW w:w="1777" w:type="dxa"/>
            <w:gridSpan w:val="2"/>
            <w:vAlign w:val="center"/>
          </w:tcPr>
          <w:p w14:paraId="7CE6BB51">
            <w:pPr>
              <w:spacing w:before="120" w:after="120" w:line="260" w:lineRule="exact"/>
              <w:jc w:val="center"/>
              <w:rPr>
                <w:rFonts w:ascii="??" w:hAnsi="??" w:eastAsia="Times New Roman"/>
                <w:spacing w:val="20"/>
                <w:szCs w:val="21"/>
                <w:highlight w:val="none"/>
              </w:rPr>
            </w:pPr>
          </w:p>
        </w:tc>
      </w:tr>
      <w:tr w14:paraId="069C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7151B711">
            <w:pPr>
              <w:spacing w:line="260" w:lineRule="exact"/>
              <w:jc w:val="center"/>
              <w:rPr>
                <w:rFonts w:ascii="??" w:hAnsi="??" w:eastAsia="Times New Roman"/>
                <w:spacing w:val="-24"/>
                <w:sz w:val="24"/>
                <w:highlight w:val="none"/>
              </w:rPr>
            </w:pPr>
          </w:p>
        </w:tc>
        <w:tc>
          <w:tcPr>
            <w:tcW w:w="2100" w:type="dxa"/>
            <w:gridSpan w:val="2"/>
            <w:vAlign w:val="center"/>
          </w:tcPr>
          <w:p w14:paraId="0FEBFF2D">
            <w:pPr>
              <w:spacing w:before="120" w:after="120" w:line="260" w:lineRule="exact"/>
              <w:jc w:val="center"/>
              <w:rPr>
                <w:rFonts w:ascii="宋体" w:hAnsi="宋体"/>
                <w:szCs w:val="21"/>
                <w:highlight w:val="none"/>
              </w:rPr>
            </w:pPr>
            <w:r>
              <w:rPr>
                <w:rFonts w:hint="eastAsia" w:ascii="宋体" w:hAnsi="宋体"/>
                <w:szCs w:val="21"/>
                <w:highlight w:val="none"/>
              </w:rPr>
              <w:t>设计文件审查机构</w:t>
            </w:r>
          </w:p>
        </w:tc>
        <w:tc>
          <w:tcPr>
            <w:tcW w:w="3782" w:type="dxa"/>
            <w:gridSpan w:val="3"/>
            <w:vAlign w:val="center"/>
          </w:tcPr>
          <w:p w14:paraId="40DD3BCA">
            <w:pPr>
              <w:spacing w:before="120" w:after="120" w:line="260" w:lineRule="exact"/>
              <w:jc w:val="center"/>
              <w:rPr>
                <w:rFonts w:ascii="??" w:hAnsi="??" w:eastAsia="Times New Roman"/>
                <w:spacing w:val="20"/>
                <w:szCs w:val="21"/>
                <w:highlight w:val="none"/>
              </w:rPr>
            </w:pPr>
          </w:p>
        </w:tc>
        <w:tc>
          <w:tcPr>
            <w:tcW w:w="1902" w:type="dxa"/>
            <w:gridSpan w:val="3"/>
            <w:vAlign w:val="center"/>
          </w:tcPr>
          <w:p w14:paraId="0A14CAA0">
            <w:pPr>
              <w:spacing w:before="120" w:after="120" w:line="260" w:lineRule="exact"/>
              <w:jc w:val="center"/>
              <w:rPr>
                <w:rFonts w:ascii="宋体" w:hAnsi="宋体"/>
                <w:szCs w:val="21"/>
                <w:highlight w:val="none"/>
              </w:rPr>
            </w:pPr>
            <w:r>
              <w:rPr>
                <w:rFonts w:hint="eastAsia" w:ascii="宋体" w:hAnsi="宋体"/>
                <w:szCs w:val="21"/>
                <w:highlight w:val="none"/>
              </w:rPr>
              <w:t>审查报告编号</w:t>
            </w:r>
          </w:p>
        </w:tc>
        <w:tc>
          <w:tcPr>
            <w:tcW w:w="1777" w:type="dxa"/>
            <w:gridSpan w:val="2"/>
            <w:vAlign w:val="center"/>
          </w:tcPr>
          <w:p w14:paraId="43D39EDB">
            <w:pPr>
              <w:spacing w:before="120" w:after="120" w:line="260" w:lineRule="exact"/>
              <w:jc w:val="center"/>
              <w:rPr>
                <w:rFonts w:ascii="??" w:hAnsi="??" w:eastAsia="Times New Roman"/>
                <w:spacing w:val="20"/>
                <w:szCs w:val="21"/>
                <w:highlight w:val="none"/>
              </w:rPr>
            </w:pPr>
          </w:p>
        </w:tc>
      </w:tr>
      <w:tr w14:paraId="3CE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07C37302">
            <w:pPr>
              <w:spacing w:line="260" w:lineRule="exact"/>
              <w:jc w:val="center"/>
              <w:rPr>
                <w:rFonts w:ascii="??" w:hAnsi="??" w:eastAsia="Times New Roman"/>
                <w:spacing w:val="-24"/>
                <w:sz w:val="24"/>
                <w:highlight w:val="none"/>
              </w:rPr>
            </w:pPr>
          </w:p>
        </w:tc>
        <w:tc>
          <w:tcPr>
            <w:tcW w:w="2100" w:type="dxa"/>
            <w:gridSpan w:val="2"/>
            <w:vAlign w:val="center"/>
          </w:tcPr>
          <w:p w14:paraId="0CCCBE40">
            <w:pPr>
              <w:spacing w:before="120" w:after="120" w:line="260" w:lineRule="exact"/>
              <w:jc w:val="center"/>
              <w:rPr>
                <w:rFonts w:ascii="宋体" w:hAnsi="宋体"/>
                <w:szCs w:val="21"/>
                <w:highlight w:val="none"/>
              </w:rPr>
            </w:pPr>
            <w:r>
              <w:rPr>
                <w:rFonts w:hint="eastAsia" w:ascii="宋体" w:hAnsi="宋体"/>
                <w:szCs w:val="21"/>
                <w:highlight w:val="none"/>
              </w:rPr>
              <w:t>工程类别</w:t>
            </w:r>
          </w:p>
        </w:tc>
        <w:tc>
          <w:tcPr>
            <w:tcW w:w="7461" w:type="dxa"/>
            <w:gridSpan w:val="8"/>
            <w:vAlign w:val="center"/>
          </w:tcPr>
          <w:p w14:paraId="08D6E5F2">
            <w:pPr>
              <w:spacing w:before="120" w:after="120" w:line="260" w:lineRule="exact"/>
              <w:jc w:val="center"/>
              <w:rPr>
                <w:rFonts w:ascii="??" w:hAnsi="??" w:eastAsia="Times New Roman"/>
                <w:spacing w:val="20"/>
                <w:szCs w:val="21"/>
                <w:highlight w:val="none"/>
              </w:rPr>
            </w:pPr>
            <w:r>
              <w:rPr>
                <w:rFonts w:hint="eastAsia" w:ascii="??" w:hAnsi="??" w:eastAsia="MS Gothic"/>
                <w:szCs w:val="21"/>
                <w:highlight w:val="none"/>
              </w:rPr>
              <w:t>☐</w:t>
            </w:r>
            <w:r>
              <w:rPr>
                <w:rFonts w:hint="eastAsia" w:ascii="宋体" w:hAnsi="宋体"/>
                <w:szCs w:val="21"/>
                <w:highlight w:val="none"/>
              </w:rPr>
              <w:t>道路工程</w:t>
            </w:r>
            <w:r>
              <w:rPr>
                <w:rFonts w:hint="eastAsia" w:ascii="??" w:hAnsi="??" w:eastAsia="MS Gothic"/>
                <w:szCs w:val="21"/>
                <w:highlight w:val="none"/>
              </w:rPr>
              <w:t>☐</w:t>
            </w:r>
            <w:r>
              <w:rPr>
                <w:rFonts w:hint="eastAsia" w:ascii="宋体" w:hAnsi="宋体"/>
                <w:szCs w:val="21"/>
                <w:highlight w:val="none"/>
              </w:rPr>
              <w:t>桥梁工程</w:t>
            </w:r>
            <w:r>
              <w:rPr>
                <w:rFonts w:hint="eastAsia" w:ascii="??" w:hAnsi="??" w:eastAsia="MS Gothic"/>
                <w:szCs w:val="21"/>
                <w:highlight w:val="none"/>
              </w:rPr>
              <w:t>☐</w:t>
            </w:r>
            <w:r>
              <w:rPr>
                <w:rFonts w:hint="eastAsia" w:ascii="宋体" w:hAnsi="宋体"/>
                <w:szCs w:val="21"/>
                <w:highlight w:val="none"/>
              </w:rPr>
              <w:t>排水工程</w:t>
            </w:r>
            <w:r>
              <w:rPr>
                <w:rFonts w:hint="eastAsia" w:ascii="??" w:hAnsi="??" w:eastAsia="MS Gothic"/>
                <w:szCs w:val="21"/>
                <w:highlight w:val="none"/>
              </w:rPr>
              <w:t>☐</w:t>
            </w:r>
            <w:r>
              <w:rPr>
                <w:rFonts w:hint="eastAsia" w:ascii="宋体" w:hAnsi="宋体"/>
                <w:szCs w:val="21"/>
                <w:highlight w:val="none"/>
              </w:rPr>
              <w:t>隧道工程</w:t>
            </w:r>
            <w:r>
              <w:rPr>
                <w:rFonts w:hint="eastAsia" w:ascii="??" w:hAnsi="??" w:eastAsia="MS Gothic"/>
                <w:szCs w:val="21"/>
                <w:highlight w:val="none"/>
              </w:rPr>
              <w:t>☐</w:t>
            </w:r>
            <w:r>
              <w:rPr>
                <w:rFonts w:hint="eastAsia" w:ascii="宋体" w:hAnsi="宋体"/>
                <w:szCs w:val="21"/>
                <w:highlight w:val="none"/>
              </w:rPr>
              <w:t>公用工程</w:t>
            </w:r>
          </w:p>
        </w:tc>
      </w:tr>
      <w:tr w14:paraId="535D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4967ABAE">
            <w:pPr>
              <w:spacing w:line="260" w:lineRule="exact"/>
              <w:jc w:val="center"/>
              <w:rPr>
                <w:rFonts w:ascii="??" w:hAnsi="??" w:eastAsia="Times New Roman"/>
                <w:spacing w:val="-24"/>
                <w:sz w:val="24"/>
                <w:highlight w:val="none"/>
              </w:rPr>
            </w:pPr>
          </w:p>
        </w:tc>
        <w:tc>
          <w:tcPr>
            <w:tcW w:w="2100" w:type="dxa"/>
            <w:gridSpan w:val="2"/>
            <w:vAlign w:val="center"/>
          </w:tcPr>
          <w:p w14:paraId="5CC1BCD2">
            <w:pPr>
              <w:spacing w:before="120" w:after="120" w:line="260" w:lineRule="exact"/>
              <w:jc w:val="center"/>
              <w:rPr>
                <w:rFonts w:ascii="宋体" w:hAnsi="宋体"/>
                <w:szCs w:val="21"/>
                <w:highlight w:val="none"/>
              </w:rPr>
            </w:pPr>
            <w:r>
              <w:rPr>
                <w:rFonts w:hint="eastAsia" w:ascii="宋体" w:hAnsi="宋体"/>
                <w:szCs w:val="21"/>
                <w:highlight w:val="none"/>
              </w:rPr>
              <w:t>工程规划许可证号</w:t>
            </w:r>
          </w:p>
        </w:tc>
        <w:tc>
          <w:tcPr>
            <w:tcW w:w="2729" w:type="dxa"/>
            <w:gridSpan w:val="2"/>
            <w:vAlign w:val="center"/>
          </w:tcPr>
          <w:p w14:paraId="2F180EBB">
            <w:pPr>
              <w:spacing w:before="120" w:after="120" w:line="260" w:lineRule="exact"/>
              <w:jc w:val="center"/>
              <w:rPr>
                <w:rFonts w:ascii="??" w:hAnsi="??" w:eastAsia="Times New Roman"/>
                <w:spacing w:val="20"/>
                <w:szCs w:val="21"/>
                <w:highlight w:val="none"/>
              </w:rPr>
            </w:pPr>
          </w:p>
        </w:tc>
        <w:tc>
          <w:tcPr>
            <w:tcW w:w="2205" w:type="dxa"/>
            <w:gridSpan w:val="2"/>
            <w:vAlign w:val="center"/>
          </w:tcPr>
          <w:p w14:paraId="0421DA65">
            <w:pPr>
              <w:spacing w:before="120" w:after="120" w:line="260" w:lineRule="exact"/>
              <w:jc w:val="center"/>
              <w:rPr>
                <w:rFonts w:ascii="宋体" w:hAnsi="宋体"/>
                <w:szCs w:val="21"/>
                <w:highlight w:val="none"/>
              </w:rPr>
            </w:pPr>
            <w:r>
              <w:rPr>
                <w:rFonts w:hint="eastAsia" w:ascii="宋体" w:hAnsi="宋体"/>
                <w:szCs w:val="21"/>
                <w:highlight w:val="none"/>
              </w:rPr>
              <w:t>工程施工许可证号</w:t>
            </w:r>
          </w:p>
        </w:tc>
        <w:tc>
          <w:tcPr>
            <w:tcW w:w="2527" w:type="dxa"/>
            <w:gridSpan w:val="4"/>
            <w:vAlign w:val="center"/>
          </w:tcPr>
          <w:p w14:paraId="48CAE9A2">
            <w:pPr>
              <w:spacing w:before="120" w:after="120" w:line="260" w:lineRule="exact"/>
              <w:jc w:val="center"/>
              <w:rPr>
                <w:rFonts w:ascii="??" w:hAnsi="??" w:eastAsia="Times New Roman"/>
                <w:spacing w:val="20"/>
                <w:szCs w:val="21"/>
                <w:highlight w:val="none"/>
              </w:rPr>
            </w:pPr>
          </w:p>
        </w:tc>
      </w:tr>
      <w:tr w14:paraId="6F73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551C61F8">
            <w:pPr>
              <w:spacing w:line="260" w:lineRule="exact"/>
              <w:jc w:val="center"/>
              <w:rPr>
                <w:rFonts w:ascii="??" w:hAnsi="??" w:eastAsia="Times New Roman"/>
                <w:spacing w:val="14"/>
                <w:sz w:val="24"/>
                <w:highlight w:val="none"/>
              </w:rPr>
            </w:pPr>
          </w:p>
        </w:tc>
        <w:tc>
          <w:tcPr>
            <w:tcW w:w="2100" w:type="dxa"/>
            <w:gridSpan w:val="2"/>
            <w:vAlign w:val="center"/>
          </w:tcPr>
          <w:p w14:paraId="7DE7AE72">
            <w:pPr>
              <w:spacing w:before="120" w:after="120" w:line="260" w:lineRule="exact"/>
              <w:jc w:val="center"/>
              <w:rPr>
                <w:rFonts w:ascii="宋体" w:hAnsi="宋体"/>
                <w:szCs w:val="21"/>
                <w:highlight w:val="none"/>
              </w:rPr>
            </w:pPr>
            <w:r>
              <w:rPr>
                <w:rFonts w:hint="eastAsia" w:ascii="宋体" w:hAnsi="宋体"/>
                <w:szCs w:val="21"/>
                <w:highlight w:val="none"/>
              </w:rPr>
              <w:t>工程开工日期</w:t>
            </w:r>
          </w:p>
        </w:tc>
        <w:tc>
          <w:tcPr>
            <w:tcW w:w="2729" w:type="dxa"/>
            <w:gridSpan w:val="2"/>
            <w:vAlign w:val="center"/>
          </w:tcPr>
          <w:p w14:paraId="49350AFB">
            <w:pPr>
              <w:spacing w:before="120" w:after="120" w:line="260" w:lineRule="exact"/>
              <w:jc w:val="center"/>
              <w:rPr>
                <w:rFonts w:ascii="??" w:hAnsi="??" w:eastAsia="Times New Roman"/>
                <w:spacing w:val="20"/>
                <w:szCs w:val="21"/>
                <w:highlight w:val="none"/>
              </w:rPr>
            </w:pPr>
          </w:p>
        </w:tc>
        <w:tc>
          <w:tcPr>
            <w:tcW w:w="2205" w:type="dxa"/>
            <w:gridSpan w:val="2"/>
            <w:vAlign w:val="center"/>
          </w:tcPr>
          <w:p w14:paraId="420301A6">
            <w:pPr>
              <w:spacing w:before="120" w:after="120" w:line="260" w:lineRule="exact"/>
              <w:jc w:val="center"/>
              <w:rPr>
                <w:rFonts w:ascii="宋体" w:hAnsi="宋体"/>
                <w:szCs w:val="21"/>
                <w:highlight w:val="none"/>
              </w:rPr>
            </w:pPr>
            <w:r>
              <w:rPr>
                <w:rFonts w:hint="eastAsia" w:ascii="宋体" w:hAnsi="宋体"/>
                <w:szCs w:val="21"/>
                <w:highlight w:val="none"/>
              </w:rPr>
              <w:t>竣工验收通过日期</w:t>
            </w:r>
          </w:p>
        </w:tc>
        <w:tc>
          <w:tcPr>
            <w:tcW w:w="2527" w:type="dxa"/>
            <w:gridSpan w:val="4"/>
            <w:vAlign w:val="center"/>
          </w:tcPr>
          <w:p w14:paraId="501310B5">
            <w:pPr>
              <w:spacing w:before="120" w:after="120" w:line="260" w:lineRule="exact"/>
              <w:jc w:val="center"/>
              <w:rPr>
                <w:rFonts w:ascii="??" w:hAnsi="??" w:eastAsia="Times New Roman"/>
                <w:spacing w:val="20"/>
                <w:szCs w:val="21"/>
                <w:highlight w:val="none"/>
              </w:rPr>
            </w:pPr>
          </w:p>
        </w:tc>
      </w:tr>
      <w:tr w14:paraId="3596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67132002">
            <w:pPr>
              <w:spacing w:line="260" w:lineRule="exact"/>
              <w:jc w:val="center"/>
              <w:rPr>
                <w:rFonts w:ascii="??" w:hAnsi="??" w:eastAsia="Times New Roman"/>
                <w:spacing w:val="14"/>
                <w:sz w:val="24"/>
                <w:highlight w:val="none"/>
              </w:rPr>
            </w:pPr>
          </w:p>
        </w:tc>
        <w:tc>
          <w:tcPr>
            <w:tcW w:w="5882" w:type="dxa"/>
            <w:gridSpan w:val="5"/>
            <w:vAlign w:val="center"/>
          </w:tcPr>
          <w:p w14:paraId="59175494">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单位名称</w:t>
            </w:r>
          </w:p>
        </w:tc>
        <w:tc>
          <w:tcPr>
            <w:tcW w:w="3679" w:type="dxa"/>
            <w:gridSpan w:val="5"/>
            <w:tcBorders>
              <w:top w:val="nil"/>
            </w:tcBorders>
            <w:vAlign w:val="center"/>
          </w:tcPr>
          <w:p w14:paraId="55937F24">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项目负责人（原项目负责人）</w:t>
            </w:r>
          </w:p>
        </w:tc>
      </w:tr>
      <w:tr w14:paraId="4CF6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07B61CE4">
            <w:pPr>
              <w:spacing w:line="260" w:lineRule="exact"/>
              <w:jc w:val="center"/>
              <w:rPr>
                <w:rFonts w:ascii="??" w:hAnsi="??" w:eastAsia="Times New Roman"/>
                <w:spacing w:val="-20"/>
                <w:sz w:val="24"/>
                <w:highlight w:val="none"/>
              </w:rPr>
            </w:pPr>
          </w:p>
        </w:tc>
        <w:tc>
          <w:tcPr>
            <w:tcW w:w="1263" w:type="dxa"/>
            <w:vAlign w:val="center"/>
          </w:tcPr>
          <w:p w14:paraId="19D8ED37">
            <w:pPr>
              <w:spacing w:before="120" w:after="120" w:line="260" w:lineRule="exact"/>
              <w:jc w:val="center"/>
              <w:rPr>
                <w:rFonts w:ascii="宋体" w:hAnsi="宋体"/>
                <w:szCs w:val="21"/>
                <w:highlight w:val="none"/>
              </w:rPr>
            </w:pPr>
            <w:r>
              <w:rPr>
                <w:rFonts w:hint="eastAsia" w:ascii="宋体" w:hAnsi="宋体"/>
                <w:szCs w:val="21"/>
                <w:highlight w:val="none"/>
              </w:rPr>
              <w:t>建设单位</w:t>
            </w:r>
          </w:p>
        </w:tc>
        <w:tc>
          <w:tcPr>
            <w:tcW w:w="4619" w:type="dxa"/>
            <w:gridSpan w:val="4"/>
            <w:vAlign w:val="center"/>
          </w:tcPr>
          <w:p w14:paraId="4BC5A352">
            <w:pPr>
              <w:spacing w:before="100" w:after="100" w:line="260" w:lineRule="exact"/>
              <w:jc w:val="center"/>
              <w:rPr>
                <w:rFonts w:ascii="??" w:hAnsi="??" w:eastAsia="Times New Roman"/>
                <w:spacing w:val="20"/>
                <w:szCs w:val="21"/>
                <w:highlight w:val="none"/>
              </w:rPr>
            </w:pPr>
          </w:p>
        </w:tc>
        <w:tc>
          <w:tcPr>
            <w:tcW w:w="1680" w:type="dxa"/>
            <w:gridSpan w:val="2"/>
            <w:vAlign w:val="center"/>
          </w:tcPr>
          <w:p w14:paraId="29B41B86">
            <w:pPr>
              <w:spacing w:before="120" w:after="120" w:line="260" w:lineRule="exact"/>
              <w:jc w:val="center"/>
              <w:rPr>
                <w:rFonts w:ascii="宋体" w:hAnsi="宋体"/>
                <w:szCs w:val="21"/>
                <w:highlight w:val="none"/>
              </w:rPr>
            </w:pPr>
            <w:r>
              <w:rPr>
                <w:rFonts w:hint="eastAsia" w:ascii="宋体" w:hAnsi="宋体"/>
                <w:szCs w:val="21"/>
                <w:highlight w:val="none"/>
              </w:rPr>
              <w:t>项目负责人</w:t>
            </w:r>
          </w:p>
        </w:tc>
        <w:tc>
          <w:tcPr>
            <w:tcW w:w="1999" w:type="dxa"/>
            <w:gridSpan w:val="3"/>
            <w:tcBorders>
              <w:top w:val="nil"/>
            </w:tcBorders>
            <w:vAlign w:val="center"/>
          </w:tcPr>
          <w:p w14:paraId="3672EF4F">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 xml:space="preserve">      （）</w:t>
            </w:r>
          </w:p>
        </w:tc>
      </w:tr>
      <w:tr w14:paraId="09A9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5D197C46">
            <w:pPr>
              <w:spacing w:line="260" w:lineRule="exact"/>
              <w:jc w:val="center"/>
              <w:rPr>
                <w:rFonts w:ascii="??" w:hAnsi="??" w:eastAsia="Times New Roman"/>
                <w:spacing w:val="-20"/>
                <w:sz w:val="24"/>
                <w:highlight w:val="none"/>
              </w:rPr>
            </w:pPr>
          </w:p>
        </w:tc>
        <w:tc>
          <w:tcPr>
            <w:tcW w:w="1263" w:type="dxa"/>
            <w:vAlign w:val="center"/>
          </w:tcPr>
          <w:p w14:paraId="04E6D929">
            <w:pPr>
              <w:spacing w:before="120" w:after="120" w:line="260" w:lineRule="exact"/>
              <w:jc w:val="center"/>
              <w:rPr>
                <w:rFonts w:ascii="宋体" w:hAnsi="宋体"/>
                <w:szCs w:val="21"/>
                <w:highlight w:val="none"/>
              </w:rPr>
            </w:pPr>
            <w:r>
              <w:rPr>
                <w:rFonts w:hint="eastAsia" w:ascii="宋体" w:hAnsi="宋体"/>
                <w:szCs w:val="21"/>
                <w:highlight w:val="none"/>
              </w:rPr>
              <w:t>勘察单位</w:t>
            </w:r>
          </w:p>
        </w:tc>
        <w:tc>
          <w:tcPr>
            <w:tcW w:w="4619" w:type="dxa"/>
            <w:gridSpan w:val="4"/>
            <w:vAlign w:val="center"/>
          </w:tcPr>
          <w:p w14:paraId="339C624B">
            <w:pPr>
              <w:spacing w:before="100" w:after="100" w:line="260" w:lineRule="exact"/>
              <w:jc w:val="center"/>
              <w:rPr>
                <w:rFonts w:ascii="??" w:hAnsi="??" w:eastAsia="Times New Roman"/>
                <w:spacing w:val="20"/>
                <w:szCs w:val="21"/>
                <w:highlight w:val="none"/>
              </w:rPr>
            </w:pPr>
          </w:p>
        </w:tc>
        <w:tc>
          <w:tcPr>
            <w:tcW w:w="1680" w:type="dxa"/>
            <w:gridSpan w:val="2"/>
            <w:vAlign w:val="center"/>
          </w:tcPr>
          <w:p w14:paraId="7D7D3137">
            <w:pPr>
              <w:spacing w:before="120" w:after="120" w:line="260" w:lineRule="exact"/>
              <w:jc w:val="center"/>
              <w:rPr>
                <w:rFonts w:ascii="宋体" w:hAnsi="宋体"/>
                <w:szCs w:val="21"/>
                <w:highlight w:val="none"/>
              </w:rPr>
            </w:pPr>
            <w:r>
              <w:rPr>
                <w:rFonts w:hint="eastAsia" w:ascii="宋体" w:hAnsi="宋体"/>
                <w:szCs w:val="21"/>
                <w:highlight w:val="none"/>
              </w:rPr>
              <w:t>项目负责人</w:t>
            </w:r>
          </w:p>
        </w:tc>
        <w:tc>
          <w:tcPr>
            <w:tcW w:w="1999" w:type="dxa"/>
            <w:gridSpan w:val="3"/>
            <w:vAlign w:val="center"/>
          </w:tcPr>
          <w:p w14:paraId="0CC49135">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 xml:space="preserve">      （）</w:t>
            </w:r>
          </w:p>
        </w:tc>
      </w:tr>
      <w:tr w14:paraId="7C3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1BF193A2">
            <w:pPr>
              <w:spacing w:line="260" w:lineRule="exact"/>
              <w:jc w:val="center"/>
              <w:rPr>
                <w:rFonts w:ascii="??" w:hAnsi="??" w:eastAsia="Times New Roman"/>
                <w:spacing w:val="-20"/>
                <w:sz w:val="24"/>
                <w:highlight w:val="none"/>
              </w:rPr>
            </w:pPr>
          </w:p>
        </w:tc>
        <w:tc>
          <w:tcPr>
            <w:tcW w:w="1263" w:type="dxa"/>
            <w:vAlign w:val="center"/>
          </w:tcPr>
          <w:p w14:paraId="291371F5">
            <w:pPr>
              <w:spacing w:before="120" w:after="120" w:line="260" w:lineRule="exact"/>
              <w:jc w:val="center"/>
              <w:rPr>
                <w:rFonts w:ascii="宋体" w:hAnsi="宋体"/>
                <w:szCs w:val="21"/>
                <w:highlight w:val="none"/>
              </w:rPr>
            </w:pPr>
            <w:r>
              <w:rPr>
                <w:rFonts w:hint="eastAsia" w:ascii="宋体" w:hAnsi="宋体"/>
                <w:szCs w:val="21"/>
                <w:highlight w:val="none"/>
              </w:rPr>
              <w:t>设计单位</w:t>
            </w:r>
          </w:p>
        </w:tc>
        <w:tc>
          <w:tcPr>
            <w:tcW w:w="4619" w:type="dxa"/>
            <w:gridSpan w:val="4"/>
            <w:vAlign w:val="center"/>
          </w:tcPr>
          <w:p w14:paraId="3C5AED54">
            <w:pPr>
              <w:spacing w:before="100" w:after="100" w:line="260" w:lineRule="exact"/>
              <w:jc w:val="center"/>
              <w:rPr>
                <w:rFonts w:ascii="??" w:hAnsi="??" w:eastAsia="Times New Roman"/>
                <w:spacing w:val="20"/>
                <w:szCs w:val="21"/>
                <w:highlight w:val="none"/>
              </w:rPr>
            </w:pPr>
          </w:p>
        </w:tc>
        <w:tc>
          <w:tcPr>
            <w:tcW w:w="1680" w:type="dxa"/>
            <w:gridSpan w:val="2"/>
            <w:vAlign w:val="center"/>
          </w:tcPr>
          <w:p w14:paraId="0B10FA2D">
            <w:pPr>
              <w:spacing w:before="120" w:after="120" w:line="260" w:lineRule="exact"/>
              <w:jc w:val="center"/>
              <w:rPr>
                <w:rFonts w:ascii="宋体" w:hAnsi="宋体"/>
                <w:szCs w:val="21"/>
                <w:highlight w:val="none"/>
              </w:rPr>
            </w:pPr>
            <w:r>
              <w:rPr>
                <w:rFonts w:hint="eastAsia" w:ascii="宋体" w:hAnsi="宋体"/>
                <w:szCs w:val="21"/>
                <w:highlight w:val="none"/>
              </w:rPr>
              <w:t>项目负责人</w:t>
            </w:r>
          </w:p>
        </w:tc>
        <w:tc>
          <w:tcPr>
            <w:tcW w:w="1999" w:type="dxa"/>
            <w:gridSpan w:val="3"/>
            <w:vAlign w:val="center"/>
          </w:tcPr>
          <w:p w14:paraId="1635B61E">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 xml:space="preserve">      （）</w:t>
            </w:r>
          </w:p>
        </w:tc>
      </w:tr>
      <w:tr w14:paraId="752D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425358C4">
            <w:pPr>
              <w:spacing w:line="260" w:lineRule="exact"/>
              <w:jc w:val="center"/>
              <w:rPr>
                <w:rFonts w:ascii="??" w:hAnsi="??" w:eastAsia="Times New Roman"/>
                <w:spacing w:val="-20"/>
                <w:sz w:val="24"/>
                <w:highlight w:val="none"/>
              </w:rPr>
            </w:pPr>
          </w:p>
        </w:tc>
        <w:tc>
          <w:tcPr>
            <w:tcW w:w="1263" w:type="dxa"/>
            <w:vAlign w:val="center"/>
          </w:tcPr>
          <w:p w14:paraId="733814D8">
            <w:pPr>
              <w:spacing w:before="120" w:after="120" w:line="260" w:lineRule="exact"/>
              <w:jc w:val="center"/>
              <w:rPr>
                <w:rFonts w:ascii="宋体" w:hAnsi="宋体"/>
                <w:szCs w:val="21"/>
                <w:highlight w:val="none"/>
              </w:rPr>
            </w:pPr>
            <w:r>
              <w:rPr>
                <w:rFonts w:hint="eastAsia" w:ascii="宋体" w:hAnsi="宋体"/>
                <w:szCs w:val="21"/>
                <w:highlight w:val="none"/>
              </w:rPr>
              <w:t>监理单位</w:t>
            </w:r>
          </w:p>
        </w:tc>
        <w:tc>
          <w:tcPr>
            <w:tcW w:w="4619" w:type="dxa"/>
            <w:gridSpan w:val="4"/>
            <w:vAlign w:val="center"/>
          </w:tcPr>
          <w:p w14:paraId="77C42A87">
            <w:pPr>
              <w:spacing w:before="100" w:after="100" w:line="260" w:lineRule="exact"/>
              <w:jc w:val="center"/>
              <w:rPr>
                <w:rFonts w:ascii="??" w:hAnsi="??" w:eastAsia="Times New Roman"/>
                <w:spacing w:val="20"/>
                <w:szCs w:val="21"/>
                <w:highlight w:val="none"/>
              </w:rPr>
            </w:pPr>
          </w:p>
        </w:tc>
        <w:tc>
          <w:tcPr>
            <w:tcW w:w="1680" w:type="dxa"/>
            <w:gridSpan w:val="2"/>
            <w:vAlign w:val="center"/>
          </w:tcPr>
          <w:p w14:paraId="269C835E">
            <w:pPr>
              <w:spacing w:before="120" w:after="120" w:line="260" w:lineRule="exact"/>
              <w:jc w:val="center"/>
              <w:rPr>
                <w:rFonts w:ascii="宋体" w:hAnsi="宋体"/>
                <w:szCs w:val="21"/>
                <w:highlight w:val="none"/>
              </w:rPr>
            </w:pPr>
            <w:r>
              <w:rPr>
                <w:rFonts w:hint="eastAsia" w:ascii="宋体" w:hAnsi="宋体"/>
                <w:szCs w:val="21"/>
                <w:highlight w:val="none"/>
              </w:rPr>
              <w:t>项目总监</w:t>
            </w:r>
          </w:p>
        </w:tc>
        <w:tc>
          <w:tcPr>
            <w:tcW w:w="1999" w:type="dxa"/>
            <w:gridSpan w:val="3"/>
            <w:vAlign w:val="center"/>
          </w:tcPr>
          <w:p w14:paraId="575FF3A9">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 xml:space="preserve">      （）</w:t>
            </w:r>
          </w:p>
        </w:tc>
      </w:tr>
      <w:tr w14:paraId="3C88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29" w:type="dxa"/>
            <w:vMerge w:val="continue"/>
            <w:tcBorders>
              <w:left w:val="single" w:color="auto" w:sz="6" w:space="0"/>
            </w:tcBorders>
          </w:tcPr>
          <w:p w14:paraId="2365FE96">
            <w:pPr>
              <w:spacing w:line="260" w:lineRule="exact"/>
              <w:jc w:val="center"/>
              <w:rPr>
                <w:rFonts w:ascii="??" w:hAnsi="??" w:eastAsia="Times New Roman"/>
                <w:spacing w:val="-20"/>
                <w:sz w:val="24"/>
                <w:highlight w:val="none"/>
              </w:rPr>
            </w:pPr>
          </w:p>
        </w:tc>
        <w:tc>
          <w:tcPr>
            <w:tcW w:w="1263" w:type="dxa"/>
            <w:vAlign w:val="center"/>
          </w:tcPr>
          <w:p w14:paraId="6B953EBB">
            <w:pPr>
              <w:spacing w:before="120" w:after="120" w:line="260" w:lineRule="exact"/>
              <w:jc w:val="center"/>
              <w:rPr>
                <w:rFonts w:ascii="宋体" w:hAnsi="宋体"/>
                <w:szCs w:val="21"/>
                <w:highlight w:val="none"/>
              </w:rPr>
            </w:pPr>
            <w:r>
              <w:rPr>
                <w:rFonts w:hint="eastAsia" w:ascii="宋体" w:hAnsi="宋体"/>
                <w:szCs w:val="21"/>
                <w:highlight w:val="none"/>
              </w:rPr>
              <w:t>施工单位</w:t>
            </w:r>
          </w:p>
        </w:tc>
        <w:tc>
          <w:tcPr>
            <w:tcW w:w="4619" w:type="dxa"/>
            <w:gridSpan w:val="4"/>
            <w:vAlign w:val="center"/>
          </w:tcPr>
          <w:p w14:paraId="76D3E086">
            <w:pPr>
              <w:spacing w:before="100" w:after="100" w:line="260" w:lineRule="exact"/>
              <w:jc w:val="center"/>
              <w:rPr>
                <w:rFonts w:ascii="??" w:hAnsi="??" w:eastAsia="Times New Roman"/>
                <w:spacing w:val="20"/>
                <w:szCs w:val="21"/>
                <w:highlight w:val="none"/>
              </w:rPr>
            </w:pPr>
          </w:p>
        </w:tc>
        <w:tc>
          <w:tcPr>
            <w:tcW w:w="1680" w:type="dxa"/>
            <w:gridSpan w:val="2"/>
            <w:vAlign w:val="center"/>
          </w:tcPr>
          <w:p w14:paraId="66E38990">
            <w:pPr>
              <w:spacing w:before="120" w:after="120" w:line="260" w:lineRule="exact"/>
              <w:jc w:val="center"/>
              <w:rPr>
                <w:rFonts w:ascii="宋体" w:hAnsi="宋体"/>
                <w:szCs w:val="21"/>
                <w:highlight w:val="none"/>
              </w:rPr>
            </w:pPr>
            <w:r>
              <w:rPr>
                <w:rFonts w:hint="eastAsia" w:ascii="宋体" w:hAnsi="宋体"/>
                <w:szCs w:val="21"/>
                <w:highlight w:val="none"/>
              </w:rPr>
              <w:t>项目经理</w:t>
            </w:r>
          </w:p>
        </w:tc>
        <w:tc>
          <w:tcPr>
            <w:tcW w:w="1999" w:type="dxa"/>
            <w:gridSpan w:val="3"/>
            <w:vAlign w:val="center"/>
          </w:tcPr>
          <w:p w14:paraId="7406F59E">
            <w:pPr>
              <w:spacing w:before="100" w:after="100" w:line="260" w:lineRule="exact"/>
              <w:jc w:val="center"/>
              <w:rPr>
                <w:rFonts w:ascii="??" w:hAnsi="??" w:eastAsia="Times New Roman"/>
                <w:spacing w:val="20"/>
                <w:szCs w:val="21"/>
                <w:highlight w:val="none"/>
              </w:rPr>
            </w:pPr>
            <w:r>
              <w:rPr>
                <w:rFonts w:hint="eastAsia" w:ascii="宋体" w:hAnsi="宋体"/>
                <w:spacing w:val="20"/>
                <w:szCs w:val="21"/>
                <w:highlight w:val="none"/>
              </w:rPr>
              <w:t xml:space="preserve">      （）</w:t>
            </w:r>
          </w:p>
        </w:tc>
      </w:tr>
      <w:tr w14:paraId="0C99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35" w:hRule="atLeast"/>
          <w:jc w:val="center"/>
        </w:trPr>
        <w:tc>
          <w:tcPr>
            <w:tcW w:w="629" w:type="dxa"/>
            <w:vMerge w:val="restart"/>
            <w:vAlign w:val="center"/>
          </w:tcPr>
          <w:p w14:paraId="65987316">
            <w:pPr>
              <w:widowControl/>
              <w:spacing w:line="300" w:lineRule="exact"/>
              <w:rPr>
                <w:rFonts w:ascii="??" w:hAnsi="??" w:eastAsia="Times New Roman"/>
                <w:b/>
                <w:spacing w:val="20"/>
                <w:sz w:val="24"/>
                <w:highlight w:val="none"/>
              </w:rPr>
            </w:pPr>
          </w:p>
          <w:p w14:paraId="30913F3C">
            <w:pPr>
              <w:widowControl/>
              <w:spacing w:line="300" w:lineRule="exact"/>
              <w:jc w:val="center"/>
              <w:rPr>
                <w:rFonts w:ascii="??" w:hAnsi="??" w:eastAsia="Times New Roman"/>
                <w:b/>
                <w:spacing w:val="20"/>
                <w:sz w:val="24"/>
                <w:highlight w:val="none"/>
              </w:rPr>
            </w:pPr>
          </w:p>
          <w:p w14:paraId="2DA5D4E1">
            <w:pPr>
              <w:widowControl/>
              <w:spacing w:line="300" w:lineRule="exact"/>
              <w:jc w:val="center"/>
              <w:rPr>
                <w:rFonts w:ascii="宋体" w:hAnsi="宋体"/>
                <w:b/>
                <w:spacing w:val="20"/>
                <w:sz w:val="24"/>
                <w:highlight w:val="none"/>
              </w:rPr>
            </w:pPr>
            <w:r>
              <w:rPr>
                <w:rFonts w:hint="eastAsia" w:ascii="宋体" w:hAnsi="宋体"/>
                <w:b/>
                <w:spacing w:val="20"/>
                <w:sz w:val="24"/>
                <w:highlight w:val="none"/>
              </w:rPr>
              <w:t>检</w:t>
            </w:r>
          </w:p>
          <w:p w14:paraId="65235657">
            <w:pPr>
              <w:widowControl/>
              <w:spacing w:line="300" w:lineRule="exact"/>
              <w:jc w:val="center"/>
              <w:rPr>
                <w:rFonts w:ascii="宋体" w:hAnsi="宋体"/>
                <w:b/>
                <w:spacing w:val="20"/>
                <w:sz w:val="24"/>
                <w:highlight w:val="none"/>
              </w:rPr>
            </w:pPr>
          </w:p>
          <w:p w14:paraId="57615D1F">
            <w:pPr>
              <w:widowControl/>
              <w:spacing w:line="300" w:lineRule="exact"/>
              <w:jc w:val="center"/>
              <w:rPr>
                <w:rFonts w:ascii="宋体" w:hAnsi="宋体"/>
                <w:b/>
                <w:spacing w:val="20"/>
                <w:sz w:val="24"/>
                <w:highlight w:val="none"/>
              </w:rPr>
            </w:pPr>
            <w:r>
              <w:rPr>
                <w:rFonts w:hint="eastAsia" w:ascii="宋体" w:hAnsi="宋体"/>
                <w:b/>
                <w:spacing w:val="20"/>
                <w:sz w:val="24"/>
                <w:highlight w:val="none"/>
              </w:rPr>
              <w:t>测</w:t>
            </w:r>
          </w:p>
          <w:p w14:paraId="21554A63">
            <w:pPr>
              <w:widowControl/>
              <w:spacing w:line="300" w:lineRule="exact"/>
              <w:jc w:val="center"/>
              <w:rPr>
                <w:rFonts w:ascii="宋体" w:hAnsi="宋体"/>
                <w:b/>
                <w:spacing w:val="20"/>
                <w:sz w:val="24"/>
                <w:highlight w:val="none"/>
              </w:rPr>
            </w:pPr>
          </w:p>
          <w:p w14:paraId="367F0ED5">
            <w:pPr>
              <w:widowControl/>
              <w:spacing w:line="300" w:lineRule="exact"/>
              <w:jc w:val="center"/>
              <w:rPr>
                <w:rFonts w:ascii="宋体" w:hAnsi="宋体"/>
                <w:b/>
                <w:spacing w:val="20"/>
                <w:sz w:val="24"/>
                <w:highlight w:val="none"/>
              </w:rPr>
            </w:pPr>
            <w:r>
              <w:rPr>
                <w:rFonts w:hint="eastAsia" w:ascii="宋体" w:hAnsi="宋体"/>
                <w:b/>
                <w:spacing w:val="20"/>
                <w:sz w:val="24"/>
                <w:highlight w:val="none"/>
              </w:rPr>
              <w:t>记</w:t>
            </w:r>
          </w:p>
          <w:p w14:paraId="74F28EAD">
            <w:pPr>
              <w:widowControl/>
              <w:spacing w:line="300" w:lineRule="exact"/>
              <w:jc w:val="center"/>
              <w:rPr>
                <w:rFonts w:ascii="宋体" w:hAnsi="宋体"/>
                <w:b/>
                <w:spacing w:val="20"/>
                <w:sz w:val="24"/>
                <w:highlight w:val="none"/>
              </w:rPr>
            </w:pPr>
          </w:p>
          <w:p w14:paraId="65A9FAC1">
            <w:pPr>
              <w:widowControl/>
              <w:spacing w:line="300" w:lineRule="exact"/>
              <w:jc w:val="center"/>
              <w:rPr>
                <w:rFonts w:ascii="??" w:hAnsi="??" w:eastAsia="Times New Roman"/>
                <w:b/>
                <w:spacing w:val="20"/>
                <w:sz w:val="24"/>
                <w:highlight w:val="none"/>
              </w:rPr>
            </w:pPr>
            <w:r>
              <w:rPr>
                <w:rFonts w:hint="eastAsia" w:ascii="宋体" w:hAnsi="宋体"/>
                <w:b/>
                <w:spacing w:val="20"/>
                <w:sz w:val="24"/>
                <w:highlight w:val="none"/>
              </w:rPr>
              <w:t>录</w:t>
            </w:r>
          </w:p>
        </w:tc>
        <w:tc>
          <w:tcPr>
            <w:tcW w:w="1263" w:type="dxa"/>
            <w:tcBorders>
              <w:top w:val="single" w:color="auto" w:sz="6" w:space="0"/>
              <w:left w:val="nil"/>
            </w:tcBorders>
            <w:vAlign w:val="center"/>
          </w:tcPr>
          <w:p w14:paraId="7FC5D898">
            <w:pPr>
              <w:spacing w:before="120" w:after="120" w:line="260" w:lineRule="exact"/>
              <w:jc w:val="center"/>
              <w:rPr>
                <w:rFonts w:ascii="宋体" w:hAnsi="宋体"/>
                <w:szCs w:val="21"/>
                <w:highlight w:val="none"/>
              </w:rPr>
            </w:pPr>
            <w:r>
              <w:rPr>
                <w:rFonts w:hint="eastAsia" w:ascii="宋体" w:hAnsi="宋体"/>
                <w:szCs w:val="21"/>
                <w:highlight w:val="none"/>
              </w:rPr>
              <w:t>序号</w:t>
            </w:r>
          </w:p>
        </w:tc>
        <w:tc>
          <w:tcPr>
            <w:tcW w:w="3098" w:type="dxa"/>
            <w:gridSpan w:val="2"/>
            <w:tcBorders>
              <w:top w:val="single" w:color="auto" w:sz="6" w:space="0"/>
            </w:tcBorders>
            <w:vAlign w:val="center"/>
          </w:tcPr>
          <w:p w14:paraId="26504C39">
            <w:pPr>
              <w:spacing w:before="120" w:after="120" w:line="260" w:lineRule="exact"/>
              <w:jc w:val="center"/>
              <w:rPr>
                <w:rFonts w:ascii="宋体" w:hAnsi="宋体"/>
                <w:szCs w:val="21"/>
                <w:highlight w:val="none"/>
              </w:rPr>
            </w:pPr>
            <w:r>
              <w:rPr>
                <w:rFonts w:hint="eastAsia" w:ascii="宋体" w:hAnsi="宋体"/>
                <w:szCs w:val="21"/>
                <w:highlight w:val="none"/>
              </w:rPr>
              <w:t>项目名称</w:t>
            </w:r>
          </w:p>
        </w:tc>
        <w:tc>
          <w:tcPr>
            <w:tcW w:w="5186" w:type="dxa"/>
            <w:gridSpan w:val="6"/>
            <w:tcBorders>
              <w:top w:val="single" w:color="auto" w:sz="6" w:space="0"/>
              <w:left w:val="nil"/>
              <w:right w:val="single" w:color="auto" w:sz="6" w:space="0"/>
            </w:tcBorders>
            <w:vAlign w:val="center"/>
          </w:tcPr>
          <w:p w14:paraId="6F9E914F">
            <w:pPr>
              <w:spacing w:before="120" w:after="120" w:line="260" w:lineRule="exact"/>
              <w:jc w:val="center"/>
              <w:rPr>
                <w:rFonts w:ascii="宋体" w:hAnsi="宋体"/>
                <w:szCs w:val="21"/>
                <w:highlight w:val="none"/>
              </w:rPr>
            </w:pPr>
            <w:r>
              <w:rPr>
                <w:rFonts w:hint="eastAsia" w:ascii="宋体" w:hAnsi="宋体"/>
                <w:szCs w:val="21"/>
                <w:highlight w:val="none"/>
              </w:rPr>
              <w:t>检测结果</w:t>
            </w:r>
          </w:p>
        </w:tc>
      </w:tr>
      <w:tr w14:paraId="6A7E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912" w:hRule="atLeast"/>
          <w:jc w:val="center"/>
        </w:trPr>
        <w:tc>
          <w:tcPr>
            <w:tcW w:w="629" w:type="dxa"/>
            <w:vMerge w:val="continue"/>
          </w:tcPr>
          <w:p w14:paraId="2135FE06">
            <w:pPr>
              <w:widowControl/>
              <w:spacing w:line="300" w:lineRule="exact"/>
              <w:rPr>
                <w:rFonts w:ascii="??" w:hAnsi="??" w:eastAsia="Times New Roman"/>
                <w:spacing w:val="20"/>
                <w:sz w:val="24"/>
                <w:highlight w:val="none"/>
              </w:rPr>
            </w:pPr>
          </w:p>
        </w:tc>
        <w:tc>
          <w:tcPr>
            <w:tcW w:w="1263" w:type="dxa"/>
            <w:tcBorders>
              <w:left w:val="nil"/>
            </w:tcBorders>
            <w:vAlign w:val="center"/>
          </w:tcPr>
          <w:p w14:paraId="1F4E3FB7">
            <w:pPr>
              <w:spacing w:line="300" w:lineRule="exact"/>
              <w:jc w:val="center"/>
              <w:rPr>
                <w:rFonts w:ascii="??" w:hAnsi="??" w:eastAsia="Times New Roman"/>
                <w:szCs w:val="21"/>
                <w:highlight w:val="none"/>
              </w:rPr>
            </w:pPr>
            <w:r>
              <w:rPr>
                <w:rFonts w:ascii="??" w:hAnsi="??" w:eastAsia="Times New Roman"/>
                <w:szCs w:val="21"/>
                <w:highlight w:val="none"/>
              </w:rPr>
              <w:t>1</w:t>
            </w:r>
          </w:p>
        </w:tc>
        <w:tc>
          <w:tcPr>
            <w:tcW w:w="3098" w:type="dxa"/>
            <w:gridSpan w:val="2"/>
            <w:vAlign w:val="center"/>
          </w:tcPr>
          <w:p w14:paraId="47252478">
            <w:pPr>
              <w:spacing w:line="300" w:lineRule="exact"/>
              <w:jc w:val="center"/>
              <w:rPr>
                <w:rFonts w:ascii="??" w:hAnsi="??" w:eastAsia="Times New Roman"/>
                <w:szCs w:val="21"/>
                <w:highlight w:val="none"/>
              </w:rPr>
            </w:pPr>
            <w:r>
              <w:rPr>
                <w:rFonts w:hint="eastAsia" w:ascii="宋体" w:hAnsi="宋体"/>
                <w:szCs w:val="21"/>
                <w:highlight w:val="none"/>
              </w:rPr>
              <w:t>车行道弯沉值</w:t>
            </w:r>
          </w:p>
        </w:tc>
        <w:tc>
          <w:tcPr>
            <w:tcW w:w="5186" w:type="dxa"/>
            <w:gridSpan w:val="6"/>
            <w:tcBorders>
              <w:left w:val="nil"/>
              <w:right w:val="single" w:color="auto" w:sz="6" w:space="0"/>
            </w:tcBorders>
            <w:vAlign w:val="center"/>
          </w:tcPr>
          <w:p w14:paraId="55EA3150">
            <w:pPr>
              <w:widowControl/>
              <w:spacing w:line="300" w:lineRule="exact"/>
              <w:ind w:firstLine="1155" w:firstLineChars="550"/>
              <w:jc w:val="center"/>
              <w:rPr>
                <w:rFonts w:ascii="??" w:hAnsi="??" w:eastAsia="Times New Roman"/>
                <w:szCs w:val="21"/>
                <w:highlight w:val="none"/>
              </w:rPr>
            </w:pPr>
          </w:p>
        </w:tc>
      </w:tr>
      <w:tr w14:paraId="593F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0" w:hRule="atLeast"/>
          <w:jc w:val="center"/>
        </w:trPr>
        <w:tc>
          <w:tcPr>
            <w:tcW w:w="629" w:type="dxa"/>
            <w:vMerge w:val="continue"/>
          </w:tcPr>
          <w:p w14:paraId="3DB70439">
            <w:pPr>
              <w:widowControl/>
              <w:spacing w:line="300" w:lineRule="exact"/>
              <w:jc w:val="left"/>
              <w:rPr>
                <w:rFonts w:ascii="??" w:hAnsi="??" w:eastAsia="Times New Roman"/>
                <w:spacing w:val="20"/>
                <w:sz w:val="24"/>
                <w:highlight w:val="none"/>
              </w:rPr>
            </w:pPr>
          </w:p>
        </w:tc>
        <w:tc>
          <w:tcPr>
            <w:tcW w:w="1263" w:type="dxa"/>
            <w:tcBorders>
              <w:left w:val="nil"/>
            </w:tcBorders>
            <w:vAlign w:val="center"/>
          </w:tcPr>
          <w:p w14:paraId="09DD1B96">
            <w:pPr>
              <w:spacing w:line="300" w:lineRule="exact"/>
              <w:jc w:val="center"/>
              <w:rPr>
                <w:rFonts w:ascii="??" w:hAnsi="??" w:eastAsia="Times New Roman"/>
                <w:szCs w:val="21"/>
                <w:highlight w:val="none"/>
              </w:rPr>
            </w:pPr>
            <w:r>
              <w:rPr>
                <w:rFonts w:ascii="??" w:hAnsi="??" w:eastAsia="Times New Roman"/>
                <w:szCs w:val="21"/>
                <w:highlight w:val="none"/>
              </w:rPr>
              <w:t>2</w:t>
            </w:r>
          </w:p>
        </w:tc>
        <w:tc>
          <w:tcPr>
            <w:tcW w:w="3098" w:type="dxa"/>
            <w:gridSpan w:val="2"/>
            <w:vAlign w:val="center"/>
          </w:tcPr>
          <w:p w14:paraId="6047D10E">
            <w:pPr>
              <w:spacing w:line="300" w:lineRule="exact"/>
              <w:jc w:val="center"/>
              <w:rPr>
                <w:rFonts w:ascii="??" w:hAnsi="??" w:eastAsia="Times New Roman"/>
                <w:szCs w:val="21"/>
                <w:highlight w:val="none"/>
              </w:rPr>
            </w:pPr>
            <w:r>
              <w:rPr>
                <w:rFonts w:hint="eastAsia" w:ascii="宋体" w:hAnsi="宋体"/>
                <w:szCs w:val="21"/>
                <w:highlight w:val="none"/>
              </w:rPr>
              <w:t>车行道面层厚度</w:t>
            </w:r>
          </w:p>
        </w:tc>
        <w:tc>
          <w:tcPr>
            <w:tcW w:w="5186" w:type="dxa"/>
            <w:gridSpan w:val="6"/>
            <w:tcBorders>
              <w:left w:val="nil"/>
              <w:right w:val="single" w:color="auto" w:sz="6" w:space="0"/>
            </w:tcBorders>
            <w:vAlign w:val="center"/>
          </w:tcPr>
          <w:p w14:paraId="63FBDF5C">
            <w:pPr>
              <w:widowControl/>
              <w:spacing w:line="300" w:lineRule="exact"/>
              <w:ind w:firstLine="1155" w:firstLineChars="550"/>
              <w:jc w:val="center"/>
              <w:rPr>
                <w:rFonts w:ascii="??" w:hAnsi="??" w:eastAsia="Times New Roman"/>
                <w:szCs w:val="21"/>
                <w:highlight w:val="none"/>
              </w:rPr>
            </w:pPr>
          </w:p>
        </w:tc>
      </w:tr>
      <w:tr w14:paraId="1624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8" w:hRule="atLeast"/>
          <w:jc w:val="center"/>
        </w:trPr>
        <w:tc>
          <w:tcPr>
            <w:tcW w:w="629" w:type="dxa"/>
            <w:vMerge w:val="continue"/>
          </w:tcPr>
          <w:p w14:paraId="5310E57C">
            <w:pPr>
              <w:widowControl/>
              <w:spacing w:line="300" w:lineRule="exact"/>
              <w:jc w:val="left"/>
              <w:rPr>
                <w:rFonts w:ascii="??" w:hAnsi="??" w:eastAsia="Times New Roman"/>
                <w:spacing w:val="20"/>
                <w:sz w:val="24"/>
                <w:highlight w:val="none"/>
              </w:rPr>
            </w:pPr>
          </w:p>
        </w:tc>
        <w:tc>
          <w:tcPr>
            <w:tcW w:w="1263" w:type="dxa"/>
            <w:tcBorders>
              <w:left w:val="nil"/>
            </w:tcBorders>
            <w:vAlign w:val="center"/>
          </w:tcPr>
          <w:p w14:paraId="3F98A791">
            <w:pPr>
              <w:spacing w:line="300" w:lineRule="exact"/>
              <w:jc w:val="center"/>
              <w:rPr>
                <w:rFonts w:ascii="??" w:hAnsi="??" w:eastAsia="Times New Roman"/>
                <w:szCs w:val="21"/>
                <w:highlight w:val="none"/>
              </w:rPr>
            </w:pPr>
            <w:r>
              <w:rPr>
                <w:rFonts w:ascii="??" w:hAnsi="??" w:eastAsia="Times New Roman"/>
                <w:szCs w:val="21"/>
                <w:highlight w:val="none"/>
              </w:rPr>
              <w:t>3</w:t>
            </w:r>
          </w:p>
        </w:tc>
        <w:tc>
          <w:tcPr>
            <w:tcW w:w="3098" w:type="dxa"/>
            <w:gridSpan w:val="2"/>
            <w:vAlign w:val="center"/>
          </w:tcPr>
          <w:p w14:paraId="12683261">
            <w:pPr>
              <w:spacing w:line="300" w:lineRule="exact"/>
              <w:jc w:val="center"/>
              <w:rPr>
                <w:rFonts w:ascii="??" w:hAnsi="??" w:eastAsia="Times New Roman"/>
                <w:szCs w:val="21"/>
                <w:highlight w:val="none"/>
              </w:rPr>
            </w:pPr>
            <w:r>
              <w:rPr>
                <w:rFonts w:hint="eastAsia" w:ascii="宋体" w:hAnsi="宋体"/>
                <w:szCs w:val="21"/>
                <w:highlight w:val="none"/>
              </w:rPr>
              <w:t>车行道平整度</w:t>
            </w:r>
          </w:p>
        </w:tc>
        <w:tc>
          <w:tcPr>
            <w:tcW w:w="5186" w:type="dxa"/>
            <w:gridSpan w:val="6"/>
            <w:tcBorders>
              <w:left w:val="nil"/>
              <w:right w:val="single" w:color="auto" w:sz="6" w:space="0"/>
            </w:tcBorders>
            <w:vAlign w:val="center"/>
          </w:tcPr>
          <w:p w14:paraId="0E571E25">
            <w:pPr>
              <w:widowControl/>
              <w:spacing w:line="300" w:lineRule="exact"/>
              <w:ind w:firstLine="1375" w:firstLineChars="550"/>
              <w:jc w:val="center"/>
              <w:rPr>
                <w:rFonts w:ascii="??" w:hAnsi="??" w:eastAsia="Times New Roman"/>
                <w:spacing w:val="20"/>
                <w:szCs w:val="21"/>
                <w:highlight w:val="none"/>
              </w:rPr>
            </w:pPr>
          </w:p>
        </w:tc>
      </w:tr>
      <w:tr w14:paraId="414E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28C01F82">
            <w:pPr>
              <w:widowControl/>
              <w:spacing w:line="300" w:lineRule="exact"/>
              <w:jc w:val="left"/>
              <w:rPr>
                <w:rFonts w:ascii="??" w:hAnsi="??" w:eastAsia="Times New Roman"/>
                <w:spacing w:val="20"/>
                <w:sz w:val="24"/>
                <w:highlight w:val="none"/>
              </w:rPr>
            </w:pPr>
          </w:p>
        </w:tc>
        <w:tc>
          <w:tcPr>
            <w:tcW w:w="1263" w:type="dxa"/>
            <w:tcBorders>
              <w:left w:val="nil"/>
            </w:tcBorders>
            <w:vAlign w:val="center"/>
          </w:tcPr>
          <w:p w14:paraId="32FCF668">
            <w:pPr>
              <w:spacing w:line="300" w:lineRule="exact"/>
              <w:jc w:val="center"/>
              <w:rPr>
                <w:rFonts w:ascii="??" w:hAnsi="??" w:eastAsia="Times New Roman"/>
                <w:szCs w:val="21"/>
                <w:highlight w:val="none"/>
              </w:rPr>
            </w:pPr>
            <w:r>
              <w:rPr>
                <w:rFonts w:ascii="??" w:hAnsi="??" w:eastAsia="Times New Roman"/>
                <w:szCs w:val="21"/>
                <w:highlight w:val="none"/>
              </w:rPr>
              <w:t>4</w:t>
            </w:r>
          </w:p>
        </w:tc>
        <w:tc>
          <w:tcPr>
            <w:tcW w:w="3098" w:type="dxa"/>
            <w:gridSpan w:val="2"/>
            <w:vAlign w:val="center"/>
          </w:tcPr>
          <w:p w14:paraId="4A346A16">
            <w:pPr>
              <w:spacing w:line="300" w:lineRule="exact"/>
              <w:jc w:val="center"/>
              <w:rPr>
                <w:rFonts w:ascii="??" w:hAnsi="??" w:eastAsia="宋体"/>
                <w:szCs w:val="21"/>
                <w:highlight w:val="none"/>
              </w:rPr>
            </w:pPr>
            <w:r>
              <w:rPr>
                <w:rFonts w:hint="eastAsia" w:ascii="宋体" w:hAnsi="宋体" w:eastAsia="宋体"/>
                <w:szCs w:val="21"/>
                <w:highlight w:val="none"/>
              </w:rPr>
              <w:t>沥青混合料面层压实度</w:t>
            </w:r>
          </w:p>
        </w:tc>
        <w:tc>
          <w:tcPr>
            <w:tcW w:w="5186" w:type="dxa"/>
            <w:gridSpan w:val="6"/>
            <w:tcBorders>
              <w:left w:val="nil"/>
              <w:right w:val="single" w:color="auto" w:sz="6" w:space="0"/>
            </w:tcBorders>
            <w:vAlign w:val="center"/>
          </w:tcPr>
          <w:p w14:paraId="211C2730">
            <w:pPr>
              <w:widowControl/>
              <w:spacing w:line="300" w:lineRule="exact"/>
              <w:ind w:firstLine="1375" w:firstLineChars="550"/>
              <w:jc w:val="center"/>
              <w:rPr>
                <w:rFonts w:ascii="??" w:hAnsi="??" w:eastAsia="Times New Roman"/>
                <w:spacing w:val="20"/>
                <w:szCs w:val="21"/>
                <w:highlight w:val="none"/>
              </w:rPr>
            </w:pPr>
          </w:p>
        </w:tc>
      </w:tr>
      <w:tr w14:paraId="4FF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4" w:hRule="atLeast"/>
          <w:jc w:val="center"/>
        </w:trPr>
        <w:tc>
          <w:tcPr>
            <w:tcW w:w="629" w:type="dxa"/>
            <w:vMerge w:val="continue"/>
          </w:tcPr>
          <w:p w14:paraId="67CD3E79">
            <w:pPr>
              <w:widowControl/>
              <w:spacing w:line="300" w:lineRule="exact"/>
              <w:jc w:val="left"/>
              <w:rPr>
                <w:rFonts w:ascii="??" w:hAnsi="??" w:eastAsia="Times New Roman"/>
                <w:spacing w:val="20"/>
                <w:sz w:val="24"/>
                <w:highlight w:val="none"/>
              </w:rPr>
            </w:pPr>
          </w:p>
        </w:tc>
        <w:tc>
          <w:tcPr>
            <w:tcW w:w="1263" w:type="dxa"/>
            <w:tcBorders>
              <w:left w:val="nil"/>
            </w:tcBorders>
            <w:vAlign w:val="center"/>
          </w:tcPr>
          <w:p w14:paraId="7D9AEC76">
            <w:pPr>
              <w:widowControl/>
              <w:spacing w:line="300" w:lineRule="exact"/>
              <w:jc w:val="center"/>
              <w:rPr>
                <w:rFonts w:ascii="??" w:hAnsi="??" w:eastAsia="Times New Roman"/>
                <w:spacing w:val="20"/>
                <w:szCs w:val="21"/>
                <w:highlight w:val="none"/>
              </w:rPr>
            </w:pPr>
            <w:r>
              <w:rPr>
                <w:rFonts w:hint="eastAsia" w:ascii="??" w:hAnsi="??" w:eastAsia="Times New Roman"/>
                <w:spacing w:val="20"/>
                <w:szCs w:val="21"/>
                <w:highlight w:val="none"/>
              </w:rPr>
              <w:t>5</w:t>
            </w:r>
          </w:p>
        </w:tc>
        <w:tc>
          <w:tcPr>
            <w:tcW w:w="3098" w:type="dxa"/>
            <w:gridSpan w:val="2"/>
            <w:vAlign w:val="center"/>
          </w:tcPr>
          <w:p w14:paraId="3533DA69">
            <w:pPr>
              <w:widowControl/>
              <w:spacing w:line="300" w:lineRule="exact"/>
              <w:jc w:val="center"/>
              <w:rPr>
                <w:rFonts w:ascii="??" w:hAnsi="??"/>
                <w:szCs w:val="21"/>
                <w:highlight w:val="none"/>
              </w:rPr>
            </w:pPr>
            <w:r>
              <w:rPr>
                <w:rFonts w:hint="eastAsia" w:ascii="宋体" w:hAnsi="宋体"/>
                <w:szCs w:val="21"/>
                <w:highlight w:val="none"/>
              </w:rPr>
              <w:t>人行道材料强度</w:t>
            </w:r>
          </w:p>
        </w:tc>
        <w:tc>
          <w:tcPr>
            <w:tcW w:w="5186" w:type="dxa"/>
            <w:gridSpan w:val="6"/>
            <w:tcBorders>
              <w:left w:val="nil"/>
              <w:right w:val="single" w:color="auto" w:sz="6" w:space="0"/>
            </w:tcBorders>
            <w:vAlign w:val="center"/>
          </w:tcPr>
          <w:p w14:paraId="7B814449">
            <w:pPr>
              <w:widowControl/>
              <w:spacing w:line="300" w:lineRule="exact"/>
              <w:ind w:firstLine="1000" w:firstLineChars="400"/>
              <w:jc w:val="center"/>
              <w:rPr>
                <w:rFonts w:ascii="??" w:hAnsi="??" w:eastAsia="Times New Roman"/>
                <w:spacing w:val="20"/>
                <w:szCs w:val="21"/>
                <w:highlight w:val="none"/>
              </w:rPr>
            </w:pPr>
          </w:p>
        </w:tc>
      </w:tr>
      <w:tr w14:paraId="612F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6" w:hRule="atLeast"/>
          <w:jc w:val="center"/>
        </w:trPr>
        <w:tc>
          <w:tcPr>
            <w:tcW w:w="629" w:type="dxa"/>
            <w:vMerge w:val="continue"/>
          </w:tcPr>
          <w:p w14:paraId="51D1DEB6">
            <w:pPr>
              <w:widowControl/>
              <w:spacing w:line="300" w:lineRule="exact"/>
              <w:jc w:val="left"/>
              <w:rPr>
                <w:rFonts w:ascii="??" w:hAnsi="??" w:eastAsia="Times New Roman"/>
                <w:spacing w:val="20"/>
                <w:sz w:val="24"/>
                <w:highlight w:val="none"/>
              </w:rPr>
            </w:pPr>
          </w:p>
        </w:tc>
        <w:tc>
          <w:tcPr>
            <w:tcW w:w="1263" w:type="dxa"/>
            <w:tcBorders>
              <w:left w:val="nil"/>
            </w:tcBorders>
            <w:vAlign w:val="center"/>
          </w:tcPr>
          <w:p w14:paraId="2F2EB6E0">
            <w:pPr>
              <w:widowControl/>
              <w:spacing w:line="300" w:lineRule="exact"/>
              <w:jc w:val="center"/>
              <w:rPr>
                <w:rFonts w:ascii="??" w:hAnsi="??" w:eastAsia="Times New Roman"/>
                <w:spacing w:val="-22"/>
                <w:szCs w:val="21"/>
                <w:highlight w:val="none"/>
              </w:rPr>
            </w:pPr>
            <w:r>
              <w:rPr>
                <w:rFonts w:hint="eastAsia" w:ascii="??" w:hAnsi="??" w:eastAsia="Times New Roman"/>
                <w:spacing w:val="-22"/>
                <w:szCs w:val="21"/>
                <w:highlight w:val="none"/>
              </w:rPr>
              <w:t>6</w:t>
            </w:r>
          </w:p>
        </w:tc>
        <w:tc>
          <w:tcPr>
            <w:tcW w:w="3098" w:type="dxa"/>
            <w:gridSpan w:val="2"/>
            <w:vAlign w:val="center"/>
          </w:tcPr>
          <w:p w14:paraId="57BDAFF8">
            <w:pPr>
              <w:widowControl/>
              <w:spacing w:line="300" w:lineRule="exact"/>
              <w:jc w:val="center"/>
              <w:rPr>
                <w:rFonts w:ascii="??" w:hAnsi="??" w:eastAsia="Times New Roman"/>
                <w:szCs w:val="21"/>
                <w:highlight w:val="none"/>
              </w:rPr>
            </w:pPr>
            <w:r>
              <w:rPr>
                <w:rFonts w:hint="eastAsia" w:ascii="宋体" w:hAnsi="宋体"/>
                <w:szCs w:val="21"/>
                <w:highlight w:val="none"/>
              </w:rPr>
              <w:t>人行道材料外观尺寸</w:t>
            </w:r>
          </w:p>
        </w:tc>
        <w:tc>
          <w:tcPr>
            <w:tcW w:w="5186" w:type="dxa"/>
            <w:gridSpan w:val="6"/>
            <w:tcBorders>
              <w:left w:val="nil"/>
              <w:right w:val="single" w:color="auto" w:sz="6" w:space="0"/>
            </w:tcBorders>
            <w:vAlign w:val="center"/>
          </w:tcPr>
          <w:p w14:paraId="04E3B555">
            <w:pPr>
              <w:widowControl/>
              <w:spacing w:line="300" w:lineRule="exact"/>
              <w:ind w:firstLine="1125" w:firstLineChars="450"/>
              <w:jc w:val="center"/>
              <w:rPr>
                <w:rFonts w:ascii="??" w:hAnsi="??" w:eastAsia="Times New Roman"/>
                <w:spacing w:val="20"/>
                <w:szCs w:val="21"/>
                <w:highlight w:val="none"/>
              </w:rPr>
            </w:pPr>
          </w:p>
        </w:tc>
      </w:tr>
      <w:tr w14:paraId="44D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44" w:hRule="atLeast"/>
          <w:jc w:val="center"/>
        </w:trPr>
        <w:tc>
          <w:tcPr>
            <w:tcW w:w="629" w:type="dxa"/>
            <w:vMerge w:val="continue"/>
          </w:tcPr>
          <w:p w14:paraId="0FD65FCD">
            <w:pPr>
              <w:widowControl/>
              <w:spacing w:line="300" w:lineRule="exact"/>
              <w:jc w:val="center"/>
              <w:rPr>
                <w:rFonts w:ascii="??" w:hAnsi="??" w:eastAsia="Times New Roman"/>
                <w:spacing w:val="20"/>
                <w:sz w:val="24"/>
                <w:highlight w:val="none"/>
              </w:rPr>
            </w:pPr>
          </w:p>
        </w:tc>
        <w:tc>
          <w:tcPr>
            <w:tcW w:w="1263" w:type="dxa"/>
            <w:tcBorders>
              <w:left w:val="nil"/>
            </w:tcBorders>
            <w:vAlign w:val="center"/>
          </w:tcPr>
          <w:p w14:paraId="749F11A9">
            <w:pPr>
              <w:widowControl/>
              <w:spacing w:line="300" w:lineRule="exact"/>
              <w:jc w:val="center"/>
              <w:rPr>
                <w:rFonts w:ascii="??" w:hAnsi="??"/>
                <w:spacing w:val="20"/>
                <w:szCs w:val="21"/>
                <w:highlight w:val="none"/>
              </w:rPr>
            </w:pPr>
            <w:r>
              <w:rPr>
                <w:rFonts w:hint="eastAsia" w:ascii="??" w:hAnsi="??"/>
                <w:spacing w:val="20"/>
                <w:szCs w:val="21"/>
                <w:highlight w:val="none"/>
              </w:rPr>
              <w:t>7</w:t>
            </w:r>
          </w:p>
        </w:tc>
        <w:tc>
          <w:tcPr>
            <w:tcW w:w="3098" w:type="dxa"/>
            <w:gridSpan w:val="2"/>
            <w:vAlign w:val="center"/>
          </w:tcPr>
          <w:p w14:paraId="6C4D0D84">
            <w:pPr>
              <w:widowControl/>
              <w:spacing w:line="300" w:lineRule="exact"/>
              <w:jc w:val="center"/>
              <w:rPr>
                <w:rFonts w:ascii="宋体" w:hAnsi="宋体"/>
                <w:szCs w:val="21"/>
                <w:highlight w:val="none"/>
              </w:rPr>
            </w:pPr>
            <w:r>
              <w:rPr>
                <w:rFonts w:hint="eastAsia" w:ascii="宋体" w:hAnsi="宋体"/>
                <w:szCs w:val="21"/>
                <w:highlight w:val="none"/>
              </w:rPr>
              <w:t>人行道平整度</w:t>
            </w:r>
          </w:p>
        </w:tc>
        <w:tc>
          <w:tcPr>
            <w:tcW w:w="5186" w:type="dxa"/>
            <w:gridSpan w:val="6"/>
            <w:tcBorders>
              <w:left w:val="nil"/>
              <w:right w:val="single" w:color="auto" w:sz="6" w:space="0"/>
            </w:tcBorders>
            <w:vAlign w:val="center"/>
          </w:tcPr>
          <w:p w14:paraId="66691DF0">
            <w:pPr>
              <w:widowControl/>
              <w:spacing w:line="300" w:lineRule="exact"/>
              <w:ind w:firstLine="750" w:firstLineChars="300"/>
              <w:jc w:val="center"/>
              <w:rPr>
                <w:rFonts w:ascii="??" w:hAnsi="??" w:eastAsia="Times New Roman"/>
                <w:spacing w:val="20"/>
                <w:szCs w:val="21"/>
                <w:highlight w:val="none"/>
              </w:rPr>
            </w:pPr>
          </w:p>
        </w:tc>
      </w:tr>
      <w:tr w14:paraId="0E0E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8" w:hRule="atLeast"/>
          <w:jc w:val="center"/>
        </w:trPr>
        <w:tc>
          <w:tcPr>
            <w:tcW w:w="629" w:type="dxa"/>
            <w:vMerge w:val="continue"/>
          </w:tcPr>
          <w:p w14:paraId="650B5285">
            <w:pPr>
              <w:widowControl/>
              <w:spacing w:line="300" w:lineRule="exact"/>
              <w:jc w:val="center"/>
              <w:rPr>
                <w:rFonts w:ascii="??" w:hAnsi="??" w:eastAsia="Times New Roman"/>
                <w:spacing w:val="20"/>
                <w:sz w:val="24"/>
                <w:highlight w:val="none"/>
              </w:rPr>
            </w:pPr>
          </w:p>
        </w:tc>
        <w:tc>
          <w:tcPr>
            <w:tcW w:w="1263" w:type="dxa"/>
            <w:tcBorders>
              <w:left w:val="nil"/>
            </w:tcBorders>
            <w:vAlign w:val="center"/>
          </w:tcPr>
          <w:p w14:paraId="782F6C9B">
            <w:pPr>
              <w:widowControl/>
              <w:spacing w:line="300" w:lineRule="exact"/>
              <w:jc w:val="center"/>
              <w:rPr>
                <w:rFonts w:ascii="??" w:hAnsi="??"/>
                <w:spacing w:val="20"/>
                <w:szCs w:val="21"/>
                <w:highlight w:val="none"/>
              </w:rPr>
            </w:pPr>
            <w:r>
              <w:rPr>
                <w:rFonts w:hint="eastAsia" w:ascii="??" w:hAnsi="??"/>
                <w:spacing w:val="20"/>
                <w:szCs w:val="21"/>
                <w:highlight w:val="none"/>
              </w:rPr>
              <w:t>8</w:t>
            </w:r>
          </w:p>
        </w:tc>
        <w:tc>
          <w:tcPr>
            <w:tcW w:w="3098" w:type="dxa"/>
            <w:gridSpan w:val="2"/>
            <w:vAlign w:val="center"/>
          </w:tcPr>
          <w:p w14:paraId="2BE4EA66">
            <w:pPr>
              <w:widowControl/>
              <w:spacing w:line="300" w:lineRule="exact"/>
              <w:jc w:val="center"/>
              <w:rPr>
                <w:rFonts w:ascii="??" w:hAnsi="??" w:eastAsia="Times New Roman"/>
                <w:szCs w:val="21"/>
                <w:highlight w:val="none"/>
              </w:rPr>
            </w:pPr>
            <w:r>
              <w:rPr>
                <w:rFonts w:hint="eastAsia" w:ascii="宋体" w:hAnsi="宋体"/>
                <w:szCs w:val="21"/>
                <w:highlight w:val="none"/>
              </w:rPr>
              <w:t>沥青混合料铺筑人行道厚度</w:t>
            </w:r>
          </w:p>
        </w:tc>
        <w:tc>
          <w:tcPr>
            <w:tcW w:w="5186" w:type="dxa"/>
            <w:gridSpan w:val="6"/>
            <w:tcBorders>
              <w:left w:val="nil"/>
              <w:right w:val="single" w:color="auto" w:sz="6" w:space="0"/>
            </w:tcBorders>
            <w:vAlign w:val="center"/>
          </w:tcPr>
          <w:p w14:paraId="2FA0791A">
            <w:pPr>
              <w:widowControl/>
              <w:spacing w:line="300" w:lineRule="exact"/>
              <w:ind w:firstLine="840" w:firstLineChars="300"/>
              <w:jc w:val="center"/>
              <w:rPr>
                <w:rFonts w:ascii="??" w:hAnsi="??" w:eastAsia="Times New Roman"/>
                <w:spacing w:val="20"/>
                <w:sz w:val="24"/>
                <w:szCs w:val="24"/>
                <w:highlight w:val="none"/>
              </w:rPr>
            </w:pPr>
          </w:p>
        </w:tc>
      </w:tr>
      <w:tr w14:paraId="47D7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7B9D2F9A">
            <w:pPr>
              <w:widowControl/>
              <w:spacing w:line="300" w:lineRule="exact"/>
              <w:jc w:val="center"/>
              <w:rPr>
                <w:rFonts w:ascii="??" w:hAnsi="??" w:eastAsia="Times New Roman"/>
                <w:spacing w:val="20"/>
                <w:sz w:val="24"/>
                <w:highlight w:val="none"/>
              </w:rPr>
            </w:pPr>
          </w:p>
        </w:tc>
        <w:tc>
          <w:tcPr>
            <w:tcW w:w="1263" w:type="dxa"/>
            <w:tcBorders>
              <w:left w:val="nil"/>
            </w:tcBorders>
            <w:vAlign w:val="center"/>
          </w:tcPr>
          <w:p w14:paraId="6216B25A">
            <w:pPr>
              <w:widowControl/>
              <w:spacing w:line="300" w:lineRule="exact"/>
              <w:jc w:val="center"/>
              <w:rPr>
                <w:rFonts w:ascii="??" w:hAnsi="??"/>
                <w:spacing w:val="20"/>
                <w:szCs w:val="21"/>
                <w:highlight w:val="none"/>
              </w:rPr>
            </w:pPr>
            <w:r>
              <w:rPr>
                <w:rFonts w:hint="eastAsia" w:ascii="??" w:hAnsi="??"/>
                <w:spacing w:val="20"/>
                <w:szCs w:val="21"/>
                <w:highlight w:val="none"/>
              </w:rPr>
              <w:t>9</w:t>
            </w:r>
          </w:p>
        </w:tc>
        <w:tc>
          <w:tcPr>
            <w:tcW w:w="3098" w:type="dxa"/>
            <w:gridSpan w:val="2"/>
            <w:vAlign w:val="center"/>
          </w:tcPr>
          <w:p w14:paraId="41C02C12">
            <w:pPr>
              <w:widowControl/>
              <w:spacing w:line="300" w:lineRule="exact"/>
              <w:jc w:val="center"/>
              <w:rPr>
                <w:rFonts w:ascii="??" w:hAnsi="??" w:eastAsia="Times New Roman"/>
                <w:szCs w:val="21"/>
                <w:highlight w:val="none"/>
              </w:rPr>
            </w:pPr>
            <w:r>
              <w:rPr>
                <w:rFonts w:hint="eastAsia" w:ascii="宋体" w:hAnsi="宋体"/>
                <w:szCs w:val="21"/>
                <w:highlight w:val="none"/>
              </w:rPr>
              <w:t>人行道沥青混合料压实度</w:t>
            </w:r>
          </w:p>
        </w:tc>
        <w:tc>
          <w:tcPr>
            <w:tcW w:w="5186" w:type="dxa"/>
            <w:gridSpan w:val="6"/>
            <w:tcBorders>
              <w:left w:val="nil"/>
              <w:right w:val="single" w:color="auto" w:sz="6" w:space="0"/>
            </w:tcBorders>
            <w:vAlign w:val="center"/>
          </w:tcPr>
          <w:p w14:paraId="492DD1F0">
            <w:pPr>
              <w:widowControl/>
              <w:spacing w:line="300" w:lineRule="exact"/>
              <w:ind w:firstLine="840" w:firstLineChars="300"/>
              <w:jc w:val="center"/>
              <w:rPr>
                <w:rFonts w:ascii="??" w:hAnsi="??" w:eastAsia="Times New Roman"/>
                <w:spacing w:val="20"/>
                <w:sz w:val="24"/>
                <w:szCs w:val="24"/>
                <w:highlight w:val="none"/>
              </w:rPr>
            </w:pPr>
          </w:p>
        </w:tc>
      </w:tr>
      <w:tr w14:paraId="728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50" w:hRule="atLeast"/>
          <w:jc w:val="center"/>
        </w:trPr>
        <w:tc>
          <w:tcPr>
            <w:tcW w:w="629" w:type="dxa"/>
            <w:vMerge w:val="continue"/>
          </w:tcPr>
          <w:p w14:paraId="1EDB4FA0">
            <w:pPr>
              <w:widowControl/>
              <w:spacing w:line="300" w:lineRule="exact"/>
              <w:jc w:val="center"/>
              <w:rPr>
                <w:rFonts w:ascii="??" w:hAnsi="??" w:eastAsia="Times New Roman"/>
                <w:spacing w:val="20"/>
                <w:sz w:val="24"/>
                <w:highlight w:val="none"/>
              </w:rPr>
            </w:pPr>
          </w:p>
        </w:tc>
        <w:tc>
          <w:tcPr>
            <w:tcW w:w="1263" w:type="dxa"/>
            <w:tcBorders>
              <w:left w:val="nil"/>
            </w:tcBorders>
            <w:vAlign w:val="center"/>
          </w:tcPr>
          <w:p w14:paraId="136265E8">
            <w:pPr>
              <w:widowControl/>
              <w:spacing w:line="300" w:lineRule="exact"/>
              <w:jc w:val="center"/>
              <w:rPr>
                <w:rFonts w:ascii="??" w:hAnsi="??"/>
                <w:spacing w:val="20"/>
                <w:szCs w:val="21"/>
                <w:highlight w:val="none"/>
              </w:rPr>
            </w:pPr>
            <w:r>
              <w:rPr>
                <w:rFonts w:hint="eastAsia" w:ascii="??" w:hAnsi="??"/>
                <w:spacing w:val="20"/>
                <w:szCs w:val="21"/>
                <w:highlight w:val="none"/>
              </w:rPr>
              <w:t>10</w:t>
            </w:r>
          </w:p>
        </w:tc>
        <w:tc>
          <w:tcPr>
            <w:tcW w:w="3098" w:type="dxa"/>
            <w:gridSpan w:val="2"/>
            <w:vAlign w:val="center"/>
          </w:tcPr>
          <w:p w14:paraId="2650C8BC">
            <w:pPr>
              <w:widowControl/>
              <w:spacing w:line="300" w:lineRule="exact"/>
              <w:jc w:val="center"/>
              <w:rPr>
                <w:rFonts w:ascii="宋体" w:hAnsi="宋体"/>
                <w:szCs w:val="21"/>
                <w:highlight w:val="none"/>
              </w:rPr>
            </w:pPr>
            <w:r>
              <w:rPr>
                <w:rFonts w:hint="eastAsia" w:ascii="宋体" w:hAnsi="宋体"/>
                <w:szCs w:val="21"/>
                <w:highlight w:val="none"/>
              </w:rPr>
              <w:t>管道CCTV</w:t>
            </w:r>
          </w:p>
        </w:tc>
        <w:tc>
          <w:tcPr>
            <w:tcW w:w="5186" w:type="dxa"/>
            <w:gridSpan w:val="6"/>
            <w:tcBorders>
              <w:left w:val="nil"/>
              <w:right w:val="single" w:color="auto" w:sz="6" w:space="0"/>
            </w:tcBorders>
            <w:vAlign w:val="center"/>
          </w:tcPr>
          <w:p w14:paraId="73C728A3">
            <w:pPr>
              <w:widowControl/>
              <w:spacing w:line="300" w:lineRule="exact"/>
              <w:ind w:firstLine="840" w:firstLineChars="300"/>
              <w:jc w:val="center"/>
              <w:rPr>
                <w:rFonts w:ascii="??" w:hAnsi="??" w:eastAsia="Times New Roman"/>
                <w:spacing w:val="20"/>
                <w:sz w:val="24"/>
                <w:szCs w:val="24"/>
                <w:highlight w:val="none"/>
              </w:rPr>
            </w:pPr>
          </w:p>
        </w:tc>
      </w:tr>
      <w:tr w14:paraId="6B64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385" w:hRule="atLeast"/>
          <w:jc w:val="center"/>
        </w:trPr>
        <w:tc>
          <w:tcPr>
            <w:tcW w:w="629" w:type="dxa"/>
            <w:vAlign w:val="center"/>
          </w:tcPr>
          <w:p w14:paraId="362FA050">
            <w:pPr>
              <w:spacing w:line="300" w:lineRule="exact"/>
              <w:jc w:val="center"/>
              <w:rPr>
                <w:rFonts w:ascii="??" w:hAnsi="??" w:eastAsia="Times New Roman"/>
                <w:spacing w:val="20"/>
                <w:sz w:val="24"/>
                <w:highlight w:val="none"/>
              </w:rPr>
            </w:pPr>
            <w:r>
              <w:rPr>
                <w:rFonts w:hint="eastAsia" w:ascii="宋体" w:hAnsi="宋体"/>
                <w:b/>
                <w:spacing w:val="20"/>
                <w:sz w:val="24"/>
                <w:highlight w:val="none"/>
              </w:rPr>
              <w:t>检测情况总体评定</w:t>
            </w:r>
          </w:p>
        </w:tc>
        <w:tc>
          <w:tcPr>
            <w:tcW w:w="9547" w:type="dxa"/>
            <w:gridSpan w:val="9"/>
            <w:vAlign w:val="center"/>
          </w:tcPr>
          <w:p w14:paraId="749366AA">
            <w:pPr>
              <w:widowControl/>
              <w:spacing w:line="300" w:lineRule="exact"/>
              <w:jc w:val="center"/>
              <w:rPr>
                <w:rFonts w:ascii="??" w:hAnsi="??" w:eastAsia="Times New Roman"/>
                <w:sz w:val="24"/>
                <w:szCs w:val="24"/>
                <w:highlight w:val="none"/>
              </w:rPr>
            </w:pPr>
          </w:p>
        </w:tc>
      </w:tr>
    </w:tbl>
    <w:p w14:paraId="3A1C234C">
      <w:pPr>
        <w:spacing w:line="300" w:lineRule="exact"/>
        <w:rPr>
          <w:highlight w:val="none"/>
        </w:rPr>
      </w:pPr>
    </w:p>
    <w:p w14:paraId="0B9A68F4">
      <w:pPr>
        <w:ind w:firstLine="560" w:firstLineChars="200"/>
        <w:jc w:val="left"/>
        <w:rPr>
          <w:rFonts w:ascii="??" w:hAnsi="??"/>
          <w:sz w:val="28"/>
          <w:szCs w:val="28"/>
          <w:highlight w:val="none"/>
        </w:rPr>
      </w:pPr>
    </w:p>
    <w:p w14:paraId="396DA9DB">
      <w:pPr>
        <w:ind w:firstLine="560" w:firstLineChars="200"/>
        <w:jc w:val="left"/>
        <w:rPr>
          <w:rFonts w:ascii="??" w:hAnsi="??"/>
          <w:sz w:val="28"/>
          <w:szCs w:val="28"/>
          <w:highlight w:val="none"/>
        </w:rPr>
      </w:pPr>
      <w:r>
        <w:rPr>
          <w:rFonts w:hint="eastAsia" w:ascii="??" w:hAnsi="??"/>
          <w:sz w:val="28"/>
          <w:szCs w:val="28"/>
          <w:highlight w:val="none"/>
        </w:rPr>
        <w:t>建设单位参与抽检人员（签字）：</w:t>
      </w:r>
    </w:p>
    <w:p w14:paraId="7260A554">
      <w:pPr>
        <w:ind w:firstLine="560" w:firstLineChars="200"/>
        <w:jc w:val="left"/>
        <w:rPr>
          <w:rFonts w:ascii="??" w:hAnsi="??"/>
          <w:sz w:val="28"/>
          <w:szCs w:val="28"/>
          <w:highlight w:val="none"/>
        </w:rPr>
      </w:pPr>
    </w:p>
    <w:p w14:paraId="356CCD8C">
      <w:pPr>
        <w:ind w:firstLine="560" w:firstLineChars="200"/>
        <w:jc w:val="left"/>
        <w:rPr>
          <w:rFonts w:ascii="??" w:hAnsi="??"/>
          <w:sz w:val="28"/>
          <w:szCs w:val="28"/>
          <w:highlight w:val="none"/>
        </w:rPr>
      </w:pPr>
    </w:p>
    <w:p w14:paraId="4C99B1EE">
      <w:pPr>
        <w:ind w:firstLine="560" w:firstLineChars="200"/>
        <w:jc w:val="left"/>
        <w:rPr>
          <w:rFonts w:ascii="??" w:hAnsi="??"/>
          <w:sz w:val="28"/>
          <w:szCs w:val="28"/>
          <w:highlight w:val="none"/>
        </w:rPr>
      </w:pPr>
    </w:p>
    <w:p w14:paraId="2244293E">
      <w:pPr>
        <w:ind w:firstLine="560" w:firstLineChars="200"/>
        <w:jc w:val="left"/>
        <w:rPr>
          <w:rFonts w:ascii="??" w:hAnsi="??"/>
          <w:sz w:val="28"/>
          <w:szCs w:val="28"/>
          <w:highlight w:val="none"/>
        </w:rPr>
      </w:pPr>
      <w:r>
        <w:rPr>
          <w:rFonts w:hint="eastAsia" w:ascii="??" w:hAnsi="??"/>
          <w:sz w:val="28"/>
          <w:szCs w:val="28"/>
          <w:highlight w:val="none"/>
        </w:rPr>
        <w:t>检测单位参与抽检人员（签字）：</w:t>
      </w:r>
    </w:p>
    <w:p w14:paraId="59BFF397">
      <w:pPr>
        <w:ind w:firstLine="560" w:firstLineChars="200"/>
        <w:jc w:val="left"/>
        <w:rPr>
          <w:rFonts w:ascii="??" w:hAnsi="??"/>
          <w:sz w:val="28"/>
          <w:szCs w:val="28"/>
          <w:highlight w:val="none"/>
        </w:rPr>
      </w:pPr>
    </w:p>
    <w:p w14:paraId="5884BCDA">
      <w:pPr>
        <w:ind w:firstLine="560" w:firstLineChars="200"/>
        <w:jc w:val="left"/>
        <w:rPr>
          <w:rFonts w:ascii="??" w:hAnsi="??"/>
          <w:sz w:val="28"/>
          <w:szCs w:val="28"/>
          <w:highlight w:val="none"/>
        </w:rPr>
      </w:pPr>
    </w:p>
    <w:p w14:paraId="391A833B">
      <w:pPr>
        <w:ind w:firstLine="560" w:firstLineChars="200"/>
        <w:jc w:val="left"/>
        <w:rPr>
          <w:rFonts w:ascii="??" w:hAnsi="??"/>
          <w:sz w:val="28"/>
          <w:szCs w:val="28"/>
          <w:highlight w:val="none"/>
        </w:rPr>
      </w:pPr>
    </w:p>
    <w:p w14:paraId="339ECD66">
      <w:pPr>
        <w:ind w:firstLine="560" w:firstLineChars="200"/>
        <w:jc w:val="left"/>
        <w:rPr>
          <w:rFonts w:ascii="仿宋_GB2312"/>
          <w:sz w:val="32"/>
          <w:szCs w:val="32"/>
          <w:highlight w:val="none"/>
        </w:rPr>
        <w:sectPr>
          <w:footerReference r:id="rId14" w:type="default"/>
          <w:pgSz w:w="12240" w:h="15840"/>
          <w:pgMar w:top="1247" w:right="1474" w:bottom="1247" w:left="1474" w:header="720" w:footer="720" w:gutter="0"/>
          <w:pgNumType w:fmt="decimal"/>
          <w:cols w:space="720" w:num="1"/>
        </w:sectPr>
      </w:pPr>
      <w:r>
        <w:rPr>
          <w:rFonts w:hint="eastAsia" w:ascii="??" w:hAnsi="??"/>
          <w:sz w:val="28"/>
          <w:szCs w:val="28"/>
          <w:highlight w:val="none"/>
        </w:rPr>
        <w:t>接收单位参与抽检人员（签字）：</w:t>
      </w:r>
    </w:p>
    <w:p w14:paraId="74B1BF58">
      <w:pPr>
        <w:jc w:val="center"/>
        <w:rPr>
          <w:rFonts w:ascii="黑体" w:hAnsi="黑体" w:eastAsia="黑体"/>
          <w:sz w:val="44"/>
          <w:szCs w:val="44"/>
          <w:highlight w:val="none"/>
        </w:rPr>
      </w:pPr>
      <w:r>
        <w:rPr>
          <w:rFonts w:hint="eastAsia" w:ascii="黑体" w:hAnsi="黑体" w:eastAsia="黑体" w:cs="仿宋"/>
          <w:kern w:val="0"/>
          <w:sz w:val="44"/>
          <w:szCs w:val="44"/>
          <w:highlight w:val="none"/>
          <w:lang w:val="zh-CN"/>
        </w:rPr>
        <w:t>杭州市新建市政道路工程移交接收检测</w:t>
      </w:r>
      <w:r>
        <w:rPr>
          <w:rFonts w:hint="eastAsia" w:ascii="黑体" w:hAnsi="黑体" w:eastAsia="黑体" w:cs="仿宋"/>
          <w:kern w:val="0"/>
          <w:sz w:val="44"/>
          <w:szCs w:val="44"/>
          <w:highlight w:val="none"/>
        </w:rPr>
        <w:t>委托单</w:t>
      </w:r>
    </w:p>
    <w:p w14:paraId="305E283A">
      <w:pPr>
        <w:spacing w:afterLines="50"/>
        <w:rPr>
          <w:rFonts w:ascii="黑体" w:hAnsi="黑体" w:eastAsia="黑体"/>
          <w:sz w:val="24"/>
          <w:szCs w:val="24"/>
          <w:highlight w:val="none"/>
        </w:rPr>
      </w:pPr>
      <w:r>
        <w:rPr>
          <w:rFonts w:hint="eastAsia" w:ascii="宋体" w:hAnsi="宋体" w:eastAsia="宋体" w:cs="宋体"/>
          <w:color w:val="000000"/>
          <w:kern w:val="0"/>
          <w:sz w:val="24"/>
          <w:szCs w:val="24"/>
          <w:highlight w:val="none"/>
        </w:rPr>
        <w:t xml:space="preserve">检测单位：                                                                            </w:t>
      </w:r>
      <w:r>
        <w:rPr>
          <w:rStyle w:val="373"/>
          <w:rFonts w:hint="default"/>
          <w:highlight w:val="none"/>
        </w:rPr>
        <w:t>委托编号：</w:t>
      </w:r>
    </w:p>
    <w:tbl>
      <w:tblPr>
        <w:tblStyle w:val="62"/>
        <w:tblW w:w="13221" w:type="dxa"/>
        <w:jc w:val="center"/>
        <w:tblLayout w:type="fixed"/>
        <w:tblCellMar>
          <w:top w:w="0" w:type="dxa"/>
          <w:left w:w="0" w:type="dxa"/>
          <w:bottom w:w="0" w:type="dxa"/>
          <w:right w:w="0" w:type="dxa"/>
        </w:tblCellMar>
      </w:tblPr>
      <w:tblGrid>
        <w:gridCol w:w="2509"/>
        <w:gridCol w:w="977"/>
        <w:gridCol w:w="902"/>
        <w:gridCol w:w="1686"/>
        <w:gridCol w:w="650"/>
        <w:gridCol w:w="1102"/>
        <w:gridCol w:w="1740"/>
        <w:gridCol w:w="1881"/>
        <w:gridCol w:w="1184"/>
        <w:gridCol w:w="590"/>
      </w:tblGrid>
      <w:tr w14:paraId="69CB6C55">
        <w:tblPrEx>
          <w:tblCellMar>
            <w:top w:w="0" w:type="dxa"/>
            <w:left w:w="0" w:type="dxa"/>
            <w:bottom w:w="0" w:type="dxa"/>
            <w:right w:w="0" w:type="dxa"/>
          </w:tblCellMar>
        </w:tblPrEx>
        <w:trPr>
          <w:trHeight w:val="459"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9FA2">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委托单位：</w:t>
            </w:r>
          </w:p>
        </w:tc>
        <w:tc>
          <w:tcPr>
            <w:tcW w:w="53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A086">
            <w:pPr>
              <w:jc w:val="center"/>
              <w:rPr>
                <w:rFonts w:ascii="宋体" w:hAnsi="宋体" w:eastAsia="宋体" w:cs="宋体"/>
                <w:color w:val="000000"/>
                <w:szCs w:val="21"/>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F946">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建设单位：</w:t>
            </w:r>
          </w:p>
        </w:tc>
        <w:tc>
          <w:tcPr>
            <w:tcW w:w="365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1682F4">
            <w:pPr>
              <w:jc w:val="center"/>
              <w:rPr>
                <w:rFonts w:ascii="宋体" w:hAnsi="宋体" w:eastAsia="宋体" w:cs="宋体"/>
                <w:color w:val="000000"/>
                <w:szCs w:val="21"/>
                <w:highlight w:val="none"/>
              </w:rPr>
            </w:pPr>
          </w:p>
        </w:tc>
      </w:tr>
      <w:tr w14:paraId="2A6CC0BF">
        <w:tblPrEx>
          <w:tblCellMar>
            <w:top w:w="0" w:type="dxa"/>
            <w:left w:w="0" w:type="dxa"/>
            <w:bottom w:w="0" w:type="dxa"/>
            <w:right w:w="0" w:type="dxa"/>
          </w:tblCellMar>
        </w:tblPrEx>
        <w:trPr>
          <w:trHeight w:val="488"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ADC2">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工程名称：</w:t>
            </w:r>
          </w:p>
        </w:tc>
        <w:tc>
          <w:tcPr>
            <w:tcW w:w="53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3C72">
            <w:pPr>
              <w:jc w:val="center"/>
              <w:rPr>
                <w:rFonts w:ascii="宋体" w:hAnsi="宋体" w:eastAsia="宋体" w:cs="宋体"/>
                <w:color w:val="000000"/>
                <w:szCs w:val="21"/>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CDDF">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建设单位负责人：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CE73">
            <w:pPr>
              <w:rPr>
                <w:rFonts w:ascii="宋体" w:hAnsi="宋体" w:eastAsia="宋体" w:cs="宋体"/>
                <w:color w:val="000000"/>
                <w:szCs w:val="21"/>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F58B">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工程编号：</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FAE2">
            <w:pPr>
              <w:rPr>
                <w:rFonts w:ascii="宋体" w:hAnsi="宋体" w:eastAsia="宋体" w:cs="宋体"/>
                <w:color w:val="000000"/>
                <w:szCs w:val="21"/>
                <w:highlight w:val="none"/>
              </w:rPr>
            </w:pPr>
          </w:p>
        </w:tc>
      </w:tr>
      <w:tr w14:paraId="10B55B4C">
        <w:tblPrEx>
          <w:tblCellMar>
            <w:top w:w="0" w:type="dxa"/>
            <w:left w:w="0" w:type="dxa"/>
            <w:bottom w:w="0" w:type="dxa"/>
            <w:right w:w="0" w:type="dxa"/>
          </w:tblCellMar>
        </w:tblPrEx>
        <w:trPr>
          <w:trHeight w:val="480"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3D28">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联系方式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32D7">
            <w:pPr>
              <w:rPr>
                <w:rFonts w:ascii="宋体" w:hAnsi="宋体" w:eastAsia="宋体" w:cs="宋体"/>
                <w:color w:val="000000"/>
                <w:szCs w:val="21"/>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A72A">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检测性质</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6EA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□委托     □见证      □其它</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FAE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取样方式：</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E1C6">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□送检     □抽检</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C019">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取样日期:</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A38F">
            <w:pPr>
              <w:rPr>
                <w:rFonts w:ascii="宋体" w:hAnsi="宋体" w:eastAsia="宋体" w:cs="宋体"/>
                <w:color w:val="000000"/>
                <w:szCs w:val="21"/>
                <w:highlight w:val="none"/>
              </w:rPr>
            </w:pPr>
          </w:p>
        </w:tc>
      </w:tr>
      <w:tr w14:paraId="2C46857E">
        <w:tblPrEx>
          <w:tblCellMar>
            <w:top w:w="0" w:type="dxa"/>
            <w:left w:w="0" w:type="dxa"/>
            <w:bottom w:w="0" w:type="dxa"/>
            <w:right w:w="0" w:type="dxa"/>
          </w:tblCellMar>
        </w:tblPrEx>
        <w:trPr>
          <w:trHeight w:val="420"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F603">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监理见证单</w:t>
            </w:r>
          </w:p>
        </w:tc>
        <w:tc>
          <w:tcPr>
            <w:tcW w:w="9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D4D1B5">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有（ ）张</w:t>
            </w:r>
          </w:p>
        </w:tc>
        <w:tc>
          <w:tcPr>
            <w:tcW w:w="9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214F0">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无（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909E">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产品质保单</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E984">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有（  ）张  无（   ）</w:t>
            </w:r>
          </w:p>
        </w:tc>
        <w:tc>
          <w:tcPr>
            <w:tcW w:w="5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4E35">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其它附件</w:t>
            </w:r>
          </w:p>
        </w:tc>
      </w:tr>
      <w:tr w14:paraId="14C9575B">
        <w:tblPrEx>
          <w:tblCellMar>
            <w:top w:w="0" w:type="dxa"/>
            <w:left w:w="0" w:type="dxa"/>
            <w:bottom w:w="0" w:type="dxa"/>
            <w:right w:w="0" w:type="dxa"/>
          </w:tblCellMar>
        </w:tblPrEx>
        <w:trPr>
          <w:trHeight w:val="499"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0FB5">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检测对象名称</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108C">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样品描述</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C2D8">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型号规格</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5BF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产地/厂家/出厂日期/制模日期/部位及桩号/设计要求</w:t>
            </w:r>
          </w:p>
        </w:tc>
        <w:tc>
          <w:tcPr>
            <w:tcW w:w="362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03A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检测项目</w:t>
            </w:r>
          </w:p>
        </w:tc>
        <w:tc>
          <w:tcPr>
            <w:tcW w:w="1184" w:type="dxa"/>
            <w:tcBorders>
              <w:top w:val="nil"/>
              <w:left w:val="nil"/>
              <w:bottom w:val="nil"/>
              <w:right w:val="nil"/>
            </w:tcBorders>
            <w:shd w:val="clear" w:color="auto" w:fill="auto"/>
            <w:tcMar>
              <w:top w:w="15" w:type="dxa"/>
              <w:left w:w="15" w:type="dxa"/>
              <w:right w:w="15" w:type="dxa"/>
            </w:tcMar>
            <w:vAlign w:val="center"/>
          </w:tcPr>
          <w:p w14:paraId="784B4DE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数量</w:t>
            </w:r>
          </w:p>
        </w:tc>
        <w:tc>
          <w:tcPr>
            <w:tcW w:w="5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6E2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金额（元）</w:t>
            </w:r>
          </w:p>
        </w:tc>
      </w:tr>
      <w:tr w14:paraId="0300117E">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05C0">
            <w:pPr>
              <w:rPr>
                <w:rFonts w:ascii="宋体" w:hAnsi="宋体" w:eastAsia="宋体" w:cs="宋体"/>
                <w:color w:val="000000"/>
                <w:szCs w:val="21"/>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17F7">
            <w:pPr>
              <w:rPr>
                <w:rFonts w:ascii="宋体" w:hAnsi="宋体" w:eastAsia="宋体" w:cs="宋体"/>
                <w:color w:val="000000"/>
                <w:szCs w:val="21"/>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D8FE">
            <w:pPr>
              <w:jc w:val="center"/>
              <w:rPr>
                <w:rFonts w:ascii="宋体" w:hAnsi="宋体" w:eastAsia="宋体" w:cs="宋体"/>
                <w:color w:val="000000"/>
                <w:szCs w:val="21"/>
                <w:highlight w:val="none"/>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F9E9">
            <w:pPr>
              <w:jc w:val="center"/>
              <w:rPr>
                <w:rFonts w:ascii="宋体" w:hAnsi="宋体" w:eastAsia="宋体" w:cs="宋体"/>
                <w:color w:val="000000"/>
                <w:szCs w:val="21"/>
                <w:highlight w:val="none"/>
              </w:rPr>
            </w:pP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3479">
            <w:pPr>
              <w:jc w:val="left"/>
              <w:rPr>
                <w:rFonts w:ascii="宋体" w:hAnsi="宋体" w:eastAsia="宋体" w:cs="宋体"/>
                <w:color w:val="000000"/>
                <w:szCs w:val="21"/>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C59">
            <w:pPr>
              <w:jc w:val="center"/>
              <w:rPr>
                <w:rFonts w:ascii="宋体" w:hAnsi="宋体" w:eastAsia="宋体" w:cs="宋体"/>
                <w:color w:val="000000"/>
                <w:szCs w:val="21"/>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A540">
            <w:pPr>
              <w:rPr>
                <w:rFonts w:ascii="宋体" w:hAnsi="宋体" w:eastAsia="宋体" w:cs="宋体"/>
                <w:color w:val="000000"/>
                <w:szCs w:val="21"/>
                <w:highlight w:val="none"/>
              </w:rPr>
            </w:pPr>
          </w:p>
        </w:tc>
      </w:tr>
      <w:tr w14:paraId="0C7E9446">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1412">
            <w:pPr>
              <w:rPr>
                <w:rFonts w:ascii="宋体" w:hAnsi="宋体" w:eastAsia="宋体" w:cs="宋体"/>
                <w:color w:val="000000"/>
                <w:szCs w:val="21"/>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E05E">
            <w:pPr>
              <w:rPr>
                <w:rFonts w:ascii="宋体" w:hAnsi="宋体" w:eastAsia="宋体" w:cs="宋体"/>
                <w:color w:val="000000"/>
                <w:szCs w:val="21"/>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3B52">
            <w:pPr>
              <w:jc w:val="center"/>
              <w:rPr>
                <w:rFonts w:ascii="宋体" w:hAnsi="宋体" w:eastAsia="宋体" w:cs="宋体"/>
                <w:color w:val="000000"/>
                <w:szCs w:val="21"/>
                <w:highlight w:val="none"/>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A2AE">
            <w:pPr>
              <w:jc w:val="center"/>
              <w:rPr>
                <w:rFonts w:ascii="宋体" w:hAnsi="宋体" w:eastAsia="宋体" w:cs="宋体"/>
                <w:color w:val="000000"/>
                <w:szCs w:val="21"/>
                <w:highlight w:val="none"/>
              </w:rPr>
            </w:pP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2922">
            <w:pPr>
              <w:jc w:val="left"/>
              <w:rPr>
                <w:rFonts w:ascii="宋体" w:hAnsi="宋体" w:eastAsia="宋体" w:cs="宋体"/>
                <w:color w:val="000000"/>
                <w:szCs w:val="21"/>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CA46">
            <w:pPr>
              <w:jc w:val="center"/>
              <w:rPr>
                <w:rFonts w:ascii="宋体" w:hAnsi="宋体" w:eastAsia="宋体" w:cs="宋体"/>
                <w:color w:val="000000"/>
                <w:szCs w:val="21"/>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D0F9">
            <w:pPr>
              <w:rPr>
                <w:rFonts w:ascii="宋体" w:hAnsi="宋体" w:eastAsia="宋体" w:cs="宋体"/>
                <w:color w:val="000000"/>
                <w:szCs w:val="21"/>
                <w:highlight w:val="none"/>
              </w:rPr>
            </w:pPr>
          </w:p>
        </w:tc>
      </w:tr>
      <w:tr w14:paraId="4C7FD3A2">
        <w:tblPrEx>
          <w:tblCellMar>
            <w:top w:w="0" w:type="dxa"/>
            <w:left w:w="0" w:type="dxa"/>
            <w:bottom w:w="0" w:type="dxa"/>
            <w:right w:w="0" w:type="dxa"/>
          </w:tblCellMar>
        </w:tblPrEx>
        <w:trPr>
          <w:trHeight w:val="326"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4BB2">
            <w:pPr>
              <w:rPr>
                <w:rFonts w:ascii="宋体" w:hAnsi="宋体" w:eastAsia="宋体" w:cs="宋体"/>
                <w:color w:val="000000"/>
                <w:szCs w:val="21"/>
                <w:highlight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D8E2">
            <w:pPr>
              <w:rPr>
                <w:rFonts w:ascii="宋体" w:hAnsi="宋体" w:eastAsia="宋体" w:cs="宋体"/>
                <w:color w:val="000000"/>
                <w:szCs w:val="21"/>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033D">
            <w:pPr>
              <w:rPr>
                <w:rFonts w:ascii="宋体" w:hAnsi="宋体" w:eastAsia="宋体" w:cs="宋体"/>
                <w:color w:val="000000"/>
                <w:szCs w:val="21"/>
                <w:highlight w:val="none"/>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D88D">
            <w:pPr>
              <w:jc w:val="center"/>
              <w:rPr>
                <w:rFonts w:ascii="宋体" w:hAnsi="宋体" w:eastAsia="宋体" w:cs="宋体"/>
                <w:color w:val="000000"/>
                <w:szCs w:val="21"/>
                <w:highlight w:val="none"/>
              </w:rPr>
            </w:pPr>
          </w:p>
        </w:tc>
        <w:tc>
          <w:tcPr>
            <w:tcW w:w="362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B452">
            <w:pPr>
              <w:jc w:val="center"/>
              <w:rPr>
                <w:rFonts w:ascii="宋体" w:hAnsi="宋体" w:eastAsia="宋体" w:cs="宋体"/>
                <w:color w:val="000000"/>
                <w:szCs w:val="21"/>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CD29">
            <w:pPr>
              <w:rPr>
                <w:rFonts w:ascii="宋体" w:hAnsi="宋体" w:eastAsia="宋体" w:cs="宋体"/>
                <w:color w:val="000000"/>
                <w:szCs w:val="21"/>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FF54">
            <w:pPr>
              <w:rPr>
                <w:rFonts w:ascii="宋体" w:hAnsi="宋体" w:eastAsia="宋体" w:cs="宋体"/>
                <w:color w:val="000000"/>
                <w:szCs w:val="21"/>
                <w:highlight w:val="none"/>
              </w:rPr>
            </w:pPr>
          </w:p>
        </w:tc>
      </w:tr>
      <w:tr w14:paraId="0745F6D5">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32B5">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检测标准</w:t>
            </w:r>
          </w:p>
        </w:tc>
        <w:tc>
          <w:tcPr>
            <w:tcW w:w="893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F621">
            <w:pPr>
              <w:jc w:val="center"/>
              <w:rPr>
                <w:rFonts w:ascii="宋体" w:hAnsi="宋体" w:eastAsia="宋体" w:cs="宋体"/>
                <w:color w:val="000000"/>
                <w:szCs w:val="21"/>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EC62">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合计（元）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A297">
            <w:pPr>
              <w:rPr>
                <w:rFonts w:ascii="宋体" w:hAnsi="宋体" w:eastAsia="宋体" w:cs="宋体"/>
                <w:color w:val="000000"/>
                <w:szCs w:val="21"/>
                <w:highlight w:val="none"/>
              </w:rPr>
            </w:pPr>
          </w:p>
        </w:tc>
      </w:tr>
      <w:tr w14:paraId="18B67748">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CEF9">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检测结论</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DC91">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□仅提供检测数据，不下结论   □提供合格与否的结论</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7767">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分包或代委托</w:t>
            </w:r>
          </w:p>
        </w:tc>
        <w:tc>
          <w:tcPr>
            <w:tcW w:w="3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20C4">
            <w:pPr>
              <w:jc w:val="left"/>
              <w:rPr>
                <w:rFonts w:ascii="宋体" w:hAnsi="宋体" w:eastAsia="宋体" w:cs="宋体"/>
                <w:color w:val="000000"/>
                <w:szCs w:val="21"/>
                <w:highlight w:val="none"/>
              </w:rPr>
            </w:pPr>
          </w:p>
        </w:tc>
      </w:tr>
      <w:tr w14:paraId="7DF23600">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1AD8">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送样日期</w:t>
            </w:r>
          </w:p>
        </w:tc>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4D59">
            <w:pPr>
              <w:jc w:val="center"/>
              <w:rPr>
                <w:rFonts w:ascii="宋体" w:hAnsi="宋体" w:eastAsia="宋体" w:cs="宋体"/>
                <w:color w:val="000000"/>
                <w:szCs w:val="21"/>
                <w:highlight w:val="none"/>
              </w:rPr>
            </w:pP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B564">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约定取报告日期</w:t>
            </w:r>
          </w:p>
        </w:tc>
        <w:tc>
          <w:tcPr>
            <w:tcW w:w="36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F8F9">
            <w:pPr>
              <w:jc w:val="center"/>
              <w:rPr>
                <w:rFonts w:ascii="宋体" w:hAnsi="宋体" w:eastAsia="宋体" w:cs="宋体"/>
                <w:color w:val="000000"/>
                <w:szCs w:val="21"/>
                <w:highlight w:val="none"/>
              </w:rPr>
            </w:pPr>
          </w:p>
        </w:tc>
      </w:tr>
      <w:tr w14:paraId="7357870E">
        <w:tblPrEx>
          <w:tblCellMar>
            <w:top w:w="0" w:type="dxa"/>
            <w:left w:w="0" w:type="dxa"/>
            <w:bottom w:w="0" w:type="dxa"/>
            <w:right w:w="0" w:type="dxa"/>
          </w:tblCellMar>
        </w:tblPrEx>
        <w:trPr>
          <w:trHeight w:val="402" w:hRule="atLeast"/>
          <w:jc w:val="center"/>
        </w:trPr>
        <w:tc>
          <w:tcPr>
            <w:tcW w:w="2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C4CF">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检验后样品处理</w:t>
            </w:r>
          </w:p>
        </w:tc>
        <w:tc>
          <w:tcPr>
            <w:tcW w:w="1071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B062">
            <w:pPr>
              <w:widowControl/>
              <w:jc w:val="left"/>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□由受理方代为处理           □    年     月     日之前全部取回，逾期未取回样品由受理方代为处理。</w:t>
            </w:r>
          </w:p>
        </w:tc>
      </w:tr>
      <w:tr w14:paraId="06306EBA">
        <w:tblPrEx>
          <w:tblCellMar>
            <w:top w:w="0" w:type="dxa"/>
            <w:left w:w="0" w:type="dxa"/>
            <w:bottom w:w="0" w:type="dxa"/>
            <w:right w:w="0" w:type="dxa"/>
          </w:tblCellMar>
        </w:tblPrEx>
        <w:trPr>
          <w:trHeight w:val="1182" w:hRule="atLeast"/>
          <w:jc w:val="center"/>
        </w:trPr>
        <w:tc>
          <w:tcPr>
            <w:tcW w:w="67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B65F7B">
            <w:pPr>
              <w:widowControl/>
              <w:jc w:val="left"/>
              <w:textAlignment w:val="top"/>
              <w:rPr>
                <w:rStyle w:val="122"/>
                <w:rFonts w:hint="default"/>
                <w:sz w:val="21"/>
                <w:szCs w:val="21"/>
                <w:highlight w:val="none"/>
              </w:rPr>
            </w:pPr>
            <w:r>
              <w:rPr>
                <w:rStyle w:val="146"/>
                <w:rFonts w:hint="default"/>
                <w:sz w:val="21"/>
                <w:szCs w:val="21"/>
                <w:highlight w:val="none"/>
              </w:rPr>
              <w:t>我方保证向承检方提供的所有相关信息、资料和样品真实有效。我方同意按此协议的条款进行检测，并支付检测所需费用和提供必要的合作</w:t>
            </w:r>
            <w:r>
              <w:rPr>
                <w:rStyle w:val="122"/>
                <w:rFonts w:hint="default"/>
                <w:sz w:val="21"/>
                <w:szCs w:val="21"/>
                <w:highlight w:val="none"/>
              </w:rPr>
              <w:t xml:space="preserve">。   </w:t>
            </w:r>
          </w:p>
          <w:p w14:paraId="64A99BAF">
            <w:pPr>
              <w:widowControl/>
              <w:jc w:val="left"/>
              <w:textAlignment w:val="top"/>
              <w:rPr>
                <w:rStyle w:val="146"/>
                <w:rFonts w:hint="default"/>
                <w:sz w:val="21"/>
                <w:szCs w:val="21"/>
                <w:highlight w:val="none"/>
              </w:rPr>
            </w:pPr>
            <w:r>
              <w:rPr>
                <w:rStyle w:val="146"/>
                <w:rFonts w:hint="default"/>
                <w:sz w:val="21"/>
                <w:szCs w:val="21"/>
                <w:highlight w:val="none"/>
              </w:rPr>
              <w:t xml:space="preserve">委托方代表签名：  </w:t>
            </w:r>
          </w:p>
          <w:p w14:paraId="0CBECE4F">
            <w:pPr>
              <w:widowControl/>
              <w:jc w:val="left"/>
              <w:textAlignment w:val="top"/>
              <w:rPr>
                <w:rFonts w:ascii="宋体" w:hAnsi="宋体" w:eastAsia="宋体" w:cs="宋体"/>
                <w:color w:val="000000"/>
                <w:szCs w:val="21"/>
                <w:highlight w:val="none"/>
              </w:rPr>
            </w:pPr>
            <w:r>
              <w:rPr>
                <w:rStyle w:val="146"/>
                <w:rFonts w:hint="default"/>
                <w:sz w:val="21"/>
                <w:szCs w:val="21"/>
                <w:highlight w:val="none"/>
              </w:rPr>
              <w:t xml:space="preserve">                                               年    月      日</w:t>
            </w: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22036D0">
            <w:pPr>
              <w:widowControl/>
              <w:jc w:val="left"/>
              <w:textAlignment w:val="top"/>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我方保证按此协议的条款对委托方提供的样品进行及时、准确的检测。</w:t>
            </w:r>
          </w:p>
          <w:p w14:paraId="4DB9DC97">
            <w:pPr>
              <w:widowControl/>
              <w:jc w:val="left"/>
              <w:textAlignment w:val="top"/>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受理方代表签名：  </w:t>
            </w:r>
          </w:p>
          <w:p w14:paraId="21B2F471">
            <w:pPr>
              <w:widowControl/>
              <w:jc w:val="left"/>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rPr>
              <w:t xml:space="preserve">                           年    月      日</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2B84FC">
            <w:pPr>
              <w:widowControl/>
              <w:jc w:val="left"/>
              <w:textAlignment w:val="top"/>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备注：</w:t>
            </w:r>
          </w:p>
        </w:tc>
      </w:tr>
      <w:tr w14:paraId="717C4314">
        <w:tblPrEx>
          <w:tblCellMar>
            <w:top w:w="0" w:type="dxa"/>
            <w:left w:w="0" w:type="dxa"/>
            <w:bottom w:w="0" w:type="dxa"/>
            <w:right w:w="0" w:type="dxa"/>
          </w:tblCellMar>
        </w:tblPrEx>
        <w:trPr>
          <w:trHeight w:val="402" w:hRule="atLeast"/>
          <w:jc w:val="center"/>
        </w:trPr>
        <w:tc>
          <w:tcPr>
            <w:tcW w:w="13221" w:type="dxa"/>
            <w:gridSpan w:val="10"/>
            <w:tcBorders>
              <w:top w:val="nil"/>
              <w:left w:val="nil"/>
              <w:bottom w:val="nil"/>
              <w:right w:val="nil"/>
            </w:tcBorders>
            <w:shd w:val="clear" w:color="auto" w:fill="auto"/>
            <w:noWrap/>
            <w:tcMar>
              <w:top w:w="15" w:type="dxa"/>
              <w:left w:w="15" w:type="dxa"/>
              <w:right w:w="15" w:type="dxa"/>
            </w:tcMar>
            <w:vAlign w:val="center"/>
          </w:tcPr>
          <w:p w14:paraId="73561D3E">
            <w:pP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注：该凭证无委托受理双方代表签字无效。</w:t>
            </w:r>
          </w:p>
        </w:tc>
      </w:tr>
    </w:tbl>
    <w:p w14:paraId="4F30AD27">
      <w:pPr>
        <w:rPr>
          <w:rFonts w:ascii="黑体" w:hAnsi="黑体" w:eastAsia="黑体"/>
          <w:sz w:val="32"/>
          <w:szCs w:val="32"/>
          <w:highlight w:val="none"/>
        </w:rPr>
        <w:sectPr>
          <w:pgSz w:w="15840" w:h="12240" w:orient="landscape"/>
          <w:pgMar w:top="1797" w:right="1440" w:bottom="1797" w:left="1440" w:header="720" w:footer="720" w:gutter="0"/>
          <w:pgNumType w:fmt="decimal"/>
          <w:cols w:space="720" w:num="1"/>
        </w:sectPr>
      </w:pPr>
    </w:p>
    <w:p w14:paraId="6A9C531B">
      <w:pPr>
        <w:jc w:val="center"/>
        <w:rPr>
          <w:rFonts w:ascii="黑体" w:hAnsi="黑体" w:eastAsia="黑体"/>
          <w:spacing w:val="20"/>
          <w:sz w:val="52"/>
          <w:szCs w:val="52"/>
          <w:highlight w:val="none"/>
        </w:rPr>
      </w:pPr>
      <w:r>
        <w:rPr>
          <w:rFonts w:hint="eastAsia" w:ascii="黑体" w:hAnsi="黑体" w:eastAsia="黑体"/>
          <w:spacing w:val="20"/>
          <w:sz w:val="52"/>
          <w:szCs w:val="52"/>
          <w:highlight w:val="none"/>
        </w:rPr>
        <w:t>杭州市新建市政道路工程移交接收检测报告</w:t>
      </w:r>
    </w:p>
    <w:p w14:paraId="4B2C31E1">
      <w:pPr>
        <w:jc w:val="center"/>
        <w:rPr>
          <w:rFonts w:ascii="宋体" w:hAnsi="宋体"/>
          <w:sz w:val="36"/>
          <w:highlight w:val="none"/>
        </w:rPr>
      </w:pPr>
    </w:p>
    <w:p w14:paraId="1902778C">
      <w:pPr>
        <w:jc w:val="center"/>
        <w:rPr>
          <w:rFonts w:ascii="??" w:hAnsi="??" w:eastAsia="Times New Roman"/>
          <w:sz w:val="36"/>
          <w:highlight w:val="none"/>
        </w:rPr>
      </w:pPr>
    </w:p>
    <w:p w14:paraId="7EEC4661">
      <w:pPr>
        <w:jc w:val="center"/>
        <w:rPr>
          <w:rFonts w:ascii="??" w:hAnsi="??" w:eastAsia="Times New Roman"/>
          <w:sz w:val="36"/>
          <w:highlight w:val="none"/>
        </w:rPr>
      </w:pPr>
    </w:p>
    <w:p w14:paraId="608B921C">
      <w:pPr>
        <w:jc w:val="center"/>
        <w:rPr>
          <w:rFonts w:ascii="??" w:hAnsi="??" w:eastAsia="Times New Roman"/>
          <w:sz w:val="36"/>
          <w:highlight w:val="none"/>
        </w:rPr>
      </w:pPr>
    </w:p>
    <w:p w14:paraId="69701730">
      <w:pPr>
        <w:jc w:val="center"/>
        <w:rPr>
          <w:rFonts w:ascii="??" w:hAnsi="??" w:eastAsia="Times New Roman"/>
          <w:sz w:val="36"/>
          <w:highlight w:val="none"/>
        </w:rPr>
      </w:pPr>
    </w:p>
    <w:tbl>
      <w:tblPr>
        <w:tblStyle w:val="6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6939"/>
      </w:tblGrid>
      <w:tr w14:paraId="7352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09B2D97A">
            <w:pPr>
              <w:rPr>
                <w:rFonts w:ascii="宋体" w:hAnsi="宋体"/>
                <w:b/>
                <w:sz w:val="32"/>
                <w:szCs w:val="32"/>
                <w:highlight w:val="none"/>
              </w:rPr>
            </w:pPr>
            <w:r>
              <w:rPr>
                <w:rFonts w:hint="eastAsia" w:ascii="宋体" w:hAnsi="宋体"/>
                <w:b/>
                <w:sz w:val="32"/>
                <w:szCs w:val="32"/>
                <w:highlight w:val="none"/>
              </w:rPr>
              <w:t>委托单位：</w:t>
            </w:r>
          </w:p>
        </w:tc>
        <w:tc>
          <w:tcPr>
            <w:tcW w:w="6939" w:type="dxa"/>
            <w:vAlign w:val="center"/>
          </w:tcPr>
          <w:p w14:paraId="585410D2">
            <w:pPr>
              <w:rPr>
                <w:rFonts w:ascii="??" w:hAnsi="??"/>
                <w:sz w:val="36"/>
                <w:highlight w:val="none"/>
              </w:rPr>
            </w:pPr>
            <w:r>
              <w:rPr>
                <w:rFonts w:hint="eastAsia" w:ascii="??" w:hAnsi="??"/>
                <w:sz w:val="36"/>
                <w:highlight w:val="none"/>
              </w:rPr>
              <w:t>——</w:t>
            </w:r>
          </w:p>
        </w:tc>
      </w:tr>
      <w:tr w14:paraId="4E16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77201742">
            <w:pPr>
              <w:rPr>
                <w:rFonts w:ascii="宋体" w:hAnsi="宋体"/>
                <w:b/>
                <w:sz w:val="32"/>
                <w:szCs w:val="32"/>
                <w:highlight w:val="none"/>
              </w:rPr>
            </w:pPr>
            <w:r>
              <w:rPr>
                <w:rFonts w:hint="eastAsia" w:ascii="宋体" w:hAnsi="宋体"/>
                <w:b/>
                <w:sz w:val="32"/>
                <w:szCs w:val="32"/>
                <w:highlight w:val="none"/>
              </w:rPr>
              <w:t>建设单位：</w:t>
            </w:r>
          </w:p>
        </w:tc>
        <w:tc>
          <w:tcPr>
            <w:tcW w:w="6939" w:type="dxa"/>
            <w:vAlign w:val="center"/>
          </w:tcPr>
          <w:p w14:paraId="393DBD29">
            <w:pPr>
              <w:rPr>
                <w:rFonts w:ascii="??" w:hAnsi="??"/>
                <w:sz w:val="36"/>
                <w:highlight w:val="none"/>
              </w:rPr>
            </w:pPr>
            <w:r>
              <w:rPr>
                <w:rFonts w:hint="eastAsia" w:ascii="??" w:hAnsi="??"/>
                <w:sz w:val="36"/>
                <w:highlight w:val="none"/>
              </w:rPr>
              <w:t>——</w:t>
            </w:r>
          </w:p>
        </w:tc>
      </w:tr>
      <w:tr w14:paraId="3E07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24A11BFF">
            <w:pPr>
              <w:rPr>
                <w:rFonts w:ascii="宋体" w:hAnsi="宋体"/>
                <w:b/>
                <w:sz w:val="32"/>
                <w:szCs w:val="32"/>
                <w:highlight w:val="none"/>
              </w:rPr>
            </w:pPr>
            <w:r>
              <w:rPr>
                <w:rFonts w:hint="eastAsia" w:ascii="宋体" w:hAnsi="宋体"/>
                <w:b/>
                <w:sz w:val="32"/>
                <w:szCs w:val="32"/>
                <w:highlight w:val="none"/>
              </w:rPr>
              <w:t>工程名称：</w:t>
            </w:r>
          </w:p>
        </w:tc>
        <w:tc>
          <w:tcPr>
            <w:tcW w:w="6939" w:type="dxa"/>
            <w:vAlign w:val="center"/>
          </w:tcPr>
          <w:p w14:paraId="12860F9C">
            <w:pPr>
              <w:rPr>
                <w:rFonts w:ascii="??" w:hAnsi="??"/>
                <w:sz w:val="36"/>
                <w:highlight w:val="none"/>
              </w:rPr>
            </w:pPr>
            <w:r>
              <w:rPr>
                <w:rFonts w:hint="eastAsia" w:ascii="??" w:hAnsi="??"/>
                <w:sz w:val="36"/>
                <w:highlight w:val="none"/>
              </w:rPr>
              <w:t>——</w:t>
            </w:r>
          </w:p>
        </w:tc>
      </w:tr>
      <w:tr w14:paraId="01AC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917" w:type="dxa"/>
            <w:vAlign w:val="center"/>
          </w:tcPr>
          <w:p w14:paraId="16887518">
            <w:pPr>
              <w:rPr>
                <w:rFonts w:ascii="宋体" w:hAnsi="宋体"/>
                <w:b/>
                <w:sz w:val="32"/>
                <w:szCs w:val="32"/>
                <w:highlight w:val="none"/>
              </w:rPr>
            </w:pPr>
            <w:r>
              <w:rPr>
                <w:rFonts w:hint="eastAsia" w:ascii="宋体" w:hAnsi="宋体"/>
                <w:b/>
                <w:sz w:val="32"/>
                <w:szCs w:val="32"/>
                <w:highlight w:val="none"/>
              </w:rPr>
              <w:t>检测单位</w:t>
            </w:r>
          </w:p>
        </w:tc>
        <w:tc>
          <w:tcPr>
            <w:tcW w:w="6939" w:type="dxa"/>
            <w:vAlign w:val="center"/>
          </w:tcPr>
          <w:p w14:paraId="6FE05FFF">
            <w:pPr>
              <w:rPr>
                <w:rFonts w:ascii="??" w:hAnsi="??"/>
                <w:sz w:val="36"/>
                <w:highlight w:val="none"/>
              </w:rPr>
            </w:pPr>
            <w:r>
              <w:rPr>
                <w:rFonts w:hint="eastAsia" w:ascii="??" w:hAnsi="??"/>
                <w:sz w:val="36"/>
                <w:highlight w:val="none"/>
              </w:rPr>
              <w:t>——</w:t>
            </w:r>
          </w:p>
        </w:tc>
      </w:tr>
    </w:tbl>
    <w:p w14:paraId="2AF228A9">
      <w:pPr>
        <w:jc w:val="center"/>
        <w:rPr>
          <w:rFonts w:ascii="??" w:hAnsi="??"/>
          <w:sz w:val="36"/>
          <w:highlight w:val="none"/>
        </w:rPr>
      </w:pPr>
    </w:p>
    <w:p w14:paraId="71C16154">
      <w:pPr>
        <w:jc w:val="center"/>
        <w:rPr>
          <w:rFonts w:ascii="??" w:hAnsi="??"/>
          <w:sz w:val="36"/>
          <w:highlight w:val="none"/>
        </w:rPr>
      </w:pPr>
      <w:r>
        <w:rPr>
          <w:rFonts w:hint="eastAsia" w:ascii="??" w:hAnsi="??"/>
          <w:sz w:val="36"/>
          <w:highlight w:val="none"/>
        </w:rPr>
        <w:t>2020年   月</w:t>
      </w:r>
    </w:p>
    <w:p w14:paraId="335B2BC0">
      <w:pPr>
        <w:jc w:val="center"/>
        <w:rPr>
          <w:rFonts w:ascii="??" w:hAnsi="??"/>
          <w:sz w:val="36"/>
          <w:highlight w:val="none"/>
        </w:rPr>
        <w:sectPr>
          <w:pgSz w:w="12240" w:h="15840"/>
          <w:pgMar w:top="1440" w:right="1797" w:bottom="1440" w:left="1797" w:header="720" w:footer="720" w:gutter="0"/>
          <w:pgNumType w:fmt="decimal"/>
          <w:cols w:space="720" w:num="1"/>
        </w:sectPr>
      </w:pPr>
    </w:p>
    <w:p w14:paraId="1A9BDF95">
      <w:pPr>
        <w:jc w:val="center"/>
        <w:rPr>
          <w:rFonts w:ascii="??" w:hAnsi="??"/>
          <w:sz w:val="32"/>
          <w:szCs w:val="32"/>
          <w:highlight w:val="none"/>
        </w:rPr>
      </w:pPr>
    </w:p>
    <w:sdt>
      <w:sdtPr>
        <w:rPr>
          <w:rFonts w:ascii="宋体" w:hAnsi="宋体" w:eastAsia="宋体"/>
          <w:sz w:val="32"/>
          <w:szCs w:val="32"/>
          <w:highlight w:val="none"/>
        </w:rPr>
        <w:id w:val="147461902"/>
        <w:docPartObj>
          <w:docPartGallery w:val="Table of Contents"/>
          <w:docPartUnique/>
        </w:docPartObj>
      </w:sdtPr>
      <w:sdtEndPr>
        <w:rPr>
          <w:rFonts w:hint="eastAsia" w:ascii="??" w:hAnsi="??" w:eastAsiaTheme="minorEastAsia"/>
          <w:b/>
          <w:sz w:val="21"/>
          <w:szCs w:val="22"/>
          <w:highlight w:val="none"/>
        </w:rPr>
      </w:sdtEndPr>
      <w:sdtContent>
        <w:p w14:paraId="6ABF390E">
          <w:pPr>
            <w:jc w:val="center"/>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目    录</w:t>
          </w:r>
        </w:p>
        <w:p w14:paraId="7B1FA6B9">
          <w:pPr>
            <w:jc w:val="center"/>
            <w:rPr>
              <w:rFonts w:ascii="华文仿宋" w:hAnsi="华文仿宋" w:eastAsia="华文仿宋" w:cs="华文仿宋"/>
              <w:sz w:val="24"/>
              <w:szCs w:val="24"/>
              <w:highlight w:val="none"/>
            </w:rPr>
          </w:pPr>
        </w:p>
        <w:p w14:paraId="70B2A91F">
          <w:pPr>
            <w:jc w:val="center"/>
            <w:rPr>
              <w:rFonts w:ascii="华文仿宋" w:hAnsi="华文仿宋" w:eastAsia="华文仿宋" w:cs="华文仿宋"/>
              <w:sz w:val="24"/>
              <w:szCs w:val="24"/>
              <w:highlight w:val="none"/>
            </w:rPr>
          </w:pPr>
        </w:p>
        <w:p w14:paraId="7012DA70">
          <w:pPr>
            <w:pStyle w:val="42"/>
            <w:tabs>
              <w:tab w:val="right" w:leader="dot" w:pos="8640"/>
            </w:tabs>
            <w:rPr>
              <w:sz w:val="24"/>
              <w:szCs w:val="24"/>
              <w:highlight w:val="none"/>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TOC \o "1-2" \h \u </w:instrText>
          </w:r>
          <w:r>
            <w:rPr>
              <w:rFonts w:hint="eastAsia" w:ascii="华文仿宋" w:hAnsi="华文仿宋" w:eastAsia="华文仿宋" w:cs="华文仿宋"/>
              <w:sz w:val="24"/>
              <w:szCs w:val="24"/>
              <w:highlight w:val="none"/>
            </w:rPr>
            <w:fldChar w:fldCharType="separate"/>
          </w:r>
          <w:r>
            <w:rPr>
              <w:highlight w:val="none"/>
            </w:rPr>
            <w:fldChar w:fldCharType="begin"/>
          </w:r>
          <w:r>
            <w:rPr>
              <w:highlight w:val="none"/>
            </w:rPr>
            <w:instrText xml:space="preserve"> HYPERLINK \l "_Toc4742" </w:instrText>
          </w:r>
          <w:r>
            <w:rPr>
              <w:highlight w:val="none"/>
            </w:rPr>
            <w:fldChar w:fldCharType="separate"/>
          </w:r>
          <w:r>
            <w:rPr>
              <w:rFonts w:hint="eastAsia" w:ascii="宋体" w:hAnsi="宋体"/>
              <w:sz w:val="24"/>
              <w:szCs w:val="24"/>
              <w:highlight w:val="none"/>
            </w:rPr>
            <w:t>一、工程概况</w:t>
          </w:r>
          <w:r>
            <w:rPr>
              <w:sz w:val="24"/>
              <w:szCs w:val="24"/>
              <w:highlight w:val="none"/>
            </w:rPr>
            <w:tab/>
          </w:r>
          <w:r>
            <w:rPr>
              <w:sz w:val="24"/>
              <w:szCs w:val="24"/>
              <w:highlight w:val="none"/>
            </w:rPr>
            <w:fldChar w:fldCharType="begin"/>
          </w:r>
          <w:r>
            <w:rPr>
              <w:sz w:val="24"/>
              <w:szCs w:val="24"/>
              <w:highlight w:val="none"/>
            </w:rPr>
            <w:instrText xml:space="preserve"> PAGEREF _Toc4742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6D2F9F85">
          <w:pPr>
            <w:pStyle w:val="42"/>
            <w:tabs>
              <w:tab w:val="right" w:leader="dot" w:pos="8640"/>
            </w:tabs>
            <w:rPr>
              <w:sz w:val="24"/>
              <w:szCs w:val="24"/>
              <w:highlight w:val="none"/>
            </w:rPr>
          </w:pPr>
          <w:r>
            <w:rPr>
              <w:highlight w:val="none"/>
            </w:rPr>
            <w:fldChar w:fldCharType="begin"/>
          </w:r>
          <w:r>
            <w:rPr>
              <w:highlight w:val="none"/>
            </w:rPr>
            <w:instrText xml:space="preserve"> HYPERLINK \l "_Toc29543" </w:instrText>
          </w:r>
          <w:r>
            <w:rPr>
              <w:highlight w:val="none"/>
            </w:rPr>
            <w:fldChar w:fldCharType="separate"/>
          </w:r>
          <w:r>
            <w:rPr>
              <w:rFonts w:hint="eastAsia" w:ascii="宋体" w:hAnsi="宋体"/>
              <w:sz w:val="24"/>
              <w:szCs w:val="24"/>
              <w:highlight w:val="none"/>
            </w:rPr>
            <w:t>二、工程范围</w:t>
          </w:r>
          <w:r>
            <w:rPr>
              <w:sz w:val="24"/>
              <w:szCs w:val="24"/>
              <w:highlight w:val="none"/>
            </w:rPr>
            <w:tab/>
          </w:r>
          <w:r>
            <w:rPr>
              <w:sz w:val="24"/>
              <w:szCs w:val="24"/>
              <w:highlight w:val="none"/>
            </w:rPr>
            <w:fldChar w:fldCharType="begin"/>
          </w:r>
          <w:r>
            <w:rPr>
              <w:sz w:val="24"/>
              <w:szCs w:val="24"/>
              <w:highlight w:val="none"/>
            </w:rPr>
            <w:instrText xml:space="preserve"> PAGEREF _Toc29543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02837A32">
          <w:pPr>
            <w:pStyle w:val="53"/>
            <w:tabs>
              <w:tab w:val="right" w:leader="dot" w:pos="8640"/>
            </w:tabs>
            <w:rPr>
              <w:sz w:val="24"/>
              <w:szCs w:val="24"/>
              <w:highlight w:val="none"/>
            </w:rPr>
          </w:pPr>
          <w:r>
            <w:rPr>
              <w:highlight w:val="none"/>
            </w:rPr>
            <w:fldChar w:fldCharType="begin"/>
          </w:r>
          <w:r>
            <w:rPr>
              <w:highlight w:val="none"/>
            </w:rPr>
            <w:instrText xml:space="preserve"> HYPERLINK \l "_Toc28491" </w:instrText>
          </w:r>
          <w:r>
            <w:rPr>
              <w:highlight w:val="none"/>
            </w:rPr>
            <w:fldChar w:fldCharType="separate"/>
          </w:r>
          <w:r>
            <w:rPr>
              <w:rFonts w:hint="eastAsia" w:ascii="宋体" w:hAnsi="宋体"/>
              <w:bCs/>
              <w:sz w:val="24"/>
              <w:szCs w:val="24"/>
              <w:highlight w:val="none"/>
            </w:rPr>
            <w:t>（一）检测路段（含相关地形图和管线位置图）</w:t>
          </w:r>
          <w:r>
            <w:rPr>
              <w:sz w:val="24"/>
              <w:szCs w:val="24"/>
              <w:highlight w:val="none"/>
            </w:rPr>
            <w:tab/>
          </w:r>
          <w:r>
            <w:rPr>
              <w:sz w:val="24"/>
              <w:szCs w:val="24"/>
              <w:highlight w:val="none"/>
            </w:rPr>
            <w:fldChar w:fldCharType="begin"/>
          </w:r>
          <w:r>
            <w:rPr>
              <w:sz w:val="24"/>
              <w:szCs w:val="24"/>
              <w:highlight w:val="none"/>
            </w:rPr>
            <w:instrText xml:space="preserve"> PAGEREF _Toc28491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77615DE4">
          <w:pPr>
            <w:pStyle w:val="53"/>
            <w:tabs>
              <w:tab w:val="right" w:leader="dot" w:pos="8640"/>
            </w:tabs>
            <w:rPr>
              <w:sz w:val="24"/>
              <w:szCs w:val="24"/>
              <w:highlight w:val="none"/>
            </w:rPr>
          </w:pPr>
          <w:r>
            <w:rPr>
              <w:highlight w:val="none"/>
            </w:rPr>
            <w:fldChar w:fldCharType="begin"/>
          </w:r>
          <w:r>
            <w:rPr>
              <w:highlight w:val="none"/>
            </w:rPr>
            <w:instrText xml:space="preserve"> HYPERLINK \l "_Toc23737" </w:instrText>
          </w:r>
          <w:r>
            <w:rPr>
              <w:highlight w:val="none"/>
            </w:rPr>
            <w:fldChar w:fldCharType="separate"/>
          </w:r>
          <w:r>
            <w:rPr>
              <w:rFonts w:hint="eastAsia" w:ascii="宋体" w:hAnsi="宋体"/>
              <w:bCs/>
              <w:sz w:val="24"/>
              <w:szCs w:val="24"/>
              <w:highlight w:val="none"/>
            </w:rPr>
            <w:t>（二）检测要求（包含所有检测项目要求）</w:t>
          </w:r>
          <w:r>
            <w:rPr>
              <w:sz w:val="24"/>
              <w:szCs w:val="24"/>
              <w:highlight w:val="none"/>
            </w:rPr>
            <w:tab/>
          </w:r>
          <w:r>
            <w:rPr>
              <w:sz w:val="24"/>
              <w:szCs w:val="24"/>
              <w:highlight w:val="none"/>
            </w:rPr>
            <w:fldChar w:fldCharType="begin"/>
          </w:r>
          <w:r>
            <w:rPr>
              <w:sz w:val="24"/>
              <w:szCs w:val="24"/>
              <w:highlight w:val="none"/>
            </w:rPr>
            <w:instrText xml:space="preserve"> PAGEREF _Toc23737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597FC0EF">
          <w:pPr>
            <w:pStyle w:val="42"/>
            <w:tabs>
              <w:tab w:val="right" w:leader="dot" w:pos="8640"/>
            </w:tabs>
            <w:rPr>
              <w:sz w:val="24"/>
              <w:szCs w:val="24"/>
              <w:highlight w:val="none"/>
            </w:rPr>
          </w:pPr>
          <w:r>
            <w:rPr>
              <w:highlight w:val="none"/>
            </w:rPr>
            <w:fldChar w:fldCharType="begin"/>
          </w:r>
          <w:r>
            <w:rPr>
              <w:highlight w:val="none"/>
            </w:rPr>
            <w:instrText xml:space="preserve"> HYPERLINK \l "_Toc31504" </w:instrText>
          </w:r>
          <w:r>
            <w:rPr>
              <w:highlight w:val="none"/>
            </w:rPr>
            <w:fldChar w:fldCharType="separate"/>
          </w:r>
          <w:r>
            <w:rPr>
              <w:rFonts w:hint="eastAsia" w:ascii="宋体" w:hAnsi="宋体"/>
              <w:sz w:val="24"/>
              <w:szCs w:val="24"/>
              <w:highlight w:val="none"/>
            </w:rPr>
            <w:t>三、检测方案</w:t>
          </w:r>
          <w:r>
            <w:rPr>
              <w:sz w:val="24"/>
              <w:szCs w:val="24"/>
              <w:highlight w:val="none"/>
            </w:rPr>
            <w:tab/>
          </w:r>
          <w:r>
            <w:rPr>
              <w:sz w:val="24"/>
              <w:szCs w:val="24"/>
              <w:highlight w:val="none"/>
            </w:rPr>
            <w:fldChar w:fldCharType="begin"/>
          </w:r>
          <w:r>
            <w:rPr>
              <w:sz w:val="24"/>
              <w:szCs w:val="24"/>
              <w:highlight w:val="none"/>
            </w:rPr>
            <w:instrText xml:space="preserve"> PAGEREF _Toc31504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63C30E0D">
          <w:pPr>
            <w:pStyle w:val="53"/>
            <w:tabs>
              <w:tab w:val="right" w:leader="dot" w:pos="8640"/>
            </w:tabs>
            <w:rPr>
              <w:sz w:val="24"/>
              <w:szCs w:val="24"/>
              <w:highlight w:val="none"/>
            </w:rPr>
          </w:pPr>
          <w:r>
            <w:rPr>
              <w:highlight w:val="none"/>
            </w:rPr>
            <w:fldChar w:fldCharType="begin"/>
          </w:r>
          <w:r>
            <w:rPr>
              <w:highlight w:val="none"/>
            </w:rPr>
            <w:instrText xml:space="preserve"> HYPERLINK \l "_Toc3668" </w:instrText>
          </w:r>
          <w:r>
            <w:rPr>
              <w:highlight w:val="none"/>
            </w:rPr>
            <w:fldChar w:fldCharType="separate"/>
          </w:r>
          <w:r>
            <w:rPr>
              <w:rFonts w:hint="eastAsia" w:ascii="宋体" w:hAnsi="宋体"/>
              <w:sz w:val="24"/>
              <w:szCs w:val="24"/>
              <w:highlight w:val="none"/>
            </w:rPr>
            <w:t>（一）检测方案（包含所有检测项目的详细检测方案及作业指导书）</w:t>
          </w:r>
          <w:r>
            <w:rPr>
              <w:sz w:val="24"/>
              <w:szCs w:val="24"/>
              <w:highlight w:val="none"/>
            </w:rPr>
            <w:tab/>
          </w:r>
          <w:r>
            <w:rPr>
              <w:sz w:val="24"/>
              <w:szCs w:val="24"/>
              <w:highlight w:val="none"/>
            </w:rPr>
            <w:fldChar w:fldCharType="begin"/>
          </w:r>
          <w:r>
            <w:rPr>
              <w:sz w:val="24"/>
              <w:szCs w:val="24"/>
              <w:highlight w:val="none"/>
            </w:rPr>
            <w:instrText xml:space="preserve"> PAGEREF _Toc3668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55A65791">
          <w:pPr>
            <w:pStyle w:val="53"/>
            <w:tabs>
              <w:tab w:val="right" w:leader="dot" w:pos="8640"/>
            </w:tabs>
            <w:rPr>
              <w:sz w:val="24"/>
              <w:szCs w:val="24"/>
              <w:highlight w:val="none"/>
            </w:rPr>
          </w:pPr>
          <w:r>
            <w:rPr>
              <w:highlight w:val="none"/>
            </w:rPr>
            <w:fldChar w:fldCharType="begin"/>
          </w:r>
          <w:r>
            <w:rPr>
              <w:highlight w:val="none"/>
            </w:rPr>
            <w:instrText xml:space="preserve"> HYPERLINK \l "_Toc25376" </w:instrText>
          </w:r>
          <w:r>
            <w:rPr>
              <w:highlight w:val="none"/>
            </w:rPr>
            <w:fldChar w:fldCharType="separate"/>
          </w:r>
          <w:r>
            <w:rPr>
              <w:rFonts w:hint="eastAsia" w:ascii="宋体" w:hAnsi="宋体"/>
              <w:sz w:val="24"/>
              <w:szCs w:val="24"/>
              <w:highlight w:val="none"/>
            </w:rPr>
            <w:t>（二）检测依据</w:t>
          </w:r>
          <w:r>
            <w:rPr>
              <w:sz w:val="24"/>
              <w:szCs w:val="24"/>
              <w:highlight w:val="none"/>
            </w:rPr>
            <w:tab/>
          </w:r>
          <w:r>
            <w:rPr>
              <w:sz w:val="24"/>
              <w:szCs w:val="24"/>
              <w:highlight w:val="none"/>
            </w:rPr>
            <w:fldChar w:fldCharType="begin"/>
          </w:r>
          <w:r>
            <w:rPr>
              <w:sz w:val="24"/>
              <w:szCs w:val="24"/>
              <w:highlight w:val="none"/>
            </w:rPr>
            <w:instrText xml:space="preserve"> PAGEREF _Toc25376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7BC7391F">
          <w:pPr>
            <w:pStyle w:val="53"/>
            <w:tabs>
              <w:tab w:val="right" w:leader="dot" w:pos="8640"/>
            </w:tabs>
            <w:rPr>
              <w:sz w:val="24"/>
              <w:szCs w:val="24"/>
              <w:highlight w:val="none"/>
            </w:rPr>
          </w:pPr>
          <w:r>
            <w:rPr>
              <w:highlight w:val="none"/>
            </w:rPr>
            <w:fldChar w:fldCharType="begin"/>
          </w:r>
          <w:r>
            <w:rPr>
              <w:highlight w:val="none"/>
            </w:rPr>
            <w:instrText xml:space="preserve"> HYPERLINK \l "_Toc27810" </w:instrText>
          </w:r>
          <w:r>
            <w:rPr>
              <w:highlight w:val="none"/>
            </w:rPr>
            <w:fldChar w:fldCharType="separate"/>
          </w:r>
          <w:r>
            <w:rPr>
              <w:rFonts w:hint="eastAsia" w:ascii="宋体" w:hAnsi="宋体"/>
              <w:sz w:val="24"/>
              <w:szCs w:val="24"/>
              <w:highlight w:val="none"/>
            </w:rPr>
            <w:t>（三）判定标准</w:t>
          </w:r>
          <w:r>
            <w:rPr>
              <w:sz w:val="24"/>
              <w:szCs w:val="24"/>
              <w:highlight w:val="none"/>
            </w:rPr>
            <w:tab/>
          </w:r>
          <w:r>
            <w:rPr>
              <w:sz w:val="24"/>
              <w:szCs w:val="24"/>
              <w:highlight w:val="none"/>
            </w:rPr>
            <w:fldChar w:fldCharType="begin"/>
          </w:r>
          <w:r>
            <w:rPr>
              <w:sz w:val="24"/>
              <w:szCs w:val="24"/>
              <w:highlight w:val="none"/>
            </w:rPr>
            <w:instrText xml:space="preserve"> PAGEREF _Toc27810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4194ACD0">
          <w:pPr>
            <w:pStyle w:val="53"/>
            <w:tabs>
              <w:tab w:val="right" w:leader="dot" w:pos="8640"/>
            </w:tabs>
            <w:rPr>
              <w:sz w:val="24"/>
              <w:szCs w:val="24"/>
              <w:highlight w:val="none"/>
            </w:rPr>
          </w:pPr>
          <w:r>
            <w:rPr>
              <w:highlight w:val="none"/>
            </w:rPr>
            <w:fldChar w:fldCharType="begin"/>
          </w:r>
          <w:r>
            <w:rPr>
              <w:highlight w:val="none"/>
            </w:rPr>
            <w:instrText xml:space="preserve"> HYPERLINK \l "_Toc23901" </w:instrText>
          </w:r>
          <w:r>
            <w:rPr>
              <w:highlight w:val="none"/>
            </w:rPr>
            <w:fldChar w:fldCharType="separate"/>
          </w:r>
          <w:r>
            <w:rPr>
              <w:rFonts w:hint="eastAsia" w:ascii="宋体" w:hAnsi="宋体"/>
              <w:sz w:val="24"/>
              <w:szCs w:val="24"/>
              <w:highlight w:val="none"/>
            </w:rPr>
            <w:t>（四）检测设备</w:t>
          </w:r>
          <w:r>
            <w:rPr>
              <w:sz w:val="24"/>
              <w:szCs w:val="24"/>
              <w:highlight w:val="none"/>
            </w:rPr>
            <w:tab/>
          </w:r>
          <w:r>
            <w:rPr>
              <w:sz w:val="24"/>
              <w:szCs w:val="24"/>
              <w:highlight w:val="none"/>
            </w:rPr>
            <w:fldChar w:fldCharType="begin"/>
          </w:r>
          <w:r>
            <w:rPr>
              <w:sz w:val="24"/>
              <w:szCs w:val="24"/>
              <w:highlight w:val="none"/>
            </w:rPr>
            <w:instrText xml:space="preserve"> PAGEREF _Toc23901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4BF7E4F0">
          <w:pPr>
            <w:pStyle w:val="42"/>
            <w:tabs>
              <w:tab w:val="right" w:leader="dot" w:pos="8640"/>
            </w:tabs>
            <w:rPr>
              <w:sz w:val="24"/>
              <w:szCs w:val="24"/>
              <w:highlight w:val="none"/>
            </w:rPr>
          </w:pPr>
          <w:r>
            <w:rPr>
              <w:highlight w:val="none"/>
            </w:rPr>
            <w:fldChar w:fldCharType="begin"/>
          </w:r>
          <w:r>
            <w:rPr>
              <w:highlight w:val="none"/>
            </w:rPr>
            <w:instrText xml:space="preserve"> HYPERLINK \l "_Toc13460" </w:instrText>
          </w:r>
          <w:r>
            <w:rPr>
              <w:highlight w:val="none"/>
            </w:rPr>
            <w:fldChar w:fldCharType="separate"/>
          </w:r>
          <w:r>
            <w:rPr>
              <w:rFonts w:hint="eastAsia" w:ascii="宋体" w:hAnsi="宋体"/>
              <w:sz w:val="24"/>
              <w:szCs w:val="24"/>
              <w:highlight w:val="none"/>
            </w:rPr>
            <w:t>四、检测结果</w:t>
          </w:r>
          <w:r>
            <w:rPr>
              <w:sz w:val="24"/>
              <w:szCs w:val="24"/>
              <w:highlight w:val="none"/>
            </w:rPr>
            <w:tab/>
          </w:r>
          <w:r>
            <w:rPr>
              <w:sz w:val="24"/>
              <w:szCs w:val="24"/>
              <w:highlight w:val="none"/>
            </w:rPr>
            <w:fldChar w:fldCharType="begin"/>
          </w:r>
          <w:r>
            <w:rPr>
              <w:sz w:val="24"/>
              <w:szCs w:val="24"/>
              <w:highlight w:val="none"/>
            </w:rPr>
            <w:instrText xml:space="preserve"> PAGEREF _Toc13460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14:paraId="07526D4D">
          <w:pPr>
            <w:pStyle w:val="53"/>
            <w:tabs>
              <w:tab w:val="right" w:leader="dot" w:pos="8640"/>
            </w:tabs>
            <w:rPr>
              <w:sz w:val="24"/>
              <w:szCs w:val="24"/>
              <w:highlight w:val="none"/>
            </w:rPr>
          </w:pPr>
          <w:r>
            <w:rPr>
              <w:highlight w:val="none"/>
            </w:rPr>
            <w:fldChar w:fldCharType="begin"/>
          </w:r>
          <w:r>
            <w:rPr>
              <w:highlight w:val="none"/>
            </w:rPr>
            <w:instrText xml:space="preserve"> HYPERLINK \l "_Toc32550" </w:instrText>
          </w:r>
          <w:r>
            <w:rPr>
              <w:highlight w:val="none"/>
            </w:rPr>
            <w:fldChar w:fldCharType="separate"/>
          </w:r>
          <w:r>
            <w:rPr>
              <w:rFonts w:hint="eastAsia" w:ascii="宋体" w:hAnsi="宋体"/>
              <w:bCs/>
              <w:sz w:val="24"/>
              <w:szCs w:val="24"/>
              <w:highlight w:val="none"/>
            </w:rPr>
            <w:t>（一）检测结果</w:t>
          </w:r>
          <w:r>
            <w:rPr>
              <w:sz w:val="24"/>
              <w:szCs w:val="24"/>
              <w:highlight w:val="none"/>
            </w:rPr>
            <w:tab/>
          </w:r>
          <w:r>
            <w:rPr>
              <w:sz w:val="24"/>
              <w:szCs w:val="24"/>
              <w:highlight w:val="none"/>
            </w:rPr>
            <w:fldChar w:fldCharType="begin"/>
          </w:r>
          <w:r>
            <w:rPr>
              <w:sz w:val="24"/>
              <w:szCs w:val="24"/>
              <w:highlight w:val="none"/>
            </w:rPr>
            <w:instrText xml:space="preserve"> PAGEREF _Toc32550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14:paraId="4A72DA3A">
          <w:pPr>
            <w:pStyle w:val="53"/>
            <w:tabs>
              <w:tab w:val="right" w:leader="dot" w:pos="8640"/>
            </w:tabs>
            <w:rPr>
              <w:sz w:val="24"/>
              <w:szCs w:val="24"/>
              <w:highlight w:val="none"/>
            </w:rPr>
          </w:pPr>
          <w:r>
            <w:rPr>
              <w:highlight w:val="none"/>
            </w:rPr>
            <w:fldChar w:fldCharType="begin"/>
          </w:r>
          <w:r>
            <w:rPr>
              <w:highlight w:val="none"/>
            </w:rPr>
            <w:instrText xml:space="preserve"> HYPERLINK \l "_Toc2427" </w:instrText>
          </w:r>
          <w:r>
            <w:rPr>
              <w:highlight w:val="none"/>
            </w:rPr>
            <w:fldChar w:fldCharType="separate"/>
          </w:r>
          <w:r>
            <w:rPr>
              <w:rFonts w:hint="eastAsia" w:ascii="宋体" w:hAnsi="宋体"/>
              <w:bCs/>
              <w:sz w:val="24"/>
              <w:szCs w:val="24"/>
              <w:highlight w:val="none"/>
            </w:rPr>
            <w:t>（二）检测结论</w:t>
          </w:r>
          <w:r>
            <w:rPr>
              <w:sz w:val="24"/>
              <w:szCs w:val="24"/>
              <w:highlight w:val="none"/>
            </w:rPr>
            <w:tab/>
          </w:r>
          <w:r>
            <w:rPr>
              <w:sz w:val="24"/>
              <w:szCs w:val="24"/>
              <w:highlight w:val="none"/>
            </w:rPr>
            <w:fldChar w:fldCharType="begin"/>
          </w:r>
          <w:r>
            <w:rPr>
              <w:sz w:val="24"/>
              <w:szCs w:val="24"/>
              <w:highlight w:val="none"/>
            </w:rPr>
            <w:instrText xml:space="preserve"> PAGEREF _Toc2427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3786C41B">
          <w:pPr>
            <w:pStyle w:val="42"/>
            <w:tabs>
              <w:tab w:val="right" w:leader="dot" w:pos="8640"/>
            </w:tabs>
            <w:rPr>
              <w:sz w:val="24"/>
              <w:szCs w:val="24"/>
              <w:highlight w:val="none"/>
            </w:rPr>
          </w:pPr>
          <w:r>
            <w:rPr>
              <w:highlight w:val="none"/>
            </w:rPr>
            <w:fldChar w:fldCharType="begin"/>
          </w:r>
          <w:r>
            <w:rPr>
              <w:highlight w:val="none"/>
            </w:rPr>
            <w:instrText xml:space="preserve"> HYPERLINK \l "_Toc23627" </w:instrText>
          </w:r>
          <w:r>
            <w:rPr>
              <w:highlight w:val="none"/>
            </w:rPr>
            <w:fldChar w:fldCharType="separate"/>
          </w:r>
          <w:r>
            <w:rPr>
              <w:rFonts w:hint="eastAsia" w:ascii="宋体" w:hAnsi="宋体"/>
              <w:sz w:val="24"/>
              <w:szCs w:val="24"/>
              <w:highlight w:val="none"/>
            </w:rPr>
            <w:t>五、分项报告</w:t>
          </w:r>
          <w:r>
            <w:rPr>
              <w:sz w:val="24"/>
              <w:szCs w:val="24"/>
              <w:highlight w:val="none"/>
            </w:rPr>
            <w:tab/>
          </w:r>
          <w:r>
            <w:rPr>
              <w:sz w:val="24"/>
              <w:szCs w:val="24"/>
              <w:highlight w:val="none"/>
            </w:rPr>
            <w:fldChar w:fldCharType="begin"/>
          </w:r>
          <w:r>
            <w:rPr>
              <w:sz w:val="24"/>
              <w:szCs w:val="24"/>
              <w:highlight w:val="none"/>
            </w:rPr>
            <w:instrText xml:space="preserve"> PAGEREF _Toc23627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58B4E7EB">
          <w:pPr>
            <w:jc w:val="center"/>
            <w:rPr>
              <w:rFonts w:ascii="??" w:hAnsi="??"/>
              <w:sz w:val="36"/>
              <w:highlight w:val="none"/>
            </w:rPr>
          </w:pPr>
          <w:r>
            <w:rPr>
              <w:rFonts w:hint="eastAsia" w:ascii="华文仿宋" w:hAnsi="华文仿宋" w:eastAsia="华文仿宋" w:cs="华文仿宋"/>
              <w:sz w:val="24"/>
              <w:szCs w:val="24"/>
              <w:highlight w:val="none"/>
            </w:rPr>
            <w:fldChar w:fldCharType="end"/>
          </w:r>
        </w:p>
      </w:sdtContent>
    </w:sdt>
    <w:p w14:paraId="0A28E41B">
      <w:pPr>
        <w:jc w:val="center"/>
        <w:rPr>
          <w:rFonts w:ascii="??" w:hAnsi="??"/>
          <w:sz w:val="36"/>
          <w:highlight w:val="none"/>
        </w:rPr>
      </w:pPr>
    </w:p>
    <w:p w14:paraId="7294DA35">
      <w:pPr>
        <w:rPr>
          <w:rFonts w:ascii="??" w:hAnsi="??"/>
          <w:sz w:val="36"/>
          <w:highlight w:val="none"/>
        </w:rPr>
      </w:pPr>
    </w:p>
    <w:p w14:paraId="6B21E554">
      <w:pPr>
        <w:pStyle w:val="42"/>
        <w:rPr>
          <w:rFonts w:ascii="??" w:hAnsi="??"/>
          <w:sz w:val="36"/>
          <w:highlight w:val="none"/>
        </w:rPr>
      </w:pPr>
    </w:p>
    <w:p w14:paraId="4D6C2C78">
      <w:pPr>
        <w:rPr>
          <w:rFonts w:ascii="??" w:hAnsi="??"/>
          <w:sz w:val="36"/>
          <w:highlight w:val="none"/>
        </w:rPr>
      </w:pPr>
    </w:p>
    <w:p w14:paraId="1E0B2B8B">
      <w:pPr>
        <w:pStyle w:val="42"/>
        <w:rPr>
          <w:rFonts w:ascii="??" w:hAnsi="??"/>
          <w:sz w:val="36"/>
          <w:highlight w:val="none"/>
        </w:rPr>
      </w:pPr>
    </w:p>
    <w:p w14:paraId="5A8499C7">
      <w:pPr>
        <w:rPr>
          <w:rFonts w:ascii="??" w:hAnsi="??"/>
          <w:sz w:val="36"/>
          <w:highlight w:val="none"/>
        </w:rPr>
      </w:pPr>
    </w:p>
    <w:p w14:paraId="717B9CEA">
      <w:pPr>
        <w:pStyle w:val="42"/>
        <w:rPr>
          <w:rFonts w:ascii="??" w:hAnsi="??"/>
          <w:sz w:val="36"/>
          <w:highlight w:val="none"/>
        </w:rPr>
      </w:pPr>
    </w:p>
    <w:p w14:paraId="1164433E">
      <w:pPr>
        <w:rPr>
          <w:rFonts w:ascii="??" w:hAnsi="??"/>
          <w:sz w:val="36"/>
          <w:highlight w:val="none"/>
        </w:rPr>
      </w:pPr>
    </w:p>
    <w:p w14:paraId="17352160">
      <w:pPr>
        <w:pStyle w:val="42"/>
        <w:rPr>
          <w:highlight w:val="none"/>
        </w:rPr>
      </w:pPr>
    </w:p>
    <w:p w14:paraId="7C6A7912">
      <w:pPr>
        <w:pStyle w:val="42"/>
        <w:rPr>
          <w:rFonts w:ascii="??" w:hAnsi="??"/>
          <w:sz w:val="36"/>
          <w:highlight w:val="none"/>
        </w:rPr>
      </w:pPr>
    </w:p>
    <w:p w14:paraId="331A4647">
      <w:pPr>
        <w:rPr>
          <w:highlight w:val="none"/>
        </w:rPr>
      </w:pPr>
    </w:p>
    <w:p w14:paraId="0CE24DE6">
      <w:pPr>
        <w:rPr>
          <w:rFonts w:hint="eastAsia" w:ascii="黑体" w:hAnsi="黑体" w:eastAsia="黑体"/>
          <w:sz w:val="28"/>
          <w:szCs w:val="28"/>
          <w:highlight w:val="none"/>
        </w:rPr>
      </w:pPr>
      <w:bookmarkStart w:id="1465" w:name="_Toc23242"/>
      <w:bookmarkStart w:id="1466" w:name="_Toc31117"/>
      <w:bookmarkStart w:id="1467" w:name="_Toc4742"/>
      <w:r>
        <w:rPr>
          <w:rFonts w:hint="eastAsia" w:ascii="黑体" w:hAnsi="黑体" w:eastAsia="黑体"/>
          <w:sz w:val="28"/>
          <w:szCs w:val="28"/>
          <w:highlight w:val="none"/>
        </w:rPr>
        <w:br w:type="page"/>
      </w:r>
    </w:p>
    <w:p w14:paraId="72615ABD">
      <w:pPr>
        <w:spacing w:line="520" w:lineRule="exact"/>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一、工程</w:t>
      </w:r>
      <w:bookmarkEnd w:id="1465"/>
      <w:bookmarkEnd w:id="1466"/>
      <w:r>
        <w:rPr>
          <w:rFonts w:hint="eastAsia" w:ascii="黑体" w:hAnsi="黑体" w:eastAsia="黑体"/>
          <w:sz w:val="28"/>
          <w:szCs w:val="28"/>
          <w:highlight w:val="none"/>
        </w:rPr>
        <w:t>概况</w:t>
      </w:r>
      <w:bookmarkEnd w:id="1467"/>
    </w:p>
    <w:p w14:paraId="55CA8884">
      <w:pPr>
        <w:spacing w:line="520" w:lineRule="exact"/>
        <w:ind w:firstLine="560" w:firstLineChars="200"/>
        <w:outlineLvl w:val="0"/>
        <w:rPr>
          <w:rFonts w:ascii="黑体" w:hAnsi="黑体" w:eastAsia="黑体"/>
          <w:sz w:val="28"/>
          <w:szCs w:val="28"/>
          <w:highlight w:val="none"/>
        </w:rPr>
      </w:pPr>
      <w:bookmarkStart w:id="1468" w:name="_Toc29019"/>
      <w:bookmarkStart w:id="1469" w:name="_Toc29543"/>
      <w:r>
        <w:rPr>
          <w:rFonts w:hint="eastAsia" w:ascii="黑体" w:hAnsi="黑体" w:eastAsia="黑体"/>
          <w:sz w:val="28"/>
          <w:szCs w:val="28"/>
          <w:highlight w:val="none"/>
        </w:rPr>
        <w:t>二、工程</w:t>
      </w:r>
      <w:bookmarkEnd w:id="1468"/>
      <w:r>
        <w:rPr>
          <w:rFonts w:hint="eastAsia" w:ascii="黑体" w:hAnsi="黑体" w:eastAsia="黑体"/>
          <w:sz w:val="28"/>
          <w:szCs w:val="28"/>
          <w:highlight w:val="none"/>
        </w:rPr>
        <w:t>范围</w:t>
      </w:r>
      <w:bookmarkEnd w:id="1469"/>
    </w:p>
    <w:p w14:paraId="223B2EBF">
      <w:pPr>
        <w:spacing w:line="520" w:lineRule="exact"/>
        <w:ind w:firstLine="560" w:firstLineChars="200"/>
        <w:outlineLvl w:val="1"/>
        <w:rPr>
          <w:rFonts w:ascii="仿宋_GB2312" w:hAnsi="宋体" w:eastAsia="仿宋_GB2312"/>
          <w:bCs/>
          <w:sz w:val="28"/>
          <w:szCs w:val="28"/>
          <w:highlight w:val="none"/>
        </w:rPr>
      </w:pPr>
      <w:bookmarkStart w:id="1470" w:name="_Toc28491"/>
      <w:r>
        <w:rPr>
          <w:rFonts w:hint="eastAsia" w:ascii="仿宋_GB2312" w:hAnsi="宋体" w:eastAsia="仿宋_GB2312"/>
          <w:bCs/>
          <w:sz w:val="28"/>
          <w:szCs w:val="28"/>
          <w:highlight w:val="none"/>
        </w:rPr>
        <w:t>（一）检测路段（含相关地形图和管线位置图）</w:t>
      </w:r>
      <w:bookmarkEnd w:id="1470"/>
    </w:p>
    <w:p w14:paraId="1FE76432">
      <w:pPr>
        <w:spacing w:line="520" w:lineRule="exact"/>
        <w:ind w:firstLine="560" w:firstLineChars="200"/>
        <w:outlineLvl w:val="1"/>
        <w:rPr>
          <w:rFonts w:ascii="仿宋_GB2312" w:hAnsi="宋体" w:eastAsia="仿宋_GB2312"/>
          <w:bCs/>
          <w:sz w:val="28"/>
          <w:szCs w:val="28"/>
          <w:highlight w:val="none"/>
        </w:rPr>
      </w:pPr>
      <w:bookmarkStart w:id="1471" w:name="_Toc23737"/>
      <w:r>
        <w:rPr>
          <w:rFonts w:hint="eastAsia" w:ascii="仿宋_GB2312" w:hAnsi="宋体" w:eastAsia="仿宋_GB2312"/>
          <w:bCs/>
          <w:sz w:val="28"/>
          <w:szCs w:val="28"/>
          <w:highlight w:val="none"/>
        </w:rPr>
        <w:t>（二）检测要求（包含所有检测项目要求）</w:t>
      </w:r>
      <w:bookmarkEnd w:id="1471"/>
    </w:p>
    <w:p w14:paraId="36CFE8F9">
      <w:pPr>
        <w:spacing w:line="520" w:lineRule="exact"/>
        <w:ind w:firstLine="560" w:firstLineChars="200"/>
        <w:outlineLvl w:val="0"/>
        <w:rPr>
          <w:rFonts w:ascii="黑体" w:hAnsi="黑体" w:eastAsia="黑体"/>
          <w:sz w:val="28"/>
          <w:szCs w:val="28"/>
          <w:highlight w:val="none"/>
        </w:rPr>
      </w:pPr>
      <w:bookmarkStart w:id="1472" w:name="_Toc31504"/>
      <w:bookmarkStart w:id="1473" w:name="_Toc10268"/>
      <w:r>
        <w:rPr>
          <w:rFonts w:hint="eastAsia" w:ascii="黑体" w:hAnsi="黑体" w:eastAsia="黑体"/>
          <w:sz w:val="28"/>
          <w:szCs w:val="28"/>
          <w:highlight w:val="none"/>
        </w:rPr>
        <w:t>三、检测方案</w:t>
      </w:r>
      <w:bookmarkEnd w:id="1472"/>
      <w:bookmarkEnd w:id="1473"/>
      <w:bookmarkStart w:id="1474" w:name="_Toc3668"/>
    </w:p>
    <w:p w14:paraId="42EB3FF3">
      <w:pPr>
        <w:spacing w:line="520" w:lineRule="exact"/>
        <w:ind w:firstLine="560" w:firstLineChars="200"/>
        <w:outlineLvl w:val="0"/>
        <w:rPr>
          <w:rFonts w:ascii="仿宋_GB2312" w:hAnsi="黑体" w:eastAsia="仿宋_GB2312"/>
          <w:sz w:val="28"/>
          <w:szCs w:val="28"/>
          <w:highlight w:val="none"/>
        </w:rPr>
      </w:pPr>
      <w:r>
        <w:rPr>
          <w:rFonts w:hint="eastAsia" w:ascii="仿宋_GB2312" w:hAnsi="黑体" w:eastAsia="仿宋_GB2312"/>
          <w:sz w:val="28"/>
          <w:szCs w:val="28"/>
          <w:highlight w:val="none"/>
        </w:rPr>
        <w:t>（一）</w:t>
      </w:r>
      <w:r>
        <w:rPr>
          <w:rFonts w:hint="eastAsia" w:ascii="仿宋_GB2312" w:hAnsi="宋体" w:eastAsia="仿宋_GB2312"/>
          <w:sz w:val="28"/>
          <w:szCs w:val="28"/>
          <w:highlight w:val="none"/>
        </w:rPr>
        <w:t>检测方案（含所有检测项目的详细检测方案及作业指导书）</w:t>
      </w:r>
      <w:bookmarkEnd w:id="1474"/>
    </w:p>
    <w:p w14:paraId="41849AAE">
      <w:pPr>
        <w:spacing w:line="520" w:lineRule="exact"/>
        <w:ind w:firstLine="560" w:firstLineChars="200"/>
        <w:outlineLvl w:val="0"/>
        <w:rPr>
          <w:rFonts w:ascii="仿宋_GB2312" w:hAnsi="黑体" w:eastAsia="仿宋_GB2312"/>
          <w:sz w:val="28"/>
          <w:szCs w:val="28"/>
          <w:highlight w:val="none"/>
        </w:rPr>
      </w:pPr>
      <w:bookmarkStart w:id="1475" w:name="_Toc25376"/>
      <w:r>
        <w:rPr>
          <w:rFonts w:hint="eastAsia" w:ascii="仿宋_GB2312" w:hAnsi="黑体" w:eastAsia="仿宋_GB2312"/>
          <w:sz w:val="28"/>
          <w:szCs w:val="28"/>
          <w:highlight w:val="none"/>
        </w:rPr>
        <w:t>（二）检测依据</w:t>
      </w:r>
      <w:bookmarkEnd w:id="1475"/>
    </w:p>
    <w:p w14:paraId="2340C1E9">
      <w:pPr>
        <w:autoSpaceDE w:val="0"/>
        <w:autoSpaceDN w:val="0"/>
        <w:adjustRightInd w:val="0"/>
        <w:spacing w:line="520" w:lineRule="exact"/>
        <w:ind w:firstLine="560" w:firstLineChars="200"/>
        <w:rPr>
          <w:rFonts w:ascii="仿宋_GB2312" w:eastAsia="仿宋_GB2312" w:cs="仿宋"/>
          <w:kern w:val="0"/>
          <w:sz w:val="28"/>
          <w:szCs w:val="28"/>
          <w:highlight w:val="none"/>
        </w:rPr>
      </w:pPr>
      <w:bookmarkStart w:id="1476" w:name="_Toc815"/>
      <w:r>
        <w:rPr>
          <w:rFonts w:hint="eastAsia" w:ascii="仿宋_GB2312" w:eastAsia="仿宋_GB2312" w:cs="仿宋"/>
          <w:kern w:val="0"/>
          <w:sz w:val="28"/>
          <w:szCs w:val="28"/>
          <w:highlight w:val="none"/>
        </w:rPr>
        <w:t>1.《城镇道路工程施工与质量验收规范》CJJ1-2008</w:t>
      </w:r>
    </w:p>
    <w:p w14:paraId="33BBBD77">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2.《公路路基路面现场测试规程》 JTG 3450-2019</w:t>
      </w:r>
    </w:p>
    <w:p w14:paraId="29DEBC45">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 xml:space="preserve">  T0912-2019 挖坑和钻芯测试路面厚度方法</w:t>
      </w:r>
    </w:p>
    <w:p w14:paraId="21E28587">
      <w:pPr>
        <w:autoSpaceDE w:val="0"/>
        <w:autoSpaceDN w:val="0"/>
        <w:adjustRightInd w:val="0"/>
        <w:spacing w:line="520" w:lineRule="exact"/>
        <w:ind w:firstLine="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 xml:space="preserve">     T0924-2008 钻芯测试路面压实度方法</w:t>
      </w:r>
    </w:p>
    <w:p w14:paraId="1F818046">
      <w:pPr>
        <w:autoSpaceDE w:val="0"/>
        <w:autoSpaceDN w:val="0"/>
        <w:adjustRightInd w:val="0"/>
        <w:spacing w:line="520" w:lineRule="exact"/>
        <w:ind w:firstLine="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 xml:space="preserve">     T0931-2008 三米直尺测试平整度方法</w:t>
      </w:r>
    </w:p>
    <w:p w14:paraId="2064A52D">
      <w:pPr>
        <w:autoSpaceDE w:val="0"/>
        <w:autoSpaceDN w:val="0"/>
        <w:adjustRightInd w:val="0"/>
        <w:spacing w:line="520" w:lineRule="exact"/>
        <w:ind w:firstLine="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 xml:space="preserve">     T0932-2008 连续式平整度仪测试平整度方法</w:t>
      </w:r>
    </w:p>
    <w:p w14:paraId="403B0E7A">
      <w:pPr>
        <w:autoSpaceDE w:val="0"/>
        <w:autoSpaceDN w:val="0"/>
        <w:adjustRightInd w:val="0"/>
        <w:spacing w:line="520" w:lineRule="exact"/>
        <w:ind w:firstLine="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 xml:space="preserve">     T0951-2008 贝克曼梁测试路基路面回弹弯沉方法</w:t>
      </w:r>
    </w:p>
    <w:p w14:paraId="75AEF682">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3.《公路工程质量检验评定标准 第一册 土建工程》JTG F80/1-2017</w:t>
      </w:r>
    </w:p>
    <w:p w14:paraId="38DE9BBF">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4.《公路沥青路面施工技术规范》JTG F40-2004</w:t>
      </w:r>
    </w:p>
    <w:p w14:paraId="66552778">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5.《混凝土路面砖》GB/T 28635-2012</w:t>
      </w:r>
    </w:p>
    <w:p w14:paraId="11AB90BE">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6.《天然饰面石材试验方法》GB/T 9966-2001</w:t>
      </w:r>
    </w:p>
    <w:p w14:paraId="3AA01AF2">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7.</w:t>
      </w:r>
      <w:r>
        <w:rPr>
          <w:rFonts w:hint="eastAsia" w:ascii="仿宋_GB2312" w:eastAsia="仿宋_GB2312" w:cs="仿宋"/>
          <w:kern w:val="0"/>
          <w:sz w:val="28"/>
          <w:szCs w:val="28"/>
          <w:highlight w:val="none"/>
          <w:lang w:val="zh-CN"/>
        </w:rPr>
        <w:t>《给水排水管道工程施工及验收规范》GB50268-2008</w:t>
      </w:r>
    </w:p>
    <w:p w14:paraId="5CB2A919">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8.</w:t>
      </w:r>
      <w:r>
        <w:rPr>
          <w:rFonts w:hint="eastAsia" w:ascii="仿宋_GB2312" w:eastAsia="仿宋_GB2312" w:cs="仿宋"/>
          <w:kern w:val="0"/>
          <w:sz w:val="28"/>
          <w:szCs w:val="28"/>
          <w:highlight w:val="none"/>
          <w:lang w:val="zh-CN"/>
        </w:rPr>
        <w:t>《城镇排水管道维护安全技术规程》CJJ6-2009</w:t>
      </w:r>
    </w:p>
    <w:p w14:paraId="706183F2">
      <w:pPr>
        <w:autoSpaceDE w:val="0"/>
        <w:autoSpaceDN w:val="0"/>
        <w:adjustRightInd w:val="0"/>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9.</w:t>
      </w:r>
      <w:r>
        <w:rPr>
          <w:rFonts w:hint="eastAsia" w:ascii="仿宋_GB2312" w:eastAsia="仿宋_GB2312" w:cs="仿宋"/>
          <w:kern w:val="0"/>
          <w:sz w:val="28"/>
          <w:szCs w:val="28"/>
          <w:highlight w:val="none"/>
          <w:lang w:val="zh-CN"/>
        </w:rPr>
        <w:t>《城镇排水管道检测与评估技术规程》CJJ181—2012</w:t>
      </w:r>
    </w:p>
    <w:p w14:paraId="73F359A6">
      <w:pPr>
        <w:spacing w:line="520" w:lineRule="exact"/>
        <w:ind w:firstLine="560" w:firstLineChars="200"/>
        <w:outlineLvl w:val="0"/>
        <w:rPr>
          <w:rFonts w:ascii="仿宋_GB2312" w:hAnsi="黑体" w:eastAsia="仿宋_GB2312"/>
          <w:sz w:val="28"/>
          <w:szCs w:val="28"/>
          <w:highlight w:val="none"/>
        </w:rPr>
      </w:pPr>
      <w:bookmarkStart w:id="1477" w:name="_Toc27810"/>
      <w:r>
        <w:rPr>
          <w:rFonts w:hint="eastAsia" w:ascii="仿宋_GB2312" w:hAnsi="黑体" w:eastAsia="仿宋_GB2312"/>
          <w:sz w:val="28"/>
          <w:szCs w:val="28"/>
          <w:highlight w:val="none"/>
        </w:rPr>
        <w:t>（三）判定标准</w:t>
      </w:r>
      <w:bookmarkEnd w:id="1476"/>
      <w:bookmarkEnd w:id="1477"/>
    </w:p>
    <w:p w14:paraId="07C027E1">
      <w:pPr>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1.《城镇道路工程施工与质量验收规范》CJJ1-2008</w:t>
      </w:r>
    </w:p>
    <w:p w14:paraId="623E2CCD">
      <w:pPr>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2.《公路工程质量检验评定标准 第一册 土建工程》JTG F80/1-2017</w:t>
      </w:r>
    </w:p>
    <w:p w14:paraId="4F1E73D4">
      <w:pPr>
        <w:spacing w:line="520" w:lineRule="exact"/>
        <w:ind w:firstLine="560" w:firstLineChars="200"/>
        <w:rPr>
          <w:rFonts w:ascii="仿宋_GB2312" w:eastAsia="仿宋_GB2312" w:cs="仿宋"/>
          <w:kern w:val="0"/>
          <w:sz w:val="28"/>
          <w:szCs w:val="28"/>
          <w:highlight w:val="none"/>
          <w:lang w:val="zh-CN"/>
        </w:rPr>
      </w:pPr>
      <w:r>
        <w:rPr>
          <w:rFonts w:hint="eastAsia" w:ascii="仿宋_GB2312" w:eastAsia="仿宋_GB2312" w:cs="仿宋"/>
          <w:kern w:val="0"/>
          <w:sz w:val="28"/>
          <w:szCs w:val="28"/>
          <w:highlight w:val="none"/>
        </w:rPr>
        <w:t>3.</w:t>
      </w:r>
      <w:r>
        <w:rPr>
          <w:rFonts w:hint="eastAsia" w:ascii="仿宋_GB2312" w:eastAsia="仿宋_GB2312" w:cs="仿宋"/>
          <w:kern w:val="0"/>
          <w:sz w:val="28"/>
          <w:szCs w:val="28"/>
          <w:highlight w:val="none"/>
          <w:lang w:val="zh-CN"/>
        </w:rPr>
        <w:t>《给水排水管道工程施工及验收规范》GB50268-2008</w:t>
      </w:r>
    </w:p>
    <w:p w14:paraId="109BEB56">
      <w:pPr>
        <w:spacing w:line="520" w:lineRule="exact"/>
        <w:ind w:firstLine="560" w:firstLineChars="200"/>
        <w:rPr>
          <w:rFonts w:ascii="仿宋_GB2312" w:eastAsia="仿宋_GB2312" w:cs="仿宋"/>
          <w:kern w:val="0"/>
          <w:sz w:val="28"/>
          <w:szCs w:val="28"/>
          <w:highlight w:val="none"/>
        </w:rPr>
      </w:pPr>
      <w:r>
        <w:rPr>
          <w:rFonts w:hint="eastAsia" w:ascii="仿宋_GB2312" w:eastAsia="仿宋_GB2312" w:cs="仿宋"/>
          <w:kern w:val="0"/>
          <w:sz w:val="28"/>
          <w:szCs w:val="28"/>
          <w:highlight w:val="none"/>
        </w:rPr>
        <w:t>4.设计规定。</w:t>
      </w:r>
    </w:p>
    <w:p w14:paraId="1175CD4B">
      <w:pPr>
        <w:spacing w:line="520" w:lineRule="exact"/>
        <w:ind w:firstLine="560" w:firstLineChars="200"/>
        <w:outlineLvl w:val="0"/>
        <w:rPr>
          <w:rFonts w:ascii="仿宋_GB2312" w:hAnsi="黑体" w:eastAsia="仿宋_GB2312"/>
          <w:sz w:val="28"/>
          <w:szCs w:val="28"/>
          <w:highlight w:val="none"/>
        </w:rPr>
      </w:pPr>
      <w:bookmarkStart w:id="1478" w:name="_Toc23901"/>
      <w:r>
        <w:rPr>
          <w:rFonts w:hint="eastAsia" w:ascii="仿宋_GB2312" w:hAnsi="黑体" w:eastAsia="仿宋_GB2312"/>
          <w:sz w:val="28"/>
          <w:szCs w:val="28"/>
          <w:highlight w:val="none"/>
        </w:rPr>
        <w:t>（四）检测设备</w:t>
      </w:r>
      <w:bookmarkEnd w:id="1478"/>
    </w:p>
    <w:p w14:paraId="2CFCE305">
      <w:pPr>
        <w:spacing w:line="52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本次检测所采用的检测设备包含：贝克曼梁弯沉仪、连续式平整度仪、CCTV机器人、潜望镜、标准车、钻孔取芯机、测温枪、钢直尺、卷尺等。</w:t>
      </w:r>
    </w:p>
    <w:p w14:paraId="2C5DB045">
      <w:pPr>
        <w:spacing w:line="520" w:lineRule="exact"/>
        <w:ind w:firstLine="560" w:firstLineChars="200"/>
        <w:outlineLvl w:val="0"/>
        <w:rPr>
          <w:rFonts w:ascii="黑体" w:hAnsi="黑体" w:eastAsia="黑体"/>
          <w:sz w:val="28"/>
          <w:szCs w:val="28"/>
          <w:highlight w:val="none"/>
        </w:rPr>
      </w:pPr>
      <w:bookmarkStart w:id="1479" w:name="_Toc902"/>
      <w:bookmarkStart w:id="1480" w:name="_Toc13460"/>
      <w:r>
        <w:rPr>
          <w:rFonts w:hint="eastAsia" w:ascii="黑体" w:hAnsi="黑体" w:eastAsia="黑体"/>
          <w:sz w:val="28"/>
          <w:szCs w:val="28"/>
          <w:highlight w:val="none"/>
        </w:rPr>
        <w:t>四、检测结果</w:t>
      </w:r>
      <w:bookmarkEnd w:id="1479"/>
      <w:bookmarkEnd w:id="1480"/>
    </w:p>
    <w:p w14:paraId="54B71CE2">
      <w:pPr>
        <w:spacing w:line="520" w:lineRule="exact"/>
        <w:outlineLvl w:val="1"/>
        <w:rPr>
          <w:rFonts w:ascii="仿宋_GB2312" w:hAnsi="宋体" w:eastAsia="仿宋_GB2312"/>
          <w:sz w:val="28"/>
          <w:szCs w:val="28"/>
          <w:highlight w:val="none"/>
        </w:rPr>
      </w:pPr>
      <w:bookmarkStart w:id="1481" w:name="_Toc1934"/>
      <w:bookmarkStart w:id="1482" w:name="_Toc32550"/>
      <w:r>
        <w:rPr>
          <w:rFonts w:hint="eastAsia" w:ascii="仿宋_GB2312" w:hAnsi="宋体" w:eastAsia="仿宋_GB2312"/>
          <w:bCs/>
          <w:sz w:val="28"/>
          <w:szCs w:val="28"/>
          <w:highlight w:val="none"/>
        </w:rPr>
        <w:t>（一）检测结果</w:t>
      </w:r>
      <w:bookmarkEnd w:id="1481"/>
      <w:bookmarkEnd w:id="1482"/>
    </w:p>
    <w:p w14:paraId="08CBA92C">
      <w:pPr>
        <w:autoSpaceDE w:val="0"/>
        <w:autoSpaceDN w:val="0"/>
        <w:adjustRightInd w:val="0"/>
        <w:spacing w:line="52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1.车行道沥青混合料压实度检测结果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427"/>
        <w:gridCol w:w="956"/>
      </w:tblGrid>
      <w:tr w14:paraId="753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72F9A9D6">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34407B93">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028BBDE3">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35078621">
            <w:pPr>
              <w:pStyle w:val="57"/>
              <w:jc w:val="center"/>
              <w:rPr>
                <w:sz w:val="21"/>
                <w:szCs w:val="21"/>
                <w:highlight w:val="none"/>
              </w:rPr>
            </w:pPr>
            <w:r>
              <w:rPr>
                <w:rFonts w:hint="eastAsia"/>
                <w:color w:val="000000"/>
                <w:sz w:val="21"/>
                <w:szCs w:val="21"/>
                <w:highlight w:val="none"/>
              </w:rPr>
              <w:t>检测结果</w:t>
            </w:r>
          </w:p>
        </w:tc>
        <w:tc>
          <w:tcPr>
            <w:tcW w:w="1427" w:type="dxa"/>
            <w:shd w:val="clear" w:color="auto" w:fill="auto"/>
            <w:tcMar>
              <w:top w:w="11" w:type="dxa"/>
              <w:left w:w="11" w:type="dxa"/>
              <w:right w:w="11" w:type="dxa"/>
            </w:tcMar>
            <w:vAlign w:val="center"/>
          </w:tcPr>
          <w:p w14:paraId="5363C12E">
            <w:pPr>
              <w:pStyle w:val="57"/>
              <w:jc w:val="center"/>
              <w:rPr>
                <w:sz w:val="21"/>
                <w:szCs w:val="21"/>
                <w:highlight w:val="none"/>
              </w:rPr>
            </w:pPr>
            <w:r>
              <w:rPr>
                <w:rFonts w:hint="eastAsia"/>
                <w:color w:val="000000"/>
                <w:sz w:val="21"/>
                <w:szCs w:val="21"/>
                <w:highlight w:val="none"/>
              </w:rPr>
              <w:t>结论</w:t>
            </w:r>
          </w:p>
        </w:tc>
        <w:tc>
          <w:tcPr>
            <w:tcW w:w="956" w:type="dxa"/>
            <w:shd w:val="clear" w:color="auto" w:fill="auto"/>
            <w:tcMar>
              <w:top w:w="11" w:type="dxa"/>
              <w:left w:w="11" w:type="dxa"/>
              <w:right w:w="11" w:type="dxa"/>
            </w:tcMar>
            <w:vAlign w:val="center"/>
          </w:tcPr>
          <w:p w14:paraId="6EAEBD89">
            <w:pPr>
              <w:pStyle w:val="57"/>
              <w:jc w:val="center"/>
              <w:rPr>
                <w:color w:val="000000"/>
                <w:sz w:val="21"/>
                <w:szCs w:val="21"/>
                <w:highlight w:val="none"/>
              </w:rPr>
            </w:pPr>
            <w:r>
              <w:rPr>
                <w:rFonts w:hint="eastAsia"/>
                <w:color w:val="000000"/>
                <w:sz w:val="21"/>
                <w:szCs w:val="21"/>
                <w:highlight w:val="none"/>
              </w:rPr>
              <w:t>备注</w:t>
            </w:r>
          </w:p>
        </w:tc>
      </w:tr>
      <w:tr w14:paraId="7507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4271A187">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52E81F71">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3C8CDA99">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68F07557">
            <w:pPr>
              <w:pStyle w:val="57"/>
              <w:jc w:val="center"/>
              <w:rPr>
                <w:sz w:val="21"/>
                <w:szCs w:val="21"/>
                <w:highlight w:val="none"/>
              </w:rPr>
            </w:pPr>
          </w:p>
        </w:tc>
        <w:tc>
          <w:tcPr>
            <w:tcW w:w="1427" w:type="dxa"/>
            <w:shd w:val="clear" w:color="auto" w:fill="auto"/>
            <w:tcMar>
              <w:top w:w="11" w:type="dxa"/>
              <w:left w:w="11" w:type="dxa"/>
              <w:right w:w="11" w:type="dxa"/>
            </w:tcMar>
            <w:vAlign w:val="center"/>
          </w:tcPr>
          <w:p w14:paraId="2ECCAAB2">
            <w:pPr>
              <w:pStyle w:val="57"/>
              <w:jc w:val="center"/>
              <w:rPr>
                <w:sz w:val="21"/>
                <w:szCs w:val="21"/>
                <w:highlight w:val="none"/>
              </w:rPr>
            </w:pPr>
          </w:p>
        </w:tc>
        <w:tc>
          <w:tcPr>
            <w:tcW w:w="956" w:type="dxa"/>
            <w:shd w:val="clear" w:color="auto" w:fill="auto"/>
            <w:tcMar>
              <w:top w:w="11" w:type="dxa"/>
              <w:left w:w="11" w:type="dxa"/>
              <w:right w:w="11" w:type="dxa"/>
            </w:tcMar>
            <w:vAlign w:val="center"/>
          </w:tcPr>
          <w:p w14:paraId="6CAA375C">
            <w:pPr>
              <w:pStyle w:val="57"/>
              <w:jc w:val="center"/>
              <w:rPr>
                <w:sz w:val="21"/>
                <w:szCs w:val="21"/>
                <w:highlight w:val="none"/>
              </w:rPr>
            </w:pPr>
          </w:p>
        </w:tc>
      </w:tr>
    </w:tbl>
    <w:p w14:paraId="139AFE44">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2.车行道结构层厚度检测结果</w:t>
      </w:r>
    </w:p>
    <w:tbl>
      <w:tblPr>
        <w:tblStyle w:val="62"/>
        <w:tblW w:w="8771"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3"/>
        <w:gridCol w:w="893"/>
        <w:gridCol w:w="949"/>
        <w:gridCol w:w="749"/>
        <w:gridCol w:w="869"/>
        <w:gridCol w:w="1147"/>
        <w:gridCol w:w="838"/>
        <w:gridCol w:w="1359"/>
        <w:gridCol w:w="944"/>
      </w:tblGrid>
      <w:tr w14:paraId="4F57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blHeader/>
          <w:tblCellSpacing w:w="0" w:type="dxa"/>
        </w:trPr>
        <w:tc>
          <w:tcPr>
            <w:tcW w:w="1023" w:type="dxa"/>
            <w:shd w:val="clear" w:color="auto" w:fill="auto"/>
            <w:tcMar>
              <w:top w:w="12" w:type="dxa"/>
              <w:left w:w="12" w:type="dxa"/>
              <w:right w:w="12" w:type="dxa"/>
            </w:tcMar>
            <w:vAlign w:val="center"/>
          </w:tcPr>
          <w:p w14:paraId="09088486">
            <w:pPr>
              <w:spacing w:line="360" w:lineRule="auto"/>
              <w:ind w:left="420" w:hanging="420" w:hangingChars="200"/>
              <w:jc w:val="center"/>
              <w:rPr>
                <w:rFonts w:eastAsia="宋体"/>
                <w:szCs w:val="20"/>
                <w:highlight w:val="none"/>
              </w:rPr>
            </w:pPr>
            <w:r>
              <w:rPr>
                <w:rFonts w:hint="eastAsia" w:ascii="宋体" w:hAnsi="宋体" w:eastAsia="宋体" w:cs="宋体"/>
                <w:color w:val="000000"/>
                <w:szCs w:val="21"/>
                <w:highlight w:val="none"/>
              </w:rPr>
              <w:t>道路名称</w:t>
            </w:r>
          </w:p>
        </w:tc>
        <w:tc>
          <w:tcPr>
            <w:tcW w:w="893" w:type="dxa"/>
            <w:shd w:val="clear" w:color="auto" w:fill="auto"/>
            <w:tcMar>
              <w:top w:w="12" w:type="dxa"/>
              <w:left w:w="12" w:type="dxa"/>
              <w:right w:w="12" w:type="dxa"/>
            </w:tcMar>
            <w:vAlign w:val="center"/>
          </w:tcPr>
          <w:p w14:paraId="662732B6">
            <w:pPr>
              <w:pStyle w:val="57"/>
              <w:jc w:val="center"/>
              <w:rPr>
                <w:sz w:val="21"/>
                <w:szCs w:val="20"/>
                <w:highlight w:val="none"/>
              </w:rPr>
            </w:pPr>
            <w:r>
              <w:rPr>
                <w:rFonts w:hint="eastAsia"/>
                <w:color w:val="000000"/>
                <w:sz w:val="21"/>
                <w:szCs w:val="21"/>
                <w:highlight w:val="none"/>
              </w:rPr>
              <w:t>道路等级</w:t>
            </w:r>
          </w:p>
        </w:tc>
        <w:tc>
          <w:tcPr>
            <w:tcW w:w="949" w:type="dxa"/>
            <w:shd w:val="clear" w:color="auto" w:fill="auto"/>
            <w:tcMar>
              <w:top w:w="12" w:type="dxa"/>
              <w:left w:w="12" w:type="dxa"/>
              <w:right w:w="12" w:type="dxa"/>
            </w:tcMar>
            <w:vAlign w:val="center"/>
          </w:tcPr>
          <w:p w14:paraId="31412689">
            <w:pPr>
              <w:pStyle w:val="57"/>
              <w:jc w:val="center"/>
              <w:rPr>
                <w:sz w:val="21"/>
                <w:szCs w:val="20"/>
                <w:highlight w:val="none"/>
              </w:rPr>
            </w:pPr>
            <w:r>
              <w:rPr>
                <w:rFonts w:hint="eastAsia"/>
                <w:color w:val="000000"/>
                <w:sz w:val="21"/>
                <w:szCs w:val="21"/>
                <w:highlight w:val="none"/>
              </w:rPr>
              <w:t>桩号</w:t>
            </w:r>
          </w:p>
        </w:tc>
        <w:tc>
          <w:tcPr>
            <w:tcW w:w="749" w:type="dxa"/>
            <w:shd w:val="clear" w:color="auto" w:fill="auto"/>
            <w:tcMar>
              <w:top w:w="12" w:type="dxa"/>
              <w:left w:w="12" w:type="dxa"/>
              <w:right w:w="12" w:type="dxa"/>
            </w:tcMar>
            <w:vAlign w:val="center"/>
          </w:tcPr>
          <w:p w14:paraId="51A628D6">
            <w:pPr>
              <w:pStyle w:val="57"/>
              <w:jc w:val="center"/>
              <w:rPr>
                <w:sz w:val="21"/>
                <w:szCs w:val="20"/>
                <w:highlight w:val="none"/>
              </w:rPr>
            </w:pPr>
            <w:r>
              <w:rPr>
                <w:rFonts w:hint="eastAsia"/>
                <w:color w:val="000000"/>
                <w:sz w:val="21"/>
                <w:szCs w:val="21"/>
                <w:highlight w:val="none"/>
              </w:rPr>
              <w:t>设计厚度（mm）</w:t>
            </w:r>
          </w:p>
        </w:tc>
        <w:tc>
          <w:tcPr>
            <w:tcW w:w="869" w:type="dxa"/>
            <w:shd w:val="clear" w:color="auto" w:fill="auto"/>
            <w:tcMar>
              <w:top w:w="12" w:type="dxa"/>
              <w:left w:w="12" w:type="dxa"/>
              <w:right w:w="12" w:type="dxa"/>
            </w:tcMar>
            <w:vAlign w:val="center"/>
          </w:tcPr>
          <w:p w14:paraId="41F125E6">
            <w:pPr>
              <w:pStyle w:val="57"/>
              <w:jc w:val="center"/>
              <w:rPr>
                <w:sz w:val="21"/>
                <w:szCs w:val="20"/>
                <w:highlight w:val="none"/>
              </w:rPr>
            </w:pPr>
            <w:r>
              <w:rPr>
                <w:rFonts w:hint="eastAsia"/>
                <w:color w:val="000000"/>
                <w:sz w:val="21"/>
                <w:szCs w:val="21"/>
                <w:highlight w:val="none"/>
              </w:rPr>
              <w:t>允许偏差（mm）</w:t>
            </w:r>
          </w:p>
        </w:tc>
        <w:tc>
          <w:tcPr>
            <w:tcW w:w="1147" w:type="dxa"/>
            <w:shd w:val="clear" w:color="auto" w:fill="auto"/>
            <w:tcMar>
              <w:top w:w="12" w:type="dxa"/>
              <w:left w:w="12" w:type="dxa"/>
              <w:right w:w="12" w:type="dxa"/>
            </w:tcMar>
            <w:vAlign w:val="center"/>
          </w:tcPr>
          <w:p w14:paraId="7EAF023C">
            <w:pPr>
              <w:pStyle w:val="57"/>
              <w:jc w:val="center"/>
              <w:rPr>
                <w:sz w:val="21"/>
                <w:szCs w:val="20"/>
                <w:highlight w:val="none"/>
              </w:rPr>
            </w:pPr>
            <w:r>
              <w:rPr>
                <w:rFonts w:hint="eastAsia"/>
                <w:color w:val="000000"/>
                <w:sz w:val="21"/>
                <w:szCs w:val="21"/>
                <w:highlight w:val="none"/>
              </w:rPr>
              <w:t>实测结果（mm）</w:t>
            </w:r>
          </w:p>
        </w:tc>
        <w:tc>
          <w:tcPr>
            <w:tcW w:w="838" w:type="dxa"/>
            <w:shd w:val="clear" w:color="auto" w:fill="auto"/>
            <w:tcMar>
              <w:top w:w="12" w:type="dxa"/>
              <w:left w:w="12" w:type="dxa"/>
              <w:right w:w="12" w:type="dxa"/>
            </w:tcMar>
            <w:vAlign w:val="center"/>
          </w:tcPr>
          <w:p w14:paraId="5D4405A5">
            <w:pPr>
              <w:pStyle w:val="57"/>
              <w:jc w:val="center"/>
              <w:rPr>
                <w:sz w:val="21"/>
                <w:szCs w:val="20"/>
                <w:highlight w:val="none"/>
              </w:rPr>
            </w:pPr>
            <w:r>
              <w:rPr>
                <w:rFonts w:hint="eastAsia"/>
                <w:color w:val="000000"/>
                <w:sz w:val="21"/>
                <w:szCs w:val="21"/>
                <w:highlight w:val="none"/>
              </w:rPr>
              <w:t>偏差（mm）</w:t>
            </w:r>
          </w:p>
        </w:tc>
        <w:tc>
          <w:tcPr>
            <w:tcW w:w="1359" w:type="dxa"/>
            <w:shd w:val="clear" w:color="auto" w:fill="auto"/>
            <w:tcMar>
              <w:top w:w="12" w:type="dxa"/>
              <w:left w:w="12" w:type="dxa"/>
              <w:right w:w="12" w:type="dxa"/>
            </w:tcMar>
            <w:vAlign w:val="center"/>
          </w:tcPr>
          <w:p w14:paraId="1298022F">
            <w:pPr>
              <w:pStyle w:val="57"/>
              <w:jc w:val="center"/>
              <w:rPr>
                <w:sz w:val="21"/>
                <w:szCs w:val="20"/>
                <w:highlight w:val="none"/>
              </w:rPr>
            </w:pPr>
            <w:r>
              <w:rPr>
                <w:rFonts w:hint="eastAsia"/>
                <w:color w:val="000000"/>
                <w:sz w:val="21"/>
                <w:szCs w:val="21"/>
                <w:highlight w:val="none"/>
              </w:rPr>
              <w:t>结论</w:t>
            </w:r>
          </w:p>
        </w:tc>
        <w:tc>
          <w:tcPr>
            <w:tcW w:w="944" w:type="dxa"/>
            <w:shd w:val="clear" w:color="auto" w:fill="auto"/>
            <w:tcMar>
              <w:top w:w="12" w:type="dxa"/>
              <w:left w:w="12" w:type="dxa"/>
              <w:right w:w="12" w:type="dxa"/>
            </w:tcMar>
            <w:vAlign w:val="center"/>
          </w:tcPr>
          <w:p w14:paraId="499867F6">
            <w:pPr>
              <w:pStyle w:val="57"/>
              <w:jc w:val="center"/>
              <w:rPr>
                <w:color w:val="000000"/>
                <w:sz w:val="21"/>
                <w:szCs w:val="21"/>
                <w:highlight w:val="none"/>
              </w:rPr>
            </w:pPr>
            <w:r>
              <w:rPr>
                <w:rFonts w:hint="eastAsia"/>
                <w:color w:val="000000"/>
                <w:sz w:val="21"/>
                <w:szCs w:val="21"/>
                <w:highlight w:val="none"/>
              </w:rPr>
              <w:t>备注</w:t>
            </w:r>
          </w:p>
        </w:tc>
      </w:tr>
      <w:tr w14:paraId="021A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23" w:type="dxa"/>
            <w:shd w:val="clear" w:color="auto" w:fill="auto"/>
            <w:tcMar>
              <w:top w:w="12" w:type="dxa"/>
              <w:left w:w="12" w:type="dxa"/>
              <w:right w:w="12" w:type="dxa"/>
            </w:tcMar>
            <w:vAlign w:val="center"/>
          </w:tcPr>
          <w:p w14:paraId="5D94392F">
            <w:pPr>
              <w:pStyle w:val="57"/>
              <w:jc w:val="center"/>
              <w:rPr>
                <w:sz w:val="21"/>
                <w:szCs w:val="20"/>
                <w:highlight w:val="none"/>
              </w:rPr>
            </w:pPr>
          </w:p>
        </w:tc>
        <w:tc>
          <w:tcPr>
            <w:tcW w:w="893" w:type="dxa"/>
            <w:shd w:val="clear" w:color="auto" w:fill="auto"/>
            <w:tcMar>
              <w:top w:w="12" w:type="dxa"/>
              <w:left w:w="12" w:type="dxa"/>
              <w:right w:w="12" w:type="dxa"/>
            </w:tcMar>
            <w:vAlign w:val="center"/>
          </w:tcPr>
          <w:p w14:paraId="06FAEF90">
            <w:pPr>
              <w:pStyle w:val="57"/>
              <w:jc w:val="center"/>
              <w:rPr>
                <w:sz w:val="21"/>
                <w:szCs w:val="20"/>
                <w:highlight w:val="none"/>
              </w:rPr>
            </w:pPr>
          </w:p>
        </w:tc>
        <w:tc>
          <w:tcPr>
            <w:tcW w:w="949" w:type="dxa"/>
            <w:shd w:val="clear" w:color="auto" w:fill="auto"/>
            <w:tcMar>
              <w:top w:w="12" w:type="dxa"/>
              <w:left w:w="12" w:type="dxa"/>
              <w:right w:w="12" w:type="dxa"/>
            </w:tcMar>
            <w:vAlign w:val="center"/>
          </w:tcPr>
          <w:p w14:paraId="64398FDD">
            <w:pPr>
              <w:pStyle w:val="57"/>
              <w:jc w:val="center"/>
              <w:rPr>
                <w:sz w:val="21"/>
                <w:szCs w:val="20"/>
                <w:highlight w:val="none"/>
              </w:rPr>
            </w:pPr>
          </w:p>
        </w:tc>
        <w:tc>
          <w:tcPr>
            <w:tcW w:w="749" w:type="dxa"/>
            <w:shd w:val="clear" w:color="auto" w:fill="auto"/>
            <w:tcMar>
              <w:top w:w="12" w:type="dxa"/>
              <w:left w:w="12" w:type="dxa"/>
              <w:right w:w="12" w:type="dxa"/>
            </w:tcMar>
            <w:vAlign w:val="center"/>
          </w:tcPr>
          <w:p w14:paraId="120CF0F4">
            <w:pPr>
              <w:pStyle w:val="57"/>
              <w:jc w:val="center"/>
              <w:rPr>
                <w:sz w:val="21"/>
                <w:szCs w:val="20"/>
                <w:highlight w:val="none"/>
              </w:rPr>
            </w:pPr>
          </w:p>
        </w:tc>
        <w:tc>
          <w:tcPr>
            <w:tcW w:w="869" w:type="dxa"/>
            <w:shd w:val="clear" w:color="auto" w:fill="auto"/>
            <w:tcMar>
              <w:top w:w="12" w:type="dxa"/>
              <w:left w:w="12" w:type="dxa"/>
              <w:right w:w="12" w:type="dxa"/>
            </w:tcMar>
            <w:vAlign w:val="center"/>
          </w:tcPr>
          <w:p w14:paraId="312F8997">
            <w:pPr>
              <w:pStyle w:val="57"/>
              <w:jc w:val="center"/>
              <w:rPr>
                <w:sz w:val="21"/>
                <w:szCs w:val="20"/>
                <w:highlight w:val="none"/>
              </w:rPr>
            </w:pPr>
          </w:p>
        </w:tc>
        <w:tc>
          <w:tcPr>
            <w:tcW w:w="1147" w:type="dxa"/>
            <w:shd w:val="clear" w:color="auto" w:fill="auto"/>
            <w:tcMar>
              <w:top w:w="12" w:type="dxa"/>
              <w:left w:w="12" w:type="dxa"/>
              <w:right w:w="12" w:type="dxa"/>
            </w:tcMar>
            <w:vAlign w:val="center"/>
          </w:tcPr>
          <w:p w14:paraId="0C71DAD4">
            <w:pPr>
              <w:pStyle w:val="57"/>
              <w:jc w:val="center"/>
              <w:rPr>
                <w:sz w:val="21"/>
                <w:szCs w:val="20"/>
                <w:highlight w:val="none"/>
              </w:rPr>
            </w:pPr>
          </w:p>
        </w:tc>
        <w:tc>
          <w:tcPr>
            <w:tcW w:w="838" w:type="dxa"/>
            <w:shd w:val="clear" w:color="auto" w:fill="auto"/>
            <w:tcMar>
              <w:top w:w="12" w:type="dxa"/>
              <w:left w:w="12" w:type="dxa"/>
              <w:right w:w="12" w:type="dxa"/>
            </w:tcMar>
            <w:vAlign w:val="center"/>
          </w:tcPr>
          <w:p w14:paraId="6ADC25C2">
            <w:pPr>
              <w:pStyle w:val="57"/>
              <w:jc w:val="center"/>
              <w:rPr>
                <w:sz w:val="21"/>
                <w:szCs w:val="20"/>
                <w:highlight w:val="none"/>
              </w:rPr>
            </w:pPr>
          </w:p>
        </w:tc>
        <w:tc>
          <w:tcPr>
            <w:tcW w:w="1359" w:type="dxa"/>
            <w:shd w:val="clear" w:color="auto" w:fill="auto"/>
            <w:tcMar>
              <w:top w:w="12" w:type="dxa"/>
              <w:left w:w="12" w:type="dxa"/>
              <w:right w:w="12" w:type="dxa"/>
            </w:tcMar>
            <w:vAlign w:val="center"/>
          </w:tcPr>
          <w:p w14:paraId="17AE11D2">
            <w:pPr>
              <w:pStyle w:val="57"/>
              <w:jc w:val="center"/>
              <w:rPr>
                <w:sz w:val="21"/>
                <w:szCs w:val="20"/>
                <w:highlight w:val="none"/>
              </w:rPr>
            </w:pPr>
          </w:p>
        </w:tc>
        <w:tc>
          <w:tcPr>
            <w:tcW w:w="944" w:type="dxa"/>
            <w:shd w:val="clear" w:color="auto" w:fill="auto"/>
            <w:tcMar>
              <w:top w:w="12" w:type="dxa"/>
              <w:left w:w="12" w:type="dxa"/>
              <w:right w:w="12" w:type="dxa"/>
            </w:tcMar>
            <w:vAlign w:val="center"/>
          </w:tcPr>
          <w:p w14:paraId="5F2C092F">
            <w:pPr>
              <w:pStyle w:val="57"/>
              <w:jc w:val="center"/>
              <w:rPr>
                <w:sz w:val="21"/>
                <w:szCs w:val="20"/>
                <w:highlight w:val="none"/>
              </w:rPr>
            </w:pPr>
          </w:p>
        </w:tc>
      </w:tr>
    </w:tbl>
    <w:p w14:paraId="6FCF209B">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3.车行道弯沉检测结果</w:t>
      </w:r>
    </w:p>
    <w:tbl>
      <w:tblPr>
        <w:tblStyle w:val="62"/>
        <w:tblW w:w="86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8"/>
        <w:gridCol w:w="1010"/>
        <w:gridCol w:w="1418"/>
        <w:gridCol w:w="1621"/>
        <w:gridCol w:w="1281"/>
        <w:gridCol w:w="1235"/>
        <w:gridCol w:w="787"/>
      </w:tblGrid>
      <w:tr w14:paraId="1BC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CellSpacing w:w="0" w:type="dxa"/>
        </w:trPr>
        <w:tc>
          <w:tcPr>
            <w:tcW w:w="1278" w:type="dxa"/>
            <w:shd w:val="clear" w:color="auto" w:fill="auto"/>
            <w:tcMar>
              <w:top w:w="10" w:type="dxa"/>
              <w:left w:w="10" w:type="dxa"/>
              <w:right w:w="10" w:type="dxa"/>
            </w:tcMar>
            <w:vAlign w:val="center"/>
          </w:tcPr>
          <w:p w14:paraId="741C6B3D">
            <w:pPr>
              <w:pStyle w:val="57"/>
              <w:jc w:val="center"/>
              <w:rPr>
                <w:sz w:val="21"/>
                <w:szCs w:val="21"/>
                <w:highlight w:val="none"/>
              </w:rPr>
            </w:pPr>
            <w:r>
              <w:rPr>
                <w:rFonts w:hint="eastAsia"/>
                <w:color w:val="000000"/>
                <w:sz w:val="21"/>
                <w:szCs w:val="21"/>
                <w:highlight w:val="none"/>
              </w:rPr>
              <w:t>道路名称</w:t>
            </w:r>
          </w:p>
        </w:tc>
        <w:tc>
          <w:tcPr>
            <w:tcW w:w="1010" w:type="dxa"/>
            <w:shd w:val="clear" w:color="auto" w:fill="auto"/>
            <w:tcMar>
              <w:top w:w="10" w:type="dxa"/>
              <w:left w:w="10" w:type="dxa"/>
              <w:right w:w="10" w:type="dxa"/>
            </w:tcMar>
            <w:vAlign w:val="center"/>
          </w:tcPr>
          <w:p w14:paraId="02A3211B">
            <w:pPr>
              <w:pStyle w:val="57"/>
              <w:jc w:val="center"/>
              <w:rPr>
                <w:sz w:val="21"/>
                <w:szCs w:val="21"/>
                <w:highlight w:val="none"/>
              </w:rPr>
            </w:pPr>
            <w:r>
              <w:rPr>
                <w:rFonts w:hint="eastAsia"/>
                <w:color w:val="000000"/>
                <w:sz w:val="21"/>
                <w:szCs w:val="21"/>
                <w:highlight w:val="none"/>
              </w:rPr>
              <w:t>道路等级</w:t>
            </w:r>
          </w:p>
        </w:tc>
        <w:tc>
          <w:tcPr>
            <w:tcW w:w="1418" w:type="dxa"/>
            <w:shd w:val="clear" w:color="auto" w:fill="auto"/>
            <w:tcMar>
              <w:top w:w="10" w:type="dxa"/>
              <w:left w:w="10" w:type="dxa"/>
              <w:right w:w="10" w:type="dxa"/>
            </w:tcMar>
            <w:vAlign w:val="center"/>
          </w:tcPr>
          <w:p w14:paraId="1C58D135">
            <w:pPr>
              <w:pStyle w:val="57"/>
              <w:jc w:val="center"/>
              <w:rPr>
                <w:sz w:val="21"/>
                <w:szCs w:val="21"/>
                <w:highlight w:val="none"/>
              </w:rPr>
            </w:pPr>
            <w:r>
              <w:rPr>
                <w:rFonts w:hint="eastAsia"/>
                <w:color w:val="000000"/>
                <w:sz w:val="21"/>
                <w:szCs w:val="21"/>
                <w:highlight w:val="none"/>
              </w:rPr>
              <w:t>设计弯沉值（0.01mm）</w:t>
            </w:r>
          </w:p>
        </w:tc>
        <w:tc>
          <w:tcPr>
            <w:tcW w:w="1621" w:type="dxa"/>
            <w:shd w:val="clear" w:color="auto" w:fill="auto"/>
            <w:tcMar>
              <w:top w:w="10" w:type="dxa"/>
              <w:left w:w="10" w:type="dxa"/>
              <w:right w:w="10" w:type="dxa"/>
            </w:tcMar>
            <w:vAlign w:val="center"/>
          </w:tcPr>
          <w:p w14:paraId="7AAA43FC">
            <w:pPr>
              <w:pStyle w:val="57"/>
              <w:jc w:val="center"/>
              <w:rPr>
                <w:sz w:val="21"/>
                <w:szCs w:val="21"/>
                <w:highlight w:val="none"/>
              </w:rPr>
            </w:pPr>
            <w:r>
              <w:rPr>
                <w:rFonts w:hint="eastAsia"/>
                <w:color w:val="000000"/>
                <w:sz w:val="21"/>
                <w:szCs w:val="21"/>
                <w:highlight w:val="none"/>
              </w:rPr>
              <w:t>平均弯沉值（0.01mm）</w:t>
            </w:r>
          </w:p>
        </w:tc>
        <w:tc>
          <w:tcPr>
            <w:tcW w:w="1281" w:type="dxa"/>
            <w:shd w:val="clear" w:color="auto" w:fill="auto"/>
            <w:tcMar>
              <w:top w:w="10" w:type="dxa"/>
              <w:left w:w="10" w:type="dxa"/>
              <w:right w:w="10" w:type="dxa"/>
            </w:tcMar>
            <w:vAlign w:val="center"/>
          </w:tcPr>
          <w:p w14:paraId="1E228DFA">
            <w:pPr>
              <w:pStyle w:val="57"/>
              <w:jc w:val="center"/>
              <w:rPr>
                <w:sz w:val="21"/>
                <w:szCs w:val="21"/>
                <w:highlight w:val="none"/>
              </w:rPr>
            </w:pPr>
            <w:r>
              <w:rPr>
                <w:rFonts w:hint="eastAsia"/>
                <w:color w:val="000000"/>
                <w:sz w:val="21"/>
                <w:szCs w:val="21"/>
                <w:highlight w:val="none"/>
              </w:rPr>
              <w:t>代表弯沉值（0.01mm）</w:t>
            </w:r>
          </w:p>
        </w:tc>
        <w:tc>
          <w:tcPr>
            <w:tcW w:w="1235" w:type="dxa"/>
            <w:shd w:val="clear" w:color="auto" w:fill="auto"/>
            <w:tcMar>
              <w:top w:w="10" w:type="dxa"/>
              <w:left w:w="10" w:type="dxa"/>
              <w:right w:w="10" w:type="dxa"/>
            </w:tcMar>
            <w:vAlign w:val="center"/>
          </w:tcPr>
          <w:p w14:paraId="7234A4EB">
            <w:pPr>
              <w:pStyle w:val="57"/>
              <w:jc w:val="center"/>
              <w:rPr>
                <w:sz w:val="21"/>
                <w:szCs w:val="21"/>
                <w:highlight w:val="none"/>
              </w:rPr>
            </w:pPr>
            <w:r>
              <w:rPr>
                <w:rFonts w:hint="eastAsia"/>
                <w:color w:val="000000"/>
                <w:sz w:val="21"/>
                <w:szCs w:val="21"/>
                <w:highlight w:val="none"/>
              </w:rPr>
              <w:t>结论</w:t>
            </w:r>
          </w:p>
        </w:tc>
        <w:tc>
          <w:tcPr>
            <w:tcW w:w="787" w:type="dxa"/>
            <w:shd w:val="clear" w:color="auto" w:fill="auto"/>
            <w:tcMar>
              <w:top w:w="10" w:type="dxa"/>
              <w:left w:w="10" w:type="dxa"/>
              <w:right w:w="10" w:type="dxa"/>
            </w:tcMar>
            <w:vAlign w:val="center"/>
          </w:tcPr>
          <w:p w14:paraId="5A7CB854">
            <w:pPr>
              <w:pStyle w:val="57"/>
              <w:jc w:val="center"/>
              <w:rPr>
                <w:sz w:val="21"/>
                <w:szCs w:val="21"/>
                <w:highlight w:val="none"/>
              </w:rPr>
            </w:pPr>
            <w:r>
              <w:rPr>
                <w:rFonts w:hint="eastAsia"/>
                <w:color w:val="000000"/>
                <w:sz w:val="21"/>
                <w:szCs w:val="21"/>
                <w:highlight w:val="none"/>
              </w:rPr>
              <w:t>备注</w:t>
            </w:r>
          </w:p>
        </w:tc>
      </w:tr>
      <w:tr w14:paraId="65BF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blCellSpacing w:w="0" w:type="dxa"/>
        </w:trPr>
        <w:tc>
          <w:tcPr>
            <w:tcW w:w="1278" w:type="dxa"/>
            <w:shd w:val="clear" w:color="auto" w:fill="auto"/>
            <w:tcMar>
              <w:top w:w="10" w:type="dxa"/>
              <w:left w:w="10" w:type="dxa"/>
              <w:right w:w="10" w:type="dxa"/>
            </w:tcMar>
            <w:vAlign w:val="center"/>
          </w:tcPr>
          <w:p w14:paraId="14ED7C2D">
            <w:pPr>
              <w:pStyle w:val="57"/>
              <w:jc w:val="center"/>
              <w:rPr>
                <w:sz w:val="21"/>
                <w:szCs w:val="21"/>
                <w:highlight w:val="none"/>
              </w:rPr>
            </w:pPr>
          </w:p>
        </w:tc>
        <w:tc>
          <w:tcPr>
            <w:tcW w:w="1010" w:type="dxa"/>
            <w:shd w:val="clear" w:color="auto" w:fill="auto"/>
            <w:tcMar>
              <w:top w:w="10" w:type="dxa"/>
              <w:left w:w="10" w:type="dxa"/>
              <w:right w:w="10" w:type="dxa"/>
            </w:tcMar>
            <w:vAlign w:val="center"/>
          </w:tcPr>
          <w:p w14:paraId="0B604D44">
            <w:pPr>
              <w:pStyle w:val="57"/>
              <w:jc w:val="center"/>
              <w:rPr>
                <w:sz w:val="21"/>
                <w:szCs w:val="21"/>
                <w:highlight w:val="none"/>
              </w:rPr>
            </w:pPr>
          </w:p>
        </w:tc>
        <w:tc>
          <w:tcPr>
            <w:tcW w:w="1418" w:type="dxa"/>
            <w:shd w:val="clear" w:color="auto" w:fill="auto"/>
            <w:tcMar>
              <w:top w:w="10" w:type="dxa"/>
              <w:left w:w="10" w:type="dxa"/>
              <w:right w:w="10" w:type="dxa"/>
            </w:tcMar>
            <w:vAlign w:val="center"/>
          </w:tcPr>
          <w:p w14:paraId="411CE256">
            <w:pPr>
              <w:pStyle w:val="57"/>
              <w:jc w:val="center"/>
              <w:rPr>
                <w:sz w:val="21"/>
                <w:szCs w:val="21"/>
                <w:highlight w:val="none"/>
              </w:rPr>
            </w:pPr>
          </w:p>
        </w:tc>
        <w:tc>
          <w:tcPr>
            <w:tcW w:w="1621" w:type="dxa"/>
            <w:shd w:val="clear" w:color="auto" w:fill="auto"/>
            <w:tcMar>
              <w:top w:w="10" w:type="dxa"/>
              <w:left w:w="10" w:type="dxa"/>
              <w:right w:w="10" w:type="dxa"/>
            </w:tcMar>
            <w:vAlign w:val="center"/>
          </w:tcPr>
          <w:p w14:paraId="7C6A58FB">
            <w:pPr>
              <w:pStyle w:val="57"/>
              <w:jc w:val="center"/>
              <w:rPr>
                <w:sz w:val="21"/>
                <w:szCs w:val="21"/>
                <w:highlight w:val="none"/>
              </w:rPr>
            </w:pPr>
          </w:p>
        </w:tc>
        <w:tc>
          <w:tcPr>
            <w:tcW w:w="1281" w:type="dxa"/>
            <w:shd w:val="clear" w:color="auto" w:fill="auto"/>
            <w:tcMar>
              <w:top w:w="10" w:type="dxa"/>
              <w:left w:w="10" w:type="dxa"/>
              <w:right w:w="10" w:type="dxa"/>
            </w:tcMar>
            <w:vAlign w:val="center"/>
          </w:tcPr>
          <w:p w14:paraId="2E5F873E">
            <w:pPr>
              <w:pStyle w:val="57"/>
              <w:jc w:val="center"/>
              <w:rPr>
                <w:sz w:val="21"/>
                <w:szCs w:val="21"/>
                <w:highlight w:val="none"/>
              </w:rPr>
            </w:pPr>
          </w:p>
        </w:tc>
        <w:tc>
          <w:tcPr>
            <w:tcW w:w="1235" w:type="dxa"/>
            <w:shd w:val="clear" w:color="auto" w:fill="auto"/>
            <w:tcMar>
              <w:top w:w="10" w:type="dxa"/>
              <w:left w:w="10" w:type="dxa"/>
              <w:right w:w="10" w:type="dxa"/>
            </w:tcMar>
            <w:vAlign w:val="center"/>
          </w:tcPr>
          <w:p w14:paraId="59681FA4">
            <w:pPr>
              <w:pStyle w:val="57"/>
              <w:jc w:val="center"/>
              <w:rPr>
                <w:sz w:val="21"/>
                <w:szCs w:val="21"/>
                <w:highlight w:val="none"/>
              </w:rPr>
            </w:pPr>
          </w:p>
        </w:tc>
        <w:tc>
          <w:tcPr>
            <w:tcW w:w="787" w:type="dxa"/>
            <w:shd w:val="clear" w:color="auto" w:fill="auto"/>
            <w:tcMar>
              <w:top w:w="10" w:type="dxa"/>
              <w:left w:w="10" w:type="dxa"/>
              <w:right w:w="10" w:type="dxa"/>
            </w:tcMar>
            <w:vAlign w:val="center"/>
          </w:tcPr>
          <w:p w14:paraId="4C1CFA50">
            <w:pPr>
              <w:pStyle w:val="57"/>
              <w:jc w:val="center"/>
              <w:rPr>
                <w:sz w:val="21"/>
                <w:szCs w:val="21"/>
                <w:highlight w:val="none"/>
              </w:rPr>
            </w:pPr>
          </w:p>
        </w:tc>
      </w:tr>
    </w:tbl>
    <w:p w14:paraId="644B1086">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4.车行道平整度检测结果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30E4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shd w:val="clear" w:color="auto" w:fill="auto"/>
            <w:tcMar>
              <w:top w:w="11" w:type="dxa"/>
              <w:left w:w="11" w:type="dxa"/>
              <w:right w:w="11" w:type="dxa"/>
            </w:tcMar>
            <w:vAlign w:val="center"/>
          </w:tcPr>
          <w:p w14:paraId="7295B3AE">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6EB57ABB">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76C83795">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4CA47D6E">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55E65389">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12566A10">
            <w:pPr>
              <w:pStyle w:val="57"/>
              <w:jc w:val="center"/>
              <w:rPr>
                <w:color w:val="000000"/>
                <w:sz w:val="21"/>
                <w:szCs w:val="21"/>
                <w:highlight w:val="none"/>
              </w:rPr>
            </w:pPr>
            <w:r>
              <w:rPr>
                <w:rFonts w:hint="eastAsia"/>
                <w:color w:val="000000"/>
                <w:sz w:val="21"/>
                <w:szCs w:val="21"/>
                <w:highlight w:val="none"/>
              </w:rPr>
              <w:t>备注</w:t>
            </w:r>
          </w:p>
        </w:tc>
      </w:tr>
      <w:tr w14:paraId="7F5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118E9C2E">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24586020">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19F8F279">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7C1BCACE">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6DF32F2A">
            <w:pPr>
              <w:pStyle w:val="57"/>
              <w:jc w:val="center"/>
              <w:rPr>
                <w:sz w:val="21"/>
                <w:szCs w:val="21"/>
                <w:highlight w:val="none"/>
              </w:rPr>
            </w:pPr>
          </w:p>
        </w:tc>
        <w:tc>
          <w:tcPr>
            <w:tcW w:w="751" w:type="dxa"/>
            <w:shd w:val="clear" w:color="auto" w:fill="auto"/>
            <w:tcMar>
              <w:top w:w="11" w:type="dxa"/>
              <w:left w:w="11" w:type="dxa"/>
              <w:right w:w="11" w:type="dxa"/>
            </w:tcMar>
            <w:vAlign w:val="center"/>
          </w:tcPr>
          <w:p w14:paraId="184431B3">
            <w:pPr>
              <w:pStyle w:val="57"/>
              <w:jc w:val="center"/>
              <w:rPr>
                <w:sz w:val="21"/>
                <w:szCs w:val="21"/>
                <w:highlight w:val="none"/>
              </w:rPr>
            </w:pPr>
          </w:p>
        </w:tc>
      </w:tr>
    </w:tbl>
    <w:p w14:paraId="0151E47A">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5.人行道材料强度检测结果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2F4D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709CED76">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6918EB95">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582600EB">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695D33AE">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377E17A8">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2C41DE41">
            <w:pPr>
              <w:pStyle w:val="57"/>
              <w:jc w:val="center"/>
              <w:rPr>
                <w:color w:val="000000"/>
                <w:sz w:val="21"/>
                <w:szCs w:val="21"/>
                <w:highlight w:val="none"/>
              </w:rPr>
            </w:pPr>
            <w:r>
              <w:rPr>
                <w:rFonts w:hint="eastAsia"/>
                <w:color w:val="000000"/>
                <w:sz w:val="21"/>
                <w:szCs w:val="21"/>
                <w:highlight w:val="none"/>
              </w:rPr>
              <w:t>备注</w:t>
            </w:r>
          </w:p>
        </w:tc>
      </w:tr>
      <w:tr w14:paraId="51B4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24B81E0D">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329CC7ED">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33FFD7BD">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192E166F">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1B84D627">
            <w:pPr>
              <w:pStyle w:val="57"/>
              <w:jc w:val="center"/>
              <w:rPr>
                <w:sz w:val="21"/>
                <w:szCs w:val="21"/>
                <w:highlight w:val="none"/>
              </w:rPr>
            </w:pPr>
          </w:p>
        </w:tc>
        <w:tc>
          <w:tcPr>
            <w:tcW w:w="751" w:type="dxa"/>
            <w:shd w:val="clear" w:color="auto" w:fill="auto"/>
            <w:tcMar>
              <w:top w:w="11" w:type="dxa"/>
              <w:left w:w="11" w:type="dxa"/>
              <w:right w:w="11" w:type="dxa"/>
            </w:tcMar>
            <w:vAlign w:val="center"/>
          </w:tcPr>
          <w:p w14:paraId="2AABFAA5">
            <w:pPr>
              <w:pStyle w:val="57"/>
              <w:jc w:val="center"/>
              <w:rPr>
                <w:sz w:val="21"/>
                <w:szCs w:val="21"/>
                <w:highlight w:val="none"/>
              </w:rPr>
            </w:pPr>
          </w:p>
        </w:tc>
      </w:tr>
    </w:tbl>
    <w:p w14:paraId="140297BE">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p>
    <w:p w14:paraId="330C120B">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6.人行道材料外观尺寸检测结果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2F1E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4D5AB6B3">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076F4D3C">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29A1DF2B">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0430AC23">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656A6EF6">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203FCECB">
            <w:pPr>
              <w:pStyle w:val="57"/>
              <w:jc w:val="center"/>
              <w:rPr>
                <w:color w:val="000000"/>
                <w:sz w:val="21"/>
                <w:szCs w:val="21"/>
                <w:highlight w:val="none"/>
              </w:rPr>
            </w:pPr>
            <w:r>
              <w:rPr>
                <w:rFonts w:hint="eastAsia"/>
                <w:color w:val="000000"/>
                <w:sz w:val="21"/>
                <w:szCs w:val="21"/>
                <w:highlight w:val="none"/>
              </w:rPr>
              <w:t>备注</w:t>
            </w:r>
          </w:p>
        </w:tc>
      </w:tr>
      <w:tr w14:paraId="3CEA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2A04B28D">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2136E12C">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3D7C6EFA">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7B2DD7A7">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696427FE">
            <w:pPr>
              <w:pStyle w:val="57"/>
              <w:jc w:val="center"/>
              <w:rPr>
                <w:sz w:val="21"/>
                <w:szCs w:val="21"/>
                <w:highlight w:val="none"/>
              </w:rPr>
            </w:pPr>
          </w:p>
        </w:tc>
        <w:tc>
          <w:tcPr>
            <w:tcW w:w="751" w:type="dxa"/>
            <w:shd w:val="clear" w:color="auto" w:fill="auto"/>
            <w:tcMar>
              <w:top w:w="11" w:type="dxa"/>
              <w:left w:w="11" w:type="dxa"/>
              <w:right w:w="11" w:type="dxa"/>
            </w:tcMar>
            <w:vAlign w:val="center"/>
          </w:tcPr>
          <w:p w14:paraId="41DC3019">
            <w:pPr>
              <w:pStyle w:val="57"/>
              <w:jc w:val="center"/>
              <w:rPr>
                <w:sz w:val="21"/>
                <w:szCs w:val="21"/>
                <w:highlight w:val="none"/>
              </w:rPr>
            </w:pPr>
          </w:p>
        </w:tc>
      </w:tr>
    </w:tbl>
    <w:p w14:paraId="4588F203">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7.人行道平整度检测结果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2E8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7CC27242">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2164DFCB">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46C74BA2">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66D02853">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6CCF9110">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7CDF6D1E">
            <w:pPr>
              <w:pStyle w:val="57"/>
              <w:jc w:val="center"/>
              <w:rPr>
                <w:color w:val="000000"/>
                <w:sz w:val="21"/>
                <w:szCs w:val="21"/>
                <w:highlight w:val="none"/>
              </w:rPr>
            </w:pPr>
            <w:r>
              <w:rPr>
                <w:rFonts w:hint="eastAsia"/>
                <w:color w:val="000000"/>
                <w:sz w:val="21"/>
                <w:szCs w:val="21"/>
                <w:highlight w:val="none"/>
              </w:rPr>
              <w:t>备注</w:t>
            </w:r>
          </w:p>
        </w:tc>
      </w:tr>
      <w:tr w14:paraId="7FC9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026B848C">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1174F714">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5B913F5F">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2DEE37E6">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6EAD6A4E">
            <w:pPr>
              <w:pStyle w:val="57"/>
              <w:jc w:val="center"/>
              <w:rPr>
                <w:sz w:val="21"/>
                <w:szCs w:val="21"/>
                <w:highlight w:val="none"/>
              </w:rPr>
            </w:pPr>
          </w:p>
        </w:tc>
        <w:tc>
          <w:tcPr>
            <w:tcW w:w="751" w:type="dxa"/>
            <w:shd w:val="clear" w:color="auto" w:fill="auto"/>
            <w:tcMar>
              <w:top w:w="11" w:type="dxa"/>
              <w:left w:w="11" w:type="dxa"/>
              <w:right w:w="11" w:type="dxa"/>
            </w:tcMar>
            <w:vAlign w:val="center"/>
          </w:tcPr>
          <w:p w14:paraId="7F483C9A">
            <w:pPr>
              <w:pStyle w:val="57"/>
              <w:jc w:val="center"/>
              <w:rPr>
                <w:sz w:val="21"/>
                <w:szCs w:val="21"/>
                <w:highlight w:val="none"/>
              </w:rPr>
            </w:pPr>
          </w:p>
        </w:tc>
      </w:tr>
    </w:tbl>
    <w:p w14:paraId="270862C9">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8.人行道厚度检测结果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5102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34DB8DAB">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4FC07FDE">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740F8C26">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2FAA0AE9">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45DB0001">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6CBBF024">
            <w:pPr>
              <w:pStyle w:val="57"/>
              <w:jc w:val="center"/>
              <w:rPr>
                <w:color w:val="000000"/>
                <w:sz w:val="21"/>
                <w:szCs w:val="21"/>
                <w:highlight w:val="none"/>
              </w:rPr>
            </w:pPr>
            <w:r>
              <w:rPr>
                <w:rFonts w:hint="eastAsia"/>
                <w:color w:val="000000"/>
                <w:sz w:val="21"/>
                <w:szCs w:val="21"/>
                <w:highlight w:val="none"/>
              </w:rPr>
              <w:t>备注</w:t>
            </w:r>
          </w:p>
        </w:tc>
      </w:tr>
      <w:tr w14:paraId="5FE0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6A3C6BA6">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76EFE01A">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4CA48BEC">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1BDE6E49">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71B9E84E">
            <w:pPr>
              <w:pStyle w:val="57"/>
              <w:jc w:val="center"/>
              <w:rPr>
                <w:sz w:val="21"/>
                <w:szCs w:val="21"/>
                <w:highlight w:val="none"/>
              </w:rPr>
            </w:pPr>
          </w:p>
        </w:tc>
        <w:tc>
          <w:tcPr>
            <w:tcW w:w="751" w:type="dxa"/>
            <w:shd w:val="clear" w:color="auto" w:fill="auto"/>
            <w:tcMar>
              <w:top w:w="11" w:type="dxa"/>
              <w:left w:w="11" w:type="dxa"/>
              <w:right w:w="11" w:type="dxa"/>
            </w:tcMar>
            <w:vAlign w:val="center"/>
          </w:tcPr>
          <w:p w14:paraId="0D82C4E5">
            <w:pPr>
              <w:pStyle w:val="57"/>
              <w:jc w:val="center"/>
              <w:rPr>
                <w:sz w:val="21"/>
                <w:szCs w:val="21"/>
                <w:highlight w:val="none"/>
              </w:rPr>
            </w:pPr>
          </w:p>
        </w:tc>
      </w:tr>
    </w:tbl>
    <w:p w14:paraId="3C6738C9">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9.人行道沥青混合料压实度检测结果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14A9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6BC0310F">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21390133">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0FDD2BCF">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6B6CF9B4">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47FA045E">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45825667">
            <w:pPr>
              <w:pStyle w:val="57"/>
              <w:jc w:val="center"/>
              <w:rPr>
                <w:color w:val="000000"/>
                <w:sz w:val="21"/>
                <w:szCs w:val="21"/>
                <w:highlight w:val="none"/>
              </w:rPr>
            </w:pPr>
            <w:r>
              <w:rPr>
                <w:rFonts w:hint="eastAsia"/>
                <w:color w:val="000000"/>
                <w:sz w:val="21"/>
                <w:szCs w:val="21"/>
                <w:highlight w:val="none"/>
              </w:rPr>
              <w:t>备注</w:t>
            </w:r>
          </w:p>
        </w:tc>
      </w:tr>
      <w:tr w14:paraId="6E50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32CBFB2C">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033C1D6C">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27619CCE">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0B4AC2E4">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61611369">
            <w:pPr>
              <w:pStyle w:val="57"/>
              <w:jc w:val="center"/>
              <w:rPr>
                <w:sz w:val="21"/>
                <w:szCs w:val="21"/>
                <w:highlight w:val="none"/>
              </w:rPr>
            </w:pPr>
          </w:p>
        </w:tc>
        <w:tc>
          <w:tcPr>
            <w:tcW w:w="751" w:type="dxa"/>
            <w:shd w:val="clear" w:color="auto" w:fill="auto"/>
            <w:tcMar>
              <w:top w:w="11" w:type="dxa"/>
              <w:left w:w="11" w:type="dxa"/>
              <w:right w:w="11" w:type="dxa"/>
            </w:tcMar>
            <w:vAlign w:val="center"/>
          </w:tcPr>
          <w:p w14:paraId="747B0F62">
            <w:pPr>
              <w:pStyle w:val="57"/>
              <w:jc w:val="center"/>
              <w:rPr>
                <w:sz w:val="21"/>
                <w:szCs w:val="21"/>
                <w:highlight w:val="none"/>
              </w:rPr>
            </w:pPr>
          </w:p>
        </w:tc>
      </w:tr>
    </w:tbl>
    <w:p w14:paraId="78668561">
      <w:pPr>
        <w:autoSpaceDE w:val="0"/>
        <w:autoSpaceDN w:val="0"/>
        <w:adjustRightInd w:val="0"/>
        <w:spacing w:afterLines="50" w:line="440" w:lineRule="exact"/>
        <w:ind w:firstLine="560" w:firstLineChars="200"/>
        <w:rPr>
          <w:rFonts w:ascii="仿宋_GB2312" w:hAnsi="宋体" w:eastAsia="仿宋_GB2312"/>
          <w:bCs/>
          <w:sz w:val="28"/>
          <w:szCs w:val="28"/>
          <w:highlight w:val="none"/>
        </w:rPr>
      </w:pPr>
      <w:r>
        <w:rPr>
          <w:rFonts w:hint="eastAsia" w:ascii="仿宋_GB2312" w:hAnsi="宋体" w:eastAsia="仿宋_GB2312"/>
          <w:bCs/>
          <w:sz w:val="28"/>
          <w:szCs w:val="28"/>
          <w:highlight w:val="none"/>
        </w:rPr>
        <w:t>10.排水管道CCTV检测结果</w:t>
      </w:r>
    </w:p>
    <w:tbl>
      <w:tblPr>
        <w:tblStyle w:val="62"/>
        <w:tblW w:w="867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54EE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shd w:val="clear" w:color="auto" w:fill="auto"/>
            <w:tcMar>
              <w:top w:w="11" w:type="dxa"/>
              <w:left w:w="11" w:type="dxa"/>
              <w:right w:w="11" w:type="dxa"/>
            </w:tcMar>
            <w:vAlign w:val="center"/>
          </w:tcPr>
          <w:p w14:paraId="612C343E">
            <w:pPr>
              <w:pStyle w:val="57"/>
              <w:jc w:val="center"/>
              <w:rPr>
                <w:sz w:val="21"/>
                <w:szCs w:val="21"/>
                <w:highlight w:val="none"/>
              </w:rPr>
            </w:pPr>
            <w:r>
              <w:rPr>
                <w:rFonts w:hint="eastAsia"/>
                <w:color w:val="000000"/>
                <w:sz w:val="21"/>
                <w:szCs w:val="21"/>
                <w:highlight w:val="none"/>
              </w:rPr>
              <w:t>道路名称</w:t>
            </w:r>
          </w:p>
        </w:tc>
        <w:tc>
          <w:tcPr>
            <w:tcW w:w="1127" w:type="dxa"/>
            <w:shd w:val="clear" w:color="auto" w:fill="auto"/>
            <w:tcMar>
              <w:top w:w="11" w:type="dxa"/>
              <w:left w:w="11" w:type="dxa"/>
              <w:right w:w="11" w:type="dxa"/>
            </w:tcMar>
            <w:vAlign w:val="center"/>
          </w:tcPr>
          <w:p w14:paraId="1949B995">
            <w:pPr>
              <w:pStyle w:val="57"/>
              <w:jc w:val="center"/>
              <w:rPr>
                <w:sz w:val="21"/>
                <w:szCs w:val="21"/>
                <w:highlight w:val="none"/>
              </w:rPr>
            </w:pPr>
            <w:r>
              <w:rPr>
                <w:rFonts w:hint="eastAsia"/>
                <w:color w:val="000000"/>
                <w:sz w:val="21"/>
                <w:szCs w:val="21"/>
                <w:highlight w:val="none"/>
              </w:rPr>
              <w:t>道路等级</w:t>
            </w:r>
          </w:p>
        </w:tc>
        <w:tc>
          <w:tcPr>
            <w:tcW w:w="1779" w:type="dxa"/>
            <w:shd w:val="clear" w:color="auto" w:fill="auto"/>
            <w:tcMar>
              <w:top w:w="11" w:type="dxa"/>
              <w:left w:w="11" w:type="dxa"/>
              <w:right w:w="11" w:type="dxa"/>
            </w:tcMar>
            <w:vAlign w:val="center"/>
          </w:tcPr>
          <w:p w14:paraId="259B5FF0">
            <w:pPr>
              <w:pStyle w:val="57"/>
              <w:jc w:val="center"/>
              <w:rPr>
                <w:sz w:val="21"/>
                <w:szCs w:val="21"/>
                <w:highlight w:val="none"/>
              </w:rPr>
            </w:pPr>
            <w:r>
              <w:rPr>
                <w:rFonts w:hint="eastAsia"/>
                <w:color w:val="000000"/>
                <w:sz w:val="21"/>
                <w:szCs w:val="21"/>
                <w:highlight w:val="none"/>
              </w:rPr>
              <w:t>规范要求</w:t>
            </w:r>
          </w:p>
        </w:tc>
        <w:tc>
          <w:tcPr>
            <w:tcW w:w="1779" w:type="dxa"/>
            <w:shd w:val="clear" w:color="auto" w:fill="auto"/>
            <w:tcMar>
              <w:top w:w="11" w:type="dxa"/>
              <w:left w:w="11" w:type="dxa"/>
              <w:right w:w="11" w:type="dxa"/>
            </w:tcMar>
            <w:vAlign w:val="center"/>
          </w:tcPr>
          <w:p w14:paraId="324CB03F">
            <w:pPr>
              <w:pStyle w:val="57"/>
              <w:jc w:val="center"/>
              <w:rPr>
                <w:sz w:val="21"/>
                <w:szCs w:val="21"/>
                <w:highlight w:val="none"/>
              </w:rPr>
            </w:pPr>
            <w:r>
              <w:rPr>
                <w:rFonts w:hint="eastAsia"/>
                <w:color w:val="000000"/>
                <w:sz w:val="21"/>
                <w:szCs w:val="21"/>
                <w:highlight w:val="none"/>
              </w:rPr>
              <w:t>检测结果</w:t>
            </w:r>
          </w:p>
        </w:tc>
        <w:tc>
          <w:tcPr>
            <w:tcW w:w="1632" w:type="dxa"/>
            <w:shd w:val="clear" w:color="auto" w:fill="auto"/>
            <w:tcMar>
              <w:top w:w="11" w:type="dxa"/>
              <w:left w:w="11" w:type="dxa"/>
              <w:right w:w="11" w:type="dxa"/>
            </w:tcMar>
            <w:vAlign w:val="center"/>
          </w:tcPr>
          <w:p w14:paraId="7B15EA26">
            <w:pPr>
              <w:pStyle w:val="57"/>
              <w:jc w:val="center"/>
              <w:rPr>
                <w:sz w:val="21"/>
                <w:szCs w:val="21"/>
                <w:highlight w:val="none"/>
              </w:rPr>
            </w:pPr>
            <w:r>
              <w:rPr>
                <w:rFonts w:hint="eastAsia"/>
                <w:color w:val="000000"/>
                <w:sz w:val="21"/>
                <w:szCs w:val="21"/>
                <w:highlight w:val="none"/>
              </w:rPr>
              <w:t>结论</w:t>
            </w:r>
          </w:p>
        </w:tc>
        <w:tc>
          <w:tcPr>
            <w:tcW w:w="751" w:type="dxa"/>
            <w:shd w:val="clear" w:color="auto" w:fill="auto"/>
            <w:tcMar>
              <w:top w:w="11" w:type="dxa"/>
              <w:left w:w="11" w:type="dxa"/>
              <w:right w:w="11" w:type="dxa"/>
            </w:tcMar>
            <w:vAlign w:val="center"/>
          </w:tcPr>
          <w:p w14:paraId="476C44E3">
            <w:pPr>
              <w:pStyle w:val="57"/>
              <w:jc w:val="center"/>
              <w:rPr>
                <w:color w:val="000000"/>
                <w:sz w:val="21"/>
                <w:szCs w:val="21"/>
                <w:highlight w:val="none"/>
              </w:rPr>
            </w:pPr>
            <w:r>
              <w:rPr>
                <w:rFonts w:hint="eastAsia"/>
                <w:color w:val="000000"/>
                <w:sz w:val="21"/>
                <w:szCs w:val="21"/>
                <w:highlight w:val="none"/>
              </w:rPr>
              <w:t>备注</w:t>
            </w:r>
          </w:p>
        </w:tc>
      </w:tr>
      <w:tr w14:paraId="7E44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shd w:val="clear" w:color="auto" w:fill="auto"/>
            <w:tcMar>
              <w:top w:w="11" w:type="dxa"/>
              <w:left w:w="11" w:type="dxa"/>
              <w:right w:w="11" w:type="dxa"/>
            </w:tcMar>
            <w:vAlign w:val="center"/>
          </w:tcPr>
          <w:p w14:paraId="207BBEF6">
            <w:pPr>
              <w:pStyle w:val="57"/>
              <w:jc w:val="center"/>
              <w:rPr>
                <w:sz w:val="21"/>
                <w:szCs w:val="21"/>
                <w:highlight w:val="none"/>
              </w:rPr>
            </w:pPr>
          </w:p>
        </w:tc>
        <w:tc>
          <w:tcPr>
            <w:tcW w:w="1127" w:type="dxa"/>
            <w:shd w:val="clear" w:color="auto" w:fill="auto"/>
            <w:tcMar>
              <w:top w:w="11" w:type="dxa"/>
              <w:left w:w="11" w:type="dxa"/>
              <w:right w:w="11" w:type="dxa"/>
            </w:tcMar>
            <w:vAlign w:val="center"/>
          </w:tcPr>
          <w:p w14:paraId="18FC5BA8">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6E2A0ECB">
            <w:pPr>
              <w:pStyle w:val="57"/>
              <w:jc w:val="center"/>
              <w:rPr>
                <w:sz w:val="21"/>
                <w:szCs w:val="21"/>
                <w:highlight w:val="none"/>
              </w:rPr>
            </w:pPr>
          </w:p>
        </w:tc>
        <w:tc>
          <w:tcPr>
            <w:tcW w:w="1779" w:type="dxa"/>
            <w:shd w:val="clear" w:color="auto" w:fill="auto"/>
            <w:tcMar>
              <w:top w:w="11" w:type="dxa"/>
              <w:left w:w="11" w:type="dxa"/>
              <w:right w:w="11" w:type="dxa"/>
            </w:tcMar>
            <w:vAlign w:val="center"/>
          </w:tcPr>
          <w:p w14:paraId="694CF768">
            <w:pPr>
              <w:pStyle w:val="57"/>
              <w:jc w:val="center"/>
              <w:rPr>
                <w:sz w:val="21"/>
                <w:szCs w:val="21"/>
                <w:highlight w:val="none"/>
              </w:rPr>
            </w:pPr>
          </w:p>
        </w:tc>
        <w:tc>
          <w:tcPr>
            <w:tcW w:w="1632" w:type="dxa"/>
            <w:shd w:val="clear" w:color="auto" w:fill="auto"/>
            <w:tcMar>
              <w:top w:w="11" w:type="dxa"/>
              <w:left w:w="11" w:type="dxa"/>
              <w:right w:w="11" w:type="dxa"/>
            </w:tcMar>
            <w:vAlign w:val="center"/>
          </w:tcPr>
          <w:p w14:paraId="68FF5E89">
            <w:pPr>
              <w:pStyle w:val="57"/>
              <w:jc w:val="center"/>
              <w:rPr>
                <w:sz w:val="21"/>
                <w:szCs w:val="21"/>
                <w:highlight w:val="none"/>
              </w:rPr>
            </w:pPr>
          </w:p>
        </w:tc>
        <w:tc>
          <w:tcPr>
            <w:tcW w:w="751" w:type="dxa"/>
            <w:shd w:val="clear" w:color="auto" w:fill="auto"/>
            <w:tcMar>
              <w:top w:w="11" w:type="dxa"/>
              <w:left w:w="11" w:type="dxa"/>
              <w:right w:w="11" w:type="dxa"/>
            </w:tcMar>
            <w:vAlign w:val="center"/>
          </w:tcPr>
          <w:p w14:paraId="421CB035">
            <w:pPr>
              <w:pStyle w:val="57"/>
              <w:jc w:val="center"/>
              <w:rPr>
                <w:sz w:val="21"/>
                <w:szCs w:val="21"/>
                <w:highlight w:val="none"/>
              </w:rPr>
            </w:pPr>
          </w:p>
        </w:tc>
      </w:tr>
    </w:tbl>
    <w:p w14:paraId="2FDEBD08">
      <w:pPr>
        <w:spacing w:line="520" w:lineRule="exact"/>
        <w:outlineLvl w:val="1"/>
        <w:rPr>
          <w:rFonts w:ascii="仿宋_GB2312" w:hAnsi="宋体" w:eastAsia="仿宋_GB2312"/>
          <w:sz w:val="28"/>
          <w:szCs w:val="28"/>
          <w:highlight w:val="none"/>
        </w:rPr>
      </w:pPr>
      <w:bookmarkStart w:id="1483" w:name="_Toc2427"/>
      <w:bookmarkStart w:id="1484" w:name="_Toc856"/>
      <w:r>
        <w:rPr>
          <w:rFonts w:hint="eastAsia" w:ascii="仿宋_GB2312" w:hAnsi="宋体" w:eastAsia="仿宋_GB2312"/>
          <w:sz w:val="28"/>
          <w:szCs w:val="28"/>
          <w:highlight w:val="none"/>
        </w:rPr>
        <w:t>（二）检测结论</w:t>
      </w:r>
      <w:bookmarkEnd w:id="1483"/>
      <w:bookmarkEnd w:id="1484"/>
    </w:p>
    <w:tbl>
      <w:tblPr>
        <w:tblStyle w:val="62"/>
        <w:tblW w:w="895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828"/>
        <w:gridCol w:w="1173"/>
        <w:gridCol w:w="1173"/>
        <w:gridCol w:w="1174"/>
        <w:gridCol w:w="1173"/>
        <w:gridCol w:w="1174"/>
        <w:gridCol w:w="1225"/>
      </w:tblGrid>
      <w:tr w14:paraId="7DE5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Header/>
          <w:tblCellSpacing w:w="0" w:type="dxa"/>
        </w:trPr>
        <w:tc>
          <w:tcPr>
            <w:tcW w:w="1038" w:type="dxa"/>
            <w:shd w:val="clear" w:color="auto" w:fill="auto"/>
            <w:tcMar>
              <w:top w:w="11" w:type="dxa"/>
              <w:left w:w="11" w:type="dxa"/>
              <w:right w:w="11" w:type="dxa"/>
            </w:tcMar>
            <w:vAlign w:val="center"/>
          </w:tcPr>
          <w:p w14:paraId="62DDCA14">
            <w:pPr>
              <w:pStyle w:val="57"/>
              <w:jc w:val="center"/>
              <w:rPr>
                <w:sz w:val="18"/>
                <w:szCs w:val="18"/>
                <w:highlight w:val="none"/>
              </w:rPr>
            </w:pPr>
            <w:r>
              <w:rPr>
                <w:rFonts w:hint="eastAsia"/>
                <w:color w:val="000000"/>
                <w:sz w:val="18"/>
                <w:szCs w:val="18"/>
                <w:highlight w:val="none"/>
              </w:rPr>
              <w:t>道路名称</w:t>
            </w:r>
          </w:p>
        </w:tc>
        <w:tc>
          <w:tcPr>
            <w:tcW w:w="828" w:type="dxa"/>
            <w:shd w:val="clear" w:color="auto" w:fill="auto"/>
            <w:tcMar>
              <w:top w:w="11" w:type="dxa"/>
              <w:left w:w="11" w:type="dxa"/>
              <w:right w:w="11" w:type="dxa"/>
            </w:tcMar>
            <w:vAlign w:val="center"/>
          </w:tcPr>
          <w:p w14:paraId="7435B25E">
            <w:pPr>
              <w:pStyle w:val="57"/>
              <w:jc w:val="center"/>
              <w:rPr>
                <w:sz w:val="18"/>
                <w:szCs w:val="18"/>
                <w:highlight w:val="none"/>
              </w:rPr>
            </w:pPr>
            <w:r>
              <w:rPr>
                <w:rFonts w:hint="eastAsia"/>
                <w:color w:val="000000"/>
                <w:sz w:val="18"/>
                <w:szCs w:val="18"/>
                <w:highlight w:val="none"/>
              </w:rPr>
              <w:t>道路等级</w:t>
            </w:r>
          </w:p>
        </w:tc>
        <w:tc>
          <w:tcPr>
            <w:tcW w:w="1173" w:type="dxa"/>
            <w:shd w:val="clear" w:color="auto" w:fill="auto"/>
            <w:tcMar>
              <w:top w:w="11" w:type="dxa"/>
              <w:left w:w="11" w:type="dxa"/>
              <w:right w:w="11" w:type="dxa"/>
            </w:tcMar>
            <w:vAlign w:val="center"/>
          </w:tcPr>
          <w:p w14:paraId="2119F87F">
            <w:pPr>
              <w:pStyle w:val="57"/>
              <w:jc w:val="center"/>
              <w:rPr>
                <w:sz w:val="18"/>
                <w:szCs w:val="18"/>
                <w:highlight w:val="none"/>
              </w:rPr>
            </w:pPr>
            <w:r>
              <w:rPr>
                <w:rFonts w:hint="eastAsia"/>
                <w:sz w:val="18"/>
                <w:szCs w:val="18"/>
                <w:highlight w:val="none"/>
              </w:rPr>
              <w:t>检测项目1结论</w:t>
            </w:r>
          </w:p>
        </w:tc>
        <w:tc>
          <w:tcPr>
            <w:tcW w:w="1173" w:type="dxa"/>
            <w:shd w:val="clear" w:color="auto" w:fill="auto"/>
            <w:tcMar>
              <w:top w:w="11" w:type="dxa"/>
              <w:left w:w="11" w:type="dxa"/>
              <w:right w:w="11" w:type="dxa"/>
            </w:tcMar>
            <w:vAlign w:val="center"/>
          </w:tcPr>
          <w:p w14:paraId="286253EB">
            <w:pPr>
              <w:pStyle w:val="57"/>
              <w:jc w:val="center"/>
              <w:rPr>
                <w:sz w:val="18"/>
                <w:szCs w:val="18"/>
                <w:highlight w:val="none"/>
              </w:rPr>
            </w:pPr>
            <w:r>
              <w:rPr>
                <w:rFonts w:hint="eastAsia"/>
                <w:sz w:val="18"/>
                <w:szCs w:val="18"/>
                <w:highlight w:val="none"/>
              </w:rPr>
              <w:t>检测项目2结论</w:t>
            </w:r>
          </w:p>
        </w:tc>
        <w:tc>
          <w:tcPr>
            <w:tcW w:w="1174" w:type="dxa"/>
            <w:shd w:val="clear" w:color="auto" w:fill="auto"/>
            <w:tcMar>
              <w:top w:w="11" w:type="dxa"/>
              <w:left w:w="11" w:type="dxa"/>
              <w:right w:w="11" w:type="dxa"/>
            </w:tcMar>
            <w:vAlign w:val="center"/>
          </w:tcPr>
          <w:p w14:paraId="23ACCD5D">
            <w:pPr>
              <w:pStyle w:val="57"/>
              <w:jc w:val="center"/>
              <w:rPr>
                <w:sz w:val="18"/>
                <w:szCs w:val="18"/>
                <w:highlight w:val="none"/>
              </w:rPr>
            </w:pPr>
            <w:r>
              <w:rPr>
                <w:rFonts w:hint="eastAsia"/>
                <w:sz w:val="18"/>
                <w:szCs w:val="18"/>
                <w:highlight w:val="none"/>
              </w:rPr>
              <w:t>检测项目3结论</w:t>
            </w:r>
          </w:p>
        </w:tc>
        <w:tc>
          <w:tcPr>
            <w:tcW w:w="1173" w:type="dxa"/>
            <w:shd w:val="clear" w:color="auto" w:fill="auto"/>
            <w:tcMar>
              <w:top w:w="11" w:type="dxa"/>
              <w:left w:w="11" w:type="dxa"/>
              <w:right w:w="11" w:type="dxa"/>
            </w:tcMar>
            <w:vAlign w:val="center"/>
          </w:tcPr>
          <w:p w14:paraId="77356035">
            <w:pPr>
              <w:pStyle w:val="57"/>
              <w:spacing w:before="100" w:after="100"/>
              <w:jc w:val="center"/>
              <w:rPr>
                <w:sz w:val="18"/>
                <w:szCs w:val="18"/>
                <w:highlight w:val="none"/>
              </w:rPr>
            </w:pPr>
            <w:r>
              <w:rPr>
                <w:rFonts w:hint="eastAsia"/>
                <w:sz w:val="18"/>
                <w:szCs w:val="18"/>
                <w:highlight w:val="none"/>
              </w:rPr>
              <w:t>.........</w:t>
            </w:r>
          </w:p>
        </w:tc>
        <w:tc>
          <w:tcPr>
            <w:tcW w:w="1174" w:type="dxa"/>
            <w:shd w:val="clear" w:color="auto" w:fill="auto"/>
            <w:tcMar>
              <w:top w:w="11" w:type="dxa"/>
              <w:left w:w="11" w:type="dxa"/>
              <w:right w:w="11" w:type="dxa"/>
            </w:tcMar>
            <w:vAlign w:val="center"/>
          </w:tcPr>
          <w:p w14:paraId="4AAC65D3">
            <w:pPr>
              <w:pStyle w:val="57"/>
              <w:jc w:val="center"/>
              <w:rPr>
                <w:sz w:val="18"/>
                <w:szCs w:val="18"/>
                <w:highlight w:val="none"/>
              </w:rPr>
            </w:pPr>
            <w:r>
              <w:rPr>
                <w:rFonts w:hint="eastAsia"/>
                <w:sz w:val="18"/>
                <w:szCs w:val="18"/>
                <w:highlight w:val="none"/>
              </w:rPr>
              <w:t>检测项目10结论</w:t>
            </w:r>
          </w:p>
        </w:tc>
        <w:tc>
          <w:tcPr>
            <w:tcW w:w="1225" w:type="dxa"/>
            <w:shd w:val="clear" w:color="auto" w:fill="auto"/>
            <w:tcMar>
              <w:top w:w="11" w:type="dxa"/>
              <w:left w:w="11" w:type="dxa"/>
              <w:right w:w="11" w:type="dxa"/>
            </w:tcMar>
            <w:vAlign w:val="center"/>
          </w:tcPr>
          <w:p w14:paraId="4A29661E">
            <w:pPr>
              <w:pStyle w:val="57"/>
              <w:jc w:val="center"/>
              <w:rPr>
                <w:sz w:val="18"/>
                <w:szCs w:val="18"/>
                <w:highlight w:val="none"/>
              </w:rPr>
            </w:pPr>
            <w:r>
              <w:rPr>
                <w:rFonts w:hint="eastAsia"/>
                <w:sz w:val="18"/>
                <w:szCs w:val="18"/>
                <w:highlight w:val="none"/>
              </w:rPr>
              <w:t>建议</w:t>
            </w:r>
          </w:p>
        </w:tc>
      </w:tr>
      <w:tr w14:paraId="7DF0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tblCellSpacing w:w="0" w:type="dxa"/>
        </w:trPr>
        <w:tc>
          <w:tcPr>
            <w:tcW w:w="1038" w:type="dxa"/>
            <w:shd w:val="clear" w:color="auto" w:fill="auto"/>
            <w:tcMar>
              <w:top w:w="11" w:type="dxa"/>
              <w:left w:w="11" w:type="dxa"/>
              <w:right w:w="11" w:type="dxa"/>
            </w:tcMar>
            <w:vAlign w:val="center"/>
          </w:tcPr>
          <w:p w14:paraId="6D8E535C">
            <w:pPr>
              <w:pStyle w:val="57"/>
              <w:jc w:val="center"/>
              <w:rPr>
                <w:color w:val="000000"/>
                <w:sz w:val="18"/>
                <w:szCs w:val="18"/>
                <w:highlight w:val="none"/>
              </w:rPr>
            </w:pPr>
          </w:p>
        </w:tc>
        <w:tc>
          <w:tcPr>
            <w:tcW w:w="828" w:type="dxa"/>
            <w:shd w:val="clear" w:color="auto" w:fill="auto"/>
            <w:tcMar>
              <w:top w:w="11" w:type="dxa"/>
              <w:left w:w="11" w:type="dxa"/>
              <w:right w:w="11" w:type="dxa"/>
            </w:tcMar>
            <w:vAlign w:val="center"/>
          </w:tcPr>
          <w:p w14:paraId="363C4E9F">
            <w:pPr>
              <w:pStyle w:val="57"/>
              <w:jc w:val="center"/>
              <w:rPr>
                <w:color w:val="000000"/>
                <w:sz w:val="18"/>
                <w:szCs w:val="18"/>
                <w:highlight w:val="none"/>
              </w:rPr>
            </w:pPr>
          </w:p>
        </w:tc>
        <w:tc>
          <w:tcPr>
            <w:tcW w:w="1173" w:type="dxa"/>
            <w:shd w:val="clear" w:color="auto" w:fill="auto"/>
            <w:tcMar>
              <w:top w:w="11" w:type="dxa"/>
              <w:left w:w="11" w:type="dxa"/>
              <w:right w:w="11" w:type="dxa"/>
            </w:tcMar>
            <w:vAlign w:val="center"/>
          </w:tcPr>
          <w:p w14:paraId="4BF17761">
            <w:pPr>
              <w:pStyle w:val="57"/>
              <w:jc w:val="center"/>
              <w:rPr>
                <w:sz w:val="18"/>
                <w:szCs w:val="18"/>
                <w:highlight w:val="none"/>
              </w:rPr>
            </w:pPr>
          </w:p>
        </w:tc>
        <w:tc>
          <w:tcPr>
            <w:tcW w:w="1173" w:type="dxa"/>
            <w:shd w:val="clear" w:color="auto" w:fill="auto"/>
            <w:tcMar>
              <w:top w:w="11" w:type="dxa"/>
              <w:left w:w="11" w:type="dxa"/>
              <w:right w:w="11" w:type="dxa"/>
            </w:tcMar>
            <w:vAlign w:val="center"/>
          </w:tcPr>
          <w:p w14:paraId="7C090AD0">
            <w:pPr>
              <w:pStyle w:val="57"/>
              <w:jc w:val="center"/>
              <w:rPr>
                <w:sz w:val="18"/>
                <w:szCs w:val="18"/>
                <w:highlight w:val="none"/>
              </w:rPr>
            </w:pPr>
          </w:p>
        </w:tc>
        <w:tc>
          <w:tcPr>
            <w:tcW w:w="1174" w:type="dxa"/>
            <w:shd w:val="clear" w:color="auto" w:fill="auto"/>
            <w:tcMar>
              <w:top w:w="11" w:type="dxa"/>
              <w:left w:w="11" w:type="dxa"/>
              <w:right w:w="11" w:type="dxa"/>
            </w:tcMar>
            <w:vAlign w:val="center"/>
          </w:tcPr>
          <w:p w14:paraId="21434233">
            <w:pPr>
              <w:pStyle w:val="57"/>
              <w:jc w:val="center"/>
              <w:rPr>
                <w:sz w:val="18"/>
                <w:szCs w:val="18"/>
                <w:highlight w:val="none"/>
              </w:rPr>
            </w:pPr>
          </w:p>
        </w:tc>
        <w:tc>
          <w:tcPr>
            <w:tcW w:w="1173" w:type="dxa"/>
            <w:shd w:val="clear" w:color="auto" w:fill="auto"/>
            <w:tcMar>
              <w:top w:w="11" w:type="dxa"/>
              <w:left w:w="11" w:type="dxa"/>
              <w:right w:w="11" w:type="dxa"/>
            </w:tcMar>
            <w:vAlign w:val="center"/>
          </w:tcPr>
          <w:p w14:paraId="69356CD0">
            <w:pPr>
              <w:pStyle w:val="57"/>
              <w:jc w:val="center"/>
              <w:rPr>
                <w:sz w:val="18"/>
                <w:szCs w:val="18"/>
                <w:highlight w:val="none"/>
              </w:rPr>
            </w:pPr>
          </w:p>
        </w:tc>
        <w:tc>
          <w:tcPr>
            <w:tcW w:w="1174" w:type="dxa"/>
            <w:shd w:val="clear" w:color="auto" w:fill="auto"/>
            <w:tcMar>
              <w:top w:w="11" w:type="dxa"/>
              <w:left w:w="11" w:type="dxa"/>
              <w:right w:w="11" w:type="dxa"/>
            </w:tcMar>
            <w:vAlign w:val="center"/>
          </w:tcPr>
          <w:p w14:paraId="565CFBF4">
            <w:pPr>
              <w:pStyle w:val="57"/>
              <w:jc w:val="center"/>
              <w:rPr>
                <w:sz w:val="18"/>
                <w:szCs w:val="18"/>
                <w:highlight w:val="none"/>
              </w:rPr>
            </w:pPr>
          </w:p>
        </w:tc>
        <w:tc>
          <w:tcPr>
            <w:tcW w:w="1225" w:type="dxa"/>
            <w:shd w:val="clear" w:color="auto" w:fill="auto"/>
            <w:tcMar>
              <w:top w:w="11" w:type="dxa"/>
              <w:left w:w="11" w:type="dxa"/>
              <w:right w:w="11" w:type="dxa"/>
            </w:tcMar>
            <w:vAlign w:val="center"/>
          </w:tcPr>
          <w:p w14:paraId="6130FEF6">
            <w:pPr>
              <w:pStyle w:val="57"/>
              <w:jc w:val="center"/>
              <w:rPr>
                <w:sz w:val="18"/>
                <w:szCs w:val="18"/>
                <w:highlight w:val="none"/>
              </w:rPr>
            </w:pPr>
          </w:p>
        </w:tc>
      </w:tr>
    </w:tbl>
    <w:p w14:paraId="3D6AFFA9">
      <w:pPr>
        <w:spacing w:line="520" w:lineRule="exact"/>
        <w:ind w:firstLine="560" w:firstLineChars="200"/>
        <w:outlineLvl w:val="0"/>
        <w:rPr>
          <w:rFonts w:ascii="黑体" w:hAnsi="黑体" w:eastAsia="黑体"/>
          <w:sz w:val="28"/>
          <w:szCs w:val="28"/>
          <w:highlight w:val="none"/>
        </w:rPr>
      </w:pPr>
      <w:bookmarkStart w:id="1485" w:name="_Toc7430"/>
      <w:bookmarkStart w:id="1486" w:name="_Toc23627"/>
      <w:r>
        <w:rPr>
          <w:rFonts w:hint="eastAsia" w:ascii="黑体" w:hAnsi="黑体" w:eastAsia="黑体"/>
          <w:sz w:val="28"/>
          <w:szCs w:val="28"/>
          <w:highlight w:val="none"/>
        </w:rPr>
        <w:t>五、分项报告</w:t>
      </w:r>
      <w:bookmarkEnd w:id="1485"/>
      <w:bookmarkEnd w:id="1486"/>
    </w:p>
    <w:p w14:paraId="74ECBEBA">
      <w:pPr>
        <w:spacing w:line="520" w:lineRule="exact"/>
        <w:ind w:firstLine="560" w:firstLineChars="200"/>
        <w:jc w:val="left"/>
        <w:rPr>
          <w:rFonts w:ascii="仿宋_GB2312" w:hAnsi="宋体" w:eastAsia="仿宋_GB2312"/>
          <w:b/>
          <w:sz w:val="28"/>
          <w:szCs w:val="28"/>
          <w:highlight w:val="none"/>
        </w:rPr>
      </w:pPr>
      <w:r>
        <w:rPr>
          <w:rFonts w:hint="eastAsia" w:ascii="仿宋_GB2312" w:hAnsi="宋体" w:eastAsia="仿宋_GB2312"/>
          <w:bCs/>
          <w:sz w:val="28"/>
          <w:szCs w:val="28"/>
          <w:highlight w:val="none"/>
        </w:rPr>
        <w:t>详见各分项检验检测报告（附后）。</w:t>
      </w:r>
    </w:p>
    <w:p w14:paraId="3A883682">
      <w:pPr>
        <w:rPr>
          <w:highlight w:val="none"/>
        </w:rPr>
      </w:pPr>
    </w:p>
    <w:p w14:paraId="04155559">
      <w:pPr>
        <w:rPr>
          <w:highlight w:val="none"/>
        </w:rPr>
      </w:pPr>
    </w:p>
    <w:p w14:paraId="225466E9">
      <w:pPr>
        <w:autoSpaceDE w:val="0"/>
        <w:autoSpaceDN w:val="0"/>
        <w:adjustRightInd w:val="0"/>
        <w:jc w:val="center"/>
        <w:rPr>
          <w:rFonts w:ascii="黑体" w:hAnsi="黑体" w:eastAsia="黑体" w:cs="宋体"/>
          <w:kern w:val="0"/>
          <w:sz w:val="44"/>
          <w:szCs w:val="44"/>
          <w:highlight w:val="none"/>
          <w:lang w:val="zh-CN"/>
        </w:rPr>
      </w:pPr>
    </w:p>
    <w:p w14:paraId="23FA0BA2">
      <w:pPr>
        <w:autoSpaceDE w:val="0"/>
        <w:autoSpaceDN w:val="0"/>
        <w:adjustRightInd w:val="0"/>
        <w:jc w:val="center"/>
        <w:rPr>
          <w:rFonts w:ascii="黑体" w:hAnsi="黑体" w:eastAsia="黑体" w:cs="宋体"/>
          <w:kern w:val="0"/>
          <w:sz w:val="44"/>
          <w:szCs w:val="44"/>
          <w:highlight w:val="none"/>
          <w:lang w:val="zh-CN"/>
        </w:rPr>
      </w:pPr>
    </w:p>
    <w:p w14:paraId="2F80FD49">
      <w:pPr>
        <w:spacing w:line="340" w:lineRule="atLeast"/>
        <w:rPr>
          <w:rFonts w:ascii="仿宋" w:hAnsi="仿宋" w:eastAsia="仿宋" w:cs="仿宋"/>
          <w:sz w:val="24"/>
          <w:szCs w:val="24"/>
          <w:highlight w:val="none"/>
        </w:rPr>
      </w:pPr>
    </w:p>
    <w:p w14:paraId="04FBBB09">
      <w:pPr>
        <w:spacing w:line="340" w:lineRule="atLeast"/>
        <w:rPr>
          <w:rFonts w:ascii="仿宋" w:hAnsi="仿宋" w:eastAsia="仿宋" w:cs="仿宋"/>
          <w:sz w:val="24"/>
          <w:szCs w:val="24"/>
          <w:highlight w:val="none"/>
        </w:rPr>
      </w:pPr>
    </w:p>
    <w:p w14:paraId="7925AC4F">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附件9：</w:t>
      </w:r>
    </w:p>
    <w:p w14:paraId="60C0D88D">
      <w:pPr>
        <w:autoSpaceDE w:val="0"/>
        <w:autoSpaceDN w:val="0"/>
        <w:adjustRightInd w:val="0"/>
        <w:jc w:val="center"/>
        <w:rPr>
          <w:rFonts w:ascii="黑体" w:hAnsi="黑体" w:eastAsia="黑体" w:cs="宋体"/>
          <w:kern w:val="0"/>
          <w:sz w:val="44"/>
          <w:szCs w:val="44"/>
          <w:highlight w:val="none"/>
          <w:lang w:val="zh-CN"/>
        </w:rPr>
      </w:pPr>
      <w:r>
        <w:rPr>
          <w:rFonts w:hint="eastAsia" w:ascii="黑体" w:hAnsi="黑体" w:eastAsia="黑体" w:cs="宋体"/>
          <w:kern w:val="0"/>
          <w:sz w:val="44"/>
          <w:szCs w:val="44"/>
          <w:highlight w:val="none"/>
          <w:lang w:val="zh-CN"/>
        </w:rPr>
        <w:t>杭州市市政</w:t>
      </w:r>
      <w:r>
        <w:rPr>
          <w:rFonts w:hint="eastAsia" w:ascii="黑体" w:hAnsi="黑体" w:eastAsia="黑体" w:cs="宋体"/>
          <w:kern w:val="0"/>
          <w:sz w:val="44"/>
          <w:szCs w:val="44"/>
          <w:highlight w:val="none"/>
        </w:rPr>
        <w:t>道路加固(修缮)</w:t>
      </w:r>
      <w:r>
        <w:rPr>
          <w:rFonts w:hint="eastAsia" w:ascii="黑体" w:hAnsi="黑体" w:eastAsia="黑体" w:cs="宋体"/>
          <w:kern w:val="0"/>
          <w:sz w:val="44"/>
          <w:szCs w:val="44"/>
          <w:highlight w:val="none"/>
          <w:lang w:val="zh-CN"/>
        </w:rPr>
        <w:t>工程质量检测</w:t>
      </w:r>
    </w:p>
    <w:p w14:paraId="21D5B634">
      <w:pPr>
        <w:autoSpaceDE w:val="0"/>
        <w:autoSpaceDN w:val="0"/>
        <w:adjustRightInd w:val="0"/>
        <w:jc w:val="center"/>
        <w:rPr>
          <w:rFonts w:ascii="黑体" w:hAnsi="黑体" w:eastAsia="黑体" w:cs="宋体"/>
          <w:kern w:val="0"/>
          <w:sz w:val="44"/>
          <w:szCs w:val="44"/>
          <w:highlight w:val="none"/>
        </w:rPr>
      </w:pPr>
      <w:r>
        <w:rPr>
          <w:rFonts w:hint="eastAsia" w:ascii="黑体" w:hAnsi="黑体" w:eastAsia="黑体" w:cs="宋体"/>
          <w:kern w:val="0"/>
          <w:sz w:val="44"/>
          <w:szCs w:val="44"/>
          <w:highlight w:val="none"/>
          <w:lang w:val="zh-CN"/>
        </w:rPr>
        <w:t>实施</w:t>
      </w:r>
      <w:r>
        <w:rPr>
          <w:rFonts w:hint="eastAsia" w:ascii="黑体" w:hAnsi="黑体" w:eastAsia="黑体" w:cs="宋体"/>
          <w:kern w:val="0"/>
          <w:sz w:val="44"/>
          <w:szCs w:val="44"/>
          <w:highlight w:val="none"/>
        </w:rPr>
        <w:t>方案</w:t>
      </w:r>
    </w:p>
    <w:p w14:paraId="741BBD49">
      <w:pPr>
        <w:autoSpaceDE w:val="0"/>
        <w:autoSpaceDN w:val="0"/>
        <w:adjustRightInd w:val="0"/>
        <w:spacing w:line="560" w:lineRule="exact"/>
        <w:ind w:firstLine="640" w:firstLineChars="200"/>
        <w:jc w:val="left"/>
        <w:rPr>
          <w:rFonts w:ascii="仿宋_GB2312" w:hAnsi="仿宋" w:eastAsia="仿宋_GB2312"/>
          <w:sz w:val="32"/>
          <w:szCs w:val="32"/>
          <w:highlight w:val="none"/>
        </w:rPr>
      </w:pPr>
    </w:p>
    <w:p w14:paraId="4AF2D877">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根据道路加固（修缮）工程管理相关规定，特制定本方案。</w:t>
      </w:r>
    </w:p>
    <w:p w14:paraId="6A1031E2">
      <w:pPr>
        <w:autoSpaceDE w:val="0"/>
        <w:autoSpaceDN w:val="0"/>
        <w:adjustRightInd w:val="0"/>
        <w:ind w:firstLine="360" w:firstLineChars="20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一、工作目标</w:t>
      </w:r>
    </w:p>
    <w:p w14:paraId="2773087A">
      <w:pPr>
        <w:autoSpaceDE w:val="0"/>
        <w:autoSpaceDN w:val="0"/>
        <w:adjustRightInd w:val="0"/>
        <w:ind w:firstLine="360" w:firstLineChars="200"/>
        <w:jc w:val="left"/>
        <w:rPr>
          <w:rFonts w:ascii="仿宋_GB2312" w:eastAsia="仿宋_GB2312"/>
          <w:sz w:val="18"/>
          <w:szCs w:val="18"/>
          <w:highlight w:val="none"/>
        </w:rPr>
      </w:pPr>
      <w:r>
        <w:rPr>
          <w:rFonts w:hint="eastAsia" w:ascii="仿宋_GB2312" w:hAnsi="仿宋" w:eastAsia="仿宋_GB2312"/>
          <w:sz w:val="18"/>
          <w:szCs w:val="18"/>
          <w:highlight w:val="none"/>
        </w:rPr>
        <w:t>以“迎亚运”为契机，以全面提升道路品质为内容，强化主体责任落实，建立健全工作机制，切实严控市政道路加固(修缮)工程质量，不断提升我市道路加固工程管理水平。</w:t>
      </w:r>
    </w:p>
    <w:p w14:paraId="5B785A4F">
      <w:pPr>
        <w:autoSpaceDE w:val="0"/>
        <w:autoSpaceDN w:val="0"/>
        <w:adjustRightInd w:val="0"/>
        <w:ind w:firstLine="360" w:firstLineChars="20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二、适用范围</w:t>
      </w:r>
    </w:p>
    <w:p w14:paraId="0A22BC8C">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杭州市市政设施改善项目中的道路加固及“迎亚运”道路修缮行动等工程，其他市政道路加固(修缮)工程可参照执行。</w:t>
      </w:r>
    </w:p>
    <w:p w14:paraId="2C80BDE4">
      <w:pPr>
        <w:autoSpaceDE w:val="0"/>
        <w:autoSpaceDN w:val="0"/>
        <w:adjustRightInd w:val="0"/>
        <w:ind w:firstLine="360" w:firstLineChars="20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三、检测依据及判定标准</w:t>
      </w:r>
    </w:p>
    <w:p w14:paraId="776FF056">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1.《城镇道路路面设计规范》CJJ 169；</w:t>
      </w:r>
    </w:p>
    <w:p w14:paraId="44E14153">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2.《无障碍设计规范》GB 50763；</w:t>
      </w:r>
    </w:p>
    <w:p w14:paraId="28692774">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3.《城镇道路工程施工与质量验收规范》CJJ 1；</w:t>
      </w:r>
    </w:p>
    <w:p w14:paraId="46DC8A7B">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4.《城镇道路养护技术规范》CJJ 36;</w:t>
      </w:r>
    </w:p>
    <w:p w14:paraId="0DB01B55">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5.《沥青路面施工及验收规范》 GB 50092；</w:t>
      </w:r>
    </w:p>
    <w:p w14:paraId="035EEA29">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6.《公路沥青路面施工技术规范》JTG F40；</w:t>
      </w:r>
    </w:p>
    <w:p w14:paraId="763DDB1B">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7.《给水排水管道工程施工及验收规范》 GB50268；</w:t>
      </w:r>
    </w:p>
    <w:p w14:paraId="6925511F">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8.《城镇道路特种沥青路面施工与质量验收规范》                 DB33/T 1080；</w:t>
      </w:r>
    </w:p>
    <w:p w14:paraId="1CE6BB5B">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9.《</w:t>
      </w:r>
      <w:r>
        <w:rPr>
          <w:rFonts w:ascii="仿宋_GB2312" w:hAnsi="仿宋" w:eastAsia="仿宋_GB2312"/>
          <w:sz w:val="18"/>
          <w:szCs w:val="18"/>
          <w:highlight w:val="none"/>
        </w:rPr>
        <w:t>城市道路防沉降检查井盖和雨水口技术管理规范</w:t>
      </w:r>
      <w:r>
        <w:rPr>
          <w:rFonts w:hint="eastAsia" w:ascii="仿宋_GB2312" w:hAnsi="仿宋" w:eastAsia="仿宋_GB2312"/>
          <w:sz w:val="18"/>
          <w:szCs w:val="18"/>
          <w:highlight w:val="none"/>
        </w:rPr>
        <w:t>》DB3301/T 0213；</w:t>
      </w:r>
    </w:p>
    <w:p w14:paraId="28172DB5">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10.其他相关标准规范及设计文件。</w:t>
      </w:r>
    </w:p>
    <w:p w14:paraId="216E86AA">
      <w:pPr>
        <w:autoSpaceDE w:val="0"/>
        <w:autoSpaceDN w:val="0"/>
        <w:adjustRightInd w:val="0"/>
        <w:ind w:firstLine="360" w:firstLineChars="200"/>
        <w:jc w:val="left"/>
        <w:rPr>
          <w:rFonts w:ascii="仿宋_GB2312" w:hAnsi="仿宋" w:eastAsia="仿宋_GB2312"/>
          <w:sz w:val="18"/>
          <w:szCs w:val="18"/>
          <w:highlight w:val="none"/>
          <w:lang w:val="zh-CN"/>
        </w:rPr>
      </w:pPr>
      <w:r>
        <w:rPr>
          <w:rFonts w:hint="eastAsia" w:ascii="仿宋_GB2312" w:hAnsi="仿宋" w:eastAsia="仿宋_GB2312"/>
          <w:sz w:val="18"/>
          <w:szCs w:val="18"/>
          <w:highlight w:val="none"/>
          <w:lang w:val="zh-CN"/>
        </w:rPr>
        <w:t>（注：以上标准规范版本以最新版本为准）</w:t>
      </w:r>
    </w:p>
    <w:p w14:paraId="746B8EE4">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推荐采用方法：</w:t>
      </w:r>
    </w:p>
    <w:p w14:paraId="70DB8607">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T0912  挖坑和钻芯测试路面厚度方法</w:t>
      </w:r>
    </w:p>
    <w:p w14:paraId="157AD665">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T0924  钻芯测试路面压实度方法</w:t>
      </w:r>
    </w:p>
    <w:p w14:paraId="4562DE20">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T0931  三米直尺测试平整度方法</w:t>
      </w:r>
    </w:p>
    <w:p w14:paraId="75B19D82">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T0932  连续式平整度仪测试平整度方法</w:t>
      </w:r>
    </w:p>
    <w:p w14:paraId="3C38909C">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eastAsia="仿宋_GB2312" w:cs="仿宋"/>
          <w:kern w:val="0"/>
          <w:sz w:val="18"/>
          <w:szCs w:val="18"/>
          <w:highlight w:val="none"/>
          <w:lang w:val="zh-CN"/>
        </w:rPr>
        <w:t>T0951  贝克曼梁测试路基路面回弹弯沉方法</w:t>
      </w:r>
    </w:p>
    <w:p w14:paraId="472DD024">
      <w:pPr>
        <w:autoSpaceDE w:val="0"/>
        <w:autoSpaceDN w:val="0"/>
        <w:adjustRightInd w:val="0"/>
        <w:ind w:firstLine="270" w:firstLineChars="15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四、实施方法</w:t>
      </w:r>
    </w:p>
    <w:p w14:paraId="1320A2FA">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（一）检测要求</w:t>
      </w:r>
    </w:p>
    <w:p w14:paraId="0819EFF1">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 xml:space="preserve">1.明确专项经费。区级城管部门（建设主体）应在招标文件及合同中明确该项检测费用纳入工程经费；并明确检测费用拨付程序及检测不合格的相关处罚措施等内容。 </w:t>
      </w:r>
    </w:p>
    <w:p w14:paraId="7648D49C">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2.明确主体责任。区级城管部门（建设主体）应进一步优化工作流程，建立健全相关检测工作机制，落实专人负责，确保主体责任履责到位。</w:t>
      </w:r>
    </w:p>
    <w:p w14:paraId="7FEDFA0B">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3.明确整改时限。针对检测中发现的质量问题，建设主体督促施工单位应在5个自然日内完成整改，涉及较重大事项，须在5个自然日内提出整改方案。</w:t>
      </w:r>
    </w:p>
    <w:p w14:paraId="44F8E82D">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（二）检测项目</w:t>
      </w:r>
    </w:p>
    <w:p w14:paraId="3F9897F8">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1.原材料质量：主要包括沥青混合料、水泥混凝土、水泥稳定碎石、人行道道板、检查井盖、雨水箅子等。</w:t>
      </w:r>
    </w:p>
    <w:p w14:paraId="67C08E31">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2.施工质量</w:t>
      </w:r>
    </w:p>
    <w:p w14:paraId="37948B46">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（1）车行道（含非机动车道）：主控项目为结构层压实度、结构层厚度、料石铺砌面层用砂浆抗压强度；一般项目为弯沉（面层和基层）、面层平整度、料石铺砌面层平整度、路面抗滑。</w:t>
      </w:r>
    </w:p>
    <w:p w14:paraId="38FC11CF">
      <w:pPr>
        <w:autoSpaceDE w:val="0"/>
        <w:autoSpaceDN w:val="0"/>
        <w:adjustRightInd w:val="0"/>
        <w:ind w:firstLine="360" w:firstLineChars="200"/>
        <w:jc w:val="left"/>
        <w:rPr>
          <w:rFonts w:ascii="仿宋_GB2312" w:hAnsi="仿宋" w:eastAsia="仿宋_GB2312"/>
          <w:sz w:val="18"/>
          <w:szCs w:val="18"/>
          <w:highlight w:val="none"/>
        </w:rPr>
      </w:pPr>
      <w:r>
        <w:rPr>
          <w:rFonts w:hint="eastAsia" w:ascii="仿宋_GB2312" w:hAnsi="仿宋" w:eastAsia="仿宋_GB2312"/>
          <w:sz w:val="18"/>
          <w:szCs w:val="18"/>
          <w:highlight w:val="none"/>
        </w:rPr>
        <w:t>（2）人行道：主控项目为料石、混凝土预制砌块、沥青混合料铺砌人行道路床与基层压实度，料石、混凝土预制砌块铺砌人行道用砂浆强度，料石、混凝土预制砌块强度，料石铺砌人行道外观尺寸，沥青混合料铺筑人行道厚度，沥青混合料压实度；一般项目为平整度。</w:t>
      </w:r>
    </w:p>
    <w:p w14:paraId="75EF7D2C">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（三）检测频率（详见附件2）</w:t>
      </w:r>
    </w:p>
    <w:p w14:paraId="0A21F42D">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（四）判定标准（详见附件3）</w:t>
      </w:r>
    </w:p>
    <w:p w14:paraId="471D7DFB">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（五）成果资料</w:t>
      </w:r>
      <w:r>
        <w:rPr>
          <w:rFonts w:ascii="楷体_GB2312" w:hAnsi="仿宋" w:eastAsia="楷体_GB2312" w:cs="仿宋"/>
          <w:b/>
          <w:kern w:val="0"/>
          <w:sz w:val="18"/>
          <w:szCs w:val="18"/>
          <w:highlight w:val="none"/>
        </w:rPr>
        <w:tab/>
      </w:r>
    </w:p>
    <w:p w14:paraId="6EF8F909">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1.检测报告：各项检测内容均须出具书面检测报告。检测报告应包含工程概况、检测范围、检测依据、检测设备、检测结论、分项检测报告等内容。</w:t>
      </w:r>
    </w:p>
    <w:p w14:paraId="3341D49E">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2.档案资料：</w:t>
      </w:r>
      <w:r>
        <w:rPr>
          <w:rFonts w:hint="eastAsia" w:ascii="仿宋_GB2312" w:hAnsi="仿宋" w:eastAsia="仿宋_GB2312"/>
          <w:sz w:val="18"/>
          <w:szCs w:val="18"/>
          <w:highlight w:val="none"/>
        </w:rPr>
        <w:t>建设主体</w:t>
      </w:r>
      <w:r>
        <w:rPr>
          <w:rFonts w:hint="eastAsia" w:ascii="仿宋_GB2312" w:hAnsi="仿宋" w:eastAsia="仿宋_GB2312" w:cs="仿宋"/>
          <w:kern w:val="0"/>
          <w:sz w:val="18"/>
          <w:szCs w:val="18"/>
          <w:highlight w:val="none"/>
        </w:rPr>
        <w:t>在项目竣工验收后,将所有检测报告纳入竣工资料中存档。</w:t>
      </w:r>
    </w:p>
    <w:p w14:paraId="2E5824F2">
      <w:pPr>
        <w:autoSpaceDE w:val="0"/>
        <w:autoSpaceDN w:val="0"/>
        <w:adjustRightInd w:val="0"/>
        <w:ind w:firstLine="360" w:firstLineChars="20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五、验收抽检</w:t>
      </w:r>
    </w:p>
    <w:p w14:paraId="441B2F28">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工程竣工验收前，由杭州市市政设施发展中心（以下简称：市政中心）委托第三方检测机构进行抽检,应与区级城管部门（建设主体）委托的检测机构非同一家。</w:t>
      </w:r>
    </w:p>
    <w:p w14:paraId="329D1BE4">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（一）抽检方法</w:t>
      </w:r>
    </w:p>
    <w:p w14:paraId="08DE09F6">
      <w:pPr>
        <w:autoSpaceDE w:val="0"/>
        <w:autoSpaceDN w:val="0"/>
        <w:adjustRightInd w:val="0"/>
        <w:ind w:firstLine="360" w:firstLineChars="200"/>
        <w:rPr>
          <w:rFonts w:ascii="仿宋_GB2312" w:hAnsi="仿宋" w:eastAsia="仿宋_GB2312" w:cs="仿宋"/>
          <w:color w:val="000000" w:themeColor="text1"/>
          <w:kern w:val="0"/>
          <w:sz w:val="18"/>
          <w:szCs w:val="18"/>
          <w:highlight w:val="none"/>
          <w14:textFill>
            <w14:solidFill>
              <w14:schemeClr w14:val="tx1"/>
            </w14:solidFill>
          </w14:textFill>
        </w:rPr>
      </w:pPr>
      <w:r>
        <w:rPr>
          <w:rFonts w:hint="eastAsia" w:ascii="仿宋_GB2312" w:hAnsi="仿宋" w:eastAsia="仿宋_GB2312" w:cs="仿宋"/>
          <w:color w:val="000000" w:themeColor="text1"/>
          <w:kern w:val="0"/>
          <w:sz w:val="18"/>
          <w:szCs w:val="18"/>
          <w:highlight w:val="none"/>
          <w14:textFill>
            <w14:solidFill>
              <w14:schemeClr w14:val="tx1"/>
            </w14:solidFill>
          </w14:textFill>
        </w:rPr>
        <w:t>1.按照项目每标段、每200米、每半幅为一个抽检单元（不满200米按一个单元计，每标段至少一个单元），抽检单元按序编号，现场随机抽取10%-20%的单元进行检测。</w:t>
      </w:r>
    </w:p>
    <w:p w14:paraId="065A6C46">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2.抽检人员应包括市政中心、区级城管部门（建设主体）、监理单位、施工单位、检测机构及该道路养护单位。</w:t>
      </w:r>
    </w:p>
    <w:p w14:paraId="749DF55D">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3.抽检过程由市政中心会同检测单位采用现场录像拍照等方式记录留档，抽检样品按规定做好留存。</w:t>
      </w:r>
    </w:p>
    <w:p w14:paraId="0F82013A">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（二）抽检项目及抽检频率（详见附件3）</w:t>
      </w:r>
    </w:p>
    <w:p w14:paraId="10782187">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（三）抽检项目判定</w:t>
      </w:r>
    </w:p>
    <w:p w14:paraId="6535BC02">
      <w:pPr>
        <w:autoSpaceDE w:val="0"/>
        <w:autoSpaceDN w:val="0"/>
        <w:adjustRightInd w:val="0"/>
        <w:ind w:firstLine="360" w:firstLineChars="200"/>
        <w:jc w:val="left"/>
        <w:rPr>
          <w:rFonts w:ascii="仿宋" w:hAnsi="仿宋" w:eastAsia="仿宋" w:cs="仿宋"/>
          <w:kern w:val="0"/>
          <w:sz w:val="18"/>
          <w:szCs w:val="18"/>
          <w:highlight w:val="none"/>
        </w:rPr>
      </w:pPr>
      <w:r>
        <w:rPr>
          <w:rFonts w:hint="eastAsia" w:ascii="仿宋_GB2312" w:hAnsi="仿宋" w:eastAsia="仿宋_GB2312" w:cs="仿宋"/>
          <w:kern w:val="0"/>
          <w:sz w:val="18"/>
          <w:szCs w:val="18"/>
          <w:highlight w:val="none"/>
        </w:rPr>
        <w:t>同施工质量检测判定标准</w:t>
      </w:r>
      <w:r>
        <w:rPr>
          <w:rFonts w:hint="eastAsia" w:ascii="仿宋" w:hAnsi="仿宋" w:eastAsia="仿宋" w:cs="仿宋"/>
          <w:kern w:val="0"/>
          <w:sz w:val="18"/>
          <w:szCs w:val="18"/>
          <w:highlight w:val="none"/>
        </w:rPr>
        <w:t>。</w:t>
      </w:r>
    </w:p>
    <w:p w14:paraId="7126AF8C">
      <w:pPr>
        <w:autoSpaceDE w:val="0"/>
        <w:autoSpaceDN w:val="0"/>
        <w:adjustRightInd w:val="0"/>
        <w:ind w:firstLine="361" w:firstLineChars="200"/>
        <w:rPr>
          <w:rFonts w:ascii="楷体_GB2312" w:hAnsi="仿宋" w:eastAsia="楷体_GB2312" w:cs="仿宋"/>
          <w:b/>
          <w:kern w:val="0"/>
          <w:sz w:val="18"/>
          <w:szCs w:val="18"/>
          <w:highlight w:val="none"/>
        </w:rPr>
      </w:pPr>
      <w:r>
        <w:rPr>
          <w:rFonts w:hint="eastAsia" w:ascii="楷体_GB2312" w:hAnsi="仿宋" w:eastAsia="楷体_GB2312" w:cs="仿宋"/>
          <w:b/>
          <w:kern w:val="0"/>
          <w:sz w:val="18"/>
          <w:szCs w:val="18"/>
          <w:highlight w:val="none"/>
        </w:rPr>
        <w:t>（四）成果资料</w:t>
      </w:r>
    </w:p>
    <w:p w14:paraId="42265064">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各项抽检内容均须出具书面报告，按规定存档。</w:t>
      </w:r>
    </w:p>
    <w:p w14:paraId="2BB45933">
      <w:pPr>
        <w:autoSpaceDE w:val="0"/>
        <w:autoSpaceDN w:val="0"/>
        <w:adjustRightInd w:val="0"/>
        <w:ind w:firstLine="360" w:firstLineChars="200"/>
        <w:rPr>
          <w:rFonts w:ascii="黑体" w:hAnsi="黑体" w:eastAsia="黑体" w:cs="楷体"/>
          <w:kern w:val="0"/>
          <w:sz w:val="18"/>
          <w:szCs w:val="18"/>
          <w:highlight w:val="none"/>
          <w:lang w:val="zh-CN"/>
        </w:rPr>
      </w:pPr>
      <w:r>
        <w:rPr>
          <w:rFonts w:hint="eastAsia" w:ascii="黑体" w:hAnsi="黑体" w:eastAsia="黑体" w:cs="楷体"/>
          <w:kern w:val="0"/>
          <w:sz w:val="18"/>
          <w:szCs w:val="18"/>
          <w:highlight w:val="none"/>
          <w:lang w:val="zh-CN"/>
        </w:rPr>
        <w:t>六、结果运用</w:t>
      </w:r>
    </w:p>
    <w:p w14:paraId="4F1EBD72">
      <w:pPr>
        <w:autoSpaceDE w:val="0"/>
        <w:autoSpaceDN w:val="0"/>
        <w:adjustRightInd w:val="0"/>
        <w:ind w:firstLine="361" w:firstLineChars="200"/>
        <w:rPr>
          <w:rFonts w:ascii="仿宋_GB2312" w:hAnsi="仿宋" w:eastAsia="仿宋_GB2312" w:cs="仿宋"/>
          <w:kern w:val="0"/>
          <w:sz w:val="18"/>
          <w:szCs w:val="18"/>
          <w:highlight w:val="none"/>
        </w:rPr>
      </w:pPr>
      <w:r>
        <w:rPr>
          <w:rFonts w:hint="eastAsia" w:ascii="仿宋_GB2312" w:hAnsi="仿宋" w:eastAsia="仿宋_GB2312" w:cs="仿宋"/>
          <w:b/>
          <w:kern w:val="0"/>
          <w:sz w:val="18"/>
          <w:szCs w:val="18"/>
          <w:highlight w:val="none"/>
        </w:rPr>
        <w:t>1.作为竣工验收依据</w:t>
      </w:r>
      <w:r>
        <w:rPr>
          <w:rFonts w:hint="eastAsia" w:ascii="仿宋_GB2312" w:hAnsi="仿宋" w:eastAsia="仿宋_GB2312" w:cs="仿宋"/>
          <w:kern w:val="0"/>
          <w:sz w:val="18"/>
          <w:szCs w:val="18"/>
          <w:highlight w:val="none"/>
        </w:rPr>
        <w:t>。一是市政道路加固（修缮）工程检测合格、抽检认可后方可进行竣工验收；二是检测、抽检中发现的问题须逐个整改销项。</w:t>
      </w:r>
    </w:p>
    <w:p w14:paraId="35A152E8">
      <w:pPr>
        <w:autoSpaceDE w:val="0"/>
        <w:autoSpaceDN w:val="0"/>
        <w:adjustRightInd w:val="0"/>
        <w:ind w:firstLine="361" w:firstLineChars="200"/>
        <w:rPr>
          <w:rFonts w:ascii="仿宋_GB2312" w:hAnsi="仿宋" w:eastAsia="仿宋_GB2312" w:cs="仿宋"/>
          <w:kern w:val="0"/>
          <w:sz w:val="18"/>
          <w:szCs w:val="18"/>
          <w:highlight w:val="none"/>
        </w:rPr>
      </w:pPr>
      <w:r>
        <w:rPr>
          <w:rFonts w:hint="eastAsia" w:ascii="仿宋_GB2312" w:hAnsi="仿宋" w:eastAsia="仿宋_GB2312" w:cs="仿宋"/>
          <w:b/>
          <w:kern w:val="0"/>
          <w:sz w:val="18"/>
          <w:szCs w:val="18"/>
          <w:highlight w:val="none"/>
        </w:rPr>
        <w:t>2.纳入城管目标考核。</w:t>
      </w:r>
      <w:r>
        <w:rPr>
          <w:rFonts w:hint="eastAsia" w:ascii="仿宋_GB2312" w:hAnsi="仿宋" w:eastAsia="仿宋_GB2312" w:cs="仿宋"/>
          <w:kern w:val="0"/>
          <w:sz w:val="18"/>
          <w:szCs w:val="18"/>
          <w:highlight w:val="none"/>
        </w:rPr>
        <w:t>区级城管部门的检测工作开展情况和市政中心随机抽检情况纳入市城市管理工作目标（道桥管理）考核，并进行通报。</w:t>
      </w:r>
    </w:p>
    <w:p w14:paraId="24CBCC88">
      <w:pPr>
        <w:autoSpaceDE w:val="0"/>
        <w:autoSpaceDN w:val="0"/>
        <w:adjustRightInd w:val="0"/>
        <w:ind w:firstLine="361" w:firstLineChars="200"/>
        <w:rPr>
          <w:rFonts w:ascii="仿宋_GB2312" w:hAnsi="仿宋" w:eastAsia="仿宋_GB2312" w:cs="仿宋"/>
          <w:kern w:val="0"/>
          <w:sz w:val="18"/>
          <w:szCs w:val="18"/>
          <w:highlight w:val="none"/>
        </w:rPr>
      </w:pPr>
      <w:r>
        <w:rPr>
          <w:rFonts w:hint="eastAsia" w:ascii="仿宋_GB2312" w:hAnsi="仿宋" w:eastAsia="仿宋_GB2312" w:cs="仿宋"/>
          <w:b/>
          <w:kern w:val="0"/>
          <w:sz w:val="18"/>
          <w:szCs w:val="18"/>
          <w:highlight w:val="none"/>
        </w:rPr>
        <w:t>3.纳入诚信评价管理</w:t>
      </w:r>
      <w:r>
        <w:rPr>
          <w:rFonts w:hint="eastAsia" w:ascii="仿宋_GB2312" w:hAnsi="仿宋" w:eastAsia="仿宋_GB2312" w:cs="仿宋"/>
          <w:kern w:val="0"/>
          <w:sz w:val="18"/>
          <w:szCs w:val="18"/>
          <w:highlight w:val="none"/>
        </w:rPr>
        <w:t>。一是对检测、抽检结果较差的施工单位，应提高其参与的其他工程的检测、抽检频率；造成质量问题的施工、监理及检测责任单位应纳入城管诚信评价管理；对存在质量问题且拒不整改、未按规定时间整改或整改不到位的施工单位，城管部门将抄送建设主管部门予以严肃处理。二是对检测、抽检结果较好的施工单位，可相应降低检测、抽检频率，并抄送建设主管部门予以表扬。</w:t>
      </w:r>
    </w:p>
    <w:p w14:paraId="7508B2F1">
      <w:pPr>
        <w:autoSpaceDE w:val="0"/>
        <w:autoSpaceDN w:val="0"/>
        <w:adjustRightInd w:val="0"/>
        <w:rPr>
          <w:rFonts w:ascii="仿宋_GB2312" w:hAnsi="仿宋" w:eastAsia="仿宋_GB2312" w:cs="仿宋"/>
          <w:kern w:val="0"/>
          <w:sz w:val="18"/>
          <w:szCs w:val="18"/>
          <w:highlight w:val="none"/>
        </w:rPr>
      </w:pPr>
    </w:p>
    <w:p w14:paraId="51FE845A">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附件：检测项目检测频率</w:t>
      </w:r>
    </w:p>
    <w:p w14:paraId="794EC8D9">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 xml:space="preserve">      检测项目判定标准</w:t>
      </w:r>
    </w:p>
    <w:p w14:paraId="29006D26">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 xml:space="preserve">      抽检项目及抽检频率</w:t>
      </w:r>
    </w:p>
    <w:p w14:paraId="52461B1E">
      <w:pPr>
        <w:autoSpaceDE w:val="0"/>
        <w:autoSpaceDN w:val="0"/>
        <w:adjustRightInd w:val="0"/>
        <w:ind w:firstLine="360" w:firstLineChars="200"/>
        <w:rPr>
          <w:rFonts w:ascii="仿宋_GB2312" w:hAnsi="仿宋" w:eastAsia="仿宋_GB2312" w:cs="仿宋"/>
          <w:kern w:val="0"/>
          <w:sz w:val="18"/>
          <w:szCs w:val="18"/>
          <w:highlight w:val="none"/>
        </w:rPr>
      </w:pPr>
      <w:r>
        <w:rPr>
          <w:rFonts w:hint="eastAsia" w:ascii="仿宋_GB2312" w:hAnsi="仿宋" w:eastAsia="仿宋_GB2312" w:cs="仿宋"/>
          <w:kern w:val="0"/>
          <w:sz w:val="18"/>
          <w:szCs w:val="18"/>
          <w:highlight w:val="none"/>
        </w:rPr>
        <w:t xml:space="preserve">      杭州市市政道路加固(修缮)工程质量抽检报告</w:t>
      </w:r>
    </w:p>
    <w:p w14:paraId="28B77D06">
      <w:pPr>
        <w:autoSpaceDE w:val="0"/>
        <w:autoSpaceDN w:val="0"/>
        <w:adjustRightInd w:val="0"/>
        <w:spacing w:line="620" w:lineRule="exact"/>
        <w:rPr>
          <w:rFonts w:ascii="黑体" w:hAnsi="黑体" w:eastAsia="黑体" w:cs="仿宋"/>
          <w:kern w:val="0"/>
          <w:sz w:val="32"/>
          <w:szCs w:val="32"/>
          <w:highlight w:val="none"/>
        </w:rPr>
      </w:pPr>
    </w:p>
    <w:p w14:paraId="6FAA11CE">
      <w:pPr>
        <w:autoSpaceDE w:val="0"/>
        <w:autoSpaceDN w:val="0"/>
        <w:adjustRightInd w:val="0"/>
        <w:spacing w:afterLines="50" w:line="620" w:lineRule="exact"/>
        <w:rPr>
          <w:rFonts w:ascii="黑体" w:hAnsi="黑体" w:eastAsia="黑体" w:cs="仿宋"/>
          <w:kern w:val="0"/>
          <w:sz w:val="44"/>
          <w:szCs w:val="44"/>
          <w:highlight w:val="none"/>
        </w:rPr>
      </w:pPr>
    </w:p>
    <w:p w14:paraId="75EC604E">
      <w:pPr>
        <w:pStyle w:val="42"/>
        <w:rPr>
          <w:rFonts w:ascii="黑体" w:hAnsi="黑体" w:eastAsia="黑体" w:cs="仿宋"/>
          <w:sz w:val="44"/>
          <w:szCs w:val="44"/>
          <w:highlight w:val="none"/>
        </w:rPr>
      </w:pPr>
    </w:p>
    <w:p w14:paraId="54CA3FBE">
      <w:pPr>
        <w:rPr>
          <w:rFonts w:ascii="黑体" w:hAnsi="黑体" w:eastAsia="黑体" w:cs="仿宋"/>
          <w:kern w:val="0"/>
          <w:sz w:val="44"/>
          <w:szCs w:val="44"/>
          <w:highlight w:val="none"/>
        </w:rPr>
      </w:pPr>
    </w:p>
    <w:p w14:paraId="6ECD284C">
      <w:pPr>
        <w:pStyle w:val="42"/>
        <w:rPr>
          <w:rFonts w:ascii="黑体" w:hAnsi="黑体" w:eastAsia="黑体" w:cs="仿宋"/>
          <w:sz w:val="44"/>
          <w:szCs w:val="44"/>
          <w:highlight w:val="none"/>
        </w:rPr>
      </w:pPr>
    </w:p>
    <w:p w14:paraId="37B13337">
      <w:pPr>
        <w:rPr>
          <w:rFonts w:ascii="黑体" w:hAnsi="黑体" w:eastAsia="黑体" w:cs="仿宋"/>
          <w:kern w:val="0"/>
          <w:sz w:val="44"/>
          <w:szCs w:val="44"/>
          <w:highlight w:val="none"/>
        </w:rPr>
      </w:pPr>
    </w:p>
    <w:p w14:paraId="0EA3DC62">
      <w:pPr>
        <w:pStyle w:val="42"/>
        <w:rPr>
          <w:rFonts w:ascii="黑体" w:hAnsi="黑体" w:eastAsia="黑体" w:cs="仿宋"/>
          <w:sz w:val="44"/>
          <w:szCs w:val="44"/>
          <w:highlight w:val="none"/>
        </w:rPr>
      </w:pPr>
    </w:p>
    <w:p w14:paraId="4B15FDCA">
      <w:pPr>
        <w:rPr>
          <w:rFonts w:ascii="黑体" w:hAnsi="黑体" w:eastAsia="黑体" w:cs="仿宋"/>
          <w:kern w:val="0"/>
          <w:sz w:val="44"/>
          <w:szCs w:val="44"/>
          <w:highlight w:val="none"/>
        </w:rPr>
      </w:pPr>
    </w:p>
    <w:p w14:paraId="7A2AA02F">
      <w:pPr>
        <w:pStyle w:val="42"/>
        <w:rPr>
          <w:highlight w:val="none"/>
        </w:rPr>
      </w:pPr>
    </w:p>
    <w:p w14:paraId="28C0D29E">
      <w:pPr>
        <w:autoSpaceDE w:val="0"/>
        <w:autoSpaceDN w:val="0"/>
        <w:adjustRightInd w:val="0"/>
        <w:spacing w:afterLines="50" w:line="620" w:lineRule="exact"/>
        <w:jc w:val="center"/>
        <w:rPr>
          <w:rFonts w:ascii="黑体" w:hAnsi="黑体" w:eastAsia="黑体" w:cs="仿宋"/>
          <w:b/>
          <w:kern w:val="0"/>
          <w:sz w:val="44"/>
          <w:szCs w:val="44"/>
          <w:highlight w:val="none"/>
        </w:rPr>
      </w:pPr>
      <w:r>
        <w:rPr>
          <w:rFonts w:hint="eastAsia" w:ascii="黑体" w:hAnsi="黑体" w:eastAsia="黑体" w:cs="仿宋"/>
          <w:kern w:val="0"/>
          <w:sz w:val="44"/>
          <w:szCs w:val="44"/>
          <w:highlight w:val="none"/>
        </w:rPr>
        <w:t>检测项目检测频率</w:t>
      </w:r>
    </w:p>
    <w:tbl>
      <w:tblPr>
        <w:tblStyle w:val="62"/>
        <w:tblW w:w="0" w:type="auto"/>
        <w:jc w:val="center"/>
        <w:tblLayout w:type="fixed"/>
        <w:tblCellMar>
          <w:top w:w="0" w:type="dxa"/>
          <w:left w:w="0" w:type="dxa"/>
          <w:bottom w:w="0" w:type="dxa"/>
          <w:right w:w="0" w:type="dxa"/>
        </w:tblCellMar>
      </w:tblPr>
      <w:tblGrid>
        <w:gridCol w:w="600"/>
        <w:gridCol w:w="938"/>
        <w:gridCol w:w="2762"/>
        <w:gridCol w:w="4404"/>
      </w:tblGrid>
      <w:tr w14:paraId="512057D6">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B2868">
            <w:pPr>
              <w:widowControl/>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序号</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AAA314">
            <w:pPr>
              <w:widowControl/>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检测对象</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B490A9">
            <w:pPr>
              <w:widowControl/>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检测项目</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0553D8">
            <w:pPr>
              <w:widowControl/>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检测频率</w:t>
            </w:r>
          </w:p>
        </w:tc>
      </w:tr>
      <w:tr w14:paraId="2C528D72">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7B1B5F">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BBDCA9">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项目范围</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40DB22">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原材料</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DC5FF2">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原材料按规格型号批次进行检测1组。</w:t>
            </w:r>
          </w:p>
        </w:tc>
      </w:tr>
      <w:tr w14:paraId="15B0AB46">
        <w:tblPrEx>
          <w:tblCellMar>
            <w:top w:w="0" w:type="dxa"/>
            <w:left w:w="0" w:type="dxa"/>
            <w:bottom w:w="0" w:type="dxa"/>
            <w:right w:w="0" w:type="dxa"/>
          </w:tblCellMar>
        </w:tblPrEx>
        <w:trPr>
          <w:trHeight w:val="58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522232">
            <w:pPr>
              <w:widowControl/>
              <w:spacing w:before="120" w:after="120" w:line="22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93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2377584">
            <w:pPr>
              <w:widowControl/>
              <w:spacing w:before="120" w:after="120" w:line="220" w:lineRule="exact"/>
              <w:jc w:val="center"/>
              <w:rPr>
                <w:rFonts w:ascii="仿宋" w:hAnsi="仿宋" w:eastAsia="仿宋"/>
                <w:sz w:val="18"/>
                <w:szCs w:val="18"/>
                <w:highlight w:val="none"/>
              </w:rPr>
            </w:pPr>
            <w:r>
              <w:rPr>
                <w:rFonts w:hint="eastAsia" w:ascii="仿宋" w:hAnsi="仿宋" w:eastAsia="仿宋"/>
                <w:sz w:val="18"/>
                <w:szCs w:val="18"/>
                <w:highlight w:val="none"/>
              </w:rPr>
              <w:t>车行道（含非机动车道）</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05C312">
            <w:pPr>
              <w:widowControl/>
              <w:spacing w:before="120" w:after="120" w:line="220" w:lineRule="exact"/>
              <w:jc w:val="center"/>
              <w:rPr>
                <w:rFonts w:ascii="仿宋" w:hAnsi="仿宋" w:eastAsia="仿宋"/>
                <w:sz w:val="18"/>
                <w:szCs w:val="18"/>
                <w:highlight w:val="none"/>
              </w:rPr>
            </w:pPr>
            <w:r>
              <w:rPr>
                <w:rFonts w:hint="eastAsia" w:ascii="仿宋" w:hAnsi="仿宋" w:eastAsia="仿宋"/>
                <w:sz w:val="18"/>
                <w:szCs w:val="18"/>
                <w:highlight w:val="none"/>
              </w:rPr>
              <w:t>★结构层压实度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1956E">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每1000㎡测1点</w:t>
            </w:r>
          </w:p>
          <w:p w14:paraId="2B278D1E">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（不满1000㎡的按照1000㎡测）。</w:t>
            </w:r>
          </w:p>
        </w:tc>
      </w:tr>
      <w:tr w14:paraId="3A31314B">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CE7968">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38726E3D">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65BEF">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★结构层厚度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45B8E">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每1000㎡测1点。</w:t>
            </w:r>
          </w:p>
        </w:tc>
      </w:tr>
      <w:tr w14:paraId="6F1404AD">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FC0E15">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4</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3D57A075">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F9482">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弯沉（面层和基层）</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30F8D">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每车道、每20m，测1点。</w:t>
            </w:r>
          </w:p>
        </w:tc>
      </w:tr>
      <w:tr w14:paraId="59024F52">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CD7CA">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5</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3A2629E0">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1988A">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面层平整度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054C95">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全路段每车道</w:t>
            </w:r>
          </w:p>
        </w:tc>
      </w:tr>
      <w:tr w14:paraId="531CDFDD">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934331">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6</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7535D23A">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1CF4F0">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★料石铺砌面层用砂浆抗压强度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9948F5">
            <w:pPr>
              <w:widowControl/>
              <w:spacing w:line="300" w:lineRule="exact"/>
              <w:jc w:val="center"/>
              <w:rPr>
                <w:rFonts w:ascii="仿宋" w:hAnsi="仿宋" w:eastAsia="仿宋"/>
                <w:sz w:val="18"/>
                <w:szCs w:val="18"/>
                <w:highlight w:val="none"/>
              </w:rPr>
            </w:pPr>
            <w:r>
              <w:rPr>
                <w:rFonts w:hint="eastAsia" w:ascii="仿宋" w:hAnsi="仿宋" w:eastAsia="仿宋"/>
                <w:sz w:val="18"/>
                <w:szCs w:val="18"/>
                <w:highlight w:val="none"/>
              </w:rPr>
              <w:t>同一配合比，每1000</w:t>
            </w:r>
            <w:r>
              <w:rPr>
                <w:rFonts w:hint="eastAsia" w:ascii="宋体" w:hAnsi="宋体" w:cs="宋体"/>
                <w:sz w:val="18"/>
                <w:szCs w:val="18"/>
                <w:highlight w:val="none"/>
              </w:rPr>
              <w:t>㎡</w:t>
            </w:r>
            <w:r>
              <w:rPr>
                <w:rFonts w:hint="eastAsia" w:ascii="仿宋" w:hAnsi="仿宋" w:eastAsia="仿宋"/>
                <w:sz w:val="18"/>
                <w:szCs w:val="18"/>
                <w:highlight w:val="none"/>
              </w:rPr>
              <w:t>1组，（不足1000</w:t>
            </w:r>
            <w:r>
              <w:rPr>
                <w:rFonts w:hint="eastAsia" w:ascii="宋体" w:hAnsi="宋体" w:cs="宋体"/>
                <w:sz w:val="18"/>
                <w:szCs w:val="18"/>
                <w:highlight w:val="none"/>
              </w:rPr>
              <w:t>㎡</w:t>
            </w:r>
            <w:r>
              <w:rPr>
                <w:rFonts w:hint="eastAsia" w:ascii="微软雅黑" w:hAnsi="微软雅黑" w:eastAsia="微软雅黑" w:cs="微软雅黑"/>
                <w:sz w:val="18"/>
                <w:szCs w:val="18"/>
                <w:highlight w:val="none"/>
              </w:rPr>
              <w:t>取</w:t>
            </w:r>
            <w:r>
              <w:rPr>
                <w:rFonts w:hint="eastAsia" w:ascii="仿宋" w:hAnsi="仿宋" w:eastAsia="仿宋"/>
                <w:sz w:val="18"/>
                <w:szCs w:val="18"/>
                <w:highlight w:val="none"/>
              </w:rPr>
              <w:t>1组）</w:t>
            </w:r>
          </w:p>
        </w:tc>
      </w:tr>
      <w:tr w14:paraId="1D95FEF3">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942F4A">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7</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75802B2D">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B3DA12">
            <w:pPr>
              <w:widowControl/>
              <w:spacing w:before="120" w:after="120" w:line="260" w:lineRule="exact"/>
              <w:ind w:left="218" w:leftChars="104"/>
              <w:rPr>
                <w:rFonts w:ascii="仿宋" w:hAnsi="仿宋" w:eastAsia="仿宋"/>
                <w:sz w:val="18"/>
                <w:szCs w:val="18"/>
                <w:highlight w:val="none"/>
              </w:rPr>
            </w:pPr>
            <w:r>
              <w:rPr>
                <w:rFonts w:hint="eastAsia" w:ascii="仿宋" w:hAnsi="仿宋" w:eastAsia="仿宋"/>
                <w:sz w:val="18"/>
                <w:szCs w:val="18"/>
                <w:highlight w:val="none"/>
              </w:rPr>
              <w:t>料石铺砌面层平整度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E7A7FA">
            <w:pPr>
              <w:widowControl/>
              <w:spacing w:line="300" w:lineRule="exact"/>
              <w:jc w:val="center"/>
              <w:rPr>
                <w:rFonts w:ascii="仿宋" w:hAnsi="仿宋" w:eastAsia="仿宋"/>
                <w:sz w:val="18"/>
                <w:szCs w:val="18"/>
                <w:highlight w:val="none"/>
              </w:rPr>
            </w:pPr>
            <w:r>
              <w:rPr>
                <w:rFonts w:hint="eastAsia" w:ascii="仿宋" w:hAnsi="仿宋" w:eastAsia="仿宋"/>
                <w:sz w:val="18"/>
                <w:szCs w:val="18"/>
                <w:highlight w:val="none"/>
              </w:rPr>
              <w:t>每20m，测1点</w:t>
            </w:r>
          </w:p>
        </w:tc>
      </w:tr>
      <w:tr w14:paraId="4B1303E5">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32B5A5">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8</w:t>
            </w:r>
          </w:p>
        </w:tc>
        <w:tc>
          <w:tcPr>
            <w:tcW w:w="938" w:type="dxa"/>
            <w:tcBorders>
              <w:left w:val="single" w:color="000000" w:sz="4" w:space="0"/>
              <w:right w:val="single" w:color="000000" w:sz="4" w:space="0"/>
            </w:tcBorders>
            <w:tcMar>
              <w:top w:w="12" w:type="dxa"/>
              <w:left w:w="12" w:type="dxa"/>
              <w:right w:w="12" w:type="dxa"/>
            </w:tcMar>
            <w:vAlign w:val="center"/>
          </w:tcPr>
          <w:p w14:paraId="20D92E3E">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5A2FDC">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路面抗滑</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715028">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每200米测1点</w:t>
            </w:r>
          </w:p>
        </w:tc>
      </w:tr>
      <w:tr w14:paraId="42D89A6D">
        <w:tblPrEx>
          <w:tblCellMar>
            <w:top w:w="0" w:type="dxa"/>
            <w:left w:w="0" w:type="dxa"/>
            <w:bottom w:w="0" w:type="dxa"/>
            <w:right w:w="0" w:type="dxa"/>
          </w:tblCellMar>
        </w:tblPrEx>
        <w:trPr>
          <w:trHeight w:val="538"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BDE9452">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9</w:t>
            </w:r>
          </w:p>
        </w:tc>
        <w:tc>
          <w:tcPr>
            <w:tcW w:w="938"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29F6BB41">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人行道</w:t>
            </w: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1C623B9">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★料石、混凝土预制砌块、沥青混合料铺砌人行道路床与基层压实度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E6EDC6">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每100m测2点</w:t>
            </w:r>
          </w:p>
        </w:tc>
      </w:tr>
      <w:tr w14:paraId="56288BDD">
        <w:tblPrEx>
          <w:tblCellMar>
            <w:top w:w="0" w:type="dxa"/>
            <w:left w:w="0" w:type="dxa"/>
            <w:bottom w:w="0" w:type="dxa"/>
            <w:right w:w="0" w:type="dxa"/>
          </w:tblCellMar>
        </w:tblPrEx>
        <w:trPr>
          <w:trHeight w:val="550"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486BE29">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10</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7015A61D">
            <w:pPr>
              <w:widowControl/>
              <w:spacing w:before="120" w:after="120" w:line="20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85B96AC">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★料石、混凝土预制砌块铺砌人行道用砂浆强度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4CAF4">
            <w:pPr>
              <w:widowControl/>
              <w:spacing w:before="120" w:after="120" w:line="200" w:lineRule="exact"/>
              <w:jc w:val="center"/>
              <w:rPr>
                <w:rFonts w:ascii="仿宋" w:hAnsi="仿宋" w:eastAsia="仿宋"/>
                <w:sz w:val="18"/>
                <w:szCs w:val="18"/>
                <w:highlight w:val="none"/>
              </w:rPr>
            </w:pPr>
            <w:r>
              <w:rPr>
                <w:rFonts w:hint="eastAsia" w:ascii="仿宋" w:hAnsi="仿宋" w:eastAsia="仿宋"/>
                <w:sz w:val="18"/>
                <w:szCs w:val="18"/>
                <w:highlight w:val="none"/>
              </w:rPr>
              <w:t>同一配合比，每1000</w:t>
            </w:r>
            <w:r>
              <w:rPr>
                <w:rFonts w:hint="eastAsia" w:ascii="宋体" w:hAnsi="宋体" w:cs="宋体"/>
                <w:sz w:val="18"/>
                <w:szCs w:val="18"/>
                <w:highlight w:val="none"/>
              </w:rPr>
              <w:t>㎡</w:t>
            </w:r>
            <w:r>
              <w:rPr>
                <w:rFonts w:hint="eastAsia" w:ascii="仿宋" w:hAnsi="仿宋" w:eastAsia="仿宋"/>
                <w:sz w:val="18"/>
                <w:szCs w:val="18"/>
                <w:highlight w:val="none"/>
              </w:rPr>
              <w:t>1组，（不足1000</w:t>
            </w:r>
            <w:r>
              <w:rPr>
                <w:rFonts w:hint="eastAsia" w:ascii="宋体" w:hAnsi="宋体" w:cs="宋体"/>
                <w:sz w:val="18"/>
                <w:szCs w:val="18"/>
                <w:highlight w:val="none"/>
              </w:rPr>
              <w:t>㎡</w:t>
            </w:r>
            <w:r>
              <w:rPr>
                <w:rFonts w:hint="eastAsia" w:ascii="微软雅黑" w:hAnsi="微软雅黑" w:eastAsia="微软雅黑" w:cs="微软雅黑"/>
                <w:sz w:val="18"/>
                <w:szCs w:val="18"/>
                <w:highlight w:val="none"/>
              </w:rPr>
              <w:t>取</w:t>
            </w:r>
            <w:r>
              <w:rPr>
                <w:rFonts w:hint="eastAsia" w:ascii="仿宋" w:hAnsi="仿宋" w:eastAsia="仿宋"/>
                <w:sz w:val="18"/>
                <w:szCs w:val="18"/>
                <w:highlight w:val="none"/>
              </w:rPr>
              <w:t>1组）</w:t>
            </w:r>
          </w:p>
        </w:tc>
      </w:tr>
      <w:tr w14:paraId="1F560B53">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734013B">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11</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6FDBBD52">
            <w:pPr>
              <w:widowControl/>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996C755">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★料石、混凝土预制砌块强度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19ECA4">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按规格型号批次检测1组。</w:t>
            </w:r>
          </w:p>
        </w:tc>
      </w:tr>
      <w:tr w14:paraId="4A1D44D6">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02E95613">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12</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52CF39DB">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12A2DA3F">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★料石铺砌人行道外观尺寸</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878FD9">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按规格型号批次检测1组。</w:t>
            </w:r>
          </w:p>
        </w:tc>
      </w:tr>
      <w:tr w14:paraId="520AB064">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C2AE7A9">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13</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5D40A441">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393E1B6">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平整度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1E56A4">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每20米测1点。</w:t>
            </w:r>
          </w:p>
        </w:tc>
      </w:tr>
      <w:tr w14:paraId="2675C41D">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75756952">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14</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4B1B8418">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76B2A9B">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★沥青混合料铺筑人行道厚度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9848B4">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每100米测1点。</w:t>
            </w:r>
          </w:p>
        </w:tc>
      </w:tr>
      <w:tr w14:paraId="659D4715">
        <w:tblPrEx>
          <w:tblCellMar>
            <w:top w:w="0" w:type="dxa"/>
            <w:left w:w="0" w:type="dxa"/>
            <w:bottom w:w="0" w:type="dxa"/>
            <w:right w:w="0" w:type="dxa"/>
          </w:tblCellMar>
        </w:tblPrEx>
        <w:trPr>
          <w:trHeight w:val="454" w:hRule="exac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D25B9B9">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15</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360D6696">
            <w:pPr>
              <w:spacing w:before="120" w:after="120" w:line="26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BCDA46A">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★沥青混合料压实度</w:t>
            </w:r>
          </w:p>
        </w:tc>
        <w:tc>
          <w:tcPr>
            <w:tcW w:w="4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34F31E">
            <w:pPr>
              <w:widowControl/>
              <w:spacing w:before="120" w:after="120" w:line="260" w:lineRule="exact"/>
              <w:jc w:val="center"/>
              <w:rPr>
                <w:rFonts w:ascii="仿宋" w:hAnsi="仿宋" w:eastAsia="仿宋"/>
                <w:sz w:val="18"/>
                <w:szCs w:val="18"/>
                <w:highlight w:val="none"/>
              </w:rPr>
            </w:pPr>
            <w:r>
              <w:rPr>
                <w:rFonts w:hint="eastAsia" w:ascii="仿宋" w:hAnsi="仿宋" w:eastAsia="仿宋"/>
                <w:sz w:val="18"/>
                <w:szCs w:val="18"/>
                <w:highlight w:val="none"/>
              </w:rPr>
              <w:t>每100米测1点。</w:t>
            </w:r>
          </w:p>
        </w:tc>
      </w:tr>
      <w:tr w14:paraId="7B926BEE">
        <w:tblPrEx>
          <w:tblCellMar>
            <w:top w:w="0" w:type="dxa"/>
            <w:left w:w="0" w:type="dxa"/>
            <w:bottom w:w="0" w:type="dxa"/>
            <w:right w:w="0" w:type="dxa"/>
          </w:tblCellMar>
        </w:tblPrEx>
        <w:trPr>
          <w:trHeight w:val="397" w:hRule="atLeast"/>
          <w:jc w:val="center"/>
        </w:trPr>
        <w:tc>
          <w:tcPr>
            <w:tcW w:w="870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3800AA">
            <w:pPr>
              <w:widowControl/>
              <w:spacing w:before="120" w:after="120" w:line="260" w:lineRule="exact"/>
              <w:jc w:val="left"/>
              <w:rPr>
                <w:rFonts w:ascii="仿宋" w:hAnsi="仿宋" w:eastAsia="仿宋"/>
                <w:sz w:val="18"/>
                <w:szCs w:val="18"/>
                <w:highlight w:val="none"/>
              </w:rPr>
            </w:pPr>
            <w:r>
              <w:rPr>
                <w:rFonts w:hint="eastAsia" w:ascii="仿宋" w:hAnsi="仿宋" w:eastAsia="仿宋"/>
                <w:sz w:val="18"/>
                <w:szCs w:val="18"/>
                <w:highlight w:val="none"/>
              </w:rPr>
              <w:t xml:space="preserve"> 注：带★为主控项目，其余为一般项目。</w:t>
            </w:r>
          </w:p>
        </w:tc>
      </w:tr>
    </w:tbl>
    <w:p w14:paraId="6E0DF12F">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highlight w:val="none"/>
        </w:rPr>
      </w:pPr>
    </w:p>
    <w:p w14:paraId="2F52FEE0">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highlight w:val="none"/>
        </w:rPr>
      </w:pPr>
    </w:p>
    <w:p w14:paraId="6B520EB8">
      <w:pPr>
        <w:autoSpaceDE w:val="0"/>
        <w:autoSpaceDN w:val="0"/>
        <w:adjustRightInd w:val="0"/>
        <w:spacing w:beforeLines="50" w:line="360" w:lineRule="auto"/>
        <w:ind w:firstLine="643" w:firstLineChars="200"/>
        <w:jc w:val="left"/>
        <w:rPr>
          <w:rFonts w:ascii="楷体_GB2312" w:hAnsi="仿宋" w:eastAsia="楷体_GB2312" w:cs="仿宋"/>
          <w:b/>
          <w:kern w:val="0"/>
          <w:sz w:val="32"/>
          <w:szCs w:val="32"/>
          <w:highlight w:val="none"/>
        </w:rPr>
      </w:pPr>
    </w:p>
    <w:p w14:paraId="562774C4">
      <w:pPr>
        <w:autoSpaceDE w:val="0"/>
        <w:autoSpaceDN w:val="0"/>
        <w:adjustRightInd w:val="0"/>
        <w:spacing w:afterLines="50" w:line="620" w:lineRule="exact"/>
        <w:jc w:val="center"/>
        <w:rPr>
          <w:rFonts w:ascii="黑体" w:hAnsi="黑体" w:eastAsia="黑体" w:cs="仿宋"/>
          <w:kern w:val="0"/>
          <w:sz w:val="44"/>
          <w:szCs w:val="44"/>
          <w:highlight w:val="none"/>
        </w:rPr>
      </w:pPr>
    </w:p>
    <w:p w14:paraId="5A617B6C">
      <w:pPr>
        <w:autoSpaceDE w:val="0"/>
        <w:autoSpaceDN w:val="0"/>
        <w:adjustRightInd w:val="0"/>
        <w:spacing w:afterLines="50" w:line="620" w:lineRule="exact"/>
        <w:jc w:val="center"/>
        <w:rPr>
          <w:rFonts w:ascii="黑体" w:hAnsi="黑体" w:eastAsia="黑体" w:cs="仿宋"/>
          <w:b/>
          <w:kern w:val="0"/>
          <w:sz w:val="44"/>
          <w:szCs w:val="44"/>
          <w:highlight w:val="none"/>
        </w:rPr>
      </w:pPr>
      <w:r>
        <w:rPr>
          <w:rFonts w:hint="eastAsia" w:ascii="黑体" w:hAnsi="黑体" w:eastAsia="黑体" w:cs="仿宋"/>
          <w:kern w:val="0"/>
          <w:sz w:val="44"/>
          <w:szCs w:val="44"/>
          <w:highlight w:val="none"/>
        </w:rPr>
        <w:t>检测项目判定标准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5"/>
        <w:gridCol w:w="2997"/>
        <w:gridCol w:w="3886"/>
      </w:tblGrid>
      <w:tr w14:paraId="757D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766" w:type="dxa"/>
            <w:vAlign w:val="center"/>
          </w:tcPr>
          <w:p w14:paraId="2FD3297D">
            <w:pPr>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序号</w:t>
            </w:r>
          </w:p>
        </w:tc>
        <w:tc>
          <w:tcPr>
            <w:tcW w:w="1105" w:type="dxa"/>
            <w:vAlign w:val="center"/>
          </w:tcPr>
          <w:p w14:paraId="04C95102">
            <w:pPr>
              <w:widowControl/>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检测对象</w:t>
            </w:r>
          </w:p>
        </w:tc>
        <w:tc>
          <w:tcPr>
            <w:tcW w:w="2997" w:type="dxa"/>
            <w:vAlign w:val="center"/>
          </w:tcPr>
          <w:p w14:paraId="56EE5D73">
            <w:pPr>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项目名称</w:t>
            </w:r>
          </w:p>
        </w:tc>
        <w:tc>
          <w:tcPr>
            <w:tcW w:w="3886" w:type="dxa"/>
            <w:vAlign w:val="center"/>
          </w:tcPr>
          <w:p w14:paraId="4E490610">
            <w:pPr>
              <w:spacing w:before="120" w:after="120" w:line="260" w:lineRule="exact"/>
              <w:jc w:val="center"/>
              <w:rPr>
                <w:rFonts w:ascii="仿宋" w:hAnsi="仿宋" w:eastAsia="仿宋"/>
                <w:b/>
                <w:szCs w:val="21"/>
                <w:highlight w:val="none"/>
              </w:rPr>
            </w:pPr>
            <w:r>
              <w:rPr>
                <w:rFonts w:hint="eastAsia" w:ascii="仿宋" w:hAnsi="仿宋" w:eastAsia="仿宋"/>
                <w:b/>
                <w:szCs w:val="21"/>
                <w:highlight w:val="none"/>
              </w:rPr>
              <w:t>判定标准</w:t>
            </w:r>
          </w:p>
        </w:tc>
      </w:tr>
      <w:tr w14:paraId="24EB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38DD89C9">
            <w:pPr>
              <w:spacing w:line="260" w:lineRule="exact"/>
              <w:jc w:val="center"/>
              <w:rPr>
                <w:rFonts w:ascii="仿宋" w:hAnsi="仿宋" w:eastAsia="仿宋"/>
                <w:sz w:val="18"/>
                <w:szCs w:val="18"/>
                <w:highlight w:val="none"/>
              </w:rPr>
            </w:pPr>
            <w:r>
              <w:rPr>
                <w:rFonts w:ascii="仿宋" w:hAnsi="仿宋" w:eastAsia="仿宋"/>
                <w:sz w:val="18"/>
                <w:szCs w:val="18"/>
                <w:highlight w:val="none"/>
              </w:rPr>
              <w:t>1</w:t>
            </w:r>
          </w:p>
        </w:tc>
        <w:tc>
          <w:tcPr>
            <w:tcW w:w="1105" w:type="dxa"/>
            <w:vAlign w:val="center"/>
          </w:tcPr>
          <w:p w14:paraId="45F54667">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项目范围</w:t>
            </w:r>
          </w:p>
        </w:tc>
        <w:tc>
          <w:tcPr>
            <w:tcW w:w="2997" w:type="dxa"/>
            <w:vAlign w:val="center"/>
          </w:tcPr>
          <w:p w14:paraId="5F5610C6">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原材料</w:t>
            </w:r>
          </w:p>
        </w:tc>
        <w:tc>
          <w:tcPr>
            <w:tcW w:w="3886" w:type="dxa"/>
            <w:vAlign w:val="center"/>
          </w:tcPr>
          <w:p w14:paraId="3207652A">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符合设计规定</w:t>
            </w:r>
          </w:p>
        </w:tc>
      </w:tr>
      <w:tr w14:paraId="5DB3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jc w:val="center"/>
        </w:trPr>
        <w:tc>
          <w:tcPr>
            <w:tcW w:w="766" w:type="dxa"/>
            <w:vAlign w:val="center"/>
          </w:tcPr>
          <w:p w14:paraId="0819E6FC">
            <w:pPr>
              <w:spacing w:line="260" w:lineRule="exact"/>
              <w:ind w:left="-328" w:leftChars="-156" w:firstLine="280" w:firstLineChars="156"/>
              <w:jc w:val="center"/>
              <w:rPr>
                <w:rFonts w:ascii="仿宋" w:hAnsi="仿宋" w:eastAsia="仿宋"/>
                <w:sz w:val="18"/>
                <w:szCs w:val="18"/>
                <w:highlight w:val="none"/>
              </w:rPr>
            </w:pPr>
            <w:r>
              <w:rPr>
                <w:rFonts w:hint="eastAsia" w:ascii="仿宋" w:hAnsi="仿宋" w:eastAsia="仿宋"/>
                <w:sz w:val="18"/>
                <w:szCs w:val="18"/>
                <w:highlight w:val="none"/>
              </w:rPr>
              <w:t>2</w:t>
            </w:r>
          </w:p>
        </w:tc>
        <w:tc>
          <w:tcPr>
            <w:tcW w:w="1105" w:type="dxa"/>
            <w:vMerge w:val="restart"/>
            <w:vAlign w:val="center"/>
          </w:tcPr>
          <w:p w14:paraId="3BD43537">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车行道（含非机动车道）</w:t>
            </w:r>
          </w:p>
        </w:tc>
        <w:tc>
          <w:tcPr>
            <w:tcW w:w="2997" w:type="dxa"/>
            <w:vAlign w:val="center"/>
          </w:tcPr>
          <w:p w14:paraId="1FBC117B">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★结构层压实度</w:t>
            </w:r>
          </w:p>
        </w:tc>
        <w:tc>
          <w:tcPr>
            <w:tcW w:w="3886" w:type="dxa"/>
            <w:vAlign w:val="center"/>
          </w:tcPr>
          <w:p w14:paraId="07062C4C">
            <w:pPr>
              <w:widowControl/>
              <w:spacing w:line="240" w:lineRule="exact"/>
              <w:jc w:val="left"/>
              <w:rPr>
                <w:rFonts w:ascii="仿宋" w:hAnsi="仿宋" w:eastAsia="仿宋"/>
                <w:sz w:val="18"/>
                <w:szCs w:val="18"/>
                <w:highlight w:val="none"/>
              </w:rPr>
            </w:pPr>
            <w:r>
              <w:rPr>
                <w:rFonts w:hint="eastAsia" w:ascii="仿宋" w:hAnsi="仿宋" w:eastAsia="仿宋"/>
                <w:sz w:val="18"/>
                <w:szCs w:val="18"/>
                <w:highlight w:val="none"/>
              </w:rPr>
              <w:t>基层：</w:t>
            </w:r>
          </w:p>
          <w:p w14:paraId="00D3F020">
            <w:pPr>
              <w:widowControl/>
              <w:numPr>
                <w:ilvl w:val="0"/>
                <w:numId w:val="5"/>
              </w:numPr>
              <w:spacing w:line="240" w:lineRule="exact"/>
              <w:jc w:val="left"/>
              <w:rPr>
                <w:rFonts w:ascii="仿宋" w:hAnsi="仿宋" w:eastAsia="仿宋"/>
                <w:sz w:val="18"/>
                <w:szCs w:val="18"/>
                <w:highlight w:val="none"/>
              </w:rPr>
            </w:pPr>
            <w:r>
              <w:rPr>
                <w:rFonts w:hint="eastAsia" w:ascii="仿宋" w:hAnsi="仿宋" w:eastAsia="仿宋"/>
                <w:sz w:val="18"/>
                <w:szCs w:val="18"/>
                <w:highlight w:val="none"/>
              </w:rPr>
              <w:t>石灰稳定土类、水泥稳定土类基层及底基层：城市快速路、主干路基层大于或等于97%，底基层大于或等于95%；其他等级道路基层大于或等于95%，底基层大于或等于93%；</w:t>
            </w:r>
          </w:p>
          <w:p w14:paraId="564EE52B">
            <w:pPr>
              <w:widowControl/>
              <w:numPr>
                <w:ilvl w:val="0"/>
                <w:numId w:val="5"/>
              </w:numPr>
              <w:spacing w:line="240" w:lineRule="exact"/>
              <w:jc w:val="left"/>
              <w:rPr>
                <w:rFonts w:ascii="仿宋" w:hAnsi="仿宋" w:eastAsia="仿宋"/>
                <w:sz w:val="18"/>
                <w:szCs w:val="18"/>
                <w:highlight w:val="none"/>
              </w:rPr>
            </w:pPr>
            <w:r>
              <w:rPr>
                <w:rFonts w:hint="eastAsia" w:ascii="仿宋" w:hAnsi="仿宋" w:eastAsia="仿宋"/>
                <w:sz w:val="18"/>
                <w:szCs w:val="18"/>
                <w:highlight w:val="none"/>
              </w:rPr>
              <w:t>级配砂砾石（碎石）及级配砾石（砂碎石）基层和底基层：基层压实度大于等于97%，底基层压实度大于等于95%；</w:t>
            </w:r>
          </w:p>
          <w:p w14:paraId="22B70C46">
            <w:pPr>
              <w:widowControl/>
              <w:numPr>
                <w:ilvl w:val="0"/>
                <w:numId w:val="5"/>
              </w:numPr>
              <w:spacing w:line="240" w:lineRule="exact"/>
              <w:jc w:val="left"/>
              <w:rPr>
                <w:rFonts w:ascii="仿宋" w:hAnsi="仿宋" w:eastAsia="仿宋"/>
                <w:sz w:val="18"/>
                <w:szCs w:val="18"/>
                <w:highlight w:val="none"/>
              </w:rPr>
            </w:pPr>
            <w:r>
              <w:rPr>
                <w:rFonts w:hint="eastAsia" w:ascii="仿宋" w:hAnsi="仿宋" w:eastAsia="仿宋"/>
                <w:sz w:val="18"/>
                <w:szCs w:val="18"/>
                <w:highlight w:val="none"/>
              </w:rPr>
              <w:t>沥青混合料（沥青碎石）、沥青贯入式基层压实度不应小于95%。</w:t>
            </w:r>
          </w:p>
          <w:p w14:paraId="776B563D">
            <w:pPr>
              <w:widowControl/>
              <w:spacing w:line="240" w:lineRule="exact"/>
              <w:jc w:val="left"/>
              <w:rPr>
                <w:rFonts w:ascii="仿宋" w:hAnsi="仿宋" w:eastAsia="仿宋"/>
                <w:sz w:val="18"/>
                <w:szCs w:val="18"/>
                <w:highlight w:val="none"/>
              </w:rPr>
            </w:pPr>
            <w:r>
              <w:rPr>
                <w:rFonts w:hint="eastAsia" w:ascii="仿宋" w:hAnsi="仿宋" w:eastAsia="仿宋"/>
                <w:sz w:val="18"/>
                <w:szCs w:val="18"/>
                <w:highlight w:val="none"/>
              </w:rPr>
              <w:t>面层：</w:t>
            </w:r>
          </w:p>
          <w:p w14:paraId="3868806F">
            <w:pPr>
              <w:widowControl/>
              <w:spacing w:line="240" w:lineRule="exact"/>
              <w:jc w:val="left"/>
              <w:rPr>
                <w:rFonts w:ascii="仿宋" w:hAnsi="仿宋" w:eastAsia="仿宋"/>
                <w:sz w:val="18"/>
                <w:szCs w:val="18"/>
                <w:highlight w:val="none"/>
              </w:rPr>
            </w:pPr>
            <w:r>
              <w:rPr>
                <w:rFonts w:hint="eastAsia" w:ascii="仿宋" w:hAnsi="仿宋" w:eastAsia="仿宋"/>
                <w:sz w:val="18"/>
                <w:szCs w:val="18"/>
                <w:highlight w:val="none"/>
              </w:rPr>
              <w:t>1、热拌沥青混合料面层压实度：城市快速路、主干路不应小于96%；次干路及以下道路不应小于95%。</w:t>
            </w:r>
          </w:p>
          <w:p w14:paraId="6E9B5E6D">
            <w:pPr>
              <w:widowControl/>
              <w:spacing w:line="240" w:lineRule="exact"/>
              <w:jc w:val="left"/>
              <w:rPr>
                <w:rFonts w:ascii="仿宋" w:hAnsi="仿宋" w:eastAsia="仿宋"/>
                <w:sz w:val="18"/>
                <w:szCs w:val="18"/>
                <w:highlight w:val="none"/>
              </w:rPr>
            </w:pPr>
            <w:r>
              <w:rPr>
                <w:rFonts w:hint="eastAsia" w:ascii="仿宋" w:hAnsi="仿宋" w:eastAsia="仿宋"/>
                <w:sz w:val="18"/>
                <w:szCs w:val="18"/>
                <w:highlight w:val="none"/>
              </w:rPr>
              <w:t>2、冷拌沥青混合料面层压实度不应小于95%。</w:t>
            </w:r>
          </w:p>
        </w:tc>
      </w:tr>
      <w:tr w14:paraId="3190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8" w:hRule="atLeast"/>
          <w:jc w:val="center"/>
        </w:trPr>
        <w:tc>
          <w:tcPr>
            <w:tcW w:w="766" w:type="dxa"/>
            <w:vAlign w:val="center"/>
          </w:tcPr>
          <w:p w14:paraId="1D3552B8">
            <w:pPr>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1105" w:type="dxa"/>
            <w:vMerge w:val="continue"/>
            <w:vAlign w:val="center"/>
          </w:tcPr>
          <w:p w14:paraId="2A32D6E9">
            <w:pPr>
              <w:widowControl/>
              <w:spacing w:line="260" w:lineRule="exact"/>
              <w:jc w:val="center"/>
              <w:rPr>
                <w:rFonts w:ascii="仿宋" w:hAnsi="仿宋" w:eastAsia="仿宋"/>
                <w:sz w:val="18"/>
                <w:szCs w:val="18"/>
                <w:highlight w:val="none"/>
              </w:rPr>
            </w:pPr>
          </w:p>
        </w:tc>
        <w:tc>
          <w:tcPr>
            <w:tcW w:w="2997" w:type="dxa"/>
            <w:vAlign w:val="center"/>
          </w:tcPr>
          <w:p w14:paraId="6BB82348">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★结构层厚度</w:t>
            </w:r>
          </w:p>
        </w:tc>
        <w:tc>
          <w:tcPr>
            <w:tcW w:w="3886" w:type="dxa"/>
            <w:vAlign w:val="center"/>
          </w:tcPr>
          <w:p w14:paraId="7C0E0B72">
            <w:pPr>
              <w:widowControl/>
              <w:numPr>
                <w:ilvl w:val="0"/>
                <w:numId w:val="6"/>
              </w:numPr>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符合设计规定；</w:t>
            </w:r>
          </w:p>
          <w:p w14:paraId="3BE3B5FA">
            <w:pPr>
              <w:widowControl/>
              <w:numPr>
                <w:ilvl w:val="0"/>
                <w:numId w:val="6"/>
              </w:numPr>
              <w:spacing w:line="260" w:lineRule="exact"/>
              <w:jc w:val="left"/>
              <w:rPr>
                <w:rFonts w:ascii="仿宋" w:hAnsi="仿宋" w:eastAsia="仿宋"/>
                <w:sz w:val="18"/>
                <w:szCs w:val="18"/>
                <w:highlight w:val="none"/>
              </w:rPr>
            </w:pPr>
            <w:r>
              <w:rPr>
                <w:rFonts w:hint="eastAsia" w:ascii="仿宋" w:hAnsi="仿宋" w:eastAsia="仿宋"/>
                <w:sz w:val="18"/>
                <w:szCs w:val="18"/>
                <w:highlight w:val="none"/>
              </w:rPr>
              <w:t>基层厚度允许偏差：</w:t>
            </w:r>
          </w:p>
          <w:p w14:paraId="614990B6">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a石灰稳定土类、水泥稳定土类基层及底基层：允许偏差为±10mm；</w:t>
            </w:r>
          </w:p>
          <w:p w14:paraId="239211CE">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b级配砂砾石（碎石）及级配砾石（砂碎石）基层和底基层：砂石，允许偏差为+20— -10mm，砾石，允许偏差为+20mm— -10%层厚；</w:t>
            </w:r>
          </w:p>
          <w:p w14:paraId="0B909F9A">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c沥青混合料（沥青碎石）基层：允许偏差为±10mm；沥青贯入式基层：允许偏差为+20mm— -10%层厚。</w:t>
            </w:r>
          </w:p>
          <w:p w14:paraId="3AB3800B">
            <w:pPr>
              <w:widowControl/>
              <w:numPr>
                <w:ilvl w:val="0"/>
                <w:numId w:val="6"/>
              </w:numPr>
              <w:spacing w:line="260" w:lineRule="exact"/>
              <w:jc w:val="left"/>
              <w:rPr>
                <w:rFonts w:ascii="仿宋" w:hAnsi="仿宋" w:eastAsia="仿宋"/>
                <w:sz w:val="18"/>
                <w:szCs w:val="18"/>
                <w:highlight w:val="none"/>
              </w:rPr>
            </w:pPr>
            <w:r>
              <w:rPr>
                <w:rFonts w:hint="eastAsia" w:ascii="仿宋" w:hAnsi="仿宋" w:eastAsia="仿宋"/>
                <w:sz w:val="18"/>
                <w:szCs w:val="18"/>
                <w:highlight w:val="none"/>
              </w:rPr>
              <w:t>面层厚度允许偏差：</w:t>
            </w:r>
          </w:p>
          <w:p w14:paraId="2F3193C7">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a热拌沥青混合料面层：允许偏差为+10— -5mm；</w:t>
            </w:r>
          </w:p>
          <w:p w14:paraId="4C2DF00D">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b冷拌沥青混合料面层：允许偏差为+15— -5mm。</w:t>
            </w:r>
          </w:p>
        </w:tc>
      </w:tr>
      <w:tr w14:paraId="4C5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66" w:type="dxa"/>
            <w:vAlign w:val="center"/>
          </w:tcPr>
          <w:p w14:paraId="2420BE4C">
            <w:pPr>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4</w:t>
            </w:r>
          </w:p>
        </w:tc>
        <w:tc>
          <w:tcPr>
            <w:tcW w:w="1105" w:type="dxa"/>
            <w:vMerge w:val="continue"/>
            <w:vAlign w:val="center"/>
          </w:tcPr>
          <w:p w14:paraId="3C84C790">
            <w:pPr>
              <w:spacing w:line="260" w:lineRule="exact"/>
              <w:jc w:val="center"/>
              <w:rPr>
                <w:rFonts w:ascii="仿宋" w:hAnsi="仿宋" w:eastAsia="仿宋"/>
                <w:sz w:val="18"/>
                <w:szCs w:val="18"/>
                <w:highlight w:val="none"/>
              </w:rPr>
            </w:pPr>
          </w:p>
        </w:tc>
        <w:tc>
          <w:tcPr>
            <w:tcW w:w="2997" w:type="dxa"/>
            <w:vAlign w:val="center"/>
          </w:tcPr>
          <w:p w14:paraId="1BE6A2A8">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弯沉（面层和基层）</w:t>
            </w:r>
          </w:p>
        </w:tc>
        <w:tc>
          <w:tcPr>
            <w:tcW w:w="3886" w:type="dxa"/>
            <w:vAlign w:val="center"/>
          </w:tcPr>
          <w:p w14:paraId="73FCF03A">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1、不应小于设计规定</w:t>
            </w:r>
          </w:p>
        </w:tc>
      </w:tr>
      <w:tr w14:paraId="2F37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66" w:type="dxa"/>
            <w:vAlign w:val="center"/>
          </w:tcPr>
          <w:p w14:paraId="6D47E578">
            <w:pPr>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5</w:t>
            </w:r>
          </w:p>
        </w:tc>
        <w:tc>
          <w:tcPr>
            <w:tcW w:w="1105" w:type="dxa"/>
            <w:vMerge w:val="continue"/>
            <w:vAlign w:val="center"/>
          </w:tcPr>
          <w:p w14:paraId="63157AC5">
            <w:pPr>
              <w:spacing w:line="260" w:lineRule="exact"/>
              <w:jc w:val="center"/>
              <w:rPr>
                <w:rFonts w:ascii="仿宋" w:hAnsi="仿宋" w:eastAsia="仿宋"/>
                <w:sz w:val="18"/>
                <w:szCs w:val="18"/>
                <w:highlight w:val="none"/>
              </w:rPr>
            </w:pPr>
          </w:p>
        </w:tc>
        <w:tc>
          <w:tcPr>
            <w:tcW w:w="2997" w:type="dxa"/>
            <w:vAlign w:val="center"/>
          </w:tcPr>
          <w:p w14:paraId="78670870">
            <w:pPr>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面层平整度</w:t>
            </w:r>
          </w:p>
        </w:tc>
        <w:tc>
          <w:tcPr>
            <w:tcW w:w="3886" w:type="dxa"/>
            <w:vAlign w:val="center"/>
          </w:tcPr>
          <w:p w14:paraId="5C817840">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RQI等级应达到A等级。</w:t>
            </w:r>
          </w:p>
        </w:tc>
      </w:tr>
      <w:tr w14:paraId="712C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27E0CCF1">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6</w:t>
            </w:r>
          </w:p>
        </w:tc>
        <w:tc>
          <w:tcPr>
            <w:tcW w:w="1105" w:type="dxa"/>
            <w:vMerge w:val="continue"/>
            <w:vAlign w:val="center"/>
          </w:tcPr>
          <w:p w14:paraId="4CDB3B56">
            <w:pPr>
              <w:widowControl/>
              <w:spacing w:line="260" w:lineRule="exact"/>
              <w:jc w:val="center"/>
              <w:rPr>
                <w:rFonts w:ascii="仿宋" w:hAnsi="仿宋" w:eastAsia="仿宋"/>
                <w:sz w:val="18"/>
                <w:szCs w:val="18"/>
                <w:highlight w:val="none"/>
              </w:rPr>
            </w:pPr>
          </w:p>
        </w:tc>
        <w:tc>
          <w:tcPr>
            <w:tcW w:w="2997" w:type="dxa"/>
            <w:vAlign w:val="center"/>
          </w:tcPr>
          <w:p w14:paraId="2CEC30FE">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★料石铺砌面层用砂浆抗压强度</w:t>
            </w:r>
          </w:p>
        </w:tc>
        <w:tc>
          <w:tcPr>
            <w:tcW w:w="3886" w:type="dxa"/>
            <w:vAlign w:val="center"/>
          </w:tcPr>
          <w:p w14:paraId="1C81ABD0">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砂浆平均抗压强度等级应符合设计规定，任一组试件抗压强度最低值不应低于设计强度的85%。</w:t>
            </w:r>
          </w:p>
        </w:tc>
      </w:tr>
      <w:tr w14:paraId="3FBC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6270071C">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7</w:t>
            </w:r>
          </w:p>
        </w:tc>
        <w:tc>
          <w:tcPr>
            <w:tcW w:w="1105" w:type="dxa"/>
            <w:vMerge w:val="continue"/>
            <w:vAlign w:val="center"/>
          </w:tcPr>
          <w:p w14:paraId="42FC9412">
            <w:pPr>
              <w:widowControl/>
              <w:spacing w:line="260" w:lineRule="exact"/>
              <w:jc w:val="center"/>
              <w:rPr>
                <w:rFonts w:ascii="仿宋" w:hAnsi="仿宋" w:eastAsia="仿宋"/>
                <w:sz w:val="18"/>
                <w:szCs w:val="18"/>
                <w:highlight w:val="none"/>
              </w:rPr>
            </w:pPr>
          </w:p>
        </w:tc>
        <w:tc>
          <w:tcPr>
            <w:tcW w:w="2997" w:type="dxa"/>
            <w:vAlign w:val="center"/>
          </w:tcPr>
          <w:p w14:paraId="3EC2A943">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料石铺砌面层平整度</w:t>
            </w:r>
          </w:p>
        </w:tc>
        <w:tc>
          <w:tcPr>
            <w:tcW w:w="3886" w:type="dxa"/>
            <w:vAlign w:val="center"/>
          </w:tcPr>
          <w:p w14:paraId="65222D5F">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允许偏差≤3mm</w:t>
            </w:r>
          </w:p>
        </w:tc>
      </w:tr>
      <w:tr w14:paraId="627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3A3906E7">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8</w:t>
            </w:r>
          </w:p>
        </w:tc>
        <w:tc>
          <w:tcPr>
            <w:tcW w:w="1105" w:type="dxa"/>
            <w:vMerge w:val="continue"/>
            <w:vAlign w:val="center"/>
          </w:tcPr>
          <w:p w14:paraId="6D11BAD2">
            <w:pPr>
              <w:widowControl/>
              <w:spacing w:line="260" w:lineRule="exact"/>
              <w:jc w:val="center"/>
              <w:rPr>
                <w:rFonts w:ascii="仿宋" w:hAnsi="仿宋" w:eastAsia="仿宋"/>
                <w:sz w:val="18"/>
                <w:szCs w:val="18"/>
                <w:highlight w:val="none"/>
              </w:rPr>
            </w:pPr>
          </w:p>
        </w:tc>
        <w:tc>
          <w:tcPr>
            <w:tcW w:w="2997" w:type="dxa"/>
            <w:vAlign w:val="center"/>
          </w:tcPr>
          <w:p w14:paraId="100F7394">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路面抗滑</w:t>
            </w:r>
          </w:p>
        </w:tc>
        <w:tc>
          <w:tcPr>
            <w:tcW w:w="3886" w:type="dxa"/>
            <w:vAlign w:val="center"/>
          </w:tcPr>
          <w:p w14:paraId="6572E245">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符合设计规定；</w:t>
            </w:r>
          </w:p>
        </w:tc>
      </w:tr>
      <w:tr w14:paraId="05F5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0CAA1742">
            <w:pPr>
              <w:widowControl/>
              <w:spacing w:line="260" w:lineRule="exact"/>
              <w:jc w:val="center"/>
              <w:rPr>
                <w:rFonts w:ascii="仿宋" w:hAnsi="仿宋" w:eastAsia="仿宋"/>
                <w:spacing w:val="-22"/>
                <w:sz w:val="18"/>
                <w:szCs w:val="18"/>
                <w:highlight w:val="none"/>
              </w:rPr>
            </w:pPr>
            <w:r>
              <w:rPr>
                <w:rFonts w:hint="eastAsia" w:ascii="仿宋" w:hAnsi="仿宋" w:eastAsia="仿宋"/>
                <w:spacing w:val="-22"/>
                <w:sz w:val="18"/>
                <w:szCs w:val="18"/>
                <w:highlight w:val="none"/>
              </w:rPr>
              <w:t>9</w:t>
            </w:r>
          </w:p>
        </w:tc>
        <w:tc>
          <w:tcPr>
            <w:tcW w:w="1105" w:type="dxa"/>
            <w:vMerge w:val="restart"/>
            <w:vAlign w:val="center"/>
          </w:tcPr>
          <w:p w14:paraId="2B1C5710">
            <w:pPr>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人行道</w:t>
            </w:r>
          </w:p>
        </w:tc>
        <w:tc>
          <w:tcPr>
            <w:tcW w:w="2997" w:type="dxa"/>
            <w:vAlign w:val="center"/>
          </w:tcPr>
          <w:p w14:paraId="42BFE289">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★料石、混凝土预制砌块、沥青混合料铺砌人行道路床与基层压实度</w:t>
            </w:r>
          </w:p>
        </w:tc>
        <w:tc>
          <w:tcPr>
            <w:tcW w:w="3886" w:type="dxa"/>
            <w:vAlign w:val="center"/>
          </w:tcPr>
          <w:p w14:paraId="2858042C">
            <w:pPr>
              <w:widowControl/>
              <w:spacing w:line="260" w:lineRule="exact"/>
              <w:rPr>
                <w:rFonts w:ascii="仿宋" w:hAnsi="仿宋" w:eastAsia="仿宋"/>
                <w:sz w:val="18"/>
                <w:szCs w:val="18"/>
                <w:highlight w:val="none"/>
              </w:rPr>
            </w:pPr>
            <w:r>
              <w:rPr>
                <w:rFonts w:hint="eastAsia" w:ascii="仿宋" w:hAnsi="仿宋" w:eastAsia="仿宋"/>
                <w:sz w:val="18"/>
                <w:szCs w:val="18"/>
                <w:highlight w:val="none"/>
              </w:rPr>
              <w:t>应大于或等于90%。</w:t>
            </w:r>
          </w:p>
        </w:tc>
      </w:tr>
      <w:tr w14:paraId="7139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6D544A40">
            <w:pPr>
              <w:widowControl/>
              <w:spacing w:line="260" w:lineRule="exact"/>
              <w:jc w:val="center"/>
              <w:rPr>
                <w:rFonts w:ascii="仿宋" w:hAnsi="仿宋" w:eastAsia="仿宋"/>
                <w:spacing w:val="-22"/>
                <w:sz w:val="18"/>
                <w:szCs w:val="18"/>
                <w:highlight w:val="none"/>
              </w:rPr>
            </w:pPr>
            <w:r>
              <w:rPr>
                <w:rFonts w:hint="eastAsia" w:ascii="仿宋" w:hAnsi="仿宋" w:eastAsia="仿宋"/>
                <w:spacing w:val="-22"/>
                <w:sz w:val="18"/>
                <w:szCs w:val="18"/>
                <w:highlight w:val="none"/>
              </w:rPr>
              <w:t>10</w:t>
            </w:r>
          </w:p>
        </w:tc>
        <w:tc>
          <w:tcPr>
            <w:tcW w:w="1105" w:type="dxa"/>
            <w:vMerge w:val="continue"/>
            <w:vAlign w:val="center"/>
          </w:tcPr>
          <w:p w14:paraId="2B685690">
            <w:pPr>
              <w:spacing w:line="260" w:lineRule="exact"/>
              <w:jc w:val="center"/>
              <w:rPr>
                <w:rFonts w:ascii="仿宋" w:hAnsi="仿宋" w:eastAsia="仿宋"/>
                <w:sz w:val="18"/>
                <w:szCs w:val="18"/>
                <w:highlight w:val="none"/>
              </w:rPr>
            </w:pPr>
          </w:p>
        </w:tc>
        <w:tc>
          <w:tcPr>
            <w:tcW w:w="2997" w:type="dxa"/>
            <w:vAlign w:val="center"/>
          </w:tcPr>
          <w:p w14:paraId="3A0F077D">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★料石、混凝土预制砌块铺砌人行道用砂浆强度</w:t>
            </w:r>
          </w:p>
        </w:tc>
        <w:tc>
          <w:tcPr>
            <w:tcW w:w="3886" w:type="dxa"/>
            <w:vAlign w:val="center"/>
          </w:tcPr>
          <w:p w14:paraId="32EEAC51">
            <w:pPr>
              <w:widowControl/>
              <w:spacing w:line="260" w:lineRule="exact"/>
              <w:rPr>
                <w:rFonts w:ascii="仿宋" w:hAnsi="仿宋" w:eastAsia="仿宋"/>
                <w:sz w:val="18"/>
                <w:szCs w:val="18"/>
                <w:highlight w:val="none"/>
              </w:rPr>
            </w:pPr>
            <w:r>
              <w:rPr>
                <w:rFonts w:hint="eastAsia" w:ascii="仿宋" w:hAnsi="仿宋" w:eastAsia="仿宋"/>
                <w:sz w:val="18"/>
                <w:szCs w:val="18"/>
                <w:highlight w:val="none"/>
              </w:rPr>
              <w:t>砂浆平均抗压强度等级应符合设计规定，任一组试件抗压强度最低值不应低于设计强度的85%。</w:t>
            </w:r>
          </w:p>
        </w:tc>
      </w:tr>
      <w:tr w14:paraId="6663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2A52DD63">
            <w:pPr>
              <w:widowControl/>
              <w:spacing w:line="260" w:lineRule="exact"/>
              <w:jc w:val="center"/>
              <w:rPr>
                <w:rFonts w:ascii="仿宋" w:hAnsi="仿宋" w:eastAsia="仿宋"/>
                <w:spacing w:val="-22"/>
                <w:sz w:val="18"/>
                <w:szCs w:val="18"/>
                <w:highlight w:val="none"/>
              </w:rPr>
            </w:pPr>
            <w:r>
              <w:rPr>
                <w:rFonts w:hint="eastAsia" w:ascii="仿宋" w:hAnsi="仿宋" w:eastAsia="仿宋"/>
                <w:spacing w:val="-22"/>
                <w:sz w:val="18"/>
                <w:szCs w:val="18"/>
                <w:highlight w:val="none"/>
              </w:rPr>
              <w:t>11</w:t>
            </w:r>
          </w:p>
        </w:tc>
        <w:tc>
          <w:tcPr>
            <w:tcW w:w="1105" w:type="dxa"/>
            <w:vMerge w:val="continue"/>
            <w:vAlign w:val="center"/>
          </w:tcPr>
          <w:p w14:paraId="46574875">
            <w:pPr>
              <w:spacing w:line="260" w:lineRule="exact"/>
              <w:jc w:val="center"/>
              <w:rPr>
                <w:rFonts w:ascii="仿宋" w:hAnsi="仿宋" w:eastAsia="仿宋"/>
                <w:sz w:val="18"/>
                <w:szCs w:val="18"/>
                <w:highlight w:val="none"/>
              </w:rPr>
            </w:pPr>
          </w:p>
        </w:tc>
        <w:tc>
          <w:tcPr>
            <w:tcW w:w="2997" w:type="dxa"/>
            <w:vAlign w:val="center"/>
          </w:tcPr>
          <w:p w14:paraId="7D360890">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★料石、混凝土预制砌块强度</w:t>
            </w:r>
          </w:p>
        </w:tc>
        <w:tc>
          <w:tcPr>
            <w:tcW w:w="3886" w:type="dxa"/>
            <w:vAlign w:val="center"/>
          </w:tcPr>
          <w:p w14:paraId="46642DA0">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符合设计规定及相关验收规范要求</w:t>
            </w:r>
          </w:p>
        </w:tc>
      </w:tr>
      <w:tr w14:paraId="6F2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66" w:type="dxa"/>
            <w:vAlign w:val="center"/>
          </w:tcPr>
          <w:p w14:paraId="33C7F187">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12</w:t>
            </w:r>
          </w:p>
        </w:tc>
        <w:tc>
          <w:tcPr>
            <w:tcW w:w="1105" w:type="dxa"/>
            <w:vMerge w:val="continue"/>
            <w:vAlign w:val="center"/>
          </w:tcPr>
          <w:p w14:paraId="76566390">
            <w:pPr>
              <w:spacing w:line="260" w:lineRule="exact"/>
              <w:jc w:val="center"/>
              <w:rPr>
                <w:rFonts w:ascii="仿宋" w:hAnsi="仿宋" w:eastAsia="仿宋"/>
                <w:sz w:val="18"/>
                <w:szCs w:val="18"/>
                <w:highlight w:val="none"/>
              </w:rPr>
            </w:pPr>
          </w:p>
        </w:tc>
        <w:tc>
          <w:tcPr>
            <w:tcW w:w="2997" w:type="dxa"/>
            <w:vAlign w:val="center"/>
          </w:tcPr>
          <w:p w14:paraId="2347A426">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★料石铺砌人行道外观尺寸</w:t>
            </w:r>
          </w:p>
        </w:tc>
        <w:tc>
          <w:tcPr>
            <w:tcW w:w="3886" w:type="dxa"/>
            <w:vAlign w:val="center"/>
          </w:tcPr>
          <w:p w14:paraId="7CAA6C1D">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符合设计规定及相关验收规范要求</w:t>
            </w:r>
          </w:p>
        </w:tc>
      </w:tr>
      <w:tr w14:paraId="73CE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restart"/>
            <w:vAlign w:val="center"/>
          </w:tcPr>
          <w:p w14:paraId="679E37ED">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13</w:t>
            </w:r>
          </w:p>
        </w:tc>
        <w:tc>
          <w:tcPr>
            <w:tcW w:w="1105" w:type="dxa"/>
            <w:vMerge w:val="continue"/>
            <w:vAlign w:val="center"/>
          </w:tcPr>
          <w:p w14:paraId="5BD028FB">
            <w:pPr>
              <w:widowControl/>
              <w:spacing w:line="260" w:lineRule="exact"/>
              <w:jc w:val="center"/>
              <w:rPr>
                <w:rFonts w:ascii="仿宋" w:hAnsi="仿宋" w:eastAsia="仿宋"/>
                <w:sz w:val="18"/>
                <w:szCs w:val="18"/>
                <w:highlight w:val="none"/>
              </w:rPr>
            </w:pPr>
          </w:p>
        </w:tc>
        <w:tc>
          <w:tcPr>
            <w:tcW w:w="2997" w:type="dxa"/>
            <w:vMerge w:val="restart"/>
            <w:vAlign w:val="center"/>
          </w:tcPr>
          <w:p w14:paraId="18F8B17F">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平整度</w:t>
            </w:r>
          </w:p>
        </w:tc>
        <w:tc>
          <w:tcPr>
            <w:tcW w:w="3886" w:type="dxa"/>
            <w:vAlign w:val="center"/>
          </w:tcPr>
          <w:p w14:paraId="4EC6A445">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料石铺砌人行道：允许偏差≤3mm；</w:t>
            </w:r>
          </w:p>
        </w:tc>
      </w:tr>
      <w:tr w14:paraId="0069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continue"/>
            <w:vAlign w:val="center"/>
          </w:tcPr>
          <w:p w14:paraId="719A7EFC">
            <w:pPr>
              <w:widowControl/>
              <w:spacing w:line="260" w:lineRule="exact"/>
              <w:jc w:val="center"/>
              <w:rPr>
                <w:rFonts w:ascii="仿宋" w:hAnsi="仿宋" w:eastAsia="仿宋"/>
                <w:spacing w:val="20"/>
                <w:sz w:val="18"/>
                <w:szCs w:val="18"/>
                <w:highlight w:val="none"/>
              </w:rPr>
            </w:pPr>
          </w:p>
        </w:tc>
        <w:tc>
          <w:tcPr>
            <w:tcW w:w="1105" w:type="dxa"/>
            <w:vMerge w:val="continue"/>
            <w:vAlign w:val="center"/>
          </w:tcPr>
          <w:p w14:paraId="63281ECE">
            <w:pPr>
              <w:widowControl/>
              <w:spacing w:line="260" w:lineRule="exact"/>
              <w:jc w:val="center"/>
              <w:rPr>
                <w:rFonts w:ascii="仿宋" w:hAnsi="仿宋" w:eastAsia="仿宋"/>
                <w:sz w:val="18"/>
                <w:szCs w:val="18"/>
                <w:highlight w:val="none"/>
              </w:rPr>
            </w:pPr>
          </w:p>
        </w:tc>
        <w:tc>
          <w:tcPr>
            <w:tcW w:w="2997" w:type="dxa"/>
            <w:vMerge w:val="continue"/>
            <w:vAlign w:val="center"/>
          </w:tcPr>
          <w:p w14:paraId="20EA47B0">
            <w:pPr>
              <w:widowControl/>
              <w:spacing w:line="260" w:lineRule="exact"/>
              <w:jc w:val="center"/>
              <w:rPr>
                <w:rFonts w:ascii="仿宋" w:hAnsi="仿宋" w:eastAsia="仿宋"/>
                <w:sz w:val="18"/>
                <w:szCs w:val="18"/>
                <w:highlight w:val="none"/>
              </w:rPr>
            </w:pPr>
          </w:p>
        </w:tc>
        <w:tc>
          <w:tcPr>
            <w:tcW w:w="3886" w:type="dxa"/>
            <w:vAlign w:val="center"/>
          </w:tcPr>
          <w:p w14:paraId="4A33FDE6">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预制砌块铺砌人行道：允许偏差≤5mm；</w:t>
            </w:r>
          </w:p>
        </w:tc>
      </w:tr>
      <w:tr w14:paraId="157C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66" w:type="dxa"/>
            <w:vMerge w:val="continue"/>
            <w:vAlign w:val="center"/>
          </w:tcPr>
          <w:p w14:paraId="2F92949B">
            <w:pPr>
              <w:widowControl/>
              <w:spacing w:line="260" w:lineRule="exact"/>
              <w:jc w:val="center"/>
              <w:rPr>
                <w:rFonts w:ascii="仿宋" w:hAnsi="仿宋" w:eastAsia="仿宋"/>
                <w:spacing w:val="20"/>
                <w:sz w:val="18"/>
                <w:szCs w:val="18"/>
                <w:highlight w:val="none"/>
              </w:rPr>
            </w:pPr>
          </w:p>
        </w:tc>
        <w:tc>
          <w:tcPr>
            <w:tcW w:w="1105" w:type="dxa"/>
            <w:vMerge w:val="continue"/>
            <w:vAlign w:val="center"/>
          </w:tcPr>
          <w:p w14:paraId="72CE9202">
            <w:pPr>
              <w:widowControl/>
              <w:spacing w:line="260" w:lineRule="exact"/>
              <w:jc w:val="center"/>
              <w:rPr>
                <w:rFonts w:ascii="仿宋" w:hAnsi="仿宋" w:eastAsia="仿宋"/>
                <w:sz w:val="18"/>
                <w:szCs w:val="18"/>
                <w:highlight w:val="none"/>
              </w:rPr>
            </w:pPr>
          </w:p>
        </w:tc>
        <w:tc>
          <w:tcPr>
            <w:tcW w:w="2997" w:type="dxa"/>
            <w:vMerge w:val="continue"/>
            <w:vAlign w:val="center"/>
          </w:tcPr>
          <w:p w14:paraId="38FB33A0">
            <w:pPr>
              <w:widowControl/>
              <w:spacing w:line="260" w:lineRule="exact"/>
              <w:jc w:val="center"/>
              <w:rPr>
                <w:rFonts w:ascii="仿宋" w:hAnsi="仿宋" w:eastAsia="仿宋"/>
                <w:sz w:val="18"/>
                <w:szCs w:val="18"/>
                <w:highlight w:val="none"/>
              </w:rPr>
            </w:pPr>
          </w:p>
        </w:tc>
        <w:tc>
          <w:tcPr>
            <w:tcW w:w="3886" w:type="dxa"/>
            <w:vAlign w:val="center"/>
          </w:tcPr>
          <w:p w14:paraId="15357AD2">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沥青混合料铺筑人行道：沥青混凝土允许偏差≤5mm，其他类型允许偏差≤7mm；</w:t>
            </w:r>
          </w:p>
        </w:tc>
      </w:tr>
      <w:tr w14:paraId="65D4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6" w:type="dxa"/>
            <w:vMerge w:val="continue"/>
            <w:vAlign w:val="center"/>
          </w:tcPr>
          <w:p w14:paraId="3979156B">
            <w:pPr>
              <w:widowControl/>
              <w:spacing w:line="260" w:lineRule="exact"/>
              <w:jc w:val="center"/>
              <w:rPr>
                <w:rFonts w:ascii="仿宋" w:hAnsi="仿宋" w:eastAsia="仿宋"/>
                <w:spacing w:val="20"/>
                <w:sz w:val="18"/>
                <w:szCs w:val="18"/>
                <w:highlight w:val="none"/>
              </w:rPr>
            </w:pPr>
          </w:p>
        </w:tc>
        <w:tc>
          <w:tcPr>
            <w:tcW w:w="1105" w:type="dxa"/>
            <w:vMerge w:val="continue"/>
            <w:vAlign w:val="center"/>
          </w:tcPr>
          <w:p w14:paraId="28478488">
            <w:pPr>
              <w:widowControl/>
              <w:spacing w:line="260" w:lineRule="exact"/>
              <w:jc w:val="center"/>
              <w:rPr>
                <w:rFonts w:ascii="仿宋" w:hAnsi="仿宋" w:eastAsia="仿宋"/>
                <w:sz w:val="18"/>
                <w:szCs w:val="18"/>
                <w:highlight w:val="none"/>
              </w:rPr>
            </w:pPr>
          </w:p>
        </w:tc>
        <w:tc>
          <w:tcPr>
            <w:tcW w:w="2997" w:type="dxa"/>
            <w:vMerge w:val="continue"/>
            <w:vAlign w:val="center"/>
          </w:tcPr>
          <w:p w14:paraId="340F3363">
            <w:pPr>
              <w:widowControl/>
              <w:spacing w:line="260" w:lineRule="exact"/>
              <w:jc w:val="center"/>
              <w:rPr>
                <w:rFonts w:ascii="仿宋" w:hAnsi="仿宋" w:eastAsia="仿宋"/>
                <w:sz w:val="18"/>
                <w:szCs w:val="18"/>
                <w:highlight w:val="none"/>
              </w:rPr>
            </w:pPr>
          </w:p>
        </w:tc>
        <w:tc>
          <w:tcPr>
            <w:tcW w:w="3886" w:type="dxa"/>
            <w:vAlign w:val="center"/>
          </w:tcPr>
          <w:p w14:paraId="3A725FFD">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按养护要求人行道平整度指标达到A等级</w:t>
            </w:r>
          </w:p>
        </w:tc>
      </w:tr>
      <w:tr w14:paraId="41E2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66" w:type="dxa"/>
            <w:vAlign w:val="center"/>
          </w:tcPr>
          <w:p w14:paraId="6449E820">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14</w:t>
            </w:r>
          </w:p>
        </w:tc>
        <w:tc>
          <w:tcPr>
            <w:tcW w:w="1105" w:type="dxa"/>
            <w:vMerge w:val="continue"/>
            <w:vAlign w:val="center"/>
          </w:tcPr>
          <w:p w14:paraId="4DF9C5EF">
            <w:pPr>
              <w:widowControl/>
              <w:spacing w:line="260" w:lineRule="exact"/>
              <w:jc w:val="center"/>
              <w:rPr>
                <w:rFonts w:ascii="仿宋" w:hAnsi="仿宋" w:eastAsia="仿宋"/>
                <w:sz w:val="18"/>
                <w:szCs w:val="18"/>
                <w:highlight w:val="none"/>
              </w:rPr>
            </w:pPr>
          </w:p>
        </w:tc>
        <w:tc>
          <w:tcPr>
            <w:tcW w:w="2997" w:type="dxa"/>
            <w:vAlign w:val="center"/>
          </w:tcPr>
          <w:p w14:paraId="1134FE3E">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★沥青混合料铺筑人行道厚度</w:t>
            </w:r>
          </w:p>
        </w:tc>
        <w:tc>
          <w:tcPr>
            <w:tcW w:w="3886" w:type="dxa"/>
            <w:vAlign w:val="center"/>
          </w:tcPr>
          <w:p w14:paraId="2C48FB6B">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符合设计规定，允许偏差为±5mm</w:t>
            </w:r>
          </w:p>
        </w:tc>
      </w:tr>
      <w:tr w14:paraId="067A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66" w:type="dxa"/>
            <w:vAlign w:val="center"/>
          </w:tcPr>
          <w:p w14:paraId="68F27CEC">
            <w:pPr>
              <w:widowControl/>
              <w:spacing w:line="260" w:lineRule="exact"/>
              <w:jc w:val="center"/>
              <w:rPr>
                <w:rFonts w:ascii="仿宋" w:hAnsi="仿宋" w:eastAsia="仿宋"/>
                <w:spacing w:val="20"/>
                <w:sz w:val="18"/>
                <w:szCs w:val="18"/>
                <w:highlight w:val="none"/>
              </w:rPr>
            </w:pPr>
            <w:r>
              <w:rPr>
                <w:rFonts w:hint="eastAsia" w:ascii="仿宋" w:hAnsi="仿宋" w:eastAsia="仿宋"/>
                <w:spacing w:val="20"/>
                <w:sz w:val="18"/>
                <w:szCs w:val="18"/>
                <w:highlight w:val="none"/>
              </w:rPr>
              <w:t>15</w:t>
            </w:r>
          </w:p>
        </w:tc>
        <w:tc>
          <w:tcPr>
            <w:tcW w:w="1105" w:type="dxa"/>
            <w:vMerge w:val="continue"/>
            <w:vAlign w:val="center"/>
          </w:tcPr>
          <w:p w14:paraId="368D6BFB">
            <w:pPr>
              <w:widowControl/>
              <w:spacing w:line="260" w:lineRule="exact"/>
              <w:jc w:val="center"/>
              <w:rPr>
                <w:rFonts w:ascii="仿宋" w:hAnsi="仿宋" w:eastAsia="仿宋"/>
                <w:sz w:val="18"/>
                <w:szCs w:val="18"/>
                <w:highlight w:val="none"/>
              </w:rPr>
            </w:pPr>
          </w:p>
        </w:tc>
        <w:tc>
          <w:tcPr>
            <w:tcW w:w="2997" w:type="dxa"/>
            <w:vAlign w:val="center"/>
          </w:tcPr>
          <w:p w14:paraId="706B8C10">
            <w:pPr>
              <w:widowControl/>
              <w:spacing w:line="260" w:lineRule="exact"/>
              <w:jc w:val="center"/>
              <w:rPr>
                <w:rFonts w:ascii="仿宋" w:hAnsi="仿宋" w:eastAsia="仿宋"/>
                <w:sz w:val="18"/>
                <w:szCs w:val="18"/>
                <w:highlight w:val="none"/>
              </w:rPr>
            </w:pPr>
            <w:r>
              <w:rPr>
                <w:rFonts w:hint="eastAsia" w:ascii="仿宋" w:hAnsi="仿宋" w:eastAsia="仿宋"/>
                <w:sz w:val="18"/>
                <w:szCs w:val="18"/>
                <w:highlight w:val="none"/>
              </w:rPr>
              <w:t>★沥青混合料压实度</w:t>
            </w:r>
          </w:p>
        </w:tc>
        <w:tc>
          <w:tcPr>
            <w:tcW w:w="3886" w:type="dxa"/>
            <w:vAlign w:val="center"/>
          </w:tcPr>
          <w:p w14:paraId="46E024C7">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不应小于95%</w:t>
            </w:r>
          </w:p>
        </w:tc>
      </w:tr>
      <w:tr w14:paraId="5161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754" w:type="dxa"/>
            <w:gridSpan w:val="4"/>
            <w:vAlign w:val="center"/>
          </w:tcPr>
          <w:p w14:paraId="602D6B89">
            <w:pPr>
              <w:widowControl/>
              <w:spacing w:line="260" w:lineRule="exact"/>
              <w:jc w:val="left"/>
              <w:rPr>
                <w:rFonts w:ascii="仿宋" w:hAnsi="仿宋" w:eastAsia="仿宋"/>
                <w:sz w:val="18"/>
                <w:szCs w:val="18"/>
                <w:highlight w:val="none"/>
              </w:rPr>
            </w:pPr>
            <w:r>
              <w:rPr>
                <w:rFonts w:hint="eastAsia" w:ascii="仿宋" w:hAnsi="仿宋" w:eastAsia="仿宋"/>
                <w:sz w:val="18"/>
                <w:szCs w:val="18"/>
                <w:highlight w:val="none"/>
              </w:rPr>
              <w:t>注：带★为主控项目，其余为一般项目。</w:t>
            </w:r>
          </w:p>
        </w:tc>
      </w:tr>
    </w:tbl>
    <w:p w14:paraId="6250CF00">
      <w:pPr>
        <w:autoSpaceDE w:val="0"/>
        <w:autoSpaceDN w:val="0"/>
        <w:adjustRightInd w:val="0"/>
        <w:spacing w:afterLines="50" w:line="620" w:lineRule="exact"/>
        <w:rPr>
          <w:rFonts w:ascii="黑体" w:hAnsi="黑体" w:eastAsia="黑体" w:cs="仿宋"/>
          <w:kern w:val="0"/>
          <w:sz w:val="44"/>
          <w:szCs w:val="44"/>
          <w:highlight w:val="none"/>
        </w:rPr>
      </w:pPr>
    </w:p>
    <w:p w14:paraId="0C9DB06A">
      <w:pPr>
        <w:autoSpaceDE w:val="0"/>
        <w:autoSpaceDN w:val="0"/>
        <w:adjustRightInd w:val="0"/>
        <w:spacing w:afterLines="50" w:line="620" w:lineRule="exact"/>
        <w:jc w:val="center"/>
        <w:rPr>
          <w:rFonts w:ascii="黑体" w:hAnsi="黑体" w:eastAsia="黑体" w:cs="仿宋"/>
          <w:b/>
          <w:kern w:val="0"/>
          <w:sz w:val="44"/>
          <w:szCs w:val="44"/>
          <w:highlight w:val="none"/>
        </w:rPr>
      </w:pPr>
      <w:r>
        <w:rPr>
          <w:rFonts w:hint="eastAsia" w:ascii="黑体" w:hAnsi="黑体" w:eastAsia="黑体" w:cs="仿宋"/>
          <w:kern w:val="0"/>
          <w:sz w:val="44"/>
          <w:szCs w:val="44"/>
          <w:highlight w:val="none"/>
        </w:rPr>
        <w:t>抽检项目及抽检频率</w:t>
      </w:r>
    </w:p>
    <w:tbl>
      <w:tblPr>
        <w:tblStyle w:val="62"/>
        <w:tblW w:w="0" w:type="auto"/>
        <w:jc w:val="center"/>
        <w:tblLayout w:type="fixed"/>
        <w:tblCellMar>
          <w:top w:w="0" w:type="dxa"/>
          <w:left w:w="0" w:type="dxa"/>
          <w:bottom w:w="0" w:type="dxa"/>
          <w:right w:w="0" w:type="dxa"/>
        </w:tblCellMar>
      </w:tblPr>
      <w:tblGrid>
        <w:gridCol w:w="600"/>
        <w:gridCol w:w="938"/>
        <w:gridCol w:w="2762"/>
        <w:gridCol w:w="3986"/>
      </w:tblGrid>
      <w:tr w14:paraId="41B8F7EB">
        <w:tblPrEx>
          <w:tblCellMar>
            <w:top w:w="0" w:type="dxa"/>
            <w:left w:w="0" w:type="dxa"/>
            <w:bottom w:w="0" w:type="dxa"/>
            <w:right w:w="0" w:type="dxa"/>
          </w:tblCellMar>
        </w:tblPrEx>
        <w:trPr>
          <w:trHeight w:val="397"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A8BAB">
            <w:pPr>
              <w:widowControl/>
              <w:spacing w:before="120" w:after="120" w:line="260" w:lineRule="exact"/>
              <w:jc w:val="center"/>
              <w:rPr>
                <w:rFonts w:ascii="仿宋" w:hAnsi="仿宋" w:eastAsia="仿宋"/>
                <w:b/>
                <w:sz w:val="18"/>
                <w:szCs w:val="18"/>
                <w:highlight w:val="none"/>
              </w:rPr>
            </w:pPr>
            <w:r>
              <w:rPr>
                <w:rFonts w:hint="eastAsia" w:ascii="仿宋" w:hAnsi="仿宋" w:eastAsia="仿宋"/>
                <w:b/>
                <w:sz w:val="18"/>
                <w:szCs w:val="18"/>
                <w:highlight w:val="none"/>
              </w:rPr>
              <w:t>序号</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858AC">
            <w:pPr>
              <w:widowControl/>
              <w:spacing w:before="120" w:after="120" w:line="260" w:lineRule="exact"/>
              <w:jc w:val="center"/>
              <w:rPr>
                <w:rFonts w:ascii="仿宋" w:hAnsi="仿宋" w:eastAsia="仿宋"/>
                <w:b/>
                <w:sz w:val="18"/>
                <w:szCs w:val="18"/>
                <w:highlight w:val="none"/>
              </w:rPr>
            </w:pPr>
            <w:r>
              <w:rPr>
                <w:rFonts w:hint="eastAsia" w:ascii="仿宋" w:hAnsi="仿宋" w:eastAsia="仿宋"/>
                <w:b/>
                <w:sz w:val="18"/>
                <w:szCs w:val="18"/>
                <w:highlight w:val="none"/>
              </w:rPr>
              <w:t>检测对象</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6CBA5">
            <w:pPr>
              <w:widowControl/>
              <w:spacing w:before="120" w:after="120" w:line="260" w:lineRule="exact"/>
              <w:jc w:val="center"/>
              <w:rPr>
                <w:rFonts w:ascii="仿宋" w:hAnsi="仿宋" w:eastAsia="仿宋"/>
                <w:b/>
                <w:sz w:val="18"/>
                <w:szCs w:val="18"/>
                <w:highlight w:val="none"/>
              </w:rPr>
            </w:pPr>
            <w:r>
              <w:rPr>
                <w:rFonts w:hint="eastAsia" w:ascii="仿宋" w:hAnsi="仿宋" w:eastAsia="仿宋"/>
                <w:b/>
                <w:sz w:val="18"/>
                <w:szCs w:val="18"/>
                <w:highlight w:val="none"/>
              </w:rPr>
              <w:t>检测项目</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16B818">
            <w:pPr>
              <w:widowControl/>
              <w:spacing w:before="120" w:after="120" w:line="260" w:lineRule="exact"/>
              <w:jc w:val="center"/>
              <w:rPr>
                <w:rFonts w:ascii="仿宋" w:hAnsi="仿宋" w:eastAsia="仿宋"/>
                <w:b/>
                <w:sz w:val="18"/>
                <w:szCs w:val="18"/>
                <w:highlight w:val="none"/>
              </w:rPr>
            </w:pPr>
            <w:r>
              <w:rPr>
                <w:rFonts w:hint="eastAsia" w:ascii="仿宋" w:hAnsi="仿宋" w:eastAsia="仿宋"/>
                <w:b/>
                <w:sz w:val="18"/>
                <w:szCs w:val="18"/>
                <w:highlight w:val="none"/>
              </w:rPr>
              <w:t>检测频率</w:t>
            </w:r>
          </w:p>
        </w:tc>
      </w:tr>
      <w:tr w14:paraId="6C60B9C2">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DEC3DB">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1</w:t>
            </w:r>
          </w:p>
        </w:tc>
        <w:tc>
          <w:tcPr>
            <w:tcW w:w="93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4F58D9F5">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车行道（含非机动车道）</w:t>
            </w: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741031">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结构层厚度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D8F3B8">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每1000㎡测1点</w:t>
            </w:r>
          </w:p>
          <w:p w14:paraId="7D53D3D9">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（不满1000㎡的按照1000㎡测）。</w:t>
            </w:r>
          </w:p>
        </w:tc>
      </w:tr>
      <w:tr w14:paraId="5A87B9BD">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5E9D5">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2</w:t>
            </w:r>
          </w:p>
        </w:tc>
        <w:tc>
          <w:tcPr>
            <w:tcW w:w="938" w:type="dxa"/>
            <w:vMerge w:val="continue"/>
            <w:tcBorders>
              <w:left w:val="single" w:color="000000" w:sz="4" w:space="0"/>
              <w:right w:val="single" w:color="000000" w:sz="4" w:space="0"/>
            </w:tcBorders>
            <w:tcMar>
              <w:top w:w="12" w:type="dxa"/>
              <w:left w:w="12" w:type="dxa"/>
              <w:right w:w="12" w:type="dxa"/>
            </w:tcMar>
            <w:vAlign w:val="center"/>
          </w:tcPr>
          <w:p w14:paraId="1707C644">
            <w:pPr>
              <w:spacing w:line="220" w:lineRule="exact"/>
              <w:jc w:val="center"/>
              <w:rPr>
                <w:rFonts w:ascii="仿宋" w:hAnsi="仿宋" w:eastAsia="仿宋"/>
                <w:sz w:val="18"/>
                <w:szCs w:val="18"/>
                <w:highlight w:val="none"/>
              </w:rPr>
            </w:pPr>
          </w:p>
        </w:tc>
        <w:tc>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C979D">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沥青面层压实度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FEEDD6">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每1000㎡测1点。</w:t>
            </w:r>
          </w:p>
          <w:p w14:paraId="1D94968A">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（不满1000㎡的按照1000㎡测）</w:t>
            </w:r>
          </w:p>
        </w:tc>
      </w:tr>
      <w:tr w14:paraId="4D7D6386">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0A3D591E">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938"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6F0327D">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人行道</w:t>
            </w: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BA46CB4">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料石、混凝土预制砌块铺砌人行道强度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B87C8">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按规格型号批次检测1组。</w:t>
            </w:r>
          </w:p>
        </w:tc>
      </w:tr>
      <w:tr w14:paraId="41433DD0">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57B4268">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3</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6696DA76">
            <w:pPr>
              <w:widowControl/>
              <w:spacing w:line="22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1716FDDC">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料石铺砌人行道外观尺寸</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BBC32">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按规格型号批次检测1组。</w:t>
            </w:r>
          </w:p>
        </w:tc>
      </w:tr>
      <w:tr w14:paraId="730D5306">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54919A05">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4</w:t>
            </w:r>
          </w:p>
        </w:tc>
        <w:tc>
          <w:tcPr>
            <w:tcW w:w="938" w:type="dxa"/>
            <w:vMerge w:val="continue"/>
            <w:tcBorders>
              <w:left w:val="single" w:color="auto" w:sz="4" w:space="0"/>
              <w:right w:val="single" w:color="auto" w:sz="4" w:space="0"/>
            </w:tcBorders>
            <w:tcMar>
              <w:top w:w="12" w:type="dxa"/>
              <w:left w:w="12" w:type="dxa"/>
              <w:right w:w="12" w:type="dxa"/>
            </w:tcMar>
            <w:vAlign w:val="center"/>
          </w:tcPr>
          <w:p w14:paraId="67E7FCAB">
            <w:pPr>
              <w:widowControl/>
              <w:spacing w:line="22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29CEB61">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沥青混合料铺筑人行道厚度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F23F11">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每100米测1点。</w:t>
            </w:r>
          </w:p>
        </w:tc>
      </w:tr>
      <w:tr w14:paraId="0ADBA2D3">
        <w:tblPrEx>
          <w:tblCellMar>
            <w:top w:w="0" w:type="dxa"/>
            <w:left w:w="0" w:type="dxa"/>
            <w:bottom w:w="0" w:type="dxa"/>
            <w:right w:w="0" w:type="dxa"/>
          </w:tblCellMar>
        </w:tblPrEx>
        <w:trPr>
          <w:trHeight w:val="894" w:hRule="atLeast"/>
          <w:jc w:val="center"/>
        </w:trPr>
        <w:tc>
          <w:tcPr>
            <w:tcW w:w="600"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66F3078">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5</w:t>
            </w:r>
          </w:p>
        </w:tc>
        <w:tc>
          <w:tcPr>
            <w:tcW w:w="938"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1C50C89">
            <w:pPr>
              <w:spacing w:line="220" w:lineRule="exact"/>
              <w:jc w:val="center"/>
              <w:rPr>
                <w:rFonts w:ascii="仿宋" w:hAnsi="仿宋" w:eastAsia="仿宋"/>
                <w:sz w:val="18"/>
                <w:szCs w:val="18"/>
                <w:highlight w:val="none"/>
              </w:rPr>
            </w:pPr>
          </w:p>
        </w:tc>
        <w:tc>
          <w:tcPr>
            <w:tcW w:w="276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476A7DD2">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沥青混合料压实度</w:t>
            </w:r>
          </w:p>
        </w:tc>
        <w:tc>
          <w:tcPr>
            <w:tcW w:w="3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2B8A8B">
            <w:pPr>
              <w:widowControl/>
              <w:spacing w:line="220" w:lineRule="exact"/>
              <w:jc w:val="center"/>
              <w:rPr>
                <w:rFonts w:ascii="仿宋" w:hAnsi="仿宋" w:eastAsia="仿宋"/>
                <w:sz w:val="18"/>
                <w:szCs w:val="18"/>
                <w:highlight w:val="none"/>
              </w:rPr>
            </w:pPr>
            <w:r>
              <w:rPr>
                <w:rFonts w:hint="eastAsia" w:ascii="仿宋" w:hAnsi="仿宋" w:eastAsia="仿宋"/>
                <w:sz w:val="18"/>
                <w:szCs w:val="18"/>
                <w:highlight w:val="none"/>
              </w:rPr>
              <w:t>每100米测1点。</w:t>
            </w:r>
          </w:p>
        </w:tc>
      </w:tr>
    </w:tbl>
    <w:p w14:paraId="10C24129">
      <w:pPr>
        <w:autoSpaceDE w:val="0"/>
        <w:autoSpaceDN w:val="0"/>
        <w:adjustRightInd w:val="0"/>
        <w:jc w:val="center"/>
        <w:rPr>
          <w:rFonts w:ascii="仿宋" w:hAnsi="仿宋" w:eastAsia="仿宋" w:cs="仿宋"/>
          <w:b/>
          <w:kern w:val="0"/>
          <w:sz w:val="52"/>
          <w:szCs w:val="52"/>
          <w:highlight w:val="none"/>
        </w:rPr>
      </w:pPr>
    </w:p>
    <w:p w14:paraId="02E4D657">
      <w:pPr>
        <w:autoSpaceDE w:val="0"/>
        <w:autoSpaceDN w:val="0"/>
        <w:adjustRightInd w:val="0"/>
        <w:rPr>
          <w:rFonts w:ascii="黑体" w:hAnsi="黑体" w:eastAsia="黑体" w:cs="仿宋"/>
          <w:kern w:val="0"/>
          <w:sz w:val="52"/>
          <w:szCs w:val="52"/>
          <w:highlight w:val="none"/>
        </w:rPr>
      </w:pPr>
    </w:p>
    <w:p w14:paraId="33400280">
      <w:pPr>
        <w:autoSpaceDE w:val="0"/>
        <w:autoSpaceDN w:val="0"/>
        <w:adjustRightInd w:val="0"/>
        <w:jc w:val="center"/>
        <w:rPr>
          <w:rFonts w:ascii="黑体" w:hAnsi="黑体" w:eastAsia="黑体" w:cs="仿宋"/>
          <w:kern w:val="0"/>
          <w:sz w:val="52"/>
          <w:szCs w:val="52"/>
          <w:highlight w:val="none"/>
        </w:rPr>
      </w:pPr>
      <w:r>
        <w:rPr>
          <w:rFonts w:hint="eastAsia" w:ascii="黑体" w:hAnsi="黑体" w:eastAsia="黑体" w:cs="仿宋"/>
          <w:kern w:val="0"/>
          <w:sz w:val="52"/>
          <w:szCs w:val="52"/>
          <w:highlight w:val="none"/>
        </w:rPr>
        <w:t>杭州市市政道路加固(修缮)工程质量抽检报告</w:t>
      </w:r>
    </w:p>
    <w:p w14:paraId="5C764764">
      <w:pPr>
        <w:jc w:val="center"/>
        <w:rPr>
          <w:rFonts w:ascii="??" w:hAnsi="??" w:eastAsia="Times New Roman"/>
          <w:sz w:val="36"/>
          <w:highlight w:val="none"/>
        </w:rPr>
      </w:pPr>
    </w:p>
    <w:p w14:paraId="731778D6">
      <w:pPr>
        <w:jc w:val="center"/>
        <w:rPr>
          <w:rFonts w:ascii="??" w:hAnsi="??" w:eastAsia="Times New Roman"/>
          <w:sz w:val="36"/>
          <w:highlight w:val="none"/>
        </w:rPr>
      </w:pPr>
    </w:p>
    <w:p w14:paraId="731224E4">
      <w:pPr>
        <w:jc w:val="center"/>
        <w:rPr>
          <w:rFonts w:ascii="??" w:hAnsi="??" w:eastAsia="Times New Roman"/>
          <w:sz w:val="36"/>
          <w:highlight w:val="none"/>
        </w:rPr>
      </w:pPr>
    </w:p>
    <w:p w14:paraId="75EF3613">
      <w:pPr>
        <w:jc w:val="center"/>
        <w:rPr>
          <w:rFonts w:ascii="??" w:hAnsi="??" w:eastAsia="Times New Roman"/>
          <w:sz w:val="36"/>
          <w:highlight w:val="none"/>
        </w:rPr>
      </w:pPr>
    </w:p>
    <w:tbl>
      <w:tblPr>
        <w:tblStyle w:val="62"/>
        <w:tblW w:w="0" w:type="auto"/>
        <w:tblInd w:w="0" w:type="dxa"/>
        <w:tblLayout w:type="fixed"/>
        <w:tblCellMar>
          <w:top w:w="0" w:type="dxa"/>
          <w:left w:w="108" w:type="dxa"/>
          <w:bottom w:w="0" w:type="dxa"/>
          <w:right w:w="108" w:type="dxa"/>
        </w:tblCellMar>
      </w:tblPr>
      <w:tblGrid>
        <w:gridCol w:w="1917"/>
        <w:gridCol w:w="6939"/>
      </w:tblGrid>
      <w:tr w14:paraId="1BED5F6C">
        <w:tblPrEx>
          <w:tblCellMar>
            <w:top w:w="0" w:type="dxa"/>
            <w:left w:w="108" w:type="dxa"/>
            <w:bottom w:w="0" w:type="dxa"/>
            <w:right w:w="108" w:type="dxa"/>
          </w:tblCellMar>
        </w:tblPrEx>
        <w:trPr>
          <w:trHeight w:val="1134" w:hRule="exact"/>
        </w:trPr>
        <w:tc>
          <w:tcPr>
            <w:tcW w:w="1917" w:type="dxa"/>
            <w:vAlign w:val="center"/>
          </w:tcPr>
          <w:p w14:paraId="7A1E4B49">
            <w:pPr>
              <w:rPr>
                <w:rFonts w:ascii="仿宋" w:hAnsi="仿宋" w:eastAsia="仿宋"/>
                <w:b/>
                <w:sz w:val="32"/>
                <w:szCs w:val="32"/>
                <w:highlight w:val="none"/>
              </w:rPr>
            </w:pPr>
            <w:r>
              <w:rPr>
                <w:rFonts w:hint="eastAsia" w:ascii="仿宋" w:hAnsi="仿宋" w:eastAsia="仿宋"/>
                <w:b/>
                <w:sz w:val="32"/>
                <w:szCs w:val="32"/>
                <w:highlight w:val="none"/>
              </w:rPr>
              <w:t>委托单位：</w:t>
            </w:r>
          </w:p>
        </w:tc>
        <w:tc>
          <w:tcPr>
            <w:tcW w:w="6939" w:type="dxa"/>
            <w:vAlign w:val="center"/>
          </w:tcPr>
          <w:p w14:paraId="33021F4C">
            <w:pPr>
              <w:rPr>
                <w:rFonts w:ascii="仿宋" w:hAnsi="仿宋" w:eastAsia="仿宋"/>
                <w:sz w:val="36"/>
                <w:highlight w:val="none"/>
              </w:rPr>
            </w:pPr>
            <w:r>
              <w:rPr>
                <w:rFonts w:hint="eastAsia" w:ascii="仿宋" w:hAnsi="仿宋" w:eastAsia="仿宋"/>
                <w:sz w:val="36"/>
                <w:highlight w:val="none"/>
              </w:rPr>
              <w:t>——</w:t>
            </w:r>
          </w:p>
        </w:tc>
      </w:tr>
      <w:tr w14:paraId="22F55B3E">
        <w:tblPrEx>
          <w:tblCellMar>
            <w:top w:w="0" w:type="dxa"/>
            <w:left w:w="108" w:type="dxa"/>
            <w:bottom w:w="0" w:type="dxa"/>
            <w:right w:w="108" w:type="dxa"/>
          </w:tblCellMar>
        </w:tblPrEx>
        <w:trPr>
          <w:trHeight w:val="1134" w:hRule="exact"/>
        </w:trPr>
        <w:tc>
          <w:tcPr>
            <w:tcW w:w="1917" w:type="dxa"/>
            <w:vAlign w:val="center"/>
          </w:tcPr>
          <w:p w14:paraId="77A92C7F">
            <w:pPr>
              <w:rPr>
                <w:rFonts w:ascii="仿宋" w:hAnsi="仿宋" w:eastAsia="仿宋"/>
                <w:b/>
                <w:sz w:val="32"/>
                <w:szCs w:val="32"/>
                <w:highlight w:val="none"/>
              </w:rPr>
            </w:pPr>
            <w:r>
              <w:rPr>
                <w:rFonts w:hint="eastAsia" w:ascii="仿宋" w:hAnsi="仿宋" w:eastAsia="仿宋"/>
                <w:b/>
                <w:sz w:val="32"/>
                <w:szCs w:val="32"/>
                <w:highlight w:val="none"/>
              </w:rPr>
              <w:t>建设单位：</w:t>
            </w:r>
          </w:p>
        </w:tc>
        <w:tc>
          <w:tcPr>
            <w:tcW w:w="6939" w:type="dxa"/>
            <w:vAlign w:val="center"/>
          </w:tcPr>
          <w:p w14:paraId="0DE5AEAC">
            <w:pPr>
              <w:rPr>
                <w:rFonts w:ascii="仿宋" w:hAnsi="仿宋" w:eastAsia="仿宋"/>
                <w:sz w:val="36"/>
                <w:highlight w:val="none"/>
              </w:rPr>
            </w:pPr>
            <w:r>
              <w:rPr>
                <w:rFonts w:hint="eastAsia" w:ascii="仿宋" w:hAnsi="仿宋" w:eastAsia="仿宋"/>
                <w:sz w:val="36"/>
                <w:highlight w:val="none"/>
              </w:rPr>
              <w:t>——</w:t>
            </w:r>
          </w:p>
        </w:tc>
      </w:tr>
      <w:tr w14:paraId="6952F1DF">
        <w:tblPrEx>
          <w:tblCellMar>
            <w:top w:w="0" w:type="dxa"/>
            <w:left w:w="108" w:type="dxa"/>
            <w:bottom w:w="0" w:type="dxa"/>
            <w:right w:w="108" w:type="dxa"/>
          </w:tblCellMar>
        </w:tblPrEx>
        <w:trPr>
          <w:trHeight w:val="1134" w:hRule="exact"/>
        </w:trPr>
        <w:tc>
          <w:tcPr>
            <w:tcW w:w="1917" w:type="dxa"/>
            <w:vAlign w:val="center"/>
          </w:tcPr>
          <w:p w14:paraId="67C5910D">
            <w:pPr>
              <w:rPr>
                <w:rFonts w:ascii="仿宋" w:hAnsi="仿宋" w:eastAsia="仿宋"/>
                <w:b/>
                <w:sz w:val="32"/>
                <w:szCs w:val="32"/>
                <w:highlight w:val="none"/>
              </w:rPr>
            </w:pPr>
            <w:r>
              <w:rPr>
                <w:rFonts w:hint="eastAsia" w:ascii="仿宋" w:hAnsi="仿宋" w:eastAsia="仿宋"/>
                <w:b/>
                <w:sz w:val="32"/>
                <w:szCs w:val="32"/>
                <w:highlight w:val="none"/>
              </w:rPr>
              <w:t>工程名称：</w:t>
            </w:r>
          </w:p>
        </w:tc>
        <w:tc>
          <w:tcPr>
            <w:tcW w:w="6939" w:type="dxa"/>
            <w:vAlign w:val="center"/>
          </w:tcPr>
          <w:p w14:paraId="4EC0CDEF">
            <w:pPr>
              <w:rPr>
                <w:rFonts w:ascii="仿宋" w:hAnsi="仿宋" w:eastAsia="仿宋"/>
                <w:sz w:val="36"/>
                <w:highlight w:val="none"/>
              </w:rPr>
            </w:pPr>
            <w:r>
              <w:rPr>
                <w:rFonts w:hint="eastAsia" w:ascii="仿宋" w:hAnsi="仿宋" w:eastAsia="仿宋"/>
                <w:sz w:val="36"/>
                <w:highlight w:val="none"/>
              </w:rPr>
              <w:t>——</w:t>
            </w:r>
          </w:p>
        </w:tc>
      </w:tr>
      <w:tr w14:paraId="49FD58FE">
        <w:tblPrEx>
          <w:tblCellMar>
            <w:top w:w="0" w:type="dxa"/>
            <w:left w:w="108" w:type="dxa"/>
            <w:bottom w:w="0" w:type="dxa"/>
            <w:right w:w="108" w:type="dxa"/>
          </w:tblCellMar>
        </w:tblPrEx>
        <w:trPr>
          <w:trHeight w:val="1134" w:hRule="exact"/>
        </w:trPr>
        <w:tc>
          <w:tcPr>
            <w:tcW w:w="1917" w:type="dxa"/>
            <w:vAlign w:val="center"/>
          </w:tcPr>
          <w:p w14:paraId="7F06B86D">
            <w:pPr>
              <w:rPr>
                <w:rFonts w:ascii="仿宋" w:hAnsi="仿宋" w:eastAsia="仿宋"/>
                <w:b/>
                <w:sz w:val="32"/>
                <w:szCs w:val="32"/>
                <w:highlight w:val="none"/>
              </w:rPr>
            </w:pPr>
            <w:r>
              <w:rPr>
                <w:rFonts w:hint="eastAsia" w:ascii="仿宋" w:hAnsi="仿宋" w:eastAsia="仿宋"/>
                <w:b/>
                <w:sz w:val="32"/>
                <w:szCs w:val="32"/>
                <w:highlight w:val="none"/>
              </w:rPr>
              <w:t>检测单位</w:t>
            </w:r>
          </w:p>
        </w:tc>
        <w:tc>
          <w:tcPr>
            <w:tcW w:w="6939" w:type="dxa"/>
            <w:vAlign w:val="center"/>
          </w:tcPr>
          <w:p w14:paraId="44FD1E97">
            <w:pPr>
              <w:rPr>
                <w:rFonts w:ascii="仿宋" w:hAnsi="仿宋" w:eastAsia="仿宋"/>
                <w:sz w:val="36"/>
                <w:highlight w:val="none"/>
              </w:rPr>
            </w:pPr>
            <w:r>
              <w:rPr>
                <w:rFonts w:hint="eastAsia" w:ascii="仿宋" w:hAnsi="仿宋" w:eastAsia="仿宋"/>
                <w:sz w:val="36"/>
                <w:highlight w:val="none"/>
              </w:rPr>
              <w:t>——</w:t>
            </w:r>
          </w:p>
        </w:tc>
      </w:tr>
    </w:tbl>
    <w:p w14:paraId="30A7F87C">
      <w:pPr>
        <w:jc w:val="center"/>
        <w:rPr>
          <w:rFonts w:ascii="仿宋" w:hAnsi="仿宋" w:eastAsia="仿宋"/>
          <w:sz w:val="36"/>
          <w:highlight w:val="none"/>
        </w:rPr>
      </w:pPr>
    </w:p>
    <w:p w14:paraId="43392FF2">
      <w:pPr>
        <w:jc w:val="center"/>
        <w:rPr>
          <w:rFonts w:ascii="??" w:hAnsi="??"/>
          <w:sz w:val="36"/>
          <w:highlight w:val="none"/>
        </w:rPr>
        <w:sectPr>
          <w:footerReference r:id="rId15" w:type="default"/>
          <w:pgSz w:w="12240" w:h="15840"/>
          <w:pgMar w:top="1440" w:right="1800" w:bottom="1440" w:left="1800" w:header="720" w:footer="720" w:gutter="0"/>
          <w:pgNumType w:fmt="decimal"/>
          <w:cols w:space="720" w:num="1"/>
        </w:sectPr>
      </w:pPr>
      <w:r>
        <w:rPr>
          <w:rFonts w:hint="eastAsia" w:ascii="仿宋" w:hAnsi="仿宋" w:eastAsia="仿宋"/>
          <w:sz w:val="36"/>
          <w:highlight w:val="none"/>
        </w:rPr>
        <w:t>2021年 月</w:t>
      </w:r>
    </w:p>
    <w:p w14:paraId="589CEFBB">
      <w:pPr>
        <w:rPr>
          <w:rFonts w:ascii="??" w:hAnsi="??"/>
          <w:sz w:val="32"/>
          <w:szCs w:val="32"/>
          <w:highlight w:val="none"/>
        </w:rPr>
      </w:pPr>
    </w:p>
    <w:p w14:paraId="4D86A189">
      <w:pPr>
        <w:jc w:val="center"/>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目    录</w:t>
      </w:r>
    </w:p>
    <w:p w14:paraId="4BF97D6C">
      <w:pPr>
        <w:jc w:val="center"/>
        <w:rPr>
          <w:rFonts w:ascii="华文仿宋" w:hAnsi="华文仿宋" w:eastAsia="华文仿宋" w:cs="华文仿宋"/>
          <w:sz w:val="24"/>
          <w:szCs w:val="24"/>
          <w:highlight w:val="none"/>
        </w:rPr>
      </w:pPr>
    </w:p>
    <w:p w14:paraId="65E40FBD">
      <w:pPr>
        <w:jc w:val="center"/>
        <w:rPr>
          <w:rFonts w:ascii="华文仿宋" w:hAnsi="华文仿宋" w:eastAsia="华文仿宋" w:cs="华文仿宋"/>
          <w:sz w:val="24"/>
          <w:szCs w:val="24"/>
          <w:highlight w:val="none"/>
        </w:rPr>
      </w:pPr>
    </w:p>
    <w:p w14:paraId="7AA6A477">
      <w:pPr>
        <w:pStyle w:val="42"/>
        <w:tabs>
          <w:tab w:val="right" w:leader="dot" w:pos="8640"/>
        </w:tabs>
        <w:rPr>
          <w:sz w:val="24"/>
          <w:szCs w:val="24"/>
          <w:highlight w:val="none"/>
        </w:rPr>
      </w:pPr>
      <w:r>
        <w:rPr>
          <w:rFonts w:hint="eastAsia" w:ascii="华文仿宋" w:hAnsi="华文仿宋" w:eastAsia="华文仿宋" w:cs="华文仿宋"/>
          <w:sz w:val="24"/>
          <w:szCs w:val="24"/>
          <w:highlight w:val="none"/>
        </w:rPr>
        <w:fldChar w:fldCharType="begin"/>
      </w:r>
      <w:r>
        <w:rPr>
          <w:rFonts w:hint="eastAsia" w:ascii="华文仿宋" w:hAnsi="华文仿宋" w:eastAsia="华文仿宋" w:cs="华文仿宋"/>
          <w:sz w:val="24"/>
          <w:szCs w:val="24"/>
          <w:highlight w:val="none"/>
        </w:rPr>
        <w:instrText xml:space="preserve">TOC \o "1-2" \h \u </w:instrText>
      </w:r>
      <w:r>
        <w:rPr>
          <w:rFonts w:hint="eastAsia" w:ascii="华文仿宋" w:hAnsi="华文仿宋" w:eastAsia="华文仿宋" w:cs="华文仿宋"/>
          <w:sz w:val="24"/>
          <w:szCs w:val="24"/>
          <w:highlight w:val="none"/>
        </w:rPr>
        <w:fldChar w:fldCharType="separate"/>
      </w:r>
      <w:r>
        <w:rPr>
          <w:highlight w:val="none"/>
        </w:rPr>
        <w:fldChar w:fldCharType="begin"/>
      </w:r>
      <w:r>
        <w:rPr>
          <w:highlight w:val="none"/>
        </w:rPr>
        <w:instrText xml:space="preserve"> HYPERLINK \l "_Toc4742" </w:instrText>
      </w:r>
      <w:r>
        <w:rPr>
          <w:highlight w:val="none"/>
        </w:rPr>
        <w:fldChar w:fldCharType="separate"/>
      </w:r>
      <w:r>
        <w:rPr>
          <w:rFonts w:hint="eastAsia" w:ascii="宋体" w:hAnsi="宋体"/>
          <w:sz w:val="24"/>
          <w:szCs w:val="24"/>
          <w:highlight w:val="none"/>
        </w:rPr>
        <w:t>一、工程概况</w:t>
      </w:r>
      <w:r>
        <w:rPr>
          <w:sz w:val="24"/>
          <w:szCs w:val="24"/>
          <w:highlight w:val="none"/>
        </w:rPr>
        <w:tab/>
      </w:r>
      <w:r>
        <w:rPr>
          <w:sz w:val="24"/>
          <w:szCs w:val="24"/>
          <w:highlight w:val="none"/>
        </w:rPr>
        <w:fldChar w:fldCharType="begin"/>
      </w:r>
      <w:r>
        <w:rPr>
          <w:sz w:val="24"/>
          <w:szCs w:val="24"/>
          <w:highlight w:val="none"/>
        </w:rPr>
        <w:instrText xml:space="preserve"> PAGEREF _Toc4742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2A6C9E45">
      <w:pPr>
        <w:pStyle w:val="42"/>
        <w:tabs>
          <w:tab w:val="right" w:leader="dot" w:pos="8640"/>
        </w:tabs>
        <w:rPr>
          <w:sz w:val="24"/>
          <w:szCs w:val="24"/>
          <w:highlight w:val="none"/>
        </w:rPr>
      </w:pPr>
      <w:r>
        <w:rPr>
          <w:highlight w:val="none"/>
        </w:rPr>
        <w:fldChar w:fldCharType="begin"/>
      </w:r>
      <w:r>
        <w:rPr>
          <w:highlight w:val="none"/>
        </w:rPr>
        <w:instrText xml:space="preserve"> HYPERLINK \l "_Toc29543" </w:instrText>
      </w:r>
      <w:r>
        <w:rPr>
          <w:highlight w:val="none"/>
        </w:rPr>
        <w:fldChar w:fldCharType="separate"/>
      </w:r>
      <w:r>
        <w:rPr>
          <w:rFonts w:hint="eastAsia" w:ascii="宋体" w:hAnsi="宋体"/>
          <w:sz w:val="24"/>
          <w:szCs w:val="24"/>
          <w:highlight w:val="none"/>
        </w:rPr>
        <w:t>二、工程范围</w:t>
      </w:r>
      <w:r>
        <w:rPr>
          <w:sz w:val="24"/>
          <w:szCs w:val="24"/>
          <w:highlight w:val="none"/>
        </w:rPr>
        <w:tab/>
      </w:r>
      <w:r>
        <w:rPr>
          <w:sz w:val="24"/>
          <w:szCs w:val="24"/>
          <w:highlight w:val="none"/>
        </w:rPr>
        <w:fldChar w:fldCharType="begin"/>
      </w:r>
      <w:r>
        <w:rPr>
          <w:sz w:val="24"/>
          <w:szCs w:val="24"/>
          <w:highlight w:val="none"/>
        </w:rPr>
        <w:instrText xml:space="preserve"> PAGEREF _Toc29543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1D472A87">
      <w:pPr>
        <w:pStyle w:val="53"/>
        <w:tabs>
          <w:tab w:val="right" w:leader="dot" w:pos="8640"/>
        </w:tabs>
        <w:rPr>
          <w:sz w:val="24"/>
          <w:szCs w:val="24"/>
          <w:highlight w:val="none"/>
        </w:rPr>
      </w:pPr>
      <w:r>
        <w:rPr>
          <w:highlight w:val="none"/>
        </w:rPr>
        <w:fldChar w:fldCharType="begin"/>
      </w:r>
      <w:r>
        <w:rPr>
          <w:highlight w:val="none"/>
        </w:rPr>
        <w:instrText xml:space="preserve"> HYPERLINK \l "_Toc28491" </w:instrText>
      </w:r>
      <w:r>
        <w:rPr>
          <w:highlight w:val="none"/>
        </w:rPr>
        <w:fldChar w:fldCharType="separate"/>
      </w:r>
      <w:r>
        <w:rPr>
          <w:rFonts w:hint="eastAsia" w:ascii="宋体" w:hAnsi="宋体"/>
          <w:bCs/>
          <w:sz w:val="24"/>
          <w:szCs w:val="24"/>
          <w:highlight w:val="none"/>
        </w:rPr>
        <w:t>（一）检测路段（含相关地形图和管线位置图）</w:t>
      </w:r>
      <w:r>
        <w:rPr>
          <w:sz w:val="24"/>
          <w:szCs w:val="24"/>
          <w:highlight w:val="none"/>
        </w:rPr>
        <w:tab/>
      </w:r>
      <w:r>
        <w:rPr>
          <w:sz w:val="24"/>
          <w:szCs w:val="24"/>
          <w:highlight w:val="none"/>
        </w:rPr>
        <w:fldChar w:fldCharType="begin"/>
      </w:r>
      <w:r>
        <w:rPr>
          <w:sz w:val="24"/>
          <w:szCs w:val="24"/>
          <w:highlight w:val="none"/>
        </w:rPr>
        <w:instrText xml:space="preserve"> PAGEREF _Toc28491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65688C2A">
      <w:pPr>
        <w:pStyle w:val="53"/>
        <w:tabs>
          <w:tab w:val="right" w:leader="dot" w:pos="8640"/>
        </w:tabs>
        <w:rPr>
          <w:sz w:val="24"/>
          <w:szCs w:val="24"/>
          <w:highlight w:val="none"/>
        </w:rPr>
      </w:pPr>
      <w:r>
        <w:rPr>
          <w:highlight w:val="none"/>
        </w:rPr>
        <w:fldChar w:fldCharType="begin"/>
      </w:r>
      <w:r>
        <w:rPr>
          <w:highlight w:val="none"/>
        </w:rPr>
        <w:instrText xml:space="preserve"> HYPERLINK \l "_Toc23737" </w:instrText>
      </w:r>
      <w:r>
        <w:rPr>
          <w:highlight w:val="none"/>
        </w:rPr>
        <w:fldChar w:fldCharType="separate"/>
      </w:r>
      <w:r>
        <w:rPr>
          <w:rFonts w:hint="eastAsia" w:ascii="宋体" w:hAnsi="宋体"/>
          <w:bCs/>
          <w:sz w:val="24"/>
          <w:szCs w:val="24"/>
          <w:highlight w:val="none"/>
        </w:rPr>
        <w:t>（二）检测要求（包含所有检测项目要求）</w:t>
      </w:r>
      <w:r>
        <w:rPr>
          <w:sz w:val="24"/>
          <w:szCs w:val="24"/>
          <w:highlight w:val="none"/>
        </w:rPr>
        <w:tab/>
      </w:r>
      <w:r>
        <w:rPr>
          <w:sz w:val="24"/>
          <w:szCs w:val="24"/>
          <w:highlight w:val="none"/>
        </w:rPr>
        <w:fldChar w:fldCharType="begin"/>
      </w:r>
      <w:r>
        <w:rPr>
          <w:sz w:val="24"/>
          <w:szCs w:val="24"/>
          <w:highlight w:val="none"/>
        </w:rPr>
        <w:instrText xml:space="preserve"> PAGEREF _Toc23737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67928E0B">
      <w:pPr>
        <w:pStyle w:val="42"/>
        <w:tabs>
          <w:tab w:val="right" w:leader="dot" w:pos="8640"/>
        </w:tabs>
        <w:rPr>
          <w:sz w:val="24"/>
          <w:szCs w:val="24"/>
          <w:highlight w:val="none"/>
        </w:rPr>
      </w:pPr>
      <w:r>
        <w:rPr>
          <w:highlight w:val="none"/>
        </w:rPr>
        <w:fldChar w:fldCharType="begin"/>
      </w:r>
      <w:r>
        <w:rPr>
          <w:highlight w:val="none"/>
        </w:rPr>
        <w:instrText xml:space="preserve"> HYPERLINK \l "_Toc31504" </w:instrText>
      </w:r>
      <w:r>
        <w:rPr>
          <w:highlight w:val="none"/>
        </w:rPr>
        <w:fldChar w:fldCharType="separate"/>
      </w:r>
      <w:r>
        <w:rPr>
          <w:rFonts w:hint="eastAsia" w:ascii="宋体" w:hAnsi="宋体"/>
          <w:sz w:val="24"/>
          <w:szCs w:val="24"/>
          <w:highlight w:val="none"/>
        </w:rPr>
        <w:t>三、抽检方案</w:t>
      </w:r>
      <w:r>
        <w:rPr>
          <w:sz w:val="24"/>
          <w:szCs w:val="24"/>
          <w:highlight w:val="none"/>
        </w:rPr>
        <w:tab/>
      </w:r>
      <w:r>
        <w:rPr>
          <w:sz w:val="24"/>
          <w:szCs w:val="24"/>
          <w:highlight w:val="none"/>
        </w:rPr>
        <w:fldChar w:fldCharType="begin"/>
      </w:r>
      <w:r>
        <w:rPr>
          <w:sz w:val="24"/>
          <w:szCs w:val="24"/>
          <w:highlight w:val="none"/>
        </w:rPr>
        <w:instrText xml:space="preserve"> PAGEREF _Toc31504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14:paraId="79B74E03">
      <w:pPr>
        <w:pStyle w:val="53"/>
        <w:tabs>
          <w:tab w:val="right" w:leader="dot" w:pos="8640"/>
        </w:tabs>
        <w:rPr>
          <w:sz w:val="24"/>
          <w:szCs w:val="24"/>
          <w:highlight w:val="none"/>
        </w:rPr>
      </w:pPr>
      <w:r>
        <w:rPr>
          <w:highlight w:val="none"/>
        </w:rPr>
        <w:fldChar w:fldCharType="begin"/>
      </w:r>
      <w:r>
        <w:rPr>
          <w:highlight w:val="none"/>
        </w:rPr>
        <w:instrText xml:space="preserve"> HYPERLINK \l "_Toc3668" </w:instrText>
      </w:r>
      <w:r>
        <w:rPr>
          <w:highlight w:val="none"/>
        </w:rPr>
        <w:fldChar w:fldCharType="separate"/>
      </w:r>
      <w:r>
        <w:rPr>
          <w:rFonts w:hint="eastAsia" w:ascii="宋体" w:hAnsi="宋体"/>
          <w:sz w:val="24"/>
          <w:szCs w:val="24"/>
          <w:highlight w:val="none"/>
        </w:rPr>
        <w:t>（一）抽检方案（包含所有检测项目的详细检测方案及作业指导书）</w:t>
      </w:r>
      <w:r>
        <w:rPr>
          <w:sz w:val="24"/>
          <w:szCs w:val="24"/>
          <w:highlight w:val="none"/>
        </w:rPr>
        <w:tab/>
      </w:r>
      <w:r>
        <w:rPr>
          <w:sz w:val="24"/>
          <w:szCs w:val="24"/>
          <w:highlight w:val="none"/>
        </w:rPr>
        <w:fldChar w:fldCharType="begin"/>
      </w:r>
      <w:r>
        <w:rPr>
          <w:sz w:val="24"/>
          <w:szCs w:val="24"/>
          <w:highlight w:val="none"/>
        </w:rPr>
        <w:instrText xml:space="preserve"> PAGEREF _Toc3668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4B7C267D">
      <w:pPr>
        <w:pStyle w:val="53"/>
        <w:tabs>
          <w:tab w:val="right" w:leader="dot" w:pos="8640"/>
        </w:tabs>
        <w:rPr>
          <w:sz w:val="24"/>
          <w:szCs w:val="24"/>
          <w:highlight w:val="none"/>
        </w:rPr>
      </w:pPr>
      <w:r>
        <w:rPr>
          <w:highlight w:val="none"/>
        </w:rPr>
        <w:fldChar w:fldCharType="begin"/>
      </w:r>
      <w:r>
        <w:rPr>
          <w:highlight w:val="none"/>
        </w:rPr>
        <w:instrText xml:space="preserve"> HYPERLINK \l "_Toc25376" </w:instrText>
      </w:r>
      <w:r>
        <w:rPr>
          <w:highlight w:val="none"/>
        </w:rPr>
        <w:fldChar w:fldCharType="separate"/>
      </w:r>
      <w:r>
        <w:rPr>
          <w:rFonts w:hint="eastAsia" w:ascii="宋体" w:hAnsi="宋体"/>
          <w:sz w:val="24"/>
          <w:szCs w:val="24"/>
          <w:highlight w:val="none"/>
        </w:rPr>
        <w:t>（二）检测依据</w:t>
      </w:r>
      <w:r>
        <w:rPr>
          <w:sz w:val="24"/>
          <w:szCs w:val="24"/>
          <w:highlight w:val="none"/>
        </w:rPr>
        <w:tab/>
      </w:r>
      <w:r>
        <w:rPr>
          <w:sz w:val="24"/>
          <w:szCs w:val="24"/>
          <w:highlight w:val="none"/>
        </w:rPr>
        <w:fldChar w:fldCharType="begin"/>
      </w:r>
      <w:r>
        <w:rPr>
          <w:sz w:val="24"/>
          <w:szCs w:val="24"/>
          <w:highlight w:val="none"/>
        </w:rPr>
        <w:instrText xml:space="preserve"> PAGEREF _Toc25376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1D18431C">
      <w:pPr>
        <w:pStyle w:val="53"/>
        <w:tabs>
          <w:tab w:val="right" w:leader="dot" w:pos="8640"/>
        </w:tabs>
        <w:rPr>
          <w:sz w:val="24"/>
          <w:szCs w:val="24"/>
          <w:highlight w:val="none"/>
        </w:rPr>
      </w:pPr>
      <w:r>
        <w:rPr>
          <w:highlight w:val="none"/>
        </w:rPr>
        <w:fldChar w:fldCharType="begin"/>
      </w:r>
      <w:r>
        <w:rPr>
          <w:highlight w:val="none"/>
        </w:rPr>
        <w:instrText xml:space="preserve"> HYPERLINK \l "_Toc27810" </w:instrText>
      </w:r>
      <w:r>
        <w:rPr>
          <w:highlight w:val="none"/>
        </w:rPr>
        <w:fldChar w:fldCharType="separate"/>
      </w:r>
      <w:r>
        <w:rPr>
          <w:rFonts w:hint="eastAsia" w:ascii="宋体" w:hAnsi="宋体"/>
          <w:sz w:val="24"/>
          <w:szCs w:val="24"/>
          <w:highlight w:val="none"/>
        </w:rPr>
        <w:t>（三）判定标准</w:t>
      </w:r>
      <w:r>
        <w:rPr>
          <w:sz w:val="24"/>
          <w:szCs w:val="24"/>
          <w:highlight w:val="none"/>
        </w:rPr>
        <w:tab/>
      </w:r>
      <w:r>
        <w:rPr>
          <w:sz w:val="24"/>
          <w:szCs w:val="24"/>
          <w:highlight w:val="none"/>
        </w:rPr>
        <w:fldChar w:fldCharType="begin"/>
      </w:r>
      <w:r>
        <w:rPr>
          <w:sz w:val="24"/>
          <w:szCs w:val="24"/>
          <w:highlight w:val="none"/>
        </w:rPr>
        <w:instrText xml:space="preserve"> PAGEREF _Toc27810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0D4A0D43">
      <w:pPr>
        <w:pStyle w:val="53"/>
        <w:tabs>
          <w:tab w:val="right" w:leader="dot" w:pos="8640"/>
        </w:tabs>
        <w:rPr>
          <w:sz w:val="24"/>
          <w:szCs w:val="24"/>
          <w:highlight w:val="none"/>
        </w:rPr>
      </w:pPr>
      <w:r>
        <w:rPr>
          <w:highlight w:val="none"/>
        </w:rPr>
        <w:fldChar w:fldCharType="begin"/>
      </w:r>
      <w:r>
        <w:rPr>
          <w:highlight w:val="none"/>
        </w:rPr>
        <w:instrText xml:space="preserve"> HYPERLINK \l "_Toc23901" </w:instrText>
      </w:r>
      <w:r>
        <w:rPr>
          <w:highlight w:val="none"/>
        </w:rPr>
        <w:fldChar w:fldCharType="separate"/>
      </w:r>
      <w:r>
        <w:rPr>
          <w:rFonts w:hint="eastAsia" w:ascii="宋体" w:hAnsi="宋体"/>
          <w:sz w:val="24"/>
          <w:szCs w:val="24"/>
          <w:highlight w:val="none"/>
        </w:rPr>
        <w:t>（四）检测设备</w:t>
      </w:r>
      <w:r>
        <w:rPr>
          <w:sz w:val="24"/>
          <w:szCs w:val="24"/>
          <w:highlight w:val="none"/>
        </w:rPr>
        <w:tab/>
      </w:r>
      <w:r>
        <w:rPr>
          <w:sz w:val="24"/>
          <w:szCs w:val="24"/>
          <w:highlight w:val="none"/>
        </w:rPr>
        <w:fldChar w:fldCharType="begin"/>
      </w:r>
      <w:r>
        <w:rPr>
          <w:sz w:val="24"/>
          <w:szCs w:val="24"/>
          <w:highlight w:val="none"/>
        </w:rPr>
        <w:instrText xml:space="preserve"> PAGEREF _Toc23901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14:paraId="228A77DB">
      <w:pPr>
        <w:pStyle w:val="42"/>
        <w:tabs>
          <w:tab w:val="right" w:leader="dot" w:pos="8640"/>
        </w:tabs>
        <w:rPr>
          <w:sz w:val="24"/>
          <w:szCs w:val="24"/>
          <w:highlight w:val="none"/>
        </w:rPr>
      </w:pPr>
      <w:r>
        <w:rPr>
          <w:highlight w:val="none"/>
        </w:rPr>
        <w:fldChar w:fldCharType="begin"/>
      </w:r>
      <w:r>
        <w:rPr>
          <w:highlight w:val="none"/>
        </w:rPr>
        <w:instrText xml:space="preserve"> HYPERLINK \l "_Toc13460" </w:instrText>
      </w:r>
      <w:r>
        <w:rPr>
          <w:highlight w:val="none"/>
        </w:rPr>
        <w:fldChar w:fldCharType="separate"/>
      </w:r>
      <w:r>
        <w:rPr>
          <w:rFonts w:hint="eastAsia" w:ascii="宋体" w:hAnsi="宋体"/>
          <w:sz w:val="24"/>
          <w:szCs w:val="24"/>
          <w:highlight w:val="none"/>
        </w:rPr>
        <w:t>四、抽检结果</w:t>
      </w:r>
      <w:r>
        <w:rPr>
          <w:sz w:val="24"/>
          <w:szCs w:val="24"/>
          <w:highlight w:val="none"/>
        </w:rPr>
        <w:tab/>
      </w:r>
      <w:r>
        <w:rPr>
          <w:sz w:val="24"/>
          <w:szCs w:val="24"/>
          <w:highlight w:val="none"/>
        </w:rPr>
        <w:fldChar w:fldCharType="begin"/>
      </w:r>
      <w:r>
        <w:rPr>
          <w:sz w:val="24"/>
          <w:szCs w:val="24"/>
          <w:highlight w:val="none"/>
        </w:rPr>
        <w:instrText xml:space="preserve"> PAGEREF _Toc13460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14:paraId="26879857">
      <w:pPr>
        <w:pStyle w:val="53"/>
        <w:tabs>
          <w:tab w:val="right" w:leader="dot" w:pos="8640"/>
        </w:tabs>
        <w:rPr>
          <w:sz w:val="24"/>
          <w:szCs w:val="24"/>
          <w:highlight w:val="none"/>
        </w:rPr>
      </w:pPr>
      <w:r>
        <w:rPr>
          <w:highlight w:val="none"/>
        </w:rPr>
        <w:fldChar w:fldCharType="begin"/>
      </w:r>
      <w:r>
        <w:rPr>
          <w:highlight w:val="none"/>
        </w:rPr>
        <w:instrText xml:space="preserve"> HYPERLINK \l "_Toc32550" </w:instrText>
      </w:r>
      <w:r>
        <w:rPr>
          <w:highlight w:val="none"/>
        </w:rPr>
        <w:fldChar w:fldCharType="separate"/>
      </w:r>
      <w:r>
        <w:rPr>
          <w:rFonts w:hint="eastAsia" w:ascii="宋体" w:hAnsi="宋体"/>
          <w:bCs/>
          <w:sz w:val="24"/>
          <w:szCs w:val="24"/>
          <w:highlight w:val="none"/>
        </w:rPr>
        <w:t>（一）抽检结果</w:t>
      </w:r>
      <w:r>
        <w:rPr>
          <w:sz w:val="24"/>
          <w:szCs w:val="24"/>
          <w:highlight w:val="none"/>
        </w:rPr>
        <w:tab/>
      </w:r>
      <w:r>
        <w:rPr>
          <w:sz w:val="24"/>
          <w:szCs w:val="24"/>
          <w:highlight w:val="none"/>
        </w:rPr>
        <w:fldChar w:fldCharType="begin"/>
      </w:r>
      <w:r>
        <w:rPr>
          <w:sz w:val="24"/>
          <w:szCs w:val="24"/>
          <w:highlight w:val="none"/>
        </w:rPr>
        <w:instrText xml:space="preserve"> PAGEREF _Toc32550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14:paraId="5FF3ECDB">
      <w:pPr>
        <w:pStyle w:val="53"/>
        <w:tabs>
          <w:tab w:val="right" w:leader="dot" w:pos="8640"/>
        </w:tabs>
        <w:rPr>
          <w:sz w:val="24"/>
          <w:szCs w:val="24"/>
          <w:highlight w:val="none"/>
        </w:rPr>
      </w:pPr>
      <w:r>
        <w:rPr>
          <w:highlight w:val="none"/>
        </w:rPr>
        <w:fldChar w:fldCharType="begin"/>
      </w:r>
      <w:r>
        <w:rPr>
          <w:highlight w:val="none"/>
        </w:rPr>
        <w:instrText xml:space="preserve"> HYPERLINK \l "_Toc2427" </w:instrText>
      </w:r>
      <w:r>
        <w:rPr>
          <w:highlight w:val="none"/>
        </w:rPr>
        <w:fldChar w:fldCharType="separate"/>
      </w:r>
      <w:r>
        <w:rPr>
          <w:rFonts w:hint="eastAsia" w:ascii="宋体" w:hAnsi="宋体"/>
          <w:bCs/>
          <w:sz w:val="24"/>
          <w:szCs w:val="24"/>
          <w:highlight w:val="none"/>
        </w:rPr>
        <w:t>（二）抽检结论</w:t>
      </w:r>
      <w:r>
        <w:rPr>
          <w:sz w:val="24"/>
          <w:szCs w:val="24"/>
          <w:highlight w:val="none"/>
        </w:rPr>
        <w:tab/>
      </w:r>
      <w:r>
        <w:rPr>
          <w:sz w:val="24"/>
          <w:szCs w:val="24"/>
          <w:highlight w:val="none"/>
        </w:rPr>
        <w:fldChar w:fldCharType="begin"/>
      </w:r>
      <w:r>
        <w:rPr>
          <w:sz w:val="24"/>
          <w:szCs w:val="24"/>
          <w:highlight w:val="none"/>
        </w:rPr>
        <w:instrText xml:space="preserve"> PAGEREF _Toc2427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42B722DF">
      <w:pPr>
        <w:pStyle w:val="42"/>
        <w:tabs>
          <w:tab w:val="right" w:leader="dot" w:pos="8640"/>
        </w:tabs>
        <w:rPr>
          <w:sz w:val="24"/>
          <w:szCs w:val="24"/>
          <w:highlight w:val="none"/>
        </w:rPr>
      </w:pPr>
      <w:r>
        <w:rPr>
          <w:highlight w:val="none"/>
        </w:rPr>
        <w:fldChar w:fldCharType="begin"/>
      </w:r>
      <w:r>
        <w:rPr>
          <w:highlight w:val="none"/>
        </w:rPr>
        <w:instrText xml:space="preserve"> HYPERLINK \l "_Toc23627" </w:instrText>
      </w:r>
      <w:r>
        <w:rPr>
          <w:highlight w:val="none"/>
        </w:rPr>
        <w:fldChar w:fldCharType="separate"/>
      </w:r>
      <w:r>
        <w:rPr>
          <w:rFonts w:hint="eastAsia" w:ascii="宋体" w:hAnsi="宋体"/>
          <w:sz w:val="24"/>
          <w:szCs w:val="24"/>
          <w:highlight w:val="none"/>
        </w:rPr>
        <w:t>五、分项报告</w:t>
      </w:r>
      <w:r>
        <w:rPr>
          <w:sz w:val="24"/>
          <w:szCs w:val="24"/>
          <w:highlight w:val="none"/>
        </w:rPr>
        <w:tab/>
      </w:r>
      <w:r>
        <w:rPr>
          <w:sz w:val="24"/>
          <w:szCs w:val="24"/>
          <w:highlight w:val="none"/>
        </w:rPr>
        <w:fldChar w:fldCharType="begin"/>
      </w:r>
      <w:r>
        <w:rPr>
          <w:sz w:val="24"/>
          <w:szCs w:val="24"/>
          <w:highlight w:val="none"/>
        </w:rPr>
        <w:instrText xml:space="preserve"> PAGEREF _Toc23627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29994EB3">
      <w:pPr>
        <w:jc w:val="center"/>
        <w:rPr>
          <w:rFonts w:ascii="??" w:hAnsi="??"/>
          <w:sz w:val="36"/>
          <w:highlight w:val="none"/>
        </w:rPr>
      </w:pPr>
      <w:r>
        <w:rPr>
          <w:rFonts w:hint="eastAsia" w:ascii="华文仿宋" w:hAnsi="华文仿宋" w:eastAsia="华文仿宋" w:cs="华文仿宋"/>
          <w:sz w:val="24"/>
          <w:szCs w:val="24"/>
          <w:highlight w:val="none"/>
        </w:rPr>
        <w:fldChar w:fldCharType="end"/>
      </w:r>
    </w:p>
    <w:p w14:paraId="0277A2D4">
      <w:pPr>
        <w:jc w:val="center"/>
        <w:rPr>
          <w:rFonts w:ascii="??" w:hAnsi="??"/>
          <w:sz w:val="36"/>
          <w:highlight w:val="none"/>
        </w:rPr>
      </w:pPr>
    </w:p>
    <w:p w14:paraId="03DBD0D9">
      <w:pPr>
        <w:jc w:val="center"/>
        <w:rPr>
          <w:rFonts w:ascii="??" w:hAnsi="??"/>
          <w:sz w:val="36"/>
          <w:highlight w:val="none"/>
        </w:rPr>
      </w:pPr>
    </w:p>
    <w:p w14:paraId="6DB6B7DE">
      <w:pPr>
        <w:rPr>
          <w:rFonts w:ascii="黑体" w:hAnsi="黑体" w:eastAsia="黑体"/>
          <w:sz w:val="28"/>
          <w:szCs w:val="28"/>
          <w:highlight w:val="none"/>
        </w:rPr>
      </w:pPr>
      <w:r>
        <w:rPr>
          <w:rFonts w:hint="eastAsia" w:ascii="黑体" w:hAnsi="黑体" w:eastAsia="黑体"/>
          <w:sz w:val="28"/>
          <w:szCs w:val="28"/>
          <w:highlight w:val="none"/>
        </w:rPr>
        <w:br w:type="page"/>
      </w:r>
    </w:p>
    <w:p w14:paraId="7F8FA304">
      <w:pPr>
        <w:spacing w:line="520" w:lineRule="exact"/>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一、工程概况</w:t>
      </w:r>
    </w:p>
    <w:p w14:paraId="1F46FC27">
      <w:pPr>
        <w:spacing w:line="520" w:lineRule="exact"/>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二、工程范围</w:t>
      </w:r>
    </w:p>
    <w:p w14:paraId="604290D8">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（一）检测路段（含相关地形图和管线位置图）</w:t>
      </w:r>
    </w:p>
    <w:p w14:paraId="72834EDE">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（二）检测要求（包含所有检测项目要求）</w:t>
      </w:r>
    </w:p>
    <w:p w14:paraId="6D9944FE">
      <w:pPr>
        <w:spacing w:line="520" w:lineRule="exact"/>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三、抽检方案</w:t>
      </w:r>
    </w:p>
    <w:p w14:paraId="271312D2">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（一）抽检方案（含所有检测项目的详细检测方案及作业指导书）</w:t>
      </w:r>
    </w:p>
    <w:p w14:paraId="50DE256F">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（二）抽检依据</w:t>
      </w:r>
    </w:p>
    <w:p w14:paraId="3F1A3052">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1.《城镇道路工程施工与质量验收规范》CJJ1-2008</w:t>
      </w:r>
    </w:p>
    <w:p w14:paraId="57B72D2E">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2.《公路沥青路面施工技术规范》JTG F40-2004</w:t>
      </w:r>
    </w:p>
    <w:p w14:paraId="25F5AC55">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3.《给水排水管道工程施工及验收规范》 GB50268-2008</w:t>
      </w:r>
    </w:p>
    <w:p w14:paraId="6AC13A0C">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4.《城镇排水管道维护安全技术规程》CJJ6-2009</w:t>
      </w:r>
    </w:p>
    <w:p w14:paraId="51E8B8F1">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5.《城镇排水管道检测与评估技术规程》CJJ181—2012</w:t>
      </w:r>
    </w:p>
    <w:p w14:paraId="02AC060A">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（三）判定标准</w:t>
      </w:r>
    </w:p>
    <w:p w14:paraId="67281020">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1.《城镇道路工程施工与质量验收规范》CJJ1-2008</w:t>
      </w:r>
    </w:p>
    <w:p w14:paraId="2EE3C63B">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2.《给水排水管道工程施工及验收规范》 GB50268-2008</w:t>
      </w:r>
    </w:p>
    <w:p w14:paraId="6CD89354">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3.设计规定。</w:t>
      </w:r>
    </w:p>
    <w:p w14:paraId="6171DD9A">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（四）检测设备</w:t>
      </w:r>
    </w:p>
    <w:p w14:paraId="0CBD0316">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本次检测所采用的检测设备包含：贝克曼梁弯沉仪、连续式平整度仪、CCTV机器人、潜望镜、标准车、钻孔取芯机、测温枪、钢直尺、卷尺等。</w:t>
      </w:r>
    </w:p>
    <w:p w14:paraId="04BAB829">
      <w:pPr>
        <w:spacing w:line="520" w:lineRule="exact"/>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四、检测结果</w:t>
      </w:r>
    </w:p>
    <w:p w14:paraId="30368AEE">
      <w:pPr>
        <w:spacing w:line="520" w:lineRule="exact"/>
        <w:ind w:firstLine="560" w:firstLineChars="200"/>
        <w:outlineLvl w:val="0"/>
        <w:rPr>
          <w:rFonts w:ascii="黑体" w:hAnsi="黑体" w:eastAsia="黑体"/>
          <w:sz w:val="28"/>
          <w:szCs w:val="28"/>
          <w:highlight w:val="none"/>
        </w:rPr>
      </w:pPr>
      <w:r>
        <w:rPr>
          <w:rFonts w:hint="eastAsia" w:ascii="仿宋_GB2312" w:hAnsi="仿宋" w:eastAsia="仿宋_GB2312"/>
          <w:bCs/>
          <w:sz w:val="28"/>
          <w:szCs w:val="28"/>
          <w:highlight w:val="none"/>
        </w:rPr>
        <w:t>（一）检测结果</w:t>
      </w:r>
    </w:p>
    <w:p w14:paraId="0B81EBE3">
      <w:pPr>
        <w:spacing w:line="520" w:lineRule="exact"/>
        <w:ind w:firstLine="560" w:firstLineChars="200"/>
        <w:outlineLvl w:val="1"/>
        <w:rPr>
          <w:rFonts w:ascii="仿宋_GB2312" w:hAnsi="仿宋" w:eastAsia="仿宋_GB2312"/>
          <w:bCs/>
          <w:sz w:val="28"/>
          <w:szCs w:val="28"/>
          <w:highlight w:val="none"/>
        </w:rPr>
      </w:pPr>
      <w:r>
        <w:rPr>
          <w:rFonts w:hint="eastAsia" w:ascii="仿宋_GB2312" w:hAnsi="仿宋" w:eastAsia="仿宋_GB2312"/>
          <w:bCs/>
          <w:sz w:val="28"/>
          <w:szCs w:val="28"/>
          <w:highlight w:val="none"/>
        </w:rPr>
        <w:t>1.车行道沥青结构层厚度检测结果</w:t>
      </w:r>
    </w:p>
    <w:tbl>
      <w:tblPr>
        <w:tblStyle w:val="62"/>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610"/>
        <w:gridCol w:w="1078"/>
        <w:gridCol w:w="749"/>
        <w:gridCol w:w="869"/>
        <w:gridCol w:w="1147"/>
        <w:gridCol w:w="838"/>
        <w:gridCol w:w="1613"/>
        <w:gridCol w:w="944"/>
      </w:tblGrid>
      <w:tr w14:paraId="649A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blHeader/>
          <w:tblCellSpacing w:w="0" w:type="dxa"/>
        </w:trPr>
        <w:tc>
          <w:tcPr>
            <w:tcW w:w="838" w:type="dxa"/>
            <w:tcMar>
              <w:top w:w="12" w:type="dxa"/>
              <w:left w:w="12" w:type="dxa"/>
              <w:right w:w="12" w:type="dxa"/>
            </w:tcMar>
            <w:vAlign w:val="center"/>
          </w:tcPr>
          <w:p w14:paraId="3CF4E624">
            <w:pPr>
              <w:spacing w:line="360" w:lineRule="auto"/>
              <w:ind w:left="420" w:hanging="420" w:hangingChars="200"/>
              <w:jc w:val="center"/>
              <w:rPr>
                <w:rFonts w:ascii="仿宋" w:hAnsi="仿宋" w:eastAsia="仿宋"/>
                <w:szCs w:val="20"/>
                <w:highlight w:val="none"/>
              </w:rPr>
            </w:pPr>
            <w:r>
              <w:rPr>
                <w:rFonts w:hint="eastAsia" w:ascii="仿宋" w:hAnsi="仿宋" w:eastAsia="仿宋" w:cs="宋体"/>
                <w:color w:val="000000"/>
                <w:szCs w:val="21"/>
                <w:highlight w:val="none"/>
              </w:rPr>
              <w:t>道路名称</w:t>
            </w:r>
          </w:p>
        </w:tc>
        <w:tc>
          <w:tcPr>
            <w:tcW w:w="610" w:type="dxa"/>
            <w:tcMar>
              <w:top w:w="12" w:type="dxa"/>
              <w:left w:w="12" w:type="dxa"/>
              <w:right w:w="12" w:type="dxa"/>
            </w:tcMar>
            <w:vAlign w:val="center"/>
          </w:tcPr>
          <w:p w14:paraId="7688B1E5">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道路等级</w:t>
            </w:r>
          </w:p>
        </w:tc>
        <w:tc>
          <w:tcPr>
            <w:tcW w:w="1078" w:type="dxa"/>
            <w:tcMar>
              <w:top w:w="12" w:type="dxa"/>
              <w:left w:w="12" w:type="dxa"/>
              <w:right w:w="12" w:type="dxa"/>
            </w:tcMar>
            <w:vAlign w:val="center"/>
          </w:tcPr>
          <w:p w14:paraId="71A41187">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桩号</w:t>
            </w:r>
          </w:p>
        </w:tc>
        <w:tc>
          <w:tcPr>
            <w:tcW w:w="749" w:type="dxa"/>
            <w:tcMar>
              <w:top w:w="12" w:type="dxa"/>
              <w:left w:w="12" w:type="dxa"/>
              <w:right w:w="12" w:type="dxa"/>
            </w:tcMar>
            <w:vAlign w:val="center"/>
          </w:tcPr>
          <w:p w14:paraId="6FCBD0A2">
            <w:pPr>
              <w:pStyle w:val="57"/>
              <w:jc w:val="both"/>
              <w:rPr>
                <w:rFonts w:ascii="仿宋" w:hAnsi="仿宋" w:eastAsia="仿宋"/>
                <w:sz w:val="21"/>
                <w:szCs w:val="20"/>
                <w:highlight w:val="none"/>
              </w:rPr>
            </w:pPr>
            <w:r>
              <w:rPr>
                <w:rFonts w:hint="eastAsia" w:ascii="仿宋" w:hAnsi="仿宋" w:eastAsia="仿宋"/>
                <w:color w:val="000000"/>
                <w:sz w:val="21"/>
                <w:szCs w:val="21"/>
                <w:highlight w:val="none"/>
              </w:rPr>
              <w:t>设计厚度（mm）</w:t>
            </w:r>
          </w:p>
        </w:tc>
        <w:tc>
          <w:tcPr>
            <w:tcW w:w="869" w:type="dxa"/>
            <w:tcMar>
              <w:top w:w="12" w:type="dxa"/>
              <w:left w:w="12" w:type="dxa"/>
              <w:right w:w="12" w:type="dxa"/>
            </w:tcMar>
            <w:vAlign w:val="center"/>
          </w:tcPr>
          <w:p w14:paraId="7356E014">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允许偏差（mm）</w:t>
            </w:r>
          </w:p>
        </w:tc>
        <w:tc>
          <w:tcPr>
            <w:tcW w:w="1147" w:type="dxa"/>
            <w:tcMar>
              <w:top w:w="12" w:type="dxa"/>
              <w:left w:w="12" w:type="dxa"/>
              <w:right w:w="12" w:type="dxa"/>
            </w:tcMar>
            <w:vAlign w:val="center"/>
          </w:tcPr>
          <w:p w14:paraId="230F3E45">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实测结果（mm）</w:t>
            </w:r>
          </w:p>
        </w:tc>
        <w:tc>
          <w:tcPr>
            <w:tcW w:w="838" w:type="dxa"/>
            <w:tcMar>
              <w:top w:w="12" w:type="dxa"/>
              <w:left w:w="12" w:type="dxa"/>
              <w:right w:w="12" w:type="dxa"/>
            </w:tcMar>
            <w:vAlign w:val="center"/>
          </w:tcPr>
          <w:p w14:paraId="55ED8D35">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偏差（mm）</w:t>
            </w:r>
          </w:p>
        </w:tc>
        <w:tc>
          <w:tcPr>
            <w:tcW w:w="1613" w:type="dxa"/>
            <w:tcMar>
              <w:top w:w="12" w:type="dxa"/>
              <w:left w:w="12" w:type="dxa"/>
              <w:right w:w="12" w:type="dxa"/>
            </w:tcMar>
            <w:vAlign w:val="center"/>
          </w:tcPr>
          <w:p w14:paraId="64835771">
            <w:pPr>
              <w:pStyle w:val="57"/>
              <w:jc w:val="center"/>
              <w:rPr>
                <w:rFonts w:ascii="仿宋" w:hAnsi="仿宋" w:eastAsia="仿宋"/>
                <w:sz w:val="21"/>
                <w:szCs w:val="20"/>
                <w:highlight w:val="none"/>
              </w:rPr>
            </w:pPr>
            <w:r>
              <w:rPr>
                <w:rFonts w:hint="eastAsia" w:ascii="仿宋" w:hAnsi="仿宋" w:eastAsia="仿宋"/>
                <w:color w:val="000000"/>
                <w:sz w:val="21"/>
                <w:szCs w:val="21"/>
                <w:highlight w:val="none"/>
              </w:rPr>
              <w:t>结论</w:t>
            </w:r>
          </w:p>
        </w:tc>
        <w:tc>
          <w:tcPr>
            <w:tcW w:w="944" w:type="dxa"/>
            <w:tcMar>
              <w:top w:w="12" w:type="dxa"/>
              <w:left w:w="12" w:type="dxa"/>
              <w:right w:w="12" w:type="dxa"/>
            </w:tcMar>
            <w:vAlign w:val="center"/>
          </w:tcPr>
          <w:p w14:paraId="0C669908">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3793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838" w:type="dxa"/>
            <w:tcMar>
              <w:top w:w="12" w:type="dxa"/>
              <w:left w:w="12" w:type="dxa"/>
              <w:right w:w="12" w:type="dxa"/>
            </w:tcMar>
            <w:vAlign w:val="center"/>
          </w:tcPr>
          <w:p w14:paraId="755E1BD3">
            <w:pPr>
              <w:pStyle w:val="57"/>
              <w:jc w:val="center"/>
              <w:rPr>
                <w:rFonts w:ascii="仿宋" w:hAnsi="仿宋" w:eastAsia="仿宋"/>
                <w:sz w:val="21"/>
                <w:szCs w:val="20"/>
                <w:highlight w:val="none"/>
              </w:rPr>
            </w:pPr>
          </w:p>
        </w:tc>
        <w:tc>
          <w:tcPr>
            <w:tcW w:w="610" w:type="dxa"/>
            <w:tcMar>
              <w:top w:w="12" w:type="dxa"/>
              <w:left w:w="12" w:type="dxa"/>
              <w:right w:w="12" w:type="dxa"/>
            </w:tcMar>
            <w:vAlign w:val="center"/>
          </w:tcPr>
          <w:p w14:paraId="1E6D094D">
            <w:pPr>
              <w:pStyle w:val="57"/>
              <w:jc w:val="center"/>
              <w:rPr>
                <w:rFonts w:ascii="仿宋" w:hAnsi="仿宋" w:eastAsia="仿宋"/>
                <w:sz w:val="21"/>
                <w:szCs w:val="20"/>
                <w:highlight w:val="none"/>
              </w:rPr>
            </w:pPr>
          </w:p>
        </w:tc>
        <w:tc>
          <w:tcPr>
            <w:tcW w:w="1078" w:type="dxa"/>
            <w:tcMar>
              <w:top w:w="12" w:type="dxa"/>
              <w:left w:w="12" w:type="dxa"/>
              <w:right w:w="12" w:type="dxa"/>
            </w:tcMar>
            <w:vAlign w:val="center"/>
          </w:tcPr>
          <w:p w14:paraId="7816D1BB">
            <w:pPr>
              <w:pStyle w:val="57"/>
              <w:jc w:val="center"/>
              <w:rPr>
                <w:rFonts w:ascii="仿宋" w:hAnsi="仿宋" w:eastAsia="仿宋"/>
                <w:sz w:val="21"/>
                <w:szCs w:val="20"/>
                <w:highlight w:val="none"/>
              </w:rPr>
            </w:pPr>
          </w:p>
        </w:tc>
        <w:tc>
          <w:tcPr>
            <w:tcW w:w="749" w:type="dxa"/>
            <w:tcMar>
              <w:top w:w="12" w:type="dxa"/>
              <w:left w:w="12" w:type="dxa"/>
              <w:right w:w="12" w:type="dxa"/>
            </w:tcMar>
            <w:vAlign w:val="center"/>
          </w:tcPr>
          <w:p w14:paraId="44759F0C">
            <w:pPr>
              <w:pStyle w:val="57"/>
              <w:jc w:val="center"/>
              <w:rPr>
                <w:rFonts w:ascii="仿宋" w:hAnsi="仿宋" w:eastAsia="仿宋"/>
                <w:sz w:val="21"/>
                <w:szCs w:val="20"/>
                <w:highlight w:val="none"/>
              </w:rPr>
            </w:pPr>
          </w:p>
        </w:tc>
        <w:tc>
          <w:tcPr>
            <w:tcW w:w="869" w:type="dxa"/>
            <w:tcMar>
              <w:top w:w="12" w:type="dxa"/>
              <w:left w:w="12" w:type="dxa"/>
              <w:right w:w="12" w:type="dxa"/>
            </w:tcMar>
            <w:vAlign w:val="center"/>
          </w:tcPr>
          <w:p w14:paraId="4C1F38C3">
            <w:pPr>
              <w:pStyle w:val="57"/>
              <w:jc w:val="center"/>
              <w:rPr>
                <w:rFonts w:ascii="仿宋" w:hAnsi="仿宋" w:eastAsia="仿宋"/>
                <w:sz w:val="21"/>
                <w:szCs w:val="20"/>
                <w:highlight w:val="none"/>
              </w:rPr>
            </w:pPr>
          </w:p>
        </w:tc>
        <w:tc>
          <w:tcPr>
            <w:tcW w:w="1147" w:type="dxa"/>
            <w:tcMar>
              <w:top w:w="12" w:type="dxa"/>
              <w:left w:w="12" w:type="dxa"/>
              <w:right w:w="12" w:type="dxa"/>
            </w:tcMar>
            <w:vAlign w:val="center"/>
          </w:tcPr>
          <w:p w14:paraId="6B8C1F8E">
            <w:pPr>
              <w:pStyle w:val="57"/>
              <w:jc w:val="center"/>
              <w:rPr>
                <w:rFonts w:ascii="仿宋" w:hAnsi="仿宋" w:eastAsia="仿宋"/>
                <w:sz w:val="21"/>
                <w:szCs w:val="20"/>
                <w:highlight w:val="none"/>
              </w:rPr>
            </w:pPr>
          </w:p>
        </w:tc>
        <w:tc>
          <w:tcPr>
            <w:tcW w:w="838" w:type="dxa"/>
            <w:tcMar>
              <w:top w:w="12" w:type="dxa"/>
              <w:left w:w="12" w:type="dxa"/>
              <w:right w:w="12" w:type="dxa"/>
            </w:tcMar>
            <w:vAlign w:val="center"/>
          </w:tcPr>
          <w:p w14:paraId="778A0369">
            <w:pPr>
              <w:pStyle w:val="57"/>
              <w:jc w:val="center"/>
              <w:rPr>
                <w:rFonts w:ascii="仿宋" w:hAnsi="仿宋" w:eastAsia="仿宋"/>
                <w:sz w:val="21"/>
                <w:szCs w:val="20"/>
                <w:highlight w:val="none"/>
              </w:rPr>
            </w:pPr>
          </w:p>
        </w:tc>
        <w:tc>
          <w:tcPr>
            <w:tcW w:w="1613" w:type="dxa"/>
            <w:tcMar>
              <w:top w:w="12" w:type="dxa"/>
              <w:left w:w="12" w:type="dxa"/>
              <w:right w:w="12" w:type="dxa"/>
            </w:tcMar>
            <w:vAlign w:val="center"/>
          </w:tcPr>
          <w:p w14:paraId="36045D1C">
            <w:pPr>
              <w:pStyle w:val="57"/>
              <w:jc w:val="center"/>
              <w:rPr>
                <w:rFonts w:ascii="仿宋" w:hAnsi="仿宋" w:eastAsia="仿宋"/>
                <w:sz w:val="21"/>
                <w:szCs w:val="20"/>
                <w:highlight w:val="none"/>
              </w:rPr>
            </w:pPr>
          </w:p>
        </w:tc>
        <w:tc>
          <w:tcPr>
            <w:tcW w:w="944" w:type="dxa"/>
            <w:tcMar>
              <w:top w:w="12" w:type="dxa"/>
              <w:left w:w="12" w:type="dxa"/>
              <w:right w:w="12" w:type="dxa"/>
            </w:tcMar>
            <w:vAlign w:val="center"/>
          </w:tcPr>
          <w:p w14:paraId="567113BF">
            <w:pPr>
              <w:pStyle w:val="57"/>
              <w:jc w:val="center"/>
              <w:rPr>
                <w:rFonts w:ascii="仿宋" w:hAnsi="仿宋" w:eastAsia="仿宋"/>
                <w:sz w:val="21"/>
                <w:szCs w:val="20"/>
                <w:highlight w:val="none"/>
              </w:rPr>
            </w:pPr>
          </w:p>
        </w:tc>
      </w:tr>
    </w:tbl>
    <w:p w14:paraId="2072A4EF">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2.沥青混合料面层压实度检测结果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098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0A756B28">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道路名称</w:t>
            </w:r>
          </w:p>
        </w:tc>
        <w:tc>
          <w:tcPr>
            <w:tcW w:w="1127" w:type="dxa"/>
            <w:tcMar>
              <w:top w:w="11" w:type="dxa"/>
              <w:left w:w="11" w:type="dxa"/>
              <w:right w:w="11" w:type="dxa"/>
            </w:tcMar>
            <w:vAlign w:val="center"/>
          </w:tcPr>
          <w:p w14:paraId="39277322">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道路等级</w:t>
            </w:r>
          </w:p>
        </w:tc>
        <w:tc>
          <w:tcPr>
            <w:tcW w:w="1779" w:type="dxa"/>
            <w:tcMar>
              <w:top w:w="11" w:type="dxa"/>
              <w:left w:w="11" w:type="dxa"/>
              <w:right w:w="11" w:type="dxa"/>
            </w:tcMar>
            <w:vAlign w:val="center"/>
          </w:tcPr>
          <w:p w14:paraId="6F59E138">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规范要求</w:t>
            </w:r>
          </w:p>
        </w:tc>
        <w:tc>
          <w:tcPr>
            <w:tcW w:w="1779" w:type="dxa"/>
            <w:tcMar>
              <w:top w:w="11" w:type="dxa"/>
              <w:left w:w="11" w:type="dxa"/>
              <w:right w:w="11" w:type="dxa"/>
            </w:tcMar>
            <w:vAlign w:val="center"/>
          </w:tcPr>
          <w:p w14:paraId="72AD4FA1">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检测结果</w:t>
            </w:r>
          </w:p>
        </w:tc>
        <w:tc>
          <w:tcPr>
            <w:tcW w:w="1632" w:type="dxa"/>
            <w:tcMar>
              <w:top w:w="11" w:type="dxa"/>
              <w:left w:w="11" w:type="dxa"/>
              <w:right w:w="11" w:type="dxa"/>
            </w:tcMar>
            <w:vAlign w:val="center"/>
          </w:tcPr>
          <w:p w14:paraId="26EEBE08">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结论</w:t>
            </w:r>
          </w:p>
        </w:tc>
        <w:tc>
          <w:tcPr>
            <w:tcW w:w="751" w:type="dxa"/>
            <w:tcMar>
              <w:top w:w="11" w:type="dxa"/>
              <w:left w:w="11" w:type="dxa"/>
              <w:right w:w="11" w:type="dxa"/>
            </w:tcMar>
            <w:vAlign w:val="center"/>
          </w:tcPr>
          <w:p w14:paraId="0E497623">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4160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3B34FE31">
            <w:pPr>
              <w:pStyle w:val="57"/>
              <w:jc w:val="center"/>
              <w:rPr>
                <w:rFonts w:ascii="仿宋" w:hAnsi="仿宋" w:eastAsia="仿宋"/>
                <w:sz w:val="21"/>
                <w:szCs w:val="21"/>
                <w:highlight w:val="none"/>
              </w:rPr>
            </w:pPr>
          </w:p>
        </w:tc>
        <w:tc>
          <w:tcPr>
            <w:tcW w:w="1127" w:type="dxa"/>
            <w:tcMar>
              <w:top w:w="11" w:type="dxa"/>
              <w:left w:w="11" w:type="dxa"/>
              <w:right w:w="11" w:type="dxa"/>
            </w:tcMar>
            <w:vAlign w:val="center"/>
          </w:tcPr>
          <w:p w14:paraId="2EB3D217">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15C90C9B">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085B77E8">
            <w:pPr>
              <w:pStyle w:val="57"/>
              <w:jc w:val="center"/>
              <w:rPr>
                <w:rFonts w:ascii="仿宋" w:hAnsi="仿宋" w:eastAsia="仿宋"/>
                <w:sz w:val="21"/>
                <w:szCs w:val="21"/>
                <w:highlight w:val="none"/>
              </w:rPr>
            </w:pPr>
          </w:p>
        </w:tc>
        <w:tc>
          <w:tcPr>
            <w:tcW w:w="1632" w:type="dxa"/>
            <w:tcMar>
              <w:top w:w="11" w:type="dxa"/>
              <w:left w:w="11" w:type="dxa"/>
              <w:right w:w="11" w:type="dxa"/>
            </w:tcMar>
            <w:vAlign w:val="center"/>
          </w:tcPr>
          <w:p w14:paraId="295AC172">
            <w:pPr>
              <w:pStyle w:val="57"/>
              <w:jc w:val="center"/>
              <w:rPr>
                <w:rFonts w:ascii="仿宋" w:hAnsi="仿宋" w:eastAsia="仿宋"/>
                <w:sz w:val="21"/>
                <w:szCs w:val="21"/>
                <w:highlight w:val="none"/>
              </w:rPr>
            </w:pPr>
          </w:p>
        </w:tc>
        <w:tc>
          <w:tcPr>
            <w:tcW w:w="751" w:type="dxa"/>
            <w:tcMar>
              <w:top w:w="11" w:type="dxa"/>
              <w:left w:w="11" w:type="dxa"/>
              <w:right w:w="11" w:type="dxa"/>
            </w:tcMar>
            <w:vAlign w:val="center"/>
          </w:tcPr>
          <w:p w14:paraId="47D7C1CC">
            <w:pPr>
              <w:pStyle w:val="57"/>
              <w:jc w:val="center"/>
              <w:rPr>
                <w:rFonts w:ascii="仿宋" w:hAnsi="仿宋" w:eastAsia="仿宋"/>
                <w:sz w:val="21"/>
                <w:szCs w:val="21"/>
                <w:highlight w:val="none"/>
              </w:rPr>
            </w:pPr>
          </w:p>
        </w:tc>
      </w:tr>
    </w:tbl>
    <w:p w14:paraId="0305652B">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3. 料石、混凝土预制砌块铺砌人行道强度检测结果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60C9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1281F466">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道路名称</w:t>
            </w:r>
          </w:p>
        </w:tc>
        <w:tc>
          <w:tcPr>
            <w:tcW w:w="1127" w:type="dxa"/>
            <w:tcMar>
              <w:top w:w="11" w:type="dxa"/>
              <w:left w:w="11" w:type="dxa"/>
              <w:right w:w="11" w:type="dxa"/>
            </w:tcMar>
            <w:vAlign w:val="center"/>
          </w:tcPr>
          <w:p w14:paraId="037B3CE5">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道路等级</w:t>
            </w:r>
          </w:p>
        </w:tc>
        <w:tc>
          <w:tcPr>
            <w:tcW w:w="1779" w:type="dxa"/>
            <w:tcMar>
              <w:top w:w="11" w:type="dxa"/>
              <w:left w:w="11" w:type="dxa"/>
              <w:right w:w="11" w:type="dxa"/>
            </w:tcMar>
            <w:vAlign w:val="center"/>
          </w:tcPr>
          <w:p w14:paraId="3EEE0756">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设计要求</w:t>
            </w:r>
          </w:p>
        </w:tc>
        <w:tc>
          <w:tcPr>
            <w:tcW w:w="1779" w:type="dxa"/>
            <w:tcMar>
              <w:top w:w="11" w:type="dxa"/>
              <w:left w:w="11" w:type="dxa"/>
              <w:right w:w="11" w:type="dxa"/>
            </w:tcMar>
            <w:vAlign w:val="center"/>
          </w:tcPr>
          <w:p w14:paraId="1B5B416F">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检测结果</w:t>
            </w:r>
          </w:p>
        </w:tc>
        <w:tc>
          <w:tcPr>
            <w:tcW w:w="1632" w:type="dxa"/>
            <w:tcMar>
              <w:top w:w="11" w:type="dxa"/>
              <w:left w:w="11" w:type="dxa"/>
              <w:right w:w="11" w:type="dxa"/>
            </w:tcMar>
            <w:vAlign w:val="center"/>
          </w:tcPr>
          <w:p w14:paraId="6F8239FD">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结论</w:t>
            </w:r>
          </w:p>
        </w:tc>
        <w:tc>
          <w:tcPr>
            <w:tcW w:w="751" w:type="dxa"/>
            <w:tcMar>
              <w:top w:w="11" w:type="dxa"/>
              <w:left w:w="11" w:type="dxa"/>
              <w:right w:w="11" w:type="dxa"/>
            </w:tcMar>
            <w:vAlign w:val="center"/>
          </w:tcPr>
          <w:p w14:paraId="48CB067E">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66B8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79EEF34D">
            <w:pPr>
              <w:pStyle w:val="57"/>
              <w:jc w:val="center"/>
              <w:rPr>
                <w:rFonts w:ascii="仿宋" w:hAnsi="仿宋" w:eastAsia="仿宋"/>
                <w:sz w:val="21"/>
                <w:szCs w:val="21"/>
                <w:highlight w:val="none"/>
              </w:rPr>
            </w:pPr>
          </w:p>
        </w:tc>
        <w:tc>
          <w:tcPr>
            <w:tcW w:w="1127" w:type="dxa"/>
            <w:tcMar>
              <w:top w:w="11" w:type="dxa"/>
              <w:left w:w="11" w:type="dxa"/>
              <w:right w:w="11" w:type="dxa"/>
            </w:tcMar>
            <w:vAlign w:val="center"/>
          </w:tcPr>
          <w:p w14:paraId="3EADC7C2">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1FC588D0">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23959C77">
            <w:pPr>
              <w:pStyle w:val="57"/>
              <w:jc w:val="center"/>
              <w:rPr>
                <w:rFonts w:ascii="仿宋" w:hAnsi="仿宋" w:eastAsia="仿宋"/>
                <w:sz w:val="21"/>
                <w:szCs w:val="21"/>
                <w:highlight w:val="none"/>
              </w:rPr>
            </w:pPr>
          </w:p>
        </w:tc>
        <w:tc>
          <w:tcPr>
            <w:tcW w:w="1632" w:type="dxa"/>
            <w:tcMar>
              <w:top w:w="11" w:type="dxa"/>
              <w:left w:w="11" w:type="dxa"/>
              <w:right w:w="11" w:type="dxa"/>
            </w:tcMar>
            <w:vAlign w:val="center"/>
          </w:tcPr>
          <w:p w14:paraId="796A4E4E">
            <w:pPr>
              <w:pStyle w:val="57"/>
              <w:jc w:val="center"/>
              <w:rPr>
                <w:rFonts w:ascii="仿宋" w:hAnsi="仿宋" w:eastAsia="仿宋"/>
                <w:sz w:val="21"/>
                <w:szCs w:val="21"/>
                <w:highlight w:val="none"/>
              </w:rPr>
            </w:pPr>
          </w:p>
        </w:tc>
        <w:tc>
          <w:tcPr>
            <w:tcW w:w="751" w:type="dxa"/>
            <w:tcMar>
              <w:top w:w="11" w:type="dxa"/>
              <w:left w:w="11" w:type="dxa"/>
              <w:right w:w="11" w:type="dxa"/>
            </w:tcMar>
            <w:vAlign w:val="center"/>
          </w:tcPr>
          <w:p w14:paraId="5117A0F2">
            <w:pPr>
              <w:pStyle w:val="57"/>
              <w:jc w:val="center"/>
              <w:rPr>
                <w:rFonts w:ascii="仿宋" w:hAnsi="仿宋" w:eastAsia="仿宋"/>
                <w:sz w:val="21"/>
                <w:szCs w:val="21"/>
                <w:highlight w:val="none"/>
              </w:rPr>
            </w:pPr>
          </w:p>
        </w:tc>
      </w:tr>
    </w:tbl>
    <w:p w14:paraId="061C8A1D">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4. 料石铺砌人行道外观尺寸检测结果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085A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blHeader/>
          <w:tblCellSpacing w:w="0" w:type="dxa"/>
        </w:trPr>
        <w:tc>
          <w:tcPr>
            <w:tcW w:w="1609" w:type="dxa"/>
            <w:tcMar>
              <w:top w:w="11" w:type="dxa"/>
              <w:left w:w="11" w:type="dxa"/>
              <w:right w:w="11" w:type="dxa"/>
            </w:tcMar>
            <w:vAlign w:val="center"/>
          </w:tcPr>
          <w:p w14:paraId="1322E73E">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道路名称</w:t>
            </w:r>
          </w:p>
        </w:tc>
        <w:tc>
          <w:tcPr>
            <w:tcW w:w="1127" w:type="dxa"/>
            <w:tcMar>
              <w:top w:w="11" w:type="dxa"/>
              <w:left w:w="11" w:type="dxa"/>
              <w:right w:w="11" w:type="dxa"/>
            </w:tcMar>
            <w:vAlign w:val="center"/>
          </w:tcPr>
          <w:p w14:paraId="6A6247E9">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道路等级</w:t>
            </w:r>
          </w:p>
        </w:tc>
        <w:tc>
          <w:tcPr>
            <w:tcW w:w="1779" w:type="dxa"/>
            <w:tcMar>
              <w:top w:w="11" w:type="dxa"/>
              <w:left w:w="11" w:type="dxa"/>
              <w:right w:w="11" w:type="dxa"/>
            </w:tcMar>
            <w:vAlign w:val="center"/>
          </w:tcPr>
          <w:p w14:paraId="093AF24A">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设计要求</w:t>
            </w:r>
          </w:p>
        </w:tc>
        <w:tc>
          <w:tcPr>
            <w:tcW w:w="1779" w:type="dxa"/>
            <w:tcMar>
              <w:top w:w="11" w:type="dxa"/>
              <w:left w:w="11" w:type="dxa"/>
              <w:right w:w="11" w:type="dxa"/>
            </w:tcMar>
            <w:vAlign w:val="center"/>
          </w:tcPr>
          <w:p w14:paraId="7B09AC87">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检测结果</w:t>
            </w:r>
          </w:p>
        </w:tc>
        <w:tc>
          <w:tcPr>
            <w:tcW w:w="1632" w:type="dxa"/>
            <w:tcMar>
              <w:top w:w="11" w:type="dxa"/>
              <w:left w:w="11" w:type="dxa"/>
              <w:right w:w="11" w:type="dxa"/>
            </w:tcMar>
            <w:vAlign w:val="center"/>
          </w:tcPr>
          <w:p w14:paraId="2BA346E4">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结论</w:t>
            </w:r>
          </w:p>
        </w:tc>
        <w:tc>
          <w:tcPr>
            <w:tcW w:w="751" w:type="dxa"/>
            <w:tcMar>
              <w:top w:w="11" w:type="dxa"/>
              <w:left w:w="11" w:type="dxa"/>
              <w:right w:w="11" w:type="dxa"/>
            </w:tcMar>
            <w:vAlign w:val="center"/>
          </w:tcPr>
          <w:p w14:paraId="770C0627">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6D42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1C0BE6DD">
            <w:pPr>
              <w:pStyle w:val="57"/>
              <w:jc w:val="center"/>
              <w:rPr>
                <w:rFonts w:ascii="仿宋" w:hAnsi="仿宋" w:eastAsia="仿宋"/>
                <w:sz w:val="21"/>
                <w:szCs w:val="21"/>
                <w:highlight w:val="none"/>
              </w:rPr>
            </w:pPr>
          </w:p>
        </w:tc>
        <w:tc>
          <w:tcPr>
            <w:tcW w:w="1127" w:type="dxa"/>
            <w:tcMar>
              <w:top w:w="11" w:type="dxa"/>
              <w:left w:w="11" w:type="dxa"/>
              <w:right w:w="11" w:type="dxa"/>
            </w:tcMar>
            <w:vAlign w:val="center"/>
          </w:tcPr>
          <w:p w14:paraId="6736D8D3">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4FA43AF6">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60AAE37D">
            <w:pPr>
              <w:pStyle w:val="57"/>
              <w:jc w:val="center"/>
              <w:rPr>
                <w:rFonts w:ascii="仿宋" w:hAnsi="仿宋" w:eastAsia="仿宋"/>
                <w:sz w:val="21"/>
                <w:szCs w:val="21"/>
                <w:highlight w:val="none"/>
              </w:rPr>
            </w:pPr>
          </w:p>
        </w:tc>
        <w:tc>
          <w:tcPr>
            <w:tcW w:w="1632" w:type="dxa"/>
            <w:tcMar>
              <w:top w:w="11" w:type="dxa"/>
              <w:left w:w="11" w:type="dxa"/>
              <w:right w:w="11" w:type="dxa"/>
            </w:tcMar>
            <w:vAlign w:val="center"/>
          </w:tcPr>
          <w:p w14:paraId="4FDE46BB">
            <w:pPr>
              <w:pStyle w:val="57"/>
              <w:jc w:val="center"/>
              <w:rPr>
                <w:rFonts w:ascii="仿宋" w:hAnsi="仿宋" w:eastAsia="仿宋"/>
                <w:sz w:val="21"/>
                <w:szCs w:val="21"/>
                <w:highlight w:val="none"/>
              </w:rPr>
            </w:pPr>
          </w:p>
        </w:tc>
        <w:tc>
          <w:tcPr>
            <w:tcW w:w="751" w:type="dxa"/>
            <w:tcMar>
              <w:top w:w="11" w:type="dxa"/>
              <w:left w:w="11" w:type="dxa"/>
              <w:right w:w="11" w:type="dxa"/>
            </w:tcMar>
            <w:vAlign w:val="center"/>
          </w:tcPr>
          <w:p w14:paraId="4F6F6BC8">
            <w:pPr>
              <w:pStyle w:val="57"/>
              <w:jc w:val="center"/>
              <w:rPr>
                <w:rFonts w:ascii="仿宋" w:hAnsi="仿宋" w:eastAsia="仿宋"/>
                <w:sz w:val="21"/>
                <w:szCs w:val="21"/>
                <w:highlight w:val="none"/>
              </w:rPr>
            </w:pPr>
          </w:p>
        </w:tc>
      </w:tr>
    </w:tbl>
    <w:p w14:paraId="0D6E0CA5">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5．沥青混合料人行道厚度检测结果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75B0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tcMar>
              <w:top w:w="11" w:type="dxa"/>
              <w:left w:w="11" w:type="dxa"/>
              <w:right w:w="11" w:type="dxa"/>
            </w:tcMar>
            <w:vAlign w:val="center"/>
          </w:tcPr>
          <w:p w14:paraId="0ED41AB5">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道路名称</w:t>
            </w:r>
          </w:p>
        </w:tc>
        <w:tc>
          <w:tcPr>
            <w:tcW w:w="1127" w:type="dxa"/>
            <w:tcMar>
              <w:top w:w="11" w:type="dxa"/>
              <w:left w:w="11" w:type="dxa"/>
              <w:right w:w="11" w:type="dxa"/>
            </w:tcMar>
            <w:vAlign w:val="center"/>
          </w:tcPr>
          <w:p w14:paraId="6E0864CB">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道路等级</w:t>
            </w:r>
          </w:p>
        </w:tc>
        <w:tc>
          <w:tcPr>
            <w:tcW w:w="1779" w:type="dxa"/>
            <w:tcMar>
              <w:top w:w="11" w:type="dxa"/>
              <w:left w:w="11" w:type="dxa"/>
              <w:right w:w="11" w:type="dxa"/>
            </w:tcMar>
            <w:vAlign w:val="center"/>
          </w:tcPr>
          <w:p w14:paraId="3538E6A2">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规范要求</w:t>
            </w:r>
          </w:p>
        </w:tc>
        <w:tc>
          <w:tcPr>
            <w:tcW w:w="1779" w:type="dxa"/>
            <w:tcMar>
              <w:top w:w="11" w:type="dxa"/>
              <w:left w:w="11" w:type="dxa"/>
              <w:right w:w="11" w:type="dxa"/>
            </w:tcMar>
            <w:vAlign w:val="center"/>
          </w:tcPr>
          <w:p w14:paraId="3C0F2BDE">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检测结果</w:t>
            </w:r>
          </w:p>
        </w:tc>
        <w:tc>
          <w:tcPr>
            <w:tcW w:w="1632" w:type="dxa"/>
            <w:tcMar>
              <w:top w:w="11" w:type="dxa"/>
              <w:left w:w="11" w:type="dxa"/>
              <w:right w:w="11" w:type="dxa"/>
            </w:tcMar>
            <w:vAlign w:val="center"/>
          </w:tcPr>
          <w:p w14:paraId="2C1BE09E">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结论</w:t>
            </w:r>
          </w:p>
        </w:tc>
        <w:tc>
          <w:tcPr>
            <w:tcW w:w="751" w:type="dxa"/>
            <w:tcMar>
              <w:top w:w="11" w:type="dxa"/>
              <w:left w:w="11" w:type="dxa"/>
              <w:right w:w="11" w:type="dxa"/>
            </w:tcMar>
            <w:vAlign w:val="center"/>
          </w:tcPr>
          <w:p w14:paraId="4DF9954D">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291F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6CD29958">
            <w:pPr>
              <w:pStyle w:val="57"/>
              <w:jc w:val="center"/>
              <w:rPr>
                <w:rFonts w:ascii="仿宋" w:hAnsi="仿宋" w:eastAsia="仿宋"/>
                <w:sz w:val="21"/>
                <w:szCs w:val="21"/>
                <w:highlight w:val="none"/>
              </w:rPr>
            </w:pPr>
          </w:p>
        </w:tc>
        <w:tc>
          <w:tcPr>
            <w:tcW w:w="1127" w:type="dxa"/>
            <w:tcMar>
              <w:top w:w="11" w:type="dxa"/>
              <w:left w:w="11" w:type="dxa"/>
              <w:right w:w="11" w:type="dxa"/>
            </w:tcMar>
            <w:vAlign w:val="center"/>
          </w:tcPr>
          <w:p w14:paraId="49A6DEA5">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18C1D248">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58B24023">
            <w:pPr>
              <w:pStyle w:val="57"/>
              <w:jc w:val="center"/>
              <w:rPr>
                <w:rFonts w:ascii="仿宋" w:hAnsi="仿宋" w:eastAsia="仿宋"/>
                <w:sz w:val="21"/>
                <w:szCs w:val="21"/>
                <w:highlight w:val="none"/>
              </w:rPr>
            </w:pPr>
          </w:p>
        </w:tc>
        <w:tc>
          <w:tcPr>
            <w:tcW w:w="1632" w:type="dxa"/>
            <w:tcMar>
              <w:top w:w="11" w:type="dxa"/>
              <w:left w:w="11" w:type="dxa"/>
              <w:right w:w="11" w:type="dxa"/>
            </w:tcMar>
            <w:vAlign w:val="center"/>
          </w:tcPr>
          <w:p w14:paraId="3626F184">
            <w:pPr>
              <w:pStyle w:val="57"/>
              <w:jc w:val="center"/>
              <w:rPr>
                <w:rFonts w:ascii="仿宋" w:hAnsi="仿宋" w:eastAsia="仿宋"/>
                <w:sz w:val="21"/>
                <w:szCs w:val="21"/>
                <w:highlight w:val="none"/>
              </w:rPr>
            </w:pPr>
          </w:p>
        </w:tc>
        <w:tc>
          <w:tcPr>
            <w:tcW w:w="751" w:type="dxa"/>
            <w:tcMar>
              <w:top w:w="11" w:type="dxa"/>
              <w:left w:w="11" w:type="dxa"/>
              <w:right w:w="11" w:type="dxa"/>
            </w:tcMar>
            <w:vAlign w:val="center"/>
          </w:tcPr>
          <w:p w14:paraId="1632D134">
            <w:pPr>
              <w:pStyle w:val="57"/>
              <w:jc w:val="center"/>
              <w:rPr>
                <w:rFonts w:ascii="仿宋" w:hAnsi="仿宋" w:eastAsia="仿宋"/>
                <w:sz w:val="21"/>
                <w:szCs w:val="21"/>
                <w:highlight w:val="none"/>
              </w:rPr>
            </w:pPr>
          </w:p>
        </w:tc>
      </w:tr>
    </w:tbl>
    <w:p w14:paraId="47F60FA2">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6. 人行道沥青混合料压实度检测结果</w:t>
      </w:r>
    </w:p>
    <w:tbl>
      <w:tblPr>
        <w:tblStyle w:val="6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1127"/>
        <w:gridCol w:w="1779"/>
        <w:gridCol w:w="1779"/>
        <w:gridCol w:w="1632"/>
        <w:gridCol w:w="751"/>
      </w:tblGrid>
      <w:tr w14:paraId="7BFA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blCellSpacing w:w="0" w:type="dxa"/>
        </w:trPr>
        <w:tc>
          <w:tcPr>
            <w:tcW w:w="1609" w:type="dxa"/>
            <w:tcMar>
              <w:top w:w="11" w:type="dxa"/>
              <w:left w:w="11" w:type="dxa"/>
              <w:right w:w="11" w:type="dxa"/>
            </w:tcMar>
            <w:vAlign w:val="center"/>
          </w:tcPr>
          <w:p w14:paraId="7C64339E">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道路名称</w:t>
            </w:r>
          </w:p>
        </w:tc>
        <w:tc>
          <w:tcPr>
            <w:tcW w:w="1127" w:type="dxa"/>
            <w:tcMar>
              <w:top w:w="11" w:type="dxa"/>
              <w:left w:w="11" w:type="dxa"/>
              <w:right w:w="11" w:type="dxa"/>
            </w:tcMar>
            <w:vAlign w:val="center"/>
          </w:tcPr>
          <w:p w14:paraId="13C82DAA">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道路等级</w:t>
            </w:r>
          </w:p>
        </w:tc>
        <w:tc>
          <w:tcPr>
            <w:tcW w:w="1779" w:type="dxa"/>
            <w:tcMar>
              <w:top w:w="11" w:type="dxa"/>
              <w:left w:w="11" w:type="dxa"/>
              <w:right w:w="11" w:type="dxa"/>
            </w:tcMar>
            <w:vAlign w:val="center"/>
          </w:tcPr>
          <w:p w14:paraId="7CB207B0">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规范要求</w:t>
            </w:r>
          </w:p>
        </w:tc>
        <w:tc>
          <w:tcPr>
            <w:tcW w:w="1779" w:type="dxa"/>
            <w:tcMar>
              <w:top w:w="11" w:type="dxa"/>
              <w:left w:w="11" w:type="dxa"/>
              <w:right w:w="11" w:type="dxa"/>
            </w:tcMar>
            <w:vAlign w:val="center"/>
          </w:tcPr>
          <w:p w14:paraId="317624D7">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检测结果</w:t>
            </w:r>
          </w:p>
        </w:tc>
        <w:tc>
          <w:tcPr>
            <w:tcW w:w="1632" w:type="dxa"/>
            <w:tcMar>
              <w:top w:w="11" w:type="dxa"/>
              <w:left w:w="11" w:type="dxa"/>
              <w:right w:w="11" w:type="dxa"/>
            </w:tcMar>
            <w:vAlign w:val="center"/>
          </w:tcPr>
          <w:p w14:paraId="5839D666">
            <w:pPr>
              <w:pStyle w:val="57"/>
              <w:jc w:val="center"/>
              <w:rPr>
                <w:rFonts w:ascii="仿宋" w:hAnsi="仿宋" w:eastAsia="仿宋"/>
                <w:sz w:val="21"/>
                <w:szCs w:val="21"/>
                <w:highlight w:val="none"/>
              </w:rPr>
            </w:pPr>
            <w:r>
              <w:rPr>
                <w:rFonts w:hint="eastAsia" w:ascii="仿宋" w:hAnsi="仿宋" w:eastAsia="仿宋"/>
                <w:color w:val="000000"/>
                <w:sz w:val="21"/>
                <w:szCs w:val="21"/>
                <w:highlight w:val="none"/>
              </w:rPr>
              <w:t>结论</w:t>
            </w:r>
          </w:p>
        </w:tc>
        <w:tc>
          <w:tcPr>
            <w:tcW w:w="751" w:type="dxa"/>
            <w:tcMar>
              <w:top w:w="11" w:type="dxa"/>
              <w:left w:w="11" w:type="dxa"/>
              <w:right w:w="11" w:type="dxa"/>
            </w:tcMar>
            <w:vAlign w:val="center"/>
          </w:tcPr>
          <w:p w14:paraId="3DD39B3F">
            <w:pPr>
              <w:pStyle w:val="57"/>
              <w:jc w:val="center"/>
              <w:rPr>
                <w:rFonts w:ascii="仿宋" w:hAnsi="仿宋" w:eastAsia="仿宋"/>
                <w:color w:val="000000"/>
                <w:sz w:val="21"/>
                <w:szCs w:val="21"/>
                <w:highlight w:val="none"/>
              </w:rPr>
            </w:pPr>
            <w:r>
              <w:rPr>
                <w:rFonts w:hint="eastAsia" w:ascii="仿宋" w:hAnsi="仿宋" w:eastAsia="仿宋"/>
                <w:color w:val="000000"/>
                <w:sz w:val="21"/>
                <w:szCs w:val="21"/>
                <w:highlight w:val="none"/>
              </w:rPr>
              <w:t>备注</w:t>
            </w:r>
          </w:p>
        </w:tc>
      </w:tr>
      <w:tr w14:paraId="3E94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blCellSpacing w:w="0" w:type="dxa"/>
        </w:trPr>
        <w:tc>
          <w:tcPr>
            <w:tcW w:w="1609" w:type="dxa"/>
            <w:tcMar>
              <w:top w:w="11" w:type="dxa"/>
              <w:left w:w="11" w:type="dxa"/>
              <w:right w:w="11" w:type="dxa"/>
            </w:tcMar>
            <w:vAlign w:val="center"/>
          </w:tcPr>
          <w:p w14:paraId="7DB474B6">
            <w:pPr>
              <w:pStyle w:val="57"/>
              <w:jc w:val="center"/>
              <w:rPr>
                <w:rFonts w:ascii="仿宋" w:hAnsi="仿宋" w:eastAsia="仿宋"/>
                <w:sz w:val="21"/>
                <w:szCs w:val="21"/>
                <w:highlight w:val="none"/>
              </w:rPr>
            </w:pPr>
          </w:p>
        </w:tc>
        <w:tc>
          <w:tcPr>
            <w:tcW w:w="1127" w:type="dxa"/>
            <w:tcMar>
              <w:top w:w="11" w:type="dxa"/>
              <w:left w:w="11" w:type="dxa"/>
              <w:right w:w="11" w:type="dxa"/>
            </w:tcMar>
            <w:vAlign w:val="center"/>
          </w:tcPr>
          <w:p w14:paraId="7E76D2F5">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6515D836">
            <w:pPr>
              <w:pStyle w:val="57"/>
              <w:jc w:val="center"/>
              <w:rPr>
                <w:rFonts w:ascii="仿宋" w:hAnsi="仿宋" w:eastAsia="仿宋"/>
                <w:sz w:val="21"/>
                <w:szCs w:val="21"/>
                <w:highlight w:val="none"/>
              </w:rPr>
            </w:pPr>
          </w:p>
        </w:tc>
        <w:tc>
          <w:tcPr>
            <w:tcW w:w="1779" w:type="dxa"/>
            <w:tcMar>
              <w:top w:w="11" w:type="dxa"/>
              <w:left w:w="11" w:type="dxa"/>
              <w:right w:w="11" w:type="dxa"/>
            </w:tcMar>
            <w:vAlign w:val="center"/>
          </w:tcPr>
          <w:p w14:paraId="513879D0">
            <w:pPr>
              <w:pStyle w:val="57"/>
              <w:jc w:val="center"/>
              <w:rPr>
                <w:rFonts w:ascii="仿宋" w:hAnsi="仿宋" w:eastAsia="仿宋"/>
                <w:sz w:val="21"/>
                <w:szCs w:val="21"/>
                <w:highlight w:val="none"/>
              </w:rPr>
            </w:pPr>
          </w:p>
        </w:tc>
        <w:tc>
          <w:tcPr>
            <w:tcW w:w="1632" w:type="dxa"/>
            <w:tcMar>
              <w:top w:w="11" w:type="dxa"/>
              <w:left w:w="11" w:type="dxa"/>
              <w:right w:w="11" w:type="dxa"/>
            </w:tcMar>
            <w:vAlign w:val="center"/>
          </w:tcPr>
          <w:p w14:paraId="3E589EA5">
            <w:pPr>
              <w:pStyle w:val="57"/>
              <w:jc w:val="center"/>
              <w:rPr>
                <w:rFonts w:ascii="仿宋" w:hAnsi="仿宋" w:eastAsia="仿宋"/>
                <w:sz w:val="21"/>
                <w:szCs w:val="21"/>
                <w:highlight w:val="none"/>
              </w:rPr>
            </w:pPr>
          </w:p>
        </w:tc>
        <w:tc>
          <w:tcPr>
            <w:tcW w:w="751" w:type="dxa"/>
            <w:tcMar>
              <w:top w:w="11" w:type="dxa"/>
              <w:left w:w="11" w:type="dxa"/>
              <w:right w:w="11" w:type="dxa"/>
            </w:tcMar>
            <w:vAlign w:val="center"/>
          </w:tcPr>
          <w:p w14:paraId="7A3B40C4">
            <w:pPr>
              <w:pStyle w:val="57"/>
              <w:jc w:val="center"/>
              <w:rPr>
                <w:rFonts w:ascii="仿宋" w:hAnsi="仿宋" w:eastAsia="仿宋"/>
                <w:sz w:val="21"/>
                <w:szCs w:val="21"/>
                <w:highlight w:val="none"/>
              </w:rPr>
            </w:pPr>
          </w:p>
        </w:tc>
      </w:tr>
    </w:tbl>
    <w:p w14:paraId="6FD1B149">
      <w:pPr>
        <w:autoSpaceDE w:val="0"/>
        <w:autoSpaceDN w:val="0"/>
        <w:adjustRightInd w:val="0"/>
        <w:spacing w:afterLines="50" w:line="440" w:lineRule="exact"/>
        <w:ind w:firstLine="420" w:firstLineChars="150"/>
        <w:rPr>
          <w:rFonts w:ascii="仿宋_GB2312" w:hAnsi="仿宋" w:eastAsia="仿宋_GB2312"/>
          <w:bCs/>
          <w:sz w:val="28"/>
          <w:szCs w:val="28"/>
          <w:highlight w:val="none"/>
        </w:rPr>
      </w:pPr>
      <w:r>
        <w:rPr>
          <w:rFonts w:hint="eastAsia" w:ascii="仿宋_GB2312" w:hAnsi="仿宋" w:eastAsia="仿宋_GB2312"/>
          <w:bCs/>
          <w:sz w:val="28"/>
          <w:szCs w:val="28"/>
          <w:highlight w:val="none"/>
        </w:rPr>
        <w:t xml:space="preserve"> （二）检测结论</w:t>
      </w:r>
    </w:p>
    <w:tbl>
      <w:tblPr>
        <w:tblStyle w:val="62"/>
        <w:tblW w:w="895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828"/>
        <w:gridCol w:w="1422"/>
        <w:gridCol w:w="1275"/>
        <w:gridCol w:w="1276"/>
        <w:gridCol w:w="720"/>
        <w:gridCol w:w="1406"/>
        <w:gridCol w:w="993"/>
      </w:tblGrid>
      <w:tr w14:paraId="7C8A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blHeader/>
          <w:tblCellSpacing w:w="0" w:type="dxa"/>
        </w:trPr>
        <w:tc>
          <w:tcPr>
            <w:tcW w:w="1038" w:type="dxa"/>
            <w:tcMar>
              <w:top w:w="11" w:type="dxa"/>
              <w:left w:w="11" w:type="dxa"/>
              <w:right w:w="11" w:type="dxa"/>
            </w:tcMar>
            <w:vAlign w:val="center"/>
          </w:tcPr>
          <w:p w14:paraId="6CA465B1">
            <w:pPr>
              <w:pStyle w:val="57"/>
              <w:jc w:val="center"/>
              <w:rPr>
                <w:rFonts w:ascii="仿宋" w:hAnsi="仿宋" w:eastAsia="仿宋"/>
                <w:sz w:val="18"/>
                <w:szCs w:val="18"/>
                <w:highlight w:val="none"/>
              </w:rPr>
            </w:pPr>
            <w:r>
              <w:rPr>
                <w:rFonts w:hint="eastAsia" w:ascii="仿宋" w:hAnsi="仿宋" w:eastAsia="仿宋"/>
                <w:color w:val="000000"/>
                <w:sz w:val="18"/>
                <w:szCs w:val="18"/>
                <w:highlight w:val="none"/>
              </w:rPr>
              <w:t>道路名称</w:t>
            </w:r>
          </w:p>
        </w:tc>
        <w:tc>
          <w:tcPr>
            <w:tcW w:w="828" w:type="dxa"/>
            <w:tcMar>
              <w:top w:w="11" w:type="dxa"/>
              <w:left w:w="11" w:type="dxa"/>
              <w:right w:w="11" w:type="dxa"/>
            </w:tcMar>
            <w:vAlign w:val="center"/>
          </w:tcPr>
          <w:p w14:paraId="3D6A7A27">
            <w:pPr>
              <w:pStyle w:val="57"/>
              <w:jc w:val="center"/>
              <w:rPr>
                <w:rFonts w:ascii="仿宋" w:hAnsi="仿宋" w:eastAsia="仿宋"/>
                <w:sz w:val="18"/>
                <w:szCs w:val="18"/>
                <w:highlight w:val="none"/>
              </w:rPr>
            </w:pPr>
            <w:r>
              <w:rPr>
                <w:rFonts w:hint="eastAsia" w:ascii="仿宋" w:hAnsi="仿宋" w:eastAsia="仿宋"/>
                <w:color w:val="000000"/>
                <w:sz w:val="18"/>
                <w:szCs w:val="18"/>
                <w:highlight w:val="none"/>
              </w:rPr>
              <w:t>道路等级</w:t>
            </w:r>
          </w:p>
        </w:tc>
        <w:tc>
          <w:tcPr>
            <w:tcW w:w="1422" w:type="dxa"/>
            <w:tcMar>
              <w:top w:w="11" w:type="dxa"/>
              <w:left w:w="11" w:type="dxa"/>
              <w:right w:w="11" w:type="dxa"/>
            </w:tcMar>
            <w:vAlign w:val="center"/>
          </w:tcPr>
          <w:p w14:paraId="74E87009">
            <w:pPr>
              <w:pStyle w:val="57"/>
              <w:jc w:val="center"/>
              <w:rPr>
                <w:rFonts w:ascii="仿宋" w:hAnsi="仿宋" w:eastAsia="仿宋"/>
                <w:sz w:val="18"/>
                <w:szCs w:val="18"/>
                <w:highlight w:val="none"/>
              </w:rPr>
            </w:pPr>
            <w:r>
              <w:rPr>
                <w:rFonts w:hint="eastAsia" w:ascii="仿宋" w:hAnsi="仿宋" w:eastAsia="仿宋"/>
                <w:sz w:val="18"/>
                <w:szCs w:val="18"/>
                <w:highlight w:val="none"/>
              </w:rPr>
              <w:t>检测项目1结论</w:t>
            </w:r>
          </w:p>
        </w:tc>
        <w:tc>
          <w:tcPr>
            <w:tcW w:w="1275" w:type="dxa"/>
            <w:tcMar>
              <w:top w:w="11" w:type="dxa"/>
              <w:left w:w="11" w:type="dxa"/>
              <w:right w:w="11" w:type="dxa"/>
            </w:tcMar>
            <w:vAlign w:val="center"/>
          </w:tcPr>
          <w:p w14:paraId="715CE606">
            <w:pPr>
              <w:pStyle w:val="57"/>
              <w:jc w:val="center"/>
              <w:rPr>
                <w:rFonts w:ascii="仿宋" w:hAnsi="仿宋" w:eastAsia="仿宋"/>
                <w:sz w:val="18"/>
                <w:szCs w:val="18"/>
                <w:highlight w:val="none"/>
              </w:rPr>
            </w:pPr>
            <w:r>
              <w:rPr>
                <w:rFonts w:hint="eastAsia" w:ascii="仿宋" w:hAnsi="仿宋" w:eastAsia="仿宋"/>
                <w:sz w:val="18"/>
                <w:szCs w:val="18"/>
                <w:highlight w:val="none"/>
              </w:rPr>
              <w:t>检测项目2结论</w:t>
            </w:r>
          </w:p>
        </w:tc>
        <w:tc>
          <w:tcPr>
            <w:tcW w:w="1276" w:type="dxa"/>
            <w:tcMar>
              <w:top w:w="11" w:type="dxa"/>
              <w:left w:w="11" w:type="dxa"/>
              <w:right w:w="11" w:type="dxa"/>
            </w:tcMar>
            <w:vAlign w:val="center"/>
          </w:tcPr>
          <w:p w14:paraId="3C821C13">
            <w:pPr>
              <w:pStyle w:val="57"/>
              <w:jc w:val="center"/>
              <w:rPr>
                <w:rFonts w:ascii="仿宋" w:hAnsi="仿宋" w:eastAsia="仿宋"/>
                <w:sz w:val="18"/>
                <w:szCs w:val="18"/>
                <w:highlight w:val="none"/>
              </w:rPr>
            </w:pPr>
            <w:r>
              <w:rPr>
                <w:rFonts w:hint="eastAsia" w:ascii="仿宋" w:hAnsi="仿宋" w:eastAsia="仿宋"/>
                <w:sz w:val="18"/>
                <w:szCs w:val="18"/>
                <w:highlight w:val="none"/>
              </w:rPr>
              <w:t>检测项目3结论</w:t>
            </w:r>
          </w:p>
        </w:tc>
        <w:tc>
          <w:tcPr>
            <w:tcW w:w="720" w:type="dxa"/>
            <w:tcMar>
              <w:top w:w="11" w:type="dxa"/>
              <w:left w:w="11" w:type="dxa"/>
              <w:right w:w="11" w:type="dxa"/>
            </w:tcMar>
            <w:vAlign w:val="center"/>
          </w:tcPr>
          <w:p w14:paraId="4C93D3D0">
            <w:pPr>
              <w:pStyle w:val="57"/>
              <w:jc w:val="center"/>
              <w:rPr>
                <w:rFonts w:ascii="仿宋" w:hAnsi="仿宋" w:eastAsia="仿宋"/>
                <w:sz w:val="18"/>
                <w:szCs w:val="18"/>
                <w:highlight w:val="none"/>
              </w:rPr>
            </w:pPr>
            <w:r>
              <w:rPr>
                <w:rFonts w:hint="eastAsia" w:ascii="仿宋" w:hAnsi="仿宋" w:eastAsia="仿宋"/>
                <w:sz w:val="18"/>
                <w:szCs w:val="18"/>
                <w:highlight w:val="none"/>
              </w:rPr>
              <w:t>.........</w:t>
            </w:r>
          </w:p>
        </w:tc>
        <w:tc>
          <w:tcPr>
            <w:tcW w:w="1406" w:type="dxa"/>
            <w:tcMar>
              <w:top w:w="11" w:type="dxa"/>
              <w:left w:w="11" w:type="dxa"/>
              <w:right w:w="11" w:type="dxa"/>
            </w:tcMar>
            <w:vAlign w:val="center"/>
          </w:tcPr>
          <w:p w14:paraId="41988D4A">
            <w:pPr>
              <w:pStyle w:val="57"/>
              <w:jc w:val="center"/>
              <w:rPr>
                <w:rFonts w:ascii="仿宋" w:hAnsi="仿宋" w:eastAsia="仿宋"/>
                <w:sz w:val="18"/>
                <w:szCs w:val="18"/>
                <w:highlight w:val="none"/>
              </w:rPr>
            </w:pPr>
            <w:r>
              <w:rPr>
                <w:rFonts w:hint="eastAsia" w:ascii="仿宋" w:hAnsi="仿宋" w:eastAsia="仿宋"/>
                <w:sz w:val="18"/>
                <w:szCs w:val="18"/>
                <w:highlight w:val="none"/>
              </w:rPr>
              <w:t>检测项目10结论</w:t>
            </w:r>
          </w:p>
        </w:tc>
        <w:tc>
          <w:tcPr>
            <w:tcW w:w="993" w:type="dxa"/>
            <w:tcMar>
              <w:top w:w="11" w:type="dxa"/>
              <w:left w:w="11" w:type="dxa"/>
              <w:right w:w="11" w:type="dxa"/>
            </w:tcMar>
            <w:vAlign w:val="center"/>
          </w:tcPr>
          <w:p w14:paraId="18F1A86F">
            <w:pPr>
              <w:pStyle w:val="57"/>
              <w:jc w:val="center"/>
              <w:rPr>
                <w:rFonts w:ascii="仿宋" w:hAnsi="仿宋" w:eastAsia="仿宋"/>
                <w:sz w:val="18"/>
                <w:szCs w:val="18"/>
                <w:highlight w:val="none"/>
              </w:rPr>
            </w:pPr>
            <w:r>
              <w:rPr>
                <w:rFonts w:hint="eastAsia" w:ascii="仿宋" w:hAnsi="仿宋" w:eastAsia="仿宋"/>
                <w:sz w:val="18"/>
                <w:szCs w:val="18"/>
                <w:highlight w:val="none"/>
              </w:rPr>
              <w:t>建议</w:t>
            </w:r>
          </w:p>
        </w:tc>
      </w:tr>
      <w:tr w14:paraId="323C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tblHeader/>
          <w:tblCellSpacing w:w="0" w:type="dxa"/>
        </w:trPr>
        <w:tc>
          <w:tcPr>
            <w:tcW w:w="1038" w:type="dxa"/>
            <w:tcMar>
              <w:top w:w="11" w:type="dxa"/>
              <w:left w:w="11" w:type="dxa"/>
              <w:right w:w="11" w:type="dxa"/>
            </w:tcMar>
            <w:vAlign w:val="center"/>
          </w:tcPr>
          <w:p w14:paraId="43193C77">
            <w:pPr>
              <w:pStyle w:val="57"/>
              <w:jc w:val="center"/>
              <w:rPr>
                <w:rFonts w:ascii="仿宋" w:hAnsi="仿宋" w:eastAsia="仿宋"/>
                <w:color w:val="000000"/>
                <w:sz w:val="18"/>
                <w:szCs w:val="18"/>
                <w:highlight w:val="none"/>
              </w:rPr>
            </w:pPr>
          </w:p>
        </w:tc>
        <w:tc>
          <w:tcPr>
            <w:tcW w:w="828" w:type="dxa"/>
            <w:tcMar>
              <w:top w:w="11" w:type="dxa"/>
              <w:left w:w="11" w:type="dxa"/>
              <w:right w:w="11" w:type="dxa"/>
            </w:tcMar>
            <w:vAlign w:val="center"/>
          </w:tcPr>
          <w:p w14:paraId="4C5E5CB0">
            <w:pPr>
              <w:pStyle w:val="57"/>
              <w:jc w:val="center"/>
              <w:rPr>
                <w:rFonts w:ascii="仿宋" w:hAnsi="仿宋" w:eastAsia="仿宋"/>
                <w:color w:val="000000"/>
                <w:sz w:val="18"/>
                <w:szCs w:val="18"/>
                <w:highlight w:val="none"/>
              </w:rPr>
            </w:pPr>
          </w:p>
        </w:tc>
        <w:tc>
          <w:tcPr>
            <w:tcW w:w="1422" w:type="dxa"/>
            <w:tcMar>
              <w:top w:w="11" w:type="dxa"/>
              <w:left w:w="11" w:type="dxa"/>
              <w:right w:w="11" w:type="dxa"/>
            </w:tcMar>
            <w:vAlign w:val="center"/>
          </w:tcPr>
          <w:p w14:paraId="268712F3">
            <w:pPr>
              <w:pStyle w:val="57"/>
              <w:jc w:val="center"/>
              <w:rPr>
                <w:rFonts w:ascii="仿宋" w:hAnsi="仿宋" w:eastAsia="仿宋"/>
                <w:sz w:val="18"/>
                <w:szCs w:val="18"/>
                <w:highlight w:val="none"/>
              </w:rPr>
            </w:pPr>
          </w:p>
        </w:tc>
        <w:tc>
          <w:tcPr>
            <w:tcW w:w="1275" w:type="dxa"/>
            <w:tcMar>
              <w:top w:w="11" w:type="dxa"/>
              <w:left w:w="11" w:type="dxa"/>
              <w:right w:w="11" w:type="dxa"/>
            </w:tcMar>
            <w:vAlign w:val="center"/>
          </w:tcPr>
          <w:p w14:paraId="6B8C1134">
            <w:pPr>
              <w:pStyle w:val="57"/>
              <w:jc w:val="center"/>
              <w:rPr>
                <w:rFonts w:ascii="仿宋" w:hAnsi="仿宋" w:eastAsia="仿宋"/>
                <w:sz w:val="18"/>
                <w:szCs w:val="18"/>
                <w:highlight w:val="none"/>
              </w:rPr>
            </w:pPr>
          </w:p>
        </w:tc>
        <w:tc>
          <w:tcPr>
            <w:tcW w:w="1276" w:type="dxa"/>
            <w:tcMar>
              <w:top w:w="11" w:type="dxa"/>
              <w:left w:w="11" w:type="dxa"/>
              <w:right w:w="11" w:type="dxa"/>
            </w:tcMar>
            <w:vAlign w:val="center"/>
          </w:tcPr>
          <w:p w14:paraId="793167C5">
            <w:pPr>
              <w:pStyle w:val="57"/>
              <w:jc w:val="center"/>
              <w:rPr>
                <w:rFonts w:ascii="仿宋" w:hAnsi="仿宋" w:eastAsia="仿宋"/>
                <w:sz w:val="18"/>
                <w:szCs w:val="18"/>
                <w:highlight w:val="none"/>
              </w:rPr>
            </w:pPr>
          </w:p>
        </w:tc>
        <w:tc>
          <w:tcPr>
            <w:tcW w:w="720" w:type="dxa"/>
            <w:tcMar>
              <w:top w:w="11" w:type="dxa"/>
              <w:left w:w="11" w:type="dxa"/>
              <w:right w:w="11" w:type="dxa"/>
            </w:tcMar>
            <w:vAlign w:val="center"/>
          </w:tcPr>
          <w:p w14:paraId="78A23547">
            <w:pPr>
              <w:pStyle w:val="57"/>
              <w:jc w:val="center"/>
              <w:rPr>
                <w:rFonts w:ascii="仿宋" w:hAnsi="仿宋" w:eastAsia="仿宋"/>
                <w:sz w:val="18"/>
                <w:szCs w:val="18"/>
                <w:highlight w:val="none"/>
              </w:rPr>
            </w:pPr>
          </w:p>
        </w:tc>
        <w:tc>
          <w:tcPr>
            <w:tcW w:w="1406" w:type="dxa"/>
            <w:tcMar>
              <w:top w:w="11" w:type="dxa"/>
              <w:left w:w="11" w:type="dxa"/>
              <w:right w:w="11" w:type="dxa"/>
            </w:tcMar>
            <w:vAlign w:val="center"/>
          </w:tcPr>
          <w:p w14:paraId="78906D60">
            <w:pPr>
              <w:pStyle w:val="57"/>
              <w:jc w:val="center"/>
              <w:rPr>
                <w:rFonts w:ascii="仿宋" w:hAnsi="仿宋" w:eastAsia="仿宋"/>
                <w:sz w:val="18"/>
                <w:szCs w:val="18"/>
                <w:highlight w:val="none"/>
              </w:rPr>
            </w:pPr>
          </w:p>
        </w:tc>
        <w:tc>
          <w:tcPr>
            <w:tcW w:w="993" w:type="dxa"/>
            <w:tcMar>
              <w:top w:w="11" w:type="dxa"/>
              <w:left w:w="11" w:type="dxa"/>
              <w:right w:w="11" w:type="dxa"/>
            </w:tcMar>
            <w:vAlign w:val="center"/>
          </w:tcPr>
          <w:p w14:paraId="2057FE6A">
            <w:pPr>
              <w:pStyle w:val="57"/>
              <w:jc w:val="center"/>
              <w:rPr>
                <w:rFonts w:ascii="仿宋" w:hAnsi="仿宋" w:eastAsia="仿宋"/>
                <w:sz w:val="18"/>
                <w:szCs w:val="18"/>
                <w:highlight w:val="none"/>
              </w:rPr>
            </w:pPr>
          </w:p>
        </w:tc>
      </w:tr>
    </w:tbl>
    <w:p w14:paraId="1DF00466">
      <w:pPr>
        <w:numPr>
          <w:ilvl w:val="0"/>
          <w:numId w:val="7"/>
        </w:numPr>
        <w:autoSpaceDE w:val="0"/>
        <w:autoSpaceDN w:val="0"/>
        <w:adjustRightInd w:val="0"/>
        <w:spacing w:afterLines="50" w:line="440" w:lineRule="exact"/>
        <w:ind w:firstLine="420" w:firstLineChars="150"/>
        <w:rPr>
          <w:highlight w:val="none"/>
        </w:rPr>
      </w:pPr>
      <w:r>
        <w:rPr>
          <w:rFonts w:hint="eastAsia" w:ascii="黑体" w:hAnsi="黑体" w:eastAsia="黑体"/>
          <w:sz w:val="28"/>
          <w:szCs w:val="28"/>
          <w:highlight w:val="none"/>
        </w:rPr>
        <w:t>分项报告：</w:t>
      </w:r>
      <w:r>
        <w:rPr>
          <w:rFonts w:hint="eastAsia" w:ascii="仿宋_GB2312" w:hAnsi="仿宋" w:eastAsia="仿宋_GB2312"/>
          <w:bCs/>
          <w:sz w:val="28"/>
          <w:szCs w:val="28"/>
          <w:highlight w:val="none"/>
        </w:rPr>
        <w:t>详见各分项检验检测报告（附后）。</w:t>
      </w:r>
    </w:p>
    <w:p w14:paraId="782BCBC8">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51D1A75F">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附件10：</w:t>
      </w:r>
    </w:p>
    <w:p w14:paraId="7258991C">
      <w:pPr>
        <w:spacing w:line="620" w:lineRule="exact"/>
        <w:jc w:val="center"/>
        <w:rPr>
          <w:rFonts w:ascii="黑体" w:hAnsi="黑体" w:eastAsia="黑体"/>
          <w:sz w:val="44"/>
          <w:szCs w:val="44"/>
          <w:highlight w:val="none"/>
        </w:rPr>
      </w:pPr>
      <w:r>
        <w:rPr>
          <w:rFonts w:hint="eastAsia" w:ascii="黑体" w:hAnsi="黑体" w:eastAsia="黑体"/>
          <w:sz w:val="44"/>
          <w:szCs w:val="44"/>
          <w:highlight w:val="none"/>
        </w:rPr>
        <w:t>杭州市市政道路养护指导书</w:t>
      </w:r>
    </w:p>
    <w:p w14:paraId="74E1608B">
      <w:pPr>
        <w:jc w:val="center"/>
        <w:rPr>
          <w:rFonts w:ascii="仿宋_GB2312" w:hAnsi="仿宋_GB2312" w:eastAsia="仿宋_GB2312" w:cs="仿宋_GB2312"/>
          <w:sz w:val="18"/>
          <w:szCs w:val="18"/>
          <w:highlight w:val="none"/>
        </w:rPr>
      </w:pPr>
    </w:p>
    <w:p w14:paraId="1A339138">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为进一步提高市政养护精细化管理水平，全面提升市政道路设施品质，营造“大气开放、精致和谐”的城市形象，依据《城镇道路养护技术规范》（CJJ36-2016）和《城市道路养护规范》（DB 3301/T 0012—2013），结合杭州市道路养护管理工作，特制定本指导书。</w:t>
      </w:r>
    </w:p>
    <w:p w14:paraId="4BC89D89">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一、工作目标</w:t>
      </w:r>
    </w:p>
    <w:p w14:paraId="7F86C51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遵循“质量第一、品质保证”的原则，市政道路设施实现“十无”目标，车行道无坑洞、无沉降、无裂缝、无积水；人行道无缺失、无破损、无松动；井盖及道路附属设施无缺失、无破损、无沉降，重点提高道路平整度、行车舒适度，打造市政道路管养“杭州样本”。</w:t>
      </w:r>
    </w:p>
    <w:p w14:paraId="1794BC1B">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二、适用范围</w:t>
      </w:r>
    </w:p>
    <w:p w14:paraId="07DC6130">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杭州全市范围市政道路及附属设施的日常养护，主要包括车行道（沥青混凝土路面、水泥混凝土路面）、人行道、盲道、无障碍坡道、各类检查井、道路名称指示牌等设施。</w:t>
      </w:r>
    </w:p>
    <w:p w14:paraId="4519CB00">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三、养护评价</w:t>
      </w:r>
    </w:p>
    <w:p w14:paraId="532DC5CC">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道路养护PQI（路面综合评价指数）要求：</w:t>
      </w:r>
    </w:p>
    <w:p w14:paraId="339F7D4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Ⅰ等养护道路（快速路、主干路、商业繁华街道、游览路线），PQI评价结果为B级及以上的道路数量≥95%；</w:t>
      </w:r>
    </w:p>
    <w:p w14:paraId="5537B2D7">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Ⅱ等养护道路（除Ⅰ等养护以外的次干路、步行街、支路中的商业街道），PQI评价结果为B级及以上的道路数量≥92%；</w:t>
      </w:r>
    </w:p>
    <w:p w14:paraId="0718433D">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Ⅲ等养护道路（除Ⅰ、Ⅱ等养护以外的支路），PQI评价结果为B级及以上的道路数量≥90%；</w:t>
      </w:r>
    </w:p>
    <w:p w14:paraId="49FDF3FA">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四、工作要求</w:t>
      </w:r>
    </w:p>
    <w:p w14:paraId="253A9CB9">
      <w:pPr>
        <w:ind w:firstLine="181" w:firstLineChars="100"/>
        <w:jc w:val="left"/>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 xml:space="preserve"> 1.</w:t>
      </w:r>
      <w:r>
        <w:rPr>
          <w:rFonts w:hint="eastAsia" w:ascii="仿宋_GB2312" w:hAnsi="仿宋_GB2312" w:eastAsia="仿宋_GB2312" w:cs="仿宋_GB2312"/>
          <w:b/>
          <w:bCs/>
          <w:sz w:val="18"/>
          <w:szCs w:val="18"/>
          <w:highlight w:val="none"/>
        </w:rPr>
        <w:t xml:space="preserve"> 强化精细化养护</w:t>
      </w:r>
      <w:r>
        <w:rPr>
          <w:rFonts w:hint="eastAsia" w:ascii="仿宋_GB2312" w:hAnsi="仿宋_GB2312" w:eastAsia="仿宋_GB2312" w:cs="仿宋_GB2312"/>
          <w:sz w:val="18"/>
          <w:szCs w:val="18"/>
          <w:highlight w:val="none"/>
        </w:rPr>
        <w:t>。认真贯彻国家省有关规范文件及行业技术标准，养护工作应由“粗放式”变为“精细化”管理，对道路问题进行精准施策，做到规范化、标准化养护，以“精、准、细、严”控制养护作业，不断提升市政道路养护质量。</w:t>
      </w:r>
    </w:p>
    <w:p w14:paraId="59615EA8">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bCs/>
          <w:sz w:val="18"/>
          <w:szCs w:val="18"/>
          <w:highlight w:val="none"/>
        </w:rPr>
        <w:t>2.突出重点问题解决</w:t>
      </w:r>
      <w:r>
        <w:rPr>
          <w:rFonts w:hint="eastAsia" w:ascii="仿宋_GB2312" w:hAnsi="仿宋_GB2312" w:eastAsia="仿宋_GB2312" w:cs="仿宋_GB2312"/>
          <w:sz w:val="18"/>
          <w:szCs w:val="18"/>
          <w:highlight w:val="none"/>
        </w:rPr>
        <w:t>。坚持问题导向与结果导向，切实抓好道路交叉口病害反复修、人行道“水老鼠”、检查井井盖下沉、公交站台积水及市民所反应的等热难点问题，加强预养护工作，做到早发现，早处置，及时消除病害与隐患，不断提升市民群众幸福感与满意度。</w:t>
      </w:r>
    </w:p>
    <w:p w14:paraId="353606AD">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3.提升掘路修复质量。</w:t>
      </w:r>
      <w:r>
        <w:rPr>
          <w:rFonts w:hint="eastAsia" w:ascii="仿宋_GB2312" w:hAnsi="仿宋_GB2312" w:eastAsia="仿宋_GB2312" w:cs="仿宋_GB2312"/>
          <w:sz w:val="18"/>
          <w:szCs w:val="18"/>
          <w:highlight w:val="none"/>
        </w:rPr>
        <w:t>进一步规范掘路修复，确保道路开挖施工质量，做到</w:t>
      </w:r>
      <w:r>
        <w:rPr>
          <w:rFonts w:hint="eastAsia" w:ascii="仿宋_GB2312" w:hAnsi="仿宋_GB2312" w:eastAsia="仿宋_GB2312" w:cs="仿宋_GB2312"/>
          <w:kern w:val="0"/>
          <w:sz w:val="18"/>
          <w:szCs w:val="18"/>
          <w:highlight w:val="none"/>
          <w:lang w:val="zh-CN"/>
        </w:rPr>
        <w:t>关口前移、加强</w:t>
      </w:r>
      <w:r>
        <w:rPr>
          <w:rFonts w:hint="eastAsia" w:ascii="仿宋_GB2312" w:hAnsi="仿宋_GB2312" w:eastAsia="仿宋_GB2312" w:cs="仿宋_GB2312"/>
          <w:sz w:val="18"/>
          <w:szCs w:val="18"/>
          <w:highlight w:val="none"/>
        </w:rPr>
        <w:t>源头管理，在严把道路挖掘审批的同时，进一步加强批后监管，加强过程管理，确保施工质量，不断提升道路品质。</w:t>
      </w:r>
    </w:p>
    <w:p w14:paraId="3996656C">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bCs/>
          <w:sz w:val="18"/>
          <w:szCs w:val="18"/>
          <w:highlight w:val="none"/>
        </w:rPr>
        <w:t>4.强化安全文明施工</w:t>
      </w:r>
      <w:r>
        <w:rPr>
          <w:rFonts w:hint="eastAsia" w:ascii="仿宋_GB2312" w:hAnsi="仿宋_GB2312" w:eastAsia="仿宋_GB2312" w:cs="仿宋_GB2312"/>
          <w:sz w:val="18"/>
          <w:szCs w:val="18"/>
          <w:highlight w:val="none"/>
        </w:rPr>
        <w:t>。认真贯彻落实“安全第一，预防为主”的方针，重点抓好安全围护、降尘防污、队伍形象等工作，做到安全文明作业，对周边环境的影响降到最低点。实现安全、有序、高效、文明施工。</w:t>
      </w:r>
    </w:p>
    <w:p w14:paraId="3E301734">
      <w:pPr>
        <w:rPr>
          <w:rFonts w:ascii="仿宋_GB2312" w:hAnsi="仿宋_GB2312" w:eastAsia="仿宋_GB2312" w:cs="仿宋_GB2312"/>
          <w:sz w:val="18"/>
          <w:szCs w:val="18"/>
          <w:highlight w:val="none"/>
        </w:rPr>
      </w:pPr>
    </w:p>
    <w:p w14:paraId="1F90304B">
      <w:pPr>
        <w:rPr>
          <w:rFonts w:ascii="仿宋_GB2312" w:hAnsi="仿宋_GB2312" w:eastAsia="仿宋_GB2312" w:cs="仿宋_GB2312"/>
          <w:sz w:val="18"/>
          <w:szCs w:val="18"/>
          <w:highlight w:val="none"/>
        </w:rPr>
      </w:pPr>
    </w:p>
    <w:p w14:paraId="7D9A257A">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附件：市政道路设施养护施工及验收要求</w:t>
      </w:r>
    </w:p>
    <w:p w14:paraId="622C6C3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          市政道路掘路修复要求</w:t>
      </w:r>
    </w:p>
    <w:p w14:paraId="69529A7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      市政道路安全文明施工要求</w:t>
      </w:r>
    </w:p>
    <w:p w14:paraId="1DA0DD36">
      <w:pPr>
        <w:rPr>
          <w:rFonts w:ascii="黑体" w:hAnsi="黑体" w:eastAsia="黑体" w:cs="仿宋"/>
          <w:bCs/>
          <w:sz w:val="44"/>
          <w:szCs w:val="44"/>
          <w:highlight w:val="none"/>
        </w:rPr>
      </w:pPr>
      <w:r>
        <w:rPr>
          <w:rFonts w:hint="eastAsia" w:ascii="黑体" w:hAnsi="黑体" w:eastAsia="黑体" w:cs="仿宋"/>
          <w:bCs/>
          <w:sz w:val="44"/>
          <w:szCs w:val="44"/>
          <w:highlight w:val="none"/>
        </w:rPr>
        <w:br w:type="page"/>
      </w:r>
    </w:p>
    <w:p w14:paraId="6AB85FD3">
      <w:pPr>
        <w:jc w:val="center"/>
        <w:rPr>
          <w:rFonts w:ascii="黑体" w:hAnsi="黑体" w:eastAsia="黑体" w:cs="仿宋"/>
          <w:bCs/>
          <w:sz w:val="44"/>
          <w:szCs w:val="44"/>
          <w:highlight w:val="none"/>
        </w:rPr>
      </w:pPr>
      <w:r>
        <w:rPr>
          <w:rFonts w:hint="eastAsia" w:ascii="黑体" w:hAnsi="黑体" w:eastAsia="黑体" w:cs="仿宋"/>
          <w:bCs/>
          <w:sz w:val="44"/>
          <w:szCs w:val="44"/>
          <w:highlight w:val="none"/>
        </w:rPr>
        <w:t>市政道路设施养护施工及验收要求</w:t>
      </w:r>
    </w:p>
    <w:p w14:paraId="39D397AB">
      <w:pPr>
        <w:ind w:firstLine="361" w:firstLineChars="200"/>
        <w:rPr>
          <w:rFonts w:ascii="仿宋_GB2312" w:hAnsi="仿宋_GB2312" w:eastAsia="仿宋_GB2312" w:cs="仿宋_GB2312"/>
          <w:b/>
          <w:bCs/>
          <w:sz w:val="18"/>
          <w:szCs w:val="18"/>
          <w:highlight w:val="none"/>
        </w:rPr>
      </w:pPr>
    </w:p>
    <w:p w14:paraId="0C1CE4CD">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市政道路及其附属设施包括：车行道（沥青混凝土路面、水泥混凝土路面）、人行道、盲道、无障碍坡道、各类检查井、道路名称指示牌等。</w:t>
      </w:r>
    </w:p>
    <w:p w14:paraId="4D68F972">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一、沥青混凝土路面</w:t>
      </w:r>
    </w:p>
    <w:p w14:paraId="3CA4ECD9">
      <w:pPr>
        <w:ind w:firstLine="452" w:firstLineChars="25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34CBE611">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（1）维修时限。</w:t>
      </w:r>
      <w:r>
        <w:rPr>
          <w:rFonts w:hint="eastAsia" w:ascii="仿宋_GB2312" w:hAnsi="仿宋_GB2312" w:eastAsia="仿宋_GB2312" w:cs="仿宋_GB2312"/>
          <w:sz w:val="18"/>
          <w:szCs w:val="18"/>
          <w:highlight w:val="none"/>
        </w:rPr>
        <w:t>发现病害应及时处理。</w:t>
      </w:r>
    </w:p>
    <w:p w14:paraId="55364827">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结构性破坏病害72小时内开始维修；功能性破坏病害48小时内开始维修。</w:t>
      </w:r>
    </w:p>
    <w:p w14:paraId="4C2BA117">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（2）维修材料。</w:t>
      </w:r>
      <w:r>
        <w:rPr>
          <w:rFonts w:hint="eastAsia" w:ascii="仿宋_GB2312" w:hAnsi="仿宋_GB2312" w:eastAsia="仿宋_GB2312" w:cs="仿宋_GB2312"/>
          <w:sz w:val="18"/>
          <w:szCs w:val="18"/>
          <w:highlight w:val="none"/>
        </w:rPr>
        <w:t>应采用相应材质的沥青混合料。</w:t>
      </w:r>
    </w:p>
    <w:p w14:paraId="2923278F">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应急时，可先采用普通沥青混合料；后续，再按照原设计标准修复。</w:t>
      </w:r>
    </w:p>
    <w:p w14:paraId="0C417D98">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台风、汛期和低温雨雪期，宜采用高性能全天候沥青冷补料按标准修复。 </w:t>
      </w:r>
    </w:p>
    <w:p w14:paraId="59D65F9E">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（3）沥青温度。</w:t>
      </w:r>
      <w:r>
        <w:rPr>
          <w:rFonts w:hint="eastAsia" w:ascii="仿宋_GB2312" w:hAnsi="仿宋_GB2312" w:eastAsia="仿宋_GB2312" w:cs="仿宋_GB2312"/>
          <w:sz w:val="18"/>
          <w:szCs w:val="18"/>
          <w:highlight w:val="none"/>
        </w:rPr>
        <w:t>应保持沥青混合料施工温度，运输、施工时应采用保温设备；</w:t>
      </w:r>
      <w:r>
        <w:rPr>
          <w:highlight w:val="none"/>
        </w:rPr>
        <w:fldChar w:fldCharType="begin"/>
      </w:r>
      <w:r>
        <w:rPr>
          <w:highlight w:val="none"/>
        </w:rPr>
        <w:instrText xml:space="preserve"> HYPERLINK "https://www.baidu.com/s?wd=%E5%86%AC%E5%AD%A3%E6%96%BD%E5%B7%A5&amp;tn=SE_PcZhidaonwhc_ngpagmjz&amp;rsv_dl=gh_pc_zhidao" \t "_blank" </w:instrText>
      </w:r>
      <w:r>
        <w:rPr>
          <w:highlight w:val="none"/>
        </w:rPr>
        <w:fldChar w:fldCharType="separate"/>
      </w:r>
      <w:r>
        <w:rPr>
          <w:rFonts w:hint="eastAsia" w:ascii="仿宋_GB2312" w:hAnsi="仿宋_GB2312" w:eastAsia="仿宋_GB2312" w:cs="仿宋_GB2312"/>
          <w:sz w:val="18"/>
          <w:szCs w:val="18"/>
          <w:highlight w:val="none"/>
        </w:rPr>
        <w:t>冬季（气温连续5天低于零下5℃）施工</w:t>
      </w:r>
      <w:r>
        <w:rPr>
          <w:rFonts w:hint="eastAsia" w:ascii="仿宋_GB2312" w:hAnsi="仿宋_GB2312" w:eastAsia="仿宋_GB2312" w:cs="仿宋_GB2312"/>
          <w:sz w:val="18"/>
          <w:szCs w:val="18"/>
          <w:highlight w:val="none"/>
        </w:rPr>
        <w:fldChar w:fldCharType="end"/>
      </w:r>
      <w:r>
        <w:rPr>
          <w:rFonts w:hint="eastAsia" w:ascii="仿宋_GB2312" w:hAnsi="仿宋_GB2312" w:eastAsia="仿宋_GB2312" w:cs="仿宋_GB2312"/>
          <w:sz w:val="18"/>
          <w:szCs w:val="18"/>
          <w:highlight w:val="none"/>
        </w:rPr>
        <w:t>，必须做好防冻、保暖的准备。</w:t>
      </w:r>
    </w:p>
    <w:p w14:paraId="39BFF437">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摊铺开始时，不低于140℃；</w:t>
      </w:r>
    </w:p>
    <w:p w14:paraId="1280AA0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碾压开始时，不低于120℃；</w:t>
      </w:r>
    </w:p>
    <w:p w14:paraId="0D56B211">
      <w:pPr>
        <w:ind w:firstLine="360"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sz w:val="18"/>
          <w:szCs w:val="18"/>
          <w:highlight w:val="none"/>
        </w:rPr>
        <w:t>开放交通时，不高于50℃。</w:t>
      </w:r>
    </w:p>
    <w:p w14:paraId="2C57E4ED">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（4）铣刨范围。</w:t>
      </w:r>
      <w:r>
        <w:rPr>
          <w:rFonts w:hint="eastAsia" w:ascii="仿宋_GB2312" w:hAnsi="仿宋_GB2312" w:eastAsia="仿宋_GB2312" w:cs="仿宋_GB2312"/>
          <w:sz w:val="18"/>
          <w:szCs w:val="18"/>
          <w:highlight w:val="none"/>
        </w:rPr>
        <w:t>在病害范围的基础上延伸，按既有车道合理布局。</w:t>
      </w:r>
    </w:p>
    <w:p w14:paraId="78161ED3">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长度：病害边缘向外延伸150mm，相邻距离小于2m的病害应统一铣刨。</w:t>
      </w:r>
    </w:p>
    <w:p w14:paraId="6E25247E">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宽幅：春、冬两季宜按病害实际范围进行修复；夏、秋两季应按车道宽幅进行修复（背街小巷除外）。</w:t>
      </w:r>
    </w:p>
    <w:p w14:paraId="5D936AB0">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（5）边线切割。</w:t>
      </w:r>
      <w:r>
        <w:rPr>
          <w:rFonts w:hint="eastAsia" w:ascii="仿宋_GB2312" w:hAnsi="仿宋_GB2312" w:eastAsia="仿宋_GB2312" w:cs="仿宋_GB2312"/>
          <w:sz w:val="18"/>
          <w:szCs w:val="18"/>
          <w:highlight w:val="none"/>
        </w:rPr>
        <w:t>边线应使用机械切割。</w:t>
      </w:r>
    </w:p>
    <w:p w14:paraId="47DC3EA1">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边线齐直，与路面中心线平行或垂直；</w:t>
      </w:r>
    </w:p>
    <w:p w14:paraId="02E97263">
      <w:pPr>
        <w:ind w:firstLine="360" w:firstLineChars="200"/>
        <w:rPr>
          <w:rFonts w:ascii="仿宋_GB2312" w:hAnsi="仿宋_GB2312" w:eastAsia="仿宋_GB2312" w:cs="仿宋_GB2312"/>
          <w:sz w:val="18"/>
          <w:szCs w:val="18"/>
          <w:highlight w:val="none"/>
          <w:u w:val="single"/>
        </w:rPr>
      </w:pPr>
      <w:r>
        <w:rPr>
          <w:rFonts w:hint="eastAsia" w:ascii="仿宋_GB2312" w:hAnsi="仿宋_GB2312" w:eastAsia="仿宋_GB2312" w:cs="仿宋_GB2312"/>
          <w:sz w:val="18"/>
          <w:szCs w:val="18"/>
          <w:highlight w:val="none"/>
        </w:rPr>
        <w:t>切口垂直、底面清洁、形状方正，不得出现多边形。</w:t>
      </w:r>
    </w:p>
    <w:p w14:paraId="71CF55C2">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（6）铣刨深度。</w:t>
      </w:r>
      <w:r>
        <w:rPr>
          <w:rFonts w:hint="eastAsia" w:ascii="仿宋_GB2312" w:hAnsi="仿宋_GB2312" w:eastAsia="仿宋_GB2312" w:cs="仿宋_GB2312"/>
          <w:sz w:val="18"/>
          <w:szCs w:val="18"/>
          <w:highlight w:val="none"/>
        </w:rPr>
        <w:t>主要进行路面面层铣刨。</w:t>
      </w:r>
    </w:p>
    <w:p w14:paraId="08F906A1">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铣刨厚度应根据原设计的分层厚度确定分层铣刨厚度。</w:t>
      </w:r>
    </w:p>
    <w:p w14:paraId="3A64FC9E">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（7）维修施工。</w:t>
      </w:r>
      <w:r>
        <w:rPr>
          <w:rFonts w:hint="eastAsia" w:ascii="仿宋_GB2312" w:hAnsi="仿宋_GB2312" w:eastAsia="仿宋_GB2312" w:cs="仿宋_GB2312"/>
          <w:sz w:val="18"/>
          <w:szCs w:val="18"/>
          <w:highlight w:val="none"/>
        </w:rPr>
        <w:t>施工作业应做到卸料快、摊铺快、接平快、碾压快。</w:t>
      </w:r>
    </w:p>
    <w:p w14:paraId="7DEBC56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路面修补面积＞100㎡的，宜采用机械化修补；其他，应采用铣刨加层修补；</w:t>
      </w:r>
    </w:p>
    <w:p w14:paraId="3369F57C">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快速路和主干路施工气温低于10℃、次干路和支路施工气温低于5℃时，不宜摊铺热拌沥青混合料。</w:t>
      </w:r>
    </w:p>
    <w:p w14:paraId="28B3BC5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禁止采用贴面方式修补，禁止雨天热拌沥青混合料施工。</w:t>
      </w:r>
    </w:p>
    <w:p w14:paraId="4266E66A">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（8）灌缝封边。</w:t>
      </w:r>
      <w:r>
        <w:rPr>
          <w:rFonts w:hint="eastAsia" w:ascii="仿宋_GB2312" w:hAnsi="仿宋_GB2312" w:eastAsia="仿宋_GB2312" w:cs="仿宋_GB2312"/>
          <w:sz w:val="18"/>
          <w:szCs w:val="18"/>
          <w:highlight w:val="none"/>
        </w:rPr>
        <w:t>路面线裂病害可采用灌缝处治；养护修复封边宜和路面修复同步实施，特殊情况下间隔不大于24小时。</w:t>
      </w:r>
    </w:p>
    <w:p w14:paraId="799646C2">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灌缝封边应采用高分子聚合物密封胶或高分子聚合物双面贴。</w:t>
      </w:r>
    </w:p>
    <w:p w14:paraId="059E640B">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灌入密封槽内的密封胶冷却后即可开放交通，一般为10-20min。</w:t>
      </w:r>
    </w:p>
    <w:p w14:paraId="37534BFB">
      <w:pPr>
        <w:ind w:firstLine="360"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sz w:val="18"/>
          <w:szCs w:val="18"/>
          <w:highlight w:val="none"/>
        </w:rPr>
        <w:t>在路面温度低于5℃及下雨雪天气时，不宜进行灌缝或封边施工。</w:t>
      </w:r>
    </w:p>
    <w:p w14:paraId="4F906F7F">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6"/>
        <w:gridCol w:w="7143"/>
        <w:gridCol w:w="783"/>
      </w:tblGrid>
      <w:tr w14:paraId="2B3C9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77" w:type="pct"/>
            <w:noWrap/>
            <w:vAlign w:val="center"/>
          </w:tcPr>
          <w:p w14:paraId="5E4AF16D">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w:t>
            </w:r>
          </w:p>
        </w:tc>
        <w:tc>
          <w:tcPr>
            <w:tcW w:w="3554" w:type="pct"/>
            <w:noWrap/>
            <w:vAlign w:val="center"/>
          </w:tcPr>
          <w:p w14:paraId="5F85808C">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质量要求或允许偏差</w:t>
            </w:r>
          </w:p>
        </w:tc>
        <w:tc>
          <w:tcPr>
            <w:tcW w:w="769" w:type="pct"/>
            <w:noWrap/>
            <w:vAlign w:val="center"/>
          </w:tcPr>
          <w:p w14:paraId="54D6FD84">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检验方法</w:t>
            </w:r>
          </w:p>
        </w:tc>
      </w:tr>
      <w:tr w14:paraId="4D4D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677" w:type="pct"/>
            <w:noWrap/>
            <w:vAlign w:val="center"/>
          </w:tcPr>
          <w:p w14:paraId="4C5B1996">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平整度</w:t>
            </w:r>
          </w:p>
        </w:tc>
        <w:tc>
          <w:tcPr>
            <w:tcW w:w="3554" w:type="pct"/>
            <w:noWrap/>
            <w:vAlign w:val="center"/>
          </w:tcPr>
          <w:p w14:paraId="424BFBCB">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路面平整，人工摊铺不大于7mm，机械摊铺不大于5mm</w:t>
            </w:r>
          </w:p>
        </w:tc>
        <w:tc>
          <w:tcPr>
            <w:tcW w:w="769" w:type="pct"/>
            <w:noWrap/>
            <w:vAlign w:val="center"/>
          </w:tcPr>
          <w:p w14:paraId="4B316DD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3m直尺量</w:t>
            </w:r>
          </w:p>
        </w:tc>
      </w:tr>
      <w:tr w14:paraId="5D7B0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7" w:type="pct"/>
            <w:noWrap/>
            <w:vAlign w:val="center"/>
          </w:tcPr>
          <w:p w14:paraId="0B192A1A">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接茬</w:t>
            </w:r>
          </w:p>
        </w:tc>
        <w:tc>
          <w:tcPr>
            <w:tcW w:w="3554" w:type="pct"/>
            <w:noWrap/>
            <w:vAlign w:val="center"/>
          </w:tcPr>
          <w:p w14:paraId="5C7F4C2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1.接茬密实，无起壳、松散；</w:t>
            </w:r>
          </w:p>
          <w:p w14:paraId="2A09A839">
            <w:pPr>
              <w:rPr>
                <w:rFonts w:ascii="仿宋_GB2312" w:hAnsi="仿宋_GB2312" w:eastAsia="仿宋_GB2312" w:cs="仿宋_GB2312"/>
                <w:sz w:val="18"/>
                <w:szCs w:val="18"/>
                <w:highlight w:val="none"/>
              </w:rPr>
            </w:pPr>
            <w:bookmarkStart w:id="1487" w:name="6275-1536205866574"/>
            <w:bookmarkEnd w:id="1487"/>
            <w:r>
              <w:rPr>
                <w:rFonts w:hint="eastAsia" w:ascii="仿宋_GB2312" w:hAnsi="仿宋_GB2312" w:eastAsia="仿宋_GB2312" w:cs="仿宋_GB2312"/>
                <w:sz w:val="18"/>
                <w:szCs w:val="18"/>
                <w:highlight w:val="none"/>
              </w:rPr>
              <w:t>2.与平石相接不低于平石，高不大于5mm；</w:t>
            </w:r>
          </w:p>
          <w:p w14:paraId="716C1258">
            <w:pPr>
              <w:rPr>
                <w:rFonts w:ascii="仿宋_GB2312" w:hAnsi="仿宋_GB2312" w:eastAsia="仿宋_GB2312" w:cs="仿宋_GB2312"/>
                <w:sz w:val="18"/>
                <w:szCs w:val="18"/>
                <w:highlight w:val="none"/>
              </w:rPr>
            </w:pPr>
            <w:bookmarkStart w:id="1488" w:name="4670-1536205866574"/>
            <w:bookmarkEnd w:id="1488"/>
            <w:r>
              <w:rPr>
                <w:rFonts w:hint="eastAsia" w:ascii="仿宋_GB2312" w:hAnsi="仿宋_GB2312" w:eastAsia="仿宋_GB2312" w:cs="仿宋_GB2312"/>
                <w:sz w:val="18"/>
                <w:szCs w:val="18"/>
                <w:highlight w:val="none"/>
              </w:rPr>
              <w:t>3.新老接茬密实，平顺齐直，不低于原路面，高不大于5mm</w:t>
            </w:r>
          </w:p>
        </w:tc>
        <w:tc>
          <w:tcPr>
            <w:tcW w:w="769" w:type="pct"/>
            <w:noWrap/>
            <w:vAlign w:val="center"/>
          </w:tcPr>
          <w:p w14:paraId="5C7E8659">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156A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7" w:type="pct"/>
            <w:noWrap/>
            <w:vAlign w:val="center"/>
          </w:tcPr>
          <w:p w14:paraId="06E06364">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路框差</w:t>
            </w:r>
          </w:p>
        </w:tc>
        <w:tc>
          <w:tcPr>
            <w:tcW w:w="3554" w:type="pct"/>
            <w:noWrap/>
            <w:vAlign w:val="center"/>
          </w:tcPr>
          <w:p w14:paraId="4B484E3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1.各类井框周围路面无沉陷；</w:t>
            </w:r>
          </w:p>
          <w:p w14:paraId="15CA1DBA">
            <w:pPr>
              <w:rPr>
                <w:rFonts w:ascii="仿宋_GB2312" w:hAnsi="仿宋_GB2312" w:eastAsia="仿宋_GB2312" w:cs="仿宋_GB2312"/>
                <w:sz w:val="18"/>
                <w:szCs w:val="18"/>
                <w:highlight w:val="none"/>
              </w:rPr>
            </w:pPr>
            <w:bookmarkStart w:id="1489" w:name="8422-1536205866574"/>
            <w:bookmarkEnd w:id="1489"/>
            <w:r>
              <w:rPr>
                <w:rFonts w:hint="eastAsia" w:ascii="仿宋_GB2312" w:hAnsi="仿宋_GB2312" w:eastAsia="仿宋_GB2312" w:cs="仿宋_GB2312"/>
                <w:sz w:val="18"/>
                <w:szCs w:val="18"/>
                <w:highlight w:val="none"/>
              </w:rPr>
              <w:t>2.各类井框与路面高差不大于5mm</w:t>
            </w:r>
          </w:p>
        </w:tc>
        <w:tc>
          <w:tcPr>
            <w:tcW w:w="769" w:type="pct"/>
            <w:noWrap/>
            <w:vAlign w:val="center"/>
          </w:tcPr>
          <w:p w14:paraId="4DC366FE">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6F05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7" w:type="pct"/>
            <w:noWrap/>
            <w:vAlign w:val="center"/>
          </w:tcPr>
          <w:p w14:paraId="5631A63A">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横坡度</w:t>
            </w:r>
          </w:p>
        </w:tc>
        <w:tc>
          <w:tcPr>
            <w:tcW w:w="3554" w:type="pct"/>
            <w:noWrap/>
            <w:vAlign w:val="center"/>
          </w:tcPr>
          <w:p w14:paraId="05673421">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与原路面横坡相一致,无积水</w:t>
            </w:r>
          </w:p>
        </w:tc>
        <w:tc>
          <w:tcPr>
            <w:tcW w:w="769" w:type="pct"/>
            <w:noWrap/>
            <w:vAlign w:val="center"/>
          </w:tcPr>
          <w:p w14:paraId="5681F35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r w14:paraId="2B50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7" w:type="pct"/>
            <w:noWrap/>
            <w:vAlign w:val="center"/>
          </w:tcPr>
          <w:p w14:paraId="7856BD8B">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积水</w:t>
            </w:r>
          </w:p>
        </w:tc>
        <w:tc>
          <w:tcPr>
            <w:tcW w:w="3554" w:type="pct"/>
            <w:noWrap/>
            <w:vAlign w:val="center"/>
          </w:tcPr>
          <w:p w14:paraId="1394A82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雨天路面无积水，尤其是公交车站、人行横道线处无积水</w:t>
            </w:r>
          </w:p>
        </w:tc>
        <w:tc>
          <w:tcPr>
            <w:tcW w:w="769" w:type="pct"/>
            <w:noWrap/>
            <w:vAlign w:val="center"/>
          </w:tcPr>
          <w:p w14:paraId="5AFF77F1">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r w14:paraId="71A4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677" w:type="pct"/>
            <w:noWrap/>
            <w:vAlign w:val="center"/>
          </w:tcPr>
          <w:p w14:paraId="23F2233C">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灌缝/封边</w:t>
            </w:r>
          </w:p>
        </w:tc>
        <w:tc>
          <w:tcPr>
            <w:tcW w:w="3554" w:type="pct"/>
            <w:noWrap/>
            <w:vAlign w:val="center"/>
          </w:tcPr>
          <w:p w14:paraId="4540D9CB">
            <w:pPr>
              <w:rPr>
                <w:rFonts w:ascii="仿宋_GB2312" w:hAnsi="仿宋_GB2312" w:eastAsia="仿宋_GB2312" w:cs="仿宋_GB2312"/>
                <w:b/>
                <w:sz w:val="18"/>
                <w:szCs w:val="18"/>
                <w:highlight w:val="none"/>
              </w:rPr>
            </w:pPr>
            <w:r>
              <w:rPr>
                <w:rFonts w:hint="eastAsia" w:ascii="仿宋_GB2312" w:hAnsi="仿宋_GB2312" w:eastAsia="仿宋_GB2312" w:cs="仿宋_GB2312"/>
                <w:sz w:val="18"/>
                <w:szCs w:val="18"/>
                <w:highlight w:val="none"/>
              </w:rPr>
              <w:t>修复区域新老接茬处封边表面应平整、密实、均匀、直顺、美观；灌缝处表面光滑，无颗粒状胶粒、无轮迹、无划痕；灌缝和封边处应与原路面接顺，宽度不宜大于5cm，平整度不大于5mm</w:t>
            </w:r>
          </w:p>
        </w:tc>
        <w:tc>
          <w:tcPr>
            <w:tcW w:w="769" w:type="pct"/>
            <w:noWrap/>
            <w:vAlign w:val="center"/>
          </w:tcPr>
          <w:p w14:paraId="0C5BEC7D">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目测/3m直尺量</w:t>
            </w:r>
          </w:p>
        </w:tc>
      </w:tr>
    </w:tbl>
    <w:p w14:paraId="392466D7">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二、水泥混凝土路面</w:t>
      </w:r>
    </w:p>
    <w:p w14:paraId="70449A67">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662788E7">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（1）维修时限。</w:t>
      </w:r>
      <w:r>
        <w:rPr>
          <w:rFonts w:hint="eastAsia" w:ascii="仿宋_GB2312" w:hAnsi="仿宋_GB2312" w:eastAsia="仿宋_GB2312" w:cs="仿宋_GB2312"/>
          <w:sz w:val="18"/>
          <w:szCs w:val="18"/>
          <w:highlight w:val="none"/>
        </w:rPr>
        <w:t>Ⅰ、Ⅱ等养护的道路宜采用专用机械及相应的快速维修方法施工。</w:t>
      </w:r>
    </w:p>
    <w:p w14:paraId="5B038EA7">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（2）维修材料及指标。</w:t>
      </w:r>
      <w:r>
        <w:rPr>
          <w:rFonts w:hint="eastAsia" w:ascii="仿宋_GB2312" w:hAnsi="仿宋_GB2312" w:eastAsia="仿宋_GB2312" w:cs="仿宋_GB2312"/>
          <w:sz w:val="18"/>
          <w:szCs w:val="18"/>
          <w:highlight w:val="none"/>
        </w:rPr>
        <w:t>应满足强度、耐久性和稳定性要求，主要材料应进行检验，维修水泥混凝土板块抗压、抗弯拉强度不低于原有路面强度。</w:t>
      </w:r>
    </w:p>
    <w:p w14:paraId="396A16C9">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（3）维修范围及切割。</w:t>
      </w:r>
      <w:r>
        <w:rPr>
          <w:rFonts w:hint="eastAsia" w:ascii="仿宋_GB2312" w:hAnsi="仿宋_GB2312" w:eastAsia="仿宋_GB2312" w:cs="仿宋_GB2312"/>
          <w:sz w:val="18"/>
          <w:szCs w:val="18"/>
          <w:highlight w:val="none"/>
        </w:rPr>
        <w:t>水泥混凝土板面破损面积超过三分之二的，应对整块板进行维修；四周切割应整齐垂直，无损伤碎片，切角不小于90°。</w:t>
      </w:r>
    </w:p>
    <w:p w14:paraId="0951BA3C">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（4）维修施工。</w:t>
      </w:r>
      <w:r>
        <w:rPr>
          <w:rFonts w:hint="eastAsia" w:ascii="仿宋_GB2312" w:hAnsi="仿宋_GB2312" w:eastAsia="仿宋_GB2312" w:cs="仿宋_GB2312"/>
          <w:sz w:val="18"/>
          <w:szCs w:val="18"/>
          <w:highlight w:val="none"/>
        </w:rPr>
        <w:t>水泥混凝土板厚度允许误差±5mm，面层拉毛、压痕或刻痕整齐。</w:t>
      </w:r>
    </w:p>
    <w:p w14:paraId="53B47D62">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水泥混凝土路面不宜采用沥青混合料修补或罩面，严禁在路面上拌合砂浆或混凝土等作业。</w:t>
      </w:r>
    </w:p>
    <w:p w14:paraId="6A7EA2B3">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751"/>
        <w:gridCol w:w="1529"/>
      </w:tblGrid>
      <w:tr w14:paraId="5724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832" w:type="pct"/>
            <w:noWrap/>
            <w:vAlign w:val="center"/>
          </w:tcPr>
          <w:p w14:paraId="5173468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w:t>
            </w:r>
          </w:p>
        </w:tc>
        <w:tc>
          <w:tcPr>
            <w:tcW w:w="3168" w:type="pct"/>
            <w:noWrap/>
            <w:vAlign w:val="center"/>
          </w:tcPr>
          <w:p w14:paraId="4E19F0AC">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质量要求或允许偏差</w:t>
            </w:r>
          </w:p>
        </w:tc>
        <w:tc>
          <w:tcPr>
            <w:tcW w:w="1000" w:type="pct"/>
            <w:noWrap/>
            <w:vAlign w:val="center"/>
          </w:tcPr>
          <w:p w14:paraId="44049979">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检验方法</w:t>
            </w:r>
          </w:p>
        </w:tc>
      </w:tr>
      <w:tr w14:paraId="27C8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832" w:type="pct"/>
            <w:noWrap/>
            <w:vAlign w:val="center"/>
          </w:tcPr>
          <w:p w14:paraId="785CB072">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平整度</w:t>
            </w:r>
          </w:p>
        </w:tc>
        <w:tc>
          <w:tcPr>
            <w:tcW w:w="3168" w:type="pct"/>
            <w:noWrap/>
            <w:vAlign w:val="center"/>
          </w:tcPr>
          <w:p w14:paraId="04C11529">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路面整齐度高差不大于3mm</w:t>
            </w:r>
          </w:p>
        </w:tc>
        <w:tc>
          <w:tcPr>
            <w:tcW w:w="1000" w:type="pct"/>
            <w:noWrap/>
            <w:vAlign w:val="center"/>
          </w:tcPr>
          <w:p w14:paraId="5A7433F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3m直尺量</w:t>
            </w:r>
          </w:p>
        </w:tc>
      </w:tr>
      <w:tr w14:paraId="385F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32" w:type="pct"/>
            <w:noWrap/>
            <w:vAlign w:val="center"/>
          </w:tcPr>
          <w:p w14:paraId="3EE6F17B">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抗滑</w:t>
            </w:r>
          </w:p>
        </w:tc>
        <w:tc>
          <w:tcPr>
            <w:tcW w:w="3168" w:type="pct"/>
            <w:noWrap/>
            <w:vAlign w:val="center"/>
          </w:tcPr>
          <w:p w14:paraId="466DABFC">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符合设计要求</w:t>
            </w:r>
          </w:p>
        </w:tc>
        <w:tc>
          <w:tcPr>
            <w:tcW w:w="1000" w:type="pct"/>
            <w:noWrap/>
            <w:vAlign w:val="center"/>
          </w:tcPr>
          <w:p w14:paraId="2965439A">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测试</w:t>
            </w:r>
          </w:p>
        </w:tc>
      </w:tr>
      <w:tr w14:paraId="7311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32" w:type="pct"/>
            <w:noWrap/>
            <w:vAlign w:val="center"/>
          </w:tcPr>
          <w:p w14:paraId="56DF800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相邻板差</w:t>
            </w:r>
          </w:p>
        </w:tc>
        <w:tc>
          <w:tcPr>
            <w:tcW w:w="3168" w:type="pct"/>
            <w:noWrap/>
            <w:vAlign w:val="center"/>
          </w:tcPr>
          <w:p w14:paraId="1C5D8C8D">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新板边接边，高差不大于5mm</w:t>
            </w:r>
          </w:p>
        </w:tc>
        <w:tc>
          <w:tcPr>
            <w:tcW w:w="1000" w:type="pct"/>
            <w:noWrap/>
            <w:vAlign w:val="center"/>
          </w:tcPr>
          <w:p w14:paraId="7A84F28A">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1B68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32" w:type="pct"/>
            <w:noWrap/>
            <w:vAlign w:val="center"/>
          </w:tcPr>
          <w:p w14:paraId="1B3CBFF7">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伸缩缝</w:t>
            </w:r>
          </w:p>
        </w:tc>
        <w:tc>
          <w:tcPr>
            <w:tcW w:w="3168" w:type="pct"/>
            <w:noWrap/>
            <w:vAlign w:val="center"/>
          </w:tcPr>
          <w:p w14:paraId="3C944505">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1.顺直，深度、宽度不小于原规定；2.嵌缝密实，高差不大于3mm</w:t>
            </w:r>
          </w:p>
        </w:tc>
        <w:tc>
          <w:tcPr>
            <w:tcW w:w="1000" w:type="pct"/>
            <w:noWrap/>
            <w:vAlign w:val="center"/>
          </w:tcPr>
          <w:p w14:paraId="498E231E">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0B27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32" w:type="pct"/>
            <w:noWrap/>
            <w:vAlign w:val="center"/>
          </w:tcPr>
          <w:p w14:paraId="24129F89">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路框差</w:t>
            </w:r>
          </w:p>
        </w:tc>
        <w:tc>
          <w:tcPr>
            <w:tcW w:w="3168" w:type="pct"/>
            <w:noWrap/>
            <w:vAlign w:val="center"/>
          </w:tcPr>
          <w:p w14:paraId="56A8CF68">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1.座框四周设置混凝土保护护边；2.座框或护边与路面高差不大于3mm</w:t>
            </w:r>
          </w:p>
        </w:tc>
        <w:tc>
          <w:tcPr>
            <w:tcW w:w="1000" w:type="pct"/>
            <w:noWrap/>
            <w:vAlign w:val="center"/>
          </w:tcPr>
          <w:p w14:paraId="4F4E5CCD">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036D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832" w:type="pct"/>
            <w:noWrap/>
            <w:vAlign w:val="center"/>
          </w:tcPr>
          <w:p w14:paraId="7528900A">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纵横坡度</w:t>
            </w:r>
          </w:p>
        </w:tc>
        <w:tc>
          <w:tcPr>
            <w:tcW w:w="3168" w:type="pct"/>
            <w:noWrap/>
            <w:vAlign w:val="center"/>
          </w:tcPr>
          <w:p w14:paraId="432240DF">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与原路面纵坡、横坡相一致，无积水</w:t>
            </w:r>
          </w:p>
        </w:tc>
        <w:tc>
          <w:tcPr>
            <w:tcW w:w="1000" w:type="pct"/>
            <w:noWrap/>
            <w:vAlign w:val="center"/>
          </w:tcPr>
          <w:p w14:paraId="262078D3">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bl>
    <w:p w14:paraId="2940A9D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三、人行道</w:t>
      </w:r>
    </w:p>
    <w:p w14:paraId="02A2F69B">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69AC7A11">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（1）面层材料。</w:t>
      </w:r>
      <w:r>
        <w:rPr>
          <w:rFonts w:hint="eastAsia" w:ascii="仿宋_GB2312" w:hAnsi="仿宋_GB2312" w:eastAsia="仿宋_GB2312" w:cs="仿宋_GB2312"/>
          <w:sz w:val="18"/>
          <w:szCs w:val="18"/>
          <w:highlight w:val="none"/>
        </w:rPr>
        <w:t>应采用与原人行道同材质、同颜色的材料。预制块、块石铺筑平整无松动，缝隙饱满；纵横缝顺直，排列整齐，纵向偏差不大于10mm。</w:t>
      </w:r>
    </w:p>
    <w:p w14:paraId="15DD23EE">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（2）基层维修。</w:t>
      </w:r>
      <w:r>
        <w:rPr>
          <w:rFonts w:hint="eastAsia" w:ascii="仿宋_GB2312" w:hAnsi="仿宋_GB2312" w:eastAsia="仿宋_GB2312" w:cs="仿宋_GB2312"/>
          <w:sz w:val="18"/>
          <w:szCs w:val="18"/>
          <w:highlight w:val="none"/>
        </w:rPr>
        <w:t>人行道下沉和拱胀凸起时，应对基层进行维修。</w:t>
      </w:r>
    </w:p>
    <w:p w14:paraId="5015941A">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基层维修宜采用原设计材料，不应采用薄层贴补；采用其他材料维修基层时，其强度不应低于原基层材料。</w:t>
      </w:r>
    </w:p>
    <w:p w14:paraId="5B704DBF">
      <w:pPr>
        <w:ind w:firstLine="360" w:firstLineChars="200"/>
        <w:rPr>
          <w:rFonts w:ascii="仿宋_GB2312" w:hAnsi="仿宋_GB2312" w:eastAsia="仿宋_GB2312" w:cs="仿宋_GB2312"/>
          <w:sz w:val="18"/>
          <w:szCs w:val="18"/>
          <w:highlight w:val="none"/>
        </w:rPr>
      </w:pPr>
    </w:p>
    <w:p w14:paraId="153C16DD">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冬季施工时，不宜采用石灰稳定类和水泥稳定类材料，否则应采取防冻措施。</w:t>
      </w:r>
    </w:p>
    <w:p w14:paraId="7CE1CE6C">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（3）缘石维修。</w:t>
      </w:r>
      <w:r>
        <w:rPr>
          <w:rFonts w:hint="eastAsia" w:ascii="仿宋_GB2312" w:hAnsi="仿宋_GB2312" w:eastAsia="仿宋_GB2312" w:cs="仿宋_GB2312"/>
          <w:sz w:val="18"/>
          <w:szCs w:val="18"/>
          <w:highlight w:val="none"/>
        </w:rPr>
        <w:t>混凝土缘石应保持稳固、直顺。发生挤压、拱涨变形应调整并及时勾缝。</w:t>
      </w:r>
    </w:p>
    <w:p w14:paraId="621505D4">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更换的缘石规格、材质应与原路缘石一致。</w:t>
      </w:r>
    </w:p>
    <w:p w14:paraId="064D52C3">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花岗石、大理石类缘石的维修养护，其缝宽不得小于3mm，最大缝宽不得超过10mm。</w:t>
      </w:r>
    </w:p>
    <w:p w14:paraId="708DB38A">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5662"/>
        <w:gridCol w:w="1442"/>
      </w:tblGrid>
      <w:tr w14:paraId="733F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blHeader/>
        </w:trPr>
        <w:tc>
          <w:tcPr>
            <w:tcW w:w="832" w:type="pct"/>
            <w:noWrap/>
            <w:vAlign w:val="center"/>
          </w:tcPr>
          <w:p w14:paraId="12C51B63">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w:t>
            </w:r>
          </w:p>
        </w:tc>
        <w:tc>
          <w:tcPr>
            <w:tcW w:w="3322" w:type="pct"/>
            <w:noWrap/>
            <w:vAlign w:val="center"/>
          </w:tcPr>
          <w:p w14:paraId="19816193">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质量要求或允许偏差</w:t>
            </w:r>
          </w:p>
        </w:tc>
        <w:tc>
          <w:tcPr>
            <w:tcW w:w="846" w:type="pct"/>
            <w:noWrap/>
            <w:vAlign w:val="center"/>
          </w:tcPr>
          <w:p w14:paraId="2DF0342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检验方法</w:t>
            </w:r>
          </w:p>
        </w:tc>
      </w:tr>
      <w:tr w14:paraId="1E13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blHeader/>
        </w:trPr>
        <w:tc>
          <w:tcPr>
            <w:tcW w:w="832" w:type="pct"/>
            <w:noWrap/>
            <w:vAlign w:val="center"/>
          </w:tcPr>
          <w:p w14:paraId="7A6A7044">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平整度</w:t>
            </w:r>
          </w:p>
        </w:tc>
        <w:tc>
          <w:tcPr>
            <w:tcW w:w="3322" w:type="pct"/>
            <w:noWrap/>
            <w:vAlign w:val="center"/>
          </w:tcPr>
          <w:p w14:paraId="656EA322">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预制块和现浇水泥人行道的平整度不大于5mm</w:t>
            </w:r>
          </w:p>
        </w:tc>
        <w:tc>
          <w:tcPr>
            <w:tcW w:w="846" w:type="pct"/>
            <w:noWrap/>
            <w:vAlign w:val="center"/>
          </w:tcPr>
          <w:p w14:paraId="424E8F2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3m直尺量</w:t>
            </w:r>
          </w:p>
        </w:tc>
      </w:tr>
      <w:tr w14:paraId="0D87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832" w:type="pct"/>
            <w:noWrap/>
            <w:vAlign w:val="center"/>
          </w:tcPr>
          <w:p w14:paraId="683B745C">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路框差</w:t>
            </w:r>
          </w:p>
        </w:tc>
        <w:tc>
          <w:tcPr>
            <w:tcW w:w="3322" w:type="pct"/>
            <w:noWrap/>
            <w:vAlign w:val="center"/>
          </w:tcPr>
          <w:p w14:paraId="7FFFF815">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1.检查井及公用事业井盖框和人行道高差不大于5mm；</w:t>
            </w:r>
          </w:p>
          <w:p w14:paraId="43A60949">
            <w:pPr>
              <w:rPr>
                <w:rFonts w:ascii="仿宋_GB2312" w:hAnsi="仿宋_GB2312" w:eastAsia="仿宋_GB2312" w:cs="仿宋_GB2312"/>
                <w:sz w:val="18"/>
                <w:szCs w:val="18"/>
                <w:highlight w:val="none"/>
              </w:rPr>
            </w:pPr>
            <w:bookmarkStart w:id="1490" w:name="9052-1536205866578"/>
            <w:bookmarkEnd w:id="1490"/>
            <w:r>
              <w:rPr>
                <w:rFonts w:hint="eastAsia" w:ascii="仿宋_GB2312" w:hAnsi="仿宋_GB2312" w:eastAsia="仿宋_GB2312" w:cs="仿宋_GB2312"/>
                <w:sz w:val="18"/>
                <w:szCs w:val="18"/>
                <w:highlight w:val="none"/>
              </w:rPr>
              <w:t>2.与现浇水泥人行道高差不大于3mm</w:t>
            </w:r>
          </w:p>
        </w:tc>
        <w:tc>
          <w:tcPr>
            <w:tcW w:w="846" w:type="pct"/>
            <w:noWrap/>
            <w:vAlign w:val="center"/>
          </w:tcPr>
          <w:p w14:paraId="313C97D8">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52CD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blHeader/>
        </w:trPr>
        <w:tc>
          <w:tcPr>
            <w:tcW w:w="832" w:type="pct"/>
            <w:noWrap/>
            <w:vAlign w:val="center"/>
          </w:tcPr>
          <w:p w14:paraId="372031FF">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接茬</w:t>
            </w:r>
          </w:p>
        </w:tc>
        <w:tc>
          <w:tcPr>
            <w:tcW w:w="3322" w:type="pct"/>
            <w:noWrap/>
            <w:vAlign w:val="center"/>
          </w:tcPr>
          <w:p w14:paraId="0D4F1AF8">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1.新老接茬齐平,高差不大于5mm；</w:t>
            </w:r>
          </w:p>
          <w:p w14:paraId="7273F2EC">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2.人行道面高出侧石顶面5mm</w:t>
            </w:r>
          </w:p>
        </w:tc>
        <w:tc>
          <w:tcPr>
            <w:tcW w:w="846" w:type="pct"/>
            <w:noWrap/>
            <w:vAlign w:val="center"/>
          </w:tcPr>
          <w:p w14:paraId="40C39884">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1m直尺量</w:t>
            </w:r>
          </w:p>
        </w:tc>
      </w:tr>
      <w:tr w14:paraId="2E22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blHeader/>
        </w:trPr>
        <w:tc>
          <w:tcPr>
            <w:tcW w:w="832" w:type="pct"/>
            <w:noWrap/>
            <w:vAlign w:val="center"/>
          </w:tcPr>
          <w:p w14:paraId="59C15487">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凿边及压缝</w:t>
            </w:r>
          </w:p>
        </w:tc>
        <w:tc>
          <w:tcPr>
            <w:tcW w:w="3322" w:type="pct"/>
            <w:noWrap/>
            <w:vAlign w:val="center"/>
          </w:tcPr>
          <w:p w14:paraId="2FED1E13">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1.现浇水泥人行道四周凿边整齐不斜，四周无损伤；</w:t>
            </w:r>
          </w:p>
          <w:p w14:paraId="1901E435">
            <w:pPr>
              <w:rPr>
                <w:rFonts w:ascii="仿宋_GB2312" w:hAnsi="仿宋_GB2312" w:eastAsia="仿宋_GB2312" w:cs="仿宋_GB2312"/>
                <w:sz w:val="18"/>
                <w:szCs w:val="18"/>
                <w:highlight w:val="none"/>
              </w:rPr>
            </w:pPr>
            <w:bookmarkStart w:id="1491" w:name="3060-1536205866578"/>
            <w:bookmarkEnd w:id="1491"/>
            <w:r>
              <w:rPr>
                <w:rFonts w:hint="eastAsia" w:ascii="仿宋_GB2312" w:hAnsi="仿宋_GB2312" w:eastAsia="仿宋_GB2312" w:cs="仿宋_GB2312"/>
                <w:sz w:val="18"/>
                <w:szCs w:val="18"/>
                <w:highlight w:val="none"/>
              </w:rPr>
              <w:t>2.现浇混凝土粗底完成后即做细砂浆,表面平整美观；</w:t>
            </w:r>
          </w:p>
          <w:p w14:paraId="31730816">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3.纵横划线垂直齐整、缝宽和缝深均匀，压缝整齐</w:t>
            </w:r>
          </w:p>
        </w:tc>
        <w:tc>
          <w:tcPr>
            <w:tcW w:w="846" w:type="pct"/>
            <w:noWrap/>
            <w:vAlign w:val="center"/>
          </w:tcPr>
          <w:p w14:paraId="4B373BF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r w14:paraId="5C1F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blHeader/>
        </w:trPr>
        <w:tc>
          <w:tcPr>
            <w:tcW w:w="832" w:type="pct"/>
            <w:noWrap/>
            <w:vAlign w:val="center"/>
          </w:tcPr>
          <w:p w14:paraId="68D6346B">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铺筑质量</w:t>
            </w:r>
          </w:p>
        </w:tc>
        <w:tc>
          <w:tcPr>
            <w:tcW w:w="3322" w:type="pct"/>
            <w:noWrap/>
            <w:vAlign w:val="center"/>
          </w:tcPr>
          <w:p w14:paraId="13F222C1">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预制块、块石铺筑平整无松动，缝隙饱满；雨天无“水老鼠”现象。</w:t>
            </w:r>
          </w:p>
        </w:tc>
        <w:tc>
          <w:tcPr>
            <w:tcW w:w="846" w:type="pct"/>
            <w:noWrap/>
            <w:vAlign w:val="center"/>
          </w:tcPr>
          <w:p w14:paraId="059DD650">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bl>
    <w:p w14:paraId="7654F15B">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四、盲道</w:t>
      </w:r>
    </w:p>
    <w:p w14:paraId="38967884">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44C5ED7F">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（1）盲道走向。</w:t>
      </w:r>
      <w:r>
        <w:rPr>
          <w:rFonts w:hint="eastAsia" w:ascii="仿宋_GB2312" w:hAnsi="仿宋_GB2312" w:eastAsia="仿宋_GB2312" w:cs="仿宋_GB2312"/>
          <w:sz w:val="18"/>
          <w:szCs w:val="18"/>
          <w:highlight w:val="none"/>
        </w:rPr>
        <w:t>提示盲道的块型和位置应按照原来标准安装，行进盲道应与人行道的走向一致。</w:t>
      </w:r>
    </w:p>
    <w:p w14:paraId="3CBB6938">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（2）盲道纹路。</w:t>
      </w:r>
      <w:r>
        <w:rPr>
          <w:rFonts w:hint="eastAsia" w:ascii="仿宋_GB2312" w:hAnsi="仿宋_GB2312" w:eastAsia="仿宋_GB2312" w:cs="仿宋_GB2312"/>
          <w:sz w:val="18"/>
          <w:szCs w:val="18"/>
          <w:highlight w:val="none"/>
        </w:rPr>
        <w:t>应凸出路面4mm高，表面应防滑。</w:t>
      </w:r>
    </w:p>
    <w:p w14:paraId="19857711">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（3）盲道颜色。</w:t>
      </w:r>
      <w:r>
        <w:rPr>
          <w:rFonts w:hint="eastAsia" w:ascii="仿宋_GB2312" w:hAnsi="仿宋_GB2312" w:eastAsia="仿宋_GB2312" w:cs="仿宋_GB2312"/>
          <w:sz w:val="18"/>
          <w:szCs w:val="18"/>
          <w:highlight w:val="none"/>
        </w:rPr>
        <w:t>宜采用中黄色，与相邻的人行道铺面的颜色形成对比，并与周围景观相协调。</w:t>
      </w:r>
    </w:p>
    <w:p w14:paraId="17E6A9D5">
      <w:pPr>
        <w:ind w:firstLine="361" w:firstLineChars="200"/>
        <w:rPr>
          <w:rFonts w:ascii="仿宋_GB2312" w:hAnsi="仿宋_GB2312" w:eastAsia="仿宋_GB2312" w:cs="仿宋_GB2312"/>
          <w:b/>
          <w:sz w:val="18"/>
          <w:szCs w:val="18"/>
          <w:highlight w:val="none"/>
        </w:rPr>
      </w:pPr>
    </w:p>
    <w:p w14:paraId="53710292">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（4）盲道铺设。</w:t>
      </w:r>
      <w:r>
        <w:rPr>
          <w:rFonts w:hint="eastAsia" w:ascii="仿宋_GB2312" w:hAnsi="仿宋_GB2312" w:eastAsia="仿宋_GB2312" w:cs="仿宋_GB2312"/>
          <w:sz w:val="18"/>
          <w:szCs w:val="18"/>
          <w:highlight w:val="none"/>
        </w:rPr>
        <w:t>应连续，应避开树木(穴)、电线杆、拉线等障碍物，宜在距树池、围墙、花台、绿化带250mm～500mm处设置，其他设施不得占用盲道。</w:t>
      </w:r>
    </w:p>
    <w:p w14:paraId="2D49C154">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
        <w:gridCol w:w="7187"/>
        <w:gridCol w:w="877"/>
      </w:tblGrid>
      <w:tr w14:paraId="43BE7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blHeader/>
        </w:trPr>
        <w:tc>
          <w:tcPr>
            <w:tcW w:w="832" w:type="pct"/>
            <w:noWrap/>
            <w:vAlign w:val="center"/>
          </w:tcPr>
          <w:p w14:paraId="3A7138D7">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w:t>
            </w:r>
          </w:p>
        </w:tc>
        <w:tc>
          <w:tcPr>
            <w:tcW w:w="3322" w:type="pct"/>
            <w:noWrap/>
            <w:vAlign w:val="center"/>
          </w:tcPr>
          <w:p w14:paraId="00E92EE0">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质量要求或允许偏差</w:t>
            </w:r>
          </w:p>
        </w:tc>
        <w:tc>
          <w:tcPr>
            <w:tcW w:w="846" w:type="pct"/>
            <w:noWrap/>
            <w:vAlign w:val="center"/>
          </w:tcPr>
          <w:p w14:paraId="4F779F8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检验方法</w:t>
            </w:r>
          </w:p>
        </w:tc>
      </w:tr>
      <w:tr w14:paraId="664A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blHeader/>
        </w:trPr>
        <w:tc>
          <w:tcPr>
            <w:tcW w:w="832" w:type="pct"/>
            <w:noWrap/>
            <w:vAlign w:val="center"/>
          </w:tcPr>
          <w:p w14:paraId="4ADF0099">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类型</w:t>
            </w:r>
          </w:p>
        </w:tc>
        <w:tc>
          <w:tcPr>
            <w:tcW w:w="3322" w:type="pct"/>
            <w:noWrap/>
            <w:vAlign w:val="center"/>
          </w:tcPr>
          <w:p w14:paraId="23A8D84E">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与原盲道一致</w:t>
            </w:r>
          </w:p>
        </w:tc>
        <w:tc>
          <w:tcPr>
            <w:tcW w:w="846" w:type="pct"/>
            <w:noWrap/>
            <w:vAlign w:val="center"/>
          </w:tcPr>
          <w:p w14:paraId="1C1BAE79">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r w14:paraId="477B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blHeader/>
        </w:trPr>
        <w:tc>
          <w:tcPr>
            <w:tcW w:w="832" w:type="pct"/>
            <w:noWrap/>
            <w:vAlign w:val="center"/>
          </w:tcPr>
          <w:p w14:paraId="421F0537">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位置</w:t>
            </w:r>
          </w:p>
        </w:tc>
        <w:tc>
          <w:tcPr>
            <w:tcW w:w="3322" w:type="pct"/>
            <w:noWrap/>
            <w:vAlign w:val="center"/>
          </w:tcPr>
          <w:p w14:paraId="2F8C6DC5">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1.设置盲道的城镇道路人行道宽度不小于3500mm；</w:t>
            </w:r>
          </w:p>
          <w:p w14:paraId="4B63F671">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2.盲道中无障碍物，检查井盖框高低差不超过5mm；</w:t>
            </w:r>
          </w:p>
          <w:p w14:paraId="07E9AF8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3.行进盲道与人行道的走向一致；</w:t>
            </w:r>
          </w:p>
          <w:p w14:paraId="0937B29B">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4.盲道避开非机动车停放的位置。</w:t>
            </w:r>
          </w:p>
        </w:tc>
        <w:tc>
          <w:tcPr>
            <w:tcW w:w="846" w:type="pct"/>
            <w:noWrap/>
            <w:vAlign w:val="center"/>
          </w:tcPr>
          <w:p w14:paraId="7AB92158">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用尺量/目测</w:t>
            </w:r>
          </w:p>
        </w:tc>
      </w:tr>
      <w:tr w14:paraId="0A4C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tblHeader/>
        </w:trPr>
        <w:tc>
          <w:tcPr>
            <w:tcW w:w="832" w:type="pct"/>
            <w:noWrap/>
            <w:vAlign w:val="center"/>
          </w:tcPr>
          <w:p w14:paraId="58A4275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宽度</w:t>
            </w:r>
          </w:p>
        </w:tc>
        <w:tc>
          <w:tcPr>
            <w:tcW w:w="3322" w:type="pct"/>
            <w:noWrap/>
            <w:vAlign w:val="center"/>
          </w:tcPr>
          <w:p w14:paraId="29BC347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1.行进盲道的宽度为250mm～500mm；</w:t>
            </w:r>
          </w:p>
          <w:p w14:paraId="73EF2B1C">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2.行进盲道的起点、终点、转弯处及其他需要处设提示盲道。当盲道的宽度不大于300mm时，提示盲道的宽度大于行进盲道的宽度。</w:t>
            </w:r>
          </w:p>
        </w:tc>
        <w:tc>
          <w:tcPr>
            <w:tcW w:w="846" w:type="pct"/>
            <w:noWrap/>
            <w:vAlign w:val="center"/>
          </w:tcPr>
          <w:p w14:paraId="506AF24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w:t>
            </w:r>
          </w:p>
        </w:tc>
      </w:tr>
    </w:tbl>
    <w:p w14:paraId="015F708A">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五、无障碍坡道</w:t>
      </w:r>
    </w:p>
    <w:p w14:paraId="3870A709">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3056823F">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养护施工标准参照（三）人行道养护施工要求。</w:t>
      </w:r>
    </w:p>
    <w:p w14:paraId="725E4D34">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7018"/>
        <w:gridCol w:w="930"/>
      </w:tblGrid>
      <w:tr w14:paraId="2E34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blHeader/>
        </w:trPr>
        <w:tc>
          <w:tcPr>
            <w:tcW w:w="646" w:type="pct"/>
            <w:noWrap/>
            <w:vAlign w:val="center"/>
          </w:tcPr>
          <w:p w14:paraId="75CAEBC1">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w:t>
            </w:r>
          </w:p>
        </w:tc>
        <w:tc>
          <w:tcPr>
            <w:tcW w:w="3659" w:type="pct"/>
            <w:noWrap/>
            <w:vAlign w:val="center"/>
          </w:tcPr>
          <w:p w14:paraId="52C37D30">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质量要求或允许偏差</w:t>
            </w:r>
          </w:p>
        </w:tc>
        <w:tc>
          <w:tcPr>
            <w:tcW w:w="695" w:type="pct"/>
            <w:noWrap/>
            <w:vAlign w:val="center"/>
          </w:tcPr>
          <w:p w14:paraId="6D82F1C6">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检验方法</w:t>
            </w:r>
          </w:p>
        </w:tc>
      </w:tr>
      <w:tr w14:paraId="149F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blHeader/>
        </w:trPr>
        <w:tc>
          <w:tcPr>
            <w:tcW w:w="646" w:type="pct"/>
            <w:noWrap/>
            <w:vAlign w:val="center"/>
          </w:tcPr>
          <w:p w14:paraId="3E167969">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坡度</w:t>
            </w:r>
          </w:p>
        </w:tc>
        <w:tc>
          <w:tcPr>
            <w:tcW w:w="3659" w:type="pct"/>
            <w:noWrap/>
            <w:vAlign w:val="center"/>
          </w:tcPr>
          <w:p w14:paraId="46E63088">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1.全宽式单面坡缘石坡道的坡度不大于1:20；</w:t>
            </w:r>
          </w:p>
          <w:p w14:paraId="2C648650">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2.三面坡缘石坡道正面及侧面的坡度不大于1:12</w:t>
            </w:r>
          </w:p>
          <w:p w14:paraId="639C68DE">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3.其他形式的缘石坡道的坡度均不大于1:12。</w:t>
            </w:r>
          </w:p>
        </w:tc>
        <w:tc>
          <w:tcPr>
            <w:tcW w:w="695" w:type="pct"/>
            <w:noWrap/>
            <w:vAlign w:val="center"/>
          </w:tcPr>
          <w:p w14:paraId="689CB1A3">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w:t>
            </w:r>
          </w:p>
        </w:tc>
      </w:tr>
      <w:tr w14:paraId="0B32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646" w:type="pct"/>
            <w:noWrap/>
            <w:vAlign w:val="center"/>
          </w:tcPr>
          <w:p w14:paraId="25E49088">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高度</w:t>
            </w:r>
          </w:p>
        </w:tc>
        <w:tc>
          <w:tcPr>
            <w:tcW w:w="3659" w:type="pct"/>
            <w:noWrap/>
            <w:vAlign w:val="center"/>
          </w:tcPr>
          <w:p w14:paraId="551EBC66">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缘石坡道的坡口与车行道之间宜没有高差；有高差时，高出车行道的地面不大于10mm。</w:t>
            </w:r>
          </w:p>
        </w:tc>
        <w:tc>
          <w:tcPr>
            <w:tcW w:w="695" w:type="pct"/>
            <w:noWrap/>
            <w:vAlign w:val="center"/>
          </w:tcPr>
          <w:p w14:paraId="14A5EDE8">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w:t>
            </w:r>
          </w:p>
        </w:tc>
      </w:tr>
      <w:tr w14:paraId="4E70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blHeader/>
        </w:trPr>
        <w:tc>
          <w:tcPr>
            <w:tcW w:w="646" w:type="pct"/>
            <w:noWrap/>
            <w:vAlign w:val="center"/>
          </w:tcPr>
          <w:p w14:paraId="50253D96">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宽度</w:t>
            </w:r>
          </w:p>
        </w:tc>
        <w:tc>
          <w:tcPr>
            <w:tcW w:w="3659" w:type="pct"/>
            <w:noWrap/>
            <w:vAlign w:val="center"/>
          </w:tcPr>
          <w:p w14:paraId="3F33A8DC">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1.全宽式单面坡缘石坡道的宽度与人行道宽度相同；</w:t>
            </w:r>
          </w:p>
          <w:p w14:paraId="408106F7">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2.三面坡缘石坡道正面坡道宽度不小于1200mm；</w:t>
            </w:r>
          </w:p>
          <w:p w14:paraId="41C1A979">
            <w:pP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3.其他形式的缘石坡道的坡口宽度不小于1500mm。</w:t>
            </w:r>
          </w:p>
        </w:tc>
        <w:tc>
          <w:tcPr>
            <w:tcW w:w="695" w:type="pct"/>
            <w:noWrap/>
            <w:vAlign w:val="center"/>
          </w:tcPr>
          <w:p w14:paraId="23FF5F9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w:t>
            </w:r>
          </w:p>
        </w:tc>
      </w:tr>
    </w:tbl>
    <w:p w14:paraId="53FA927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六、检查井</w:t>
      </w:r>
    </w:p>
    <w:p w14:paraId="4420BDEE">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6407369E">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（1）维修施工。</w:t>
      </w:r>
      <w:r>
        <w:rPr>
          <w:rFonts w:hint="eastAsia" w:ascii="仿宋_GB2312" w:hAnsi="仿宋_GB2312" w:eastAsia="仿宋_GB2312" w:cs="仿宋_GB2312"/>
          <w:sz w:val="18"/>
          <w:szCs w:val="18"/>
          <w:highlight w:val="none"/>
        </w:rPr>
        <w:t>应优先选择防沉降井盖；检查井井室、井筒、井座破损或强度不符合要求的应及时进行更换维修；检查井高出或低于周边路面或人行道板面时，可采取降低或抬升处理。</w:t>
      </w:r>
    </w:p>
    <w:p w14:paraId="1277E8A9">
      <w:pPr>
        <w:ind w:firstLine="361" w:firstLineChars="200"/>
        <w:rPr>
          <w:rFonts w:ascii="仿宋_GB2312" w:hAnsi="仿宋_GB2312" w:eastAsia="仿宋_GB2312" w:cs="仿宋_GB2312"/>
          <w:bCs/>
          <w:sz w:val="18"/>
          <w:szCs w:val="18"/>
          <w:highlight w:val="none"/>
        </w:rPr>
      </w:pPr>
      <w:r>
        <w:rPr>
          <w:rFonts w:hint="eastAsia" w:ascii="仿宋_GB2312" w:hAnsi="仿宋_GB2312" w:eastAsia="仿宋_GB2312" w:cs="仿宋_GB2312"/>
          <w:b/>
          <w:sz w:val="18"/>
          <w:szCs w:val="18"/>
          <w:highlight w:val="none"/>
        </w:rPr>
        <w:t>（2）标识要求。</w:t>
      </w:r>
      <w:r>
        <w:rPr>
          <w:rFonts w:hint="eastAsia" w:ascii="仿宋_GB2312" w:hAnsi="仿宋_GB2312" w:eastAsia="仿宋_GB2312" w:cs="仿宋_GB2312"/>
          <w:bCs/>
          <w:sz w:val="18"/>
          <w:szCs w:val="18"/>
          <w:highlight w:val="none"/>
        </w:rPr>
        <w:t>检查井盖必须安装铝制身份证标识牌，标识牌统一安装在井内壁井口向下10cm处，用水泥钉四角固定；由养护专业人员绘制道路示意图标识检查井位置，统一制成表格备查。</w:t>
      </w:r>
    </w:p>
    <w:p w14:paraId="0E76B6A3">
      <w:pPr>
        <w:ind w:firstLine="361" w:firstLineChars="200"/>
        <w:rPr>
          <w:rFonts w:ascii="仿宋_GB2312" w:hAnsi="仿宋_GB2312" w:eastAsia="仿宋_GB2312" w:cs="仿宋_GB2312"/>
          <w:bCs/>
          <w:sz w:val="18"/>
          <w:szCs w:val="18"/>
          <w:highlight w:val="none"/>
        </w:rPr>
      </w:pPr>
      <w:r>
        <w:rPr>
          <w:rFonts w:hint="eastAsia" w:ascii="仿宋_GB2312" w:hAnsi="仿宋_GB2312" w:eastAsia="仿宋_GB2312" w:cs="仿宋_GB2312"/>
          <w:b/>
          <w:sz w:val="18"/>
          <w:szCs w:val="18"/>
          <w:highlight w:val="none"/>
        </w:rPr>
        <w:t>（3）防护要求。</w:t>
      </w:r>
      <w:r>
        <w:rPr>
          <w:rFonts w:hint="eastAsia" w:ascii="仿宋_GB2312" w:hAnsi="仿宋_GB2312" w:eastAsia="仿宋_GB2312" w:cs="仿宋_GB2312"/>
          <w:bCs/>
          <w:sz w:val="18"/>
          <w:szCs w:val="18"/>
          <w:highlight w:val="none"/>
        </w:rPr>
        <w:t>检查井内必须设置防坠网。安装于井口下0.2-0.5米范围内。防坠网采用耐腐蚀、高强度的聚乙烯材料制作，网绳直径不小于6mm，边绳直径不小于8mm，呈网状结构，网目小于10cm。</w:t>
      </w:r>
    </w:p>
    <w:p w14:paraId="2A7AB1D4">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6"/>
        <w:gridCol w:w="1476"/>
        <w:gridCol w:w="1507"/>
        <w:gridCol w:w="1507"/>
        <w:gridCol w:w="7"/>
        <w:gridCol w:w="1829"/>
      </w:tblGrid>
      <w:tr w14:paraId="64DA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vMerge w:val="restart"/>
            <w:noWrap/>
            <w:vAlign w:val="center"/>
          </w:tcPr>
          <w:p w14:paraId="3B409AB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项目</w:t>
            </w:r>
          </w:p>
        </w:tc>
        <w:tc>
          <w:tcPr>
            <w:tcW w:w="628" w:type="pct"/>
            <w:vMerge w:val="restart"/>
            <w:noWrap/>
            <w:vAlign w:val="center"/>
          </w:tcPr>
          <w:p w14:paraId="01B700E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允许偏差（mm）</w:t>
            </w:r>
          </w:p>
        </w:tc>
        <w:tc>
          <w:tcPr>
            <w:tcW w:w="1978" w:type="pct"/>
            <w:gridSpan w:val="2"/>
            <w:noWrap/>
            <w:vAlign w:val="center"/>
          </w:tcPr>
          <w:p w14:paraId="4E72F0F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检验频率</w:t>
            </w:r>
          </w:p>
        </w:tc>
        <w:tc>
          <w:tcPr>
            <w:tcW w:w="1000" w:type="pct"/>
            <w:gridSpan w:val="2"/>
            <w:vMerge w:val="restart"/>
            <w:noWrap/>
            <w:vAlign w:val="center"/>
          </w:tcPr>
          <w:p w14:paraId="75028704">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检验方法(取最大值)</w:t>
            </w:r>
          </w:p>
        </w:tc>
      </w:tr>
      <w:tr w14:paraId="55A0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vMerge w:val="continue"/>
            <w:noWrap/>
            <w:vAlign w:val="center"/>
          </w:tcPr>
          <w:p w14:paraId="3CBAFA9B">
            <w:pPr>
              <w:jc w:val="center"/>
              <w:rPr>
                <w:rFonts w:ascii="仿宋_GB2312" w:hAnsi="仿宋_GB2312" w:eastAsia="仿宋_GB2312" w:cs="仿宋_GB2312"/>
                <w:sz w:val="18"/>
                <w:szCs w:val="18"/>
                <w:highlight w:val="none"/>
              </w:rPr>
            </w:pPr>
          </w:p>
        </w:tc>
        <w:tc>
          <w:tcPr>
            <w:tcW w:w="628" w:type="pct"/>
            <w:vMerge w:val="continue"/>
            <w:noWrap/>
            <w:vAlign w:val="center"/>
          </w:tcPr>
          <w:p w14:paraId="1D323A86">
            <w:pPr>
              <w:jc w:val="center"/>
              <w:rPr>
                <w:rFonts w:ascii="仿宋_GB2312" w:hAnsi="仿宋_GB2312" w:eastAsia="仿宋_GB2312" w:cs="仿宋_GB2312"/>
                <w:sz w:val="18"/>
                <w:szCs w:val="18"/>
                <w:highlight w:val="none"/>
              </w:rPr>
            </w:pPr>
          </w:p>
        </w:tc>
        <w:tc>
          <w:tcPr>
            <w:tcW w:w="989" w:type="pct"/>
            <w:noWrap/>
            <w:vAlign w:val="center"/>
          </w:tcPr>
          <w:p w14:paraId="0D18C6D7">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范围</w:t>
            </w:r>
          </w:p>
        </w:tc>
        <w:tc>
          <w:tcPr>
            <w:tcW w:w="989" w:type="pct"/>
            <w:noWrap/>
            <w:vAlign w:val="center"/>
          </w:tcPr>
          <w:p w14:paraId="57EDC4F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点数</w:t>
            </w:r>
          </w:p>
        </w:tc>
        <w:tc>
          <w:tcPr>
            <w:tcW w:w="1000" w:type="pct"/>
            <w:gridSpan w:val="2"/>
            <w:vMerge w:val="continue"/>
            <w:noWrap/>
            <w:vAlign w:val="center"/>
          </w:tcPr>
          <w:p w14:paraId="681A50F3">
            <w:pPr>
              <w:jc w:val="center"/>
              <w:rPr>
                <w:rFonts w:ascii="仿宋_GB2312" w:hAnsi="仿宋_GB2312" w:eastAsia="仿宋_GB2312" w:cs="仿宋_GB2312"/>
                <w:sz w:val="18"/>
                <w:szCs w:val="18"/>
                <w:highlight w:val="none"/>
              </w:rPr>
            </w:pPr>
          </w:p>
        </w:tc>
      </w:tr>
      <w:tr w14:paraId="44F4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32B01E4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井框与周边路面吻合</w:t>
            </w:r>
          </w:p>
        </w:tc>
        <w:tc>
          <w:tcPr>
            <w:tcW w:w="628" w:type="pct"/>
            <w:noWrap/>
            <w:vAlign w:val="center"/>
          </w:tcPr>
          <w:p w14:paraId="28ADAB6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±5mm</w:t>
            </w:r>
          </w:p>
        </w:tc>
        <w:tc>
          <w:tcPr>
            <w:tcW w:w="989" w:type="pct"/>
            <w:noWrap/>
            <w:vAlign w:val="center"/>
          </w:tcPr>
          <w:p w14:paraId="6FD4AC61">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每座</w:t>
            </w:r>
          </w:p>
        </w:tc>
        <w:tc>
          <w:tcPr>
            <w:tcW w:w="989" w:type="pct"/>
            <w:noWrap/>
            <w:vAlign w:val="center"/>
          </w:tcPr>
          <w:p w14:paraId="37BAA19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1000" w:type="pct"/>
            <w:gridSpan w:val="2"/>
            <w:noWrap/>
            <w:vAlign w:val="center"/>
          </w:tcPr>
          <w:p w14:paraId="1A74ECD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用直尺考量 </w:t>
            </w:r>
          </w:p>
        </w:tc>
      </w:tr>
      <w:tr w14:paraId="063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7F226BF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雨水口与路边线间距</w:t>
            </w:r>
          </w:p>
        </w:tc>
        <w:tc>
          <w:tcPr>
            <w:tcW w:w="628" w:type="pct"/>
            <w:noWrap/>
            <w:vAlign w:val="center"/>
          </w:tcPr>
          <w:p w14:paraId="7A093D3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≤20</w:t>
            </w:r>
          </w:p>
        </w:tc>
        <w:tc>
          <w:tcPr>
            <w:tcW w:w="989" w:type="pct"/>
            <w:noWrap/>
            <w:vAlign w:val="center"/>
          </w:tcPr>
          <w:p w14:paraId="295FDB2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每座</w:t>
            </w:r>
          </w:p>
        </w:tc>
        <w:tc>
          <w:tcPr>
            <w:tcW w:w="989" w:type="pct"/>
            <w:tcBorders>
              <w:right w:val="single" w:color="auto" w:sz="4" w:space="0"/>
            </w:tcBorders>
            <w:noWrap/>
            <w:vAlign w:val="center"/>
          </w:tcPr>
          <w:p w14:paraId="6520954A">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1000" w:type="pct"/>
            <w:gridSpan w:val="2"/>
            <w:tcBorders>
              <w:left w:val="single" w:color="auto" w:sz="4" w:space="0"/>
            </w:tcBorders>
            <w:noWrap/>
            <w:vAlign w:val="center"/>
          </w:tcPr>
          <w:p w14:paraId="7C5F626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用钢尺量</w:t>
            </w:r>
          </w:p>
        </w:tc>
      </w:tr>
      <w:tr w14:paraId="5A95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4" w:type="pct"/>
            <w:noWrap/>
            <w:vAlign w:val="center"/>
          </w:tcPr>
          <w:p w14:paraId="09864C71">
            <w:pPr>
              <w:jc w:val="center"/>
              <w:rPr>
                <w:rFonts w:ascii="仿宋_GB2312" w:hAnsi="仿宋_GB2312" w:eastAsia="仿宋_GB2312" w:cs="仿宋_GB2312"/>
                <w:b/>
                <w:sz w:val="18"/>
                <w:szCs w:val="18"/>
                <w:highlight w:val="none"/>
              </w:rPr>
            </w:pPr>
            <w:r>
              <w:rPr>
                <w:rFonts w:hint="eastAsia" w:ascii="仿宋_GB2312" w:hAnsi="仿宋_GB2312" w:eastAsia="仿宋_GB2312" w:cs="仿宋_GB2312"/>
                <w:sz w:val="18"/>
                <w:szCs w:val="18"/>
                <w:highlight w:val="none"/>
              </w:rPr>
              <w:t>安装质量</w:t>
            </w:r>
          </w:p>
        </w:tc>
        <w:tc>
          <w:tcPr>
            <w:tcW w:w="2610" w:type="pct"/>
            <w:gridSpan w:val="4"/>
            <w:tcBorders>
              <w:right w:val="single" w:color="auto" w:sz="4" w:space="0"/>
            </w:tcBorders>
            <w:noWrap/>
            <w:vAlign w:val="center"/>
          </w:tcPr>
          <w:p w14:paraId="22569DD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车辆通过时无异响、无弹跳</w:t>
            </w:r>
          </w:p>
        </w:tc>
        <w:tc>
          <w:tcPr>
            <w:tcW w:w="996" w:type="pct"/>
            <w:tcBorders>
              <w:left w:val="single" w:color="auto" w:sz="4" w:space="0"/>
            </w:tcBorders>
            <w:noWrap/>
            <w:vAlign w:val="center"/>
          </w:tcPr>
          <w:p w14:paraId="6991D33A">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目测</w:t>
            </w:r>
          </w:p>
        </w:tc>
      </w:tr>
    </w:tbl>
    <w:p w14:paraId="64E88C38">
      <w:pPr>
        <w:spacing w:beforeLines="50"/>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七、道路名称指示牌</w:t>
      </w:r>
    </w:p>
    <w:p w14:paraId="0809AEA1">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1.养护施工要求</w:t>
      </w:r>
    </w:p>
    <w:p w14:paraId="4B161C54">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（1）材质要求。</w:t>
      </w:r>
      <w:r>
        <w:rPr>
          <w:rFonts w:hint="eastAsia" w:ascii="仿宋_GB2312" w:hAnsi="仿宋_GB2312" w:eastAsia="仿宋_GB2312" w:cs="仿宋_GB2312"/>
          <w:sz w:val="18"/>
          <w:szCs w:val="18"/>
          <w:highlight w:val="none"/>
        </w:rPr>
        <w:t>道路名称指示牌应外贴反光膜，反光膜的逆反射性能应符合GB/T 18833的V类反光膜。选用连接部件时，材质应满足安装方便、连接牢固、外型美观、经久耐用的要求。</w:t>
      </w:r>
    </w:p>
    <w:p w14:paraId="2CBC30B8">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（2）位置要求。</w:t>
      </w:r>
      <w:r>
        <w:rPr>
          <w:rFonts w:hint="eastAsia" w:ascii="仿宋_GB2312" w:hAnsi="仿宋_GB2312" w:eastAsia="仿宋_GB2312" w:cs="仿宋_GB2312"/>
          <w:sz w:val="18"/>
          <w:szCs w:val="18"/>
          <w:highlight w:val="none"/>
        </w:rPr>
        <w:t>道路名称指示牌应设置在道路行车方向的右侧。每条道路与其他主、次干路交叉口必须设置道路名称指示牌，如两处交叉口间距＞300m的，还应每隔300m再设置一块道路名称指示牌。</w:t>
      </w:r>
    </w:p>
    <w:p w14:paraId="185B5AC7">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（3）安装要求。</w:t>
      </w:r>
      <w:r>
        <w:rPr>
          <w:rFonts w:hint="eastAsia" w:ascii="仿宋_GB2312" w:hAnsi="仿宋_GB2312" w:eastAsia="仿宋_GB2312" w:cs="仿宋_GB2312"/>
          <w:sz w:val="18"/>
          <w:szCs w:val="18"/>
          <w:highlight w:val="none"/>
        </w:rPr>
        <w:t>道路名称指示牌无倾斜、无松动、无变形、无锈蚀、无缺失，牌面清洁、字体清楚。道路名称指示牌的安装和译写要求参照《城市道路杆件及标识整合技术规范》（DB3301/T 0232-2018）和《道路交通指示标识英文译写规范》（DB3301/T 0170-2016）。</w:t>
      </w:r>
    </w:p>
    <w:p w14:paraId="224D5D87">
      <w:pPr>
        <w:ind w:firstLine="361" w:firstLineChars="200"/>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2、养护验收标准</w:t>
      </w:r>
    </w:p>
    <w:tbl>
      <w:tblPr>
        <w:tblStyle w:val="6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2"/>
        <w:gridCol w:w="1728"/>
        <w:gridCol w:w="1653"/>
        <w:gridCol w:w="1653"/>
        <w:gridCol w:w="1836"/>
      </w:tblGrid>
      <w:tr w14:paraId="7D9E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Merge w:val="restart"/>
            <w:noWrap/>
            <w:vAlign w:val="center"/>
          </w:tcPr>
          <w:p w14:paraId="2494244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项目</w:t>
            </w:r>
          </w:p>
        </w:tc>
        <w:tc>
          <w:tcPr>
            <w:tcW w:w="1033" w:type="pct"/>
            <w:vMerge w:val="restart"/>
            <w:noWrap/>
            <w:vAlign w:val="center"/>
          </w:tcPr>
          <w:p w14:paraId="3F222C3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允许偏差（mm）</w:t>
            </w:r>
          </w:p>
        </w:tc>
        <w:tc>
          <w:tcPr>
            <w:tcW w:w="1978" w:type="pct"/>
            <w:gridSpan w:val="2"/>
            <w:noWrap/>
            <w:vAlign w:val="center"/>
          </w:tcPr>
          <w:p w14:paraId="0A96F87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检验频率</w:t>
            </w:r>
          </w:p>
        </w:tc>
        <w:tc>
          <w:tcPr>
            <w:tcW w:w="1000" w:type="pct"/>
            <w:vMerge w:val="restart"/>
            <w:noWrap/>
            <w:vAlign w:val="center"/>
          </w:tcPr>
          <w:p w14:paraId="3ABA579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检验方法(取最大值)</w:t>
            </w:r>
          </w:p>
        </w:tc>
      </w:tr>
      <w:tr w14:paraId="6F347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vMerge w:val="continue"/>
            <w:noWrap/>
            <w:vAlign w:val="center"/>
          </w:tcPr>
          <w:p w14:paraId="43838A81">
            <w:pPr>
              <w:jc w:val="center"/>
              <w:rPr>
                <w:rFonts w:ascii="仿宋_GB2312" w:hAnsi="仿宋_GB2312" w:eastAsia="仿宋_GB2312" w:cs="仿宋_GB2312"/>
                <w:sz w:val="18"/>
                <w:szCs w:val="18"/>
                <w:highlight w:val="none"/>
              </w:rPr>
            </w:pPr>
          </w:p>
        </w:tc>
        <w:tc>
          <w:tcPr>
            <w:tcW w:w="1033" w:type="pct"/>
            <w:vMerge w:val="continue"/>
            <w:noWrap/>
            <w:vAlign w:val="center"/>
          </w:tcPr>
          <w:p w14:paraId="292F2AFA">
            <w:pPr>
              <w:jc w:val="center"/>
              <w:rPr>
                <w:rFonts w:ascii="仿宋_GB2312" w:hAnsi="仿宋_GB2312" w:eastAsia="仿宋_GB2312" w:cs="仿宋_GB2312"/>
                <w:sz w:val="18"/>
                <w:szCs w:val="18"/>
                <w:highlight w:val="none"/>
              </w:rPr>
            </w:pPr>
          </w:p>
        </w:tc>
        <w:tc>
          <w:tcPr>
            <w:tcW w:w="989" w:type="pct"/>
            <w:noWrap/>
            <w:vAlign w:val="center"/>
          </w:tcPr>
          <w:p w14:paraId="707CA57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范围</w:t>
            </w:r>
          </w:p>
        </w:tc>
        <w:tc>
          <w:tcPr>
            <w:tcW w:w="989" w:type="pct"/>
            <w:noWrap/>
            <w:vAlign w:val="center"/>
          </w:tcPr>
          <w:p w14:paraId="684EBFF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点数</w:t>
            </w:r>
          </w:p>
        </w:tc>
        <w:tc>
          <w:tcPr>
            <w:tcW w:w="1000" w:type="pct"/>
            <w:vMerge w:val="continue"/>
            <w:noWrap/>
            <w:vAlign w:val="center"/>
          </w:tcPr>
          <w:p w14:paraId="0C532505">
            <w:pPr>
              <w:jc w:val="center"/>
              <w:rPr>
                <w:rFonts w:ascii="仿宋_GB2312" w:hAnsi="仿宋_GB2312" w:eastAsia="仿宋_GB2312" w:cs="仿宋_GB2312"/>
                <w:sz w:val="18"/>
                <w:szCs w:val="18"/>
                <w:highlight w:val="none"/>
              </w:rPr>
            </w:pPr>
          </w:p>
        </w:tc>
      </w:tr>
      <w:tr w14:paraId="4BA4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48DBFEC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高度</w:t>
            </w:r>
          </w:p>
        </w:tc>
        <w:tc>
          <w:tcPr>
            <w:tcW w:w="1033" w:type="pct"/>
            <w:noWrap/>
            <w:vAlign w:val="center"/>
          </w:tcPr>
          <w:p w14:paraId="2183FBF7">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20</w:t>
            </w:r>
          </w:p>
        </w:tc>
        <w:tc>
          <w:tcPr>
            <w:tcW w:w="989" w:type="pct"/>
            <w:noWrap/>
            <w:vAlign w:val="center"/>
          </w:tcPr>
          <w:p w14:paraId="3AED3158">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每块</w:t>
            </w:r>
          </w:p>
        </w:tc>
        <w:tc>
          <w:tcPr>
            <w:tcW w:w="989" w:type="pct"/>
            <w:noWrap/>
            <w:vAlign w:val="center"/>
          </w:tcPr>
          <w:p w14:paraId="4BAF0F4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1000" w:type="pct"/>
            <w:noWrap/>
            <w:vAlign w:val="center"/>
          </w:tcPr>
          <w:p w14:paraId="3E741897">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用尺量 </w:t>
            </w:r>
          </w:p>
        </w:tc>
      </w:tr>
      <w:tr w14:paraId="19AE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0806B53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垂直度</w:t>
            </w:r>
          </w:p>
        </w:tc>
        <w:tc>
          <w:tcPr>
            <w:tcW w:w="1033" w:type="pct"/>
            <w:noWrap/>
            <w:vAlign w:val="center"/>
          </w:tcPr>
          <w:p w14:paraId="32065AE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989" w:type="pct"/>
            <w:noWrap/>
            <w:vAlign w:val="center"/>
          </w:tcPr>
          <w:p w14:paraId="69983434">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每块</w:t>
            </w:r>
          </w:p>
        </w:tc>
        <w:tc>
          <w:tcPr>
            <w:tcW w:w="989" w:type="pct"/>
            <w:noWrap/>
            <w:vAlign w:val="center"/>
          </w:tcPr>
          <w:p w14:paraId="445CF92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1000" w:type="pct"/>
            <w:noWrap/>
            <w:vAlign w:val="center"/>
          </w:tcPr>
          <w:p w14:paraId="37C69ED3">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用垂线吊量</w:t>
            </w:r>
          </w:p>
        </w:tc>
      </w:tr>
      <w:tr w14:paraId="693D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9" w:type="pct"/>
            <w:noWrap/>
            <w:vAlign w:val="center"/>
          </w:tcPr>
          <w:p w14:paraId="590F39EB">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位置</w:t>
            </w:r>
          </w:p>
        </w:tc>
        <w:tc>
          <w:tcPr>
            <w:tcW w:w="1033" w:type="pct"/>
            <w:noWrap/>
            <w:vAlign w:val="center"/>
          </w:tcPr>
          <w:p w14:paraId="27E9D5DE">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30</w:t>
            </w:r>
          </w:p>
        </w:tc>
        <w:tc>
          <w:tcPr>
            <w:tcW w:w="989" w:type="pct"/>
            <w:noWrap/>
            <w:vAlign w:val="center"/>
          </w:tcPr>
          <w:p w14:paraId="73EF2D1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每块</w:t>
            </w:r>
          </w:p>
        </w:tc>
        <w:tc>
          <w:tcPr>
            <w:tcW w:w="989" w:type="pct"/>
            <w:noWrap/>
            <w:vAlign w:val="center"/>
          </w:tcPr>
          <w:p w14:paraId="5C47C2A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w:t>
            </w:r>
          </w:p>
        </w:tc>
        <w:tc>
          <w:tcPr>
            <w:tcW w:w="1000" w:type="pct"/>
            <w:noWrap/>
            <w:vAlign w:val="center"/>
          </w:tcPr>
          <w:p w14:paraId="425CD75B">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用尺量</w:t>
            </w:r>
          </w:p>
        </w:tc>
      </w:tr>
    </w:tbl>
    <w:p w14:paraId="2FA26A27">
      <w:pPr>
        <w:jc w:val="center"/>
        <w:rPr>
          <w:rFonts w:ascii="仿宋_GB2312" w:hAnsi="仿宋_GB2312" w:eastAsia="仿宋_GB2312" w:cs="仿宋_GB2312"/>
          <w:bCs/>
          <w:sz w:val="18"/>
          <w:szCs w:val="18"/>
          <w:highlight w:val="none"/>
        </w:rPr>
      </w:pPr>
    </w:p>
    <w:p w14:paraId="6E2FDAA9">
      <w:pPr>
        <w:jc w:val="center"/>
        <w:rPr>
          <w:rFonts w:ascii="仿宋_GB2312" w:hAnsi="仿宋_GB2312" w:eastAsia="仿宋_GB2312" w:cs="仿宋_GB2312"/>
          <w:bCs/>
          <w:sz w:val="18"/>
          <w:szCs w:val="18"/>
          <w:highlight w:val="none"/>
        </w:rPr>
      </w:pPr>
    </w:p>
    <w:p w14:paraId="259CCA7C">
      <w:pPr>
        <w:jc w:val="center"/>
        <w:rPr>
          <w:rFonts w:ascii="仿宋_GB2312" w:hAnsi="仿宋_GB2312" w:eastAsia="仿宋_GB2312" w:cs="仿宋_GB2312"/>
          <w:bCs/>
          <w:sz w:val="18"/>
          <w:szCs w:val="18"/>
          <w:highlight w:val="none"/>
        </w:rPr>
      </w:pPr>
    </w:p>
    <w:p w14:paraId="2A310406">
      <w:pPr>
        <w:rPr>
          <w:rFonts w:ascii="仿宋_GB2312" w:hAnsi="仿宋_GB2312" w:eastAsia="仿宋_GB2312" w:cs="仿宋_GB2312"/>
          <w:bCs/>
          <w:sz w:val="18"/>
          <w:szCs w:val="18"/>
          <w:highlight w:val="none"/>
        </w:rPr>
      </w:pPr>
      <w:r>
        <w:rPr>
          <w:rFonts w:hint="eastAsia" w:ascii="仿宋_GB2312" w:hAnsi="仿宋_GB2312" w:eastAsia="仿宋_GB2312" w:cs="仿宋_GB2312"/>
          <w:bCs/>
          <w:sz w:val="18"/>
          <w:szCs w:val="18"/>
          <w:highlight w:val="none"/>
        </w:rPr>
        <w:br w:type="page"/>
      </w:r>
    </w:p>
    <w:p w14:paraId="6540EB2B">
      <w:pPr>
        <w:jc w:val="center"/>
        <w:rPr>
          <w:rFonts w:ascii="黑体" w:hAnsi="黑体" w:eastAsia="黑体" w:cs="仿宋"/>
          <w:bCs/>
          <w:sz w:val="44"/>
          <w:szCs w:val="44"/>
          <w:highlight w:val="none"/>
        </w:rPr>
      </w:pPr>
      <w:r>
        <w:rPr>
          <w:rFonts w:hint="eastAsia" w:ascii="黑体" w:hAnsi="黑体" w:eastAsia="黑体" w:cs="仿宋"/>
          <w:bCs/>
          <w:sz w:val="44"/>
          <w:szCs w:val="44"/>
          <w:highlight w:val="none"/>
        </w:rPr>
        <w:t>市政道路掘路修复要求</w:t>
      </w:r>
    </w:p>
    <w:p w14:paraId="4F72254A">
      <w:pPr>
        <w:ind w:firstLine="643" w:firstLineChars="200"/>
        <w:jc w:val="left"/>
        <w:rPr>
          <w:rFonts w:ascii="仿宋_GB2312" w:hAnsi="仿宋" w:eastAsia="仿宋_GB2312" w:cs="仿宋"/>
          <w:b/>
          <w:sz w:val="32"/>
          <w:szCs w:val="32"/>
          <w:highlight w:val="none"/>
        </w:rPr>
      </w:pPr>
    </w:p>
    <w:p w14:paraId="31FB1895">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一、基本规定</w:t>
      </w:r>
    </w:p>
    <w:p w14:paraId="1BE0F315">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掘路修复所采用的的基层、面层结构不应低于原结构强度；紧急抢修的掘路，当一次修复达不到规定压实度时，应进行再次修复；掘路修复应快速、坚实和平整，现场应清洁。</w:t>
      </w:r>
    </w:p>
    <w:p w14:paraId="6D80B299">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二、回填要求</w:t>
      </w:r>
    </w:p>
    <w:p w14:paraId="7D684D7A">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1.严禁使用淤泥、沼泽土、泥炭土、冻土、有机土或含生活垃圾的土对掘路沟槽进行回填。</w:t>
      </w:r>
    </w:p>
    <w:p w14:paraId="72D5B45D">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2.沟槽分段填土交接处应做成阶梯形，阶梯宽度应大于层厚的两倍。</w:t>
      </w:r>
    </w:p>
    <w:p w14:paraId="3F5995A4">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3.槽底至设施顶部以上500mm范围回填时，应从两侧对称进行，同时还土的高度差不得大于一层。</w:t>
      </w:r>
    </w:p>
    <w:p w14:paraId="5B0FBBE8">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4.直埋线缆沟槽回填时，其线缆上方应有保护层。回填材料可采用粗砂或混凝土等回填灌注。</w:t>
      </w:r>
    </w:p>
    <w:p w14:paraId="564400CC">
      <w:pPr>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三、基层修复</w:t>
      </w:r>
    </w:p>
    <w:p w14:paraId="0607D5AF">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1.掘路的基层修复应在开挖断面两侧各加宽300mm～500mm。</w:t>
      </w:r>
    </w:p>
    <w:p w14:paraId="08DD15E2">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2.掘路修复采用的材料不低于原道路设计标准，且应符合现行行业标准《城镇道路工程施工与质量验收规范》CJJ 1的相关规定。</w:t>
      </w:r>
    </w:p>
    <w:p w14:paraId="3712E98F">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3.基层的修复质量应符合下表规定。</w:t>
      </w:r>
    </w:p>
    <w:p w14:paraId="02C628EF">
      <w:pPr>
        <w:ind w:firstLine="360" w:firstLineChars="200"/>
        <w:rPr>
          <w:rFonts w:ascii="仿宋_GB2312" w:hAnsi="仿宋_GB2312" w:eastAsia="仿宋_GB2312" w:cs="仿宋_GB2312"/>
          <w:sz w:val="18"/>
          <w:szCs w:val="18"/>
          <w:highlight w:val="none"/>
        </w:rPr>
      </w:pP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084"/>
        <w:gridCol w:w="1352"/>
        <w:gridCol w:w="682"/>
        <w:gridCol w:w="1206"/>
        <w:gridCol w:w="2737"/>
      </w:tblGrid>
      <w:tr w14:paraId="35CB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AE783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项　目</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14:paraId="1ED1138C">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质量要求或允许偏差</w:t>
            </w:r>
          </w:p>
        </w:tc>
        <w:tc>
          <w:tcPr>
            <w:tcW w:w="1971" w:type="dxa"/>
            <w:gridSpan w:val="2"/>
            <w:tcBorders>
              <w:top w:val="single" w:color="auto" w:sz="4" w:space="0"/>
              <w:left w:val="single" w:color="auto" w:sz="4" w:space="0"/>
              <w:bottom w:val="single" w:color="auto" w:sz="4" w:space="0"/>
              <w:right w:val="single" w:color="auto" w:sz="4" w:space="0"/>
            </w:tcBorders>
            <w:noWrap/>
            <w:vAlign w:val="center"/>
          </w:tcPr>
          <w:p w14:paraId="574AEDF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检验频率</w:t>
            </w:r>
          </w:p>
        </w:tc>
        <w:tc>
          <w:tcPr>
            <w:tcW w:w="2880" w:type="dxa"/>
            <w:vMerge w:val="restart"/>
            <w:tcBorders>
              <w:top w:val="single" w:color="auto" w:sz="4" w:space="0"/>
              <w:left w:val="single" w:color="auto" w:sz="4" w:space="0"/>
              <w:bottom w:val="single" w:color="auto" w:sz="4" w:space="0"/>
              <w:right w:val="single" w:color="auto" w:sz="4" w:space="0"/>
            </w:tcBorders>
            <w:noWrap/>
            <w:vAlign w:val="center"/>
          </w:tcPr>
          <w:p w14:paraId="04BFEF1D">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检验方法</w:t>
            </w:r>
          </w:p>
          <w:p w14:paraId="0981E24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（取最大值）</w:t>
            </w:r>
          </w:p>
        </w:tc>
      </w:tr>
      <w:tr w14:paraId="500C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2"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871B5C1">
            <w:pPr>
              <w:jc w:val="center"/>
              <w:rPr>
                <w:rFonts w:ascii="仿宋_GB2312" w:hAnsi="仿宋_GB2312" w:eastAsia="仿宋_GB2312" w:cs="仿宋_GB2312"/>
                <w:sz w:val="18"/>
                <w:szCs w:val="18"/>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670890B2">
            <w:pPr>
              <w:jc w:val="center"/>
              <w:rPr>
                <w:rFonts w:ascii="仿宋_GB2312" w:hAnsi="仿宋_GB2312" w:eastAsia="仿宋_GB2312" w:cs="仿宋_GB2312"/>
                <w:sz w:val="18"/>
                <w:szCs w:val="18"/>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07771D">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范围</w:t>
            </w:r>
          </w:p>
        </w:tc>
        <w:tc>
          <w:tcPr>
            <w:tcW w:w="1262" w:type="dxa"/>
            <w:tcBorders>
              <w:top w:val="single" w:color="auto" w:sz="4" w:space="0"/>
              <w:left w:val="single" w:color="auto" w:sz="4" w:space="0"/>
              <w:bottom w:val="single" w:color="auto" w:sz="4" w:space="0"/>
              <w:right w:val="single" w:color="auto" w:sz="4" w:space="0"/>
            </w:tcBorders>
            <w:noWrap/>
            <w:vAlign w:val="center"/>
          </w:tcPr>
          <w:p w14:paraId="38E8EAF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点数</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086F2FF">
            <w:pPr>
              <w:jc w:val="center"/>
              <w:rPr>
                <w:rFonts w:ascii="仿宋_GB2312" w:hAnsi="仿宋_GB2312" w:eastAsia="仿宋_GB2312" w:cs="仿宋_GB2312"/>
                <w:sz w:val="18"/>
                <w:szCs w:val="18"/>
                <w:highlight w:val="none"/>
              </w:rPr>
            </w:pPr>
          </w:p>
        </w:tc>
      </w:tr>
      <w:tr w14:paraId="2BD6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Borders>
              <w:top w:val="single" w:color="auto" w:sz="4" w:space="0"/>
              <w:left w:val="single" w:color="auto" w:sz="4" w:space="0"/>
              <w:right w:val="single" w:color="auto" w:sz="4" w:space="0"/>
            </w:tcBorders>
            <w:noWrap/>
            <w:vAlign w:val="center"/>
          </w:tcPr>
          <w:p w14:paraId="2B3A45EB">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压实度</w:t>
            </w:r>
          </w:p>
          <w:p w14:paraId="6678E705">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（重型击实）</w:t>
            </w:r>
          </w:p>
        </w:tc>
        <w:tc>
          <w:tcPr>
            <w:tcW w:w="1134" w:type="dxa"/>
            <w:tcBorders>
              <w:top w:val="single" w:color="auto" w:sz="4" w:space="0"/>
              <w:left w:val="single" w:color="auto" w:sz="4" w:space="0"/>
              <w:bottom w:val="single" w:color="auto" w:sz="4" w:space="0"/>
              <w:right w:val="single" w:color="auto" w:sz="4" w:space="0"/>
            </w:tcBorders>
            <w:noWrap/>
            <w:vAlign w:val="center"/>
          </w:tcPr>
          <w:p w14:paraId="4AB0028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快速路、</w:t>
            </w:r>
          </w:p>
          <w:p w14:paraId="4C095801">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主干路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5AE787D9">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≥97%</w:t>
            </w:r>
          </w:p>
        </w:tc>
        <w:tc>
          <w:tcPr>
            <w:tcW w:w="709" w:type="dxa"/>
            <w:vMerge w:val="restart"/>
            <w:tcBorders>
              <w:top w:val="single" w:color="auto" w:sz="4" w:space="0"/>
              <w:left w:val="single" w:color="auto" w:sz="4" w:space="0"/>
              <w:right w:val="single" w:color="auto" w:sz="4" w:space="0"/>
            </w:tcBorders>
            <w:noWrap/>
            <w:vAlign w:val="center"/>
          </w:tcPr>
          <w:p w14:paraId="05D2F56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20m</w:t>
            </w:r>
          </w:p>
        </w:tc>
        <w:tc>
          <w:tcPr>
            <w:tcW w:w="1262" w:type="dxa"/>
            <w:vMerge w:val="restart"/>
            <w:tcBorders>
              <w:top w:val="single" w:color="auto" w:sz="4" w:space="0"/>
              <w:left w:val="single" w:color="auto" w:sz="4" w:space="0"/>
              <w:right w:val="single" w:color="auto" w:sz="4" w:space="0"/>
            </w:tcBorders>
            <w:noWrap/>
            <w:vAlign w:val="center"/>
          </w:tcPr>
          <w:p w14:paraId="5AE3271F">
            <w:pPr>
              <w:ind w:firstLine="480"/>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2880" w:type="dxa"/>
            <w:vMerge w:val="restart"/>
            <w:tcBorders>
              <w:top w:val="single" w:color="auto" w:sz="4" w:space="0"/>
              <w:left w:val="single" w:color="auto" w:sz="4" w:space="0"/>
              <w:right w:val="single" w:color="auto" w:sz="4" w:space="0"/>
            </w:tcBorders>
            <w:noWrap/>
            <w:vAlign w:val="center"/>
          </w:tcPr>
          <w:p w14:paraId="58FF9B6B">
            <w:pPr>
              <w:ind w:firstLine="480"/>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环刀法</w:t>
            </w:r>
          </w:p>
          <w:p w14:paraId="523F711C">
            <w:pPr>
              <w:ind w:firstLine="480"/>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灌砂法</w:t>
            </w:r>
          </w:p>
        </w:tc>
      </w:tr>
      <w:tr w14:paraId="6C4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right w:val="single" w:color="auto" w:sz="4" w:space="0"/>
            </w:tcBorders>
            <w:noWrap/>
            <w:vAlign w:val="center"/>
          </w:tcPr>
          <w:p w14:paraId="79CC6D28">
            <w:pPr>
              <w:jc w:val="center"/>
              <w:rPr>
                <w:rFonts w:ascii="仿宋_GB2312" w:hAnsi="仿宋_GB2312" w:eastAsia="仿宋_GB2312" w:cs="仿宋_GB2312"/>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1E9C9F">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次干路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702C0921">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≥96%</w:t>
            </w:r>
          </w:p>
        </w:tc>
        <w:tc>
          <w:tcPr>
            <w:tcW w:w="709" w:type="dxa"/>
            <w:vMerge w:val="continue"/>
            <w:tcBorders>
              <w:left w:val="single" w:color="auto" w:sz="4" w:space="0"/>
              <w:right w:val="single" w:color="auto" w:sz="4" w:space="0"/>
            </w:tcBorders>
            <w:noWrap/>
            <w:vAlign w:val="center"/>
          </w:tcPr>
          <w:p w14:paraId="313A1E6F">
            <w:pPr>
              <w:jc w:val="center"/>
              <w:rPr>
                <w:rFonts w:ascii="仿宋_GB2312" w:hAnsi="仿宋_GB2312" w:eastAsia="仿宋_GB2312" w:cs="仿宋_GB2312"/>
                <w:sz w:val="18"/>
                <w:szCs w:val="18"/>
                <w:highlight w:val="none"/>
              </w:rPr>
            </w:pPr>
          </w:p>
        </w:tc>
        <w:tc>
          <w:tcPr>
            <w:tcW w:w="1262" w:type="dxa"/>
            <w:vMerge w:val="continue"/>
            <w:tcBorders>
              <w:left w:val="single" w:color="auto" w:sz="4" w:space="0"/>
              <w:right w:val="single" w:color="auto" w:sz="4" w:space="0"/>
            </w:tcBorders>
            <w:noWrap/>
            <w:vAlign w:val="center"/>
          </w:tcPr>
          <w:p w14:paraId="06AC0A0A">
            <w:pPr>
              <w:ind w:firstLine="360" w:firstLineChars="200"/>
              <w:jc w:val="center"/>
              <w:rPr>
                <w:rFonts w:ascii="仿宋_GB2312" w:hAnsi="仿宋_GB2312" w:eastAsia="仿宋_GB2312" w:cs="仿宋_GB2312"/>
                <w:sz w:val="18"/>
                <w:szCs w:val="18"/>
                <w:highlight w:val="none"/>
              </w:rPr>
            </w:pPr>
          </w:p>
        </w:tc>
        <w:tc>
          <w:tcPr>
            <w:tcW w:w="2880" w:type="dxa"/>
            <w:vMerge w:val="continue"/>
            <w:tcBorders>
              <w:left w:val="single" w:color="auto" w:sz="4" w:space="0"/>
              <w:right w:val="single" w:color="auto" w:sz="4" w:space="0"/>
            </w:tcBorders>
            <w:noWrap/>
            <w:vAlign w:val="center"/>
          </w:tcPr>
          <w:p w14:paraId="7ED9279C">
            <w:pPr>
              <w:ind w:firstLine="360" w:firstLineChars="200"/>
              <w:jc w:val="center"/>
              <w:rPr>
                <w:rFonts w:ascii="仿宋_GB2312" w:hAnsi="仿宋_GB2312" w:eastAsia="仿宋_GB2312" w:cs="仿宋_GB2312"/>
                <w:sz w:val="18"/>
                <w:szCs w:val="18"/>
                <w:highlight w:val="none"/>
              </w:rPr>
            </w:pPr>
          </w:p>
        </w:tc>
      </w:tr>
      <w:tr w14:paraId="4A59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Borders>
              <w:left w:val="single" w:color="auto" w:sz="4" w:space="0"/>
              <w:bottom w:val="single" w:color="auto" w:sz="4" w:space="0"/>
              <w:right w:val="single" w:color="auto" w:sz="4" w:space="0"/>
            </w:tcBorders>
            <w:noWrap/>
            <w:vAlign w:val="center"/>
          </w:tcPr>
          <w:p w14:paraId="69A25C9E">
            <w:pPr>
              <w:jc w:val="center"/>
              <w:rPr>
                <w:rFonts w:ascii="仿宋_GB2312" w:hAnsi="仿宋_GB2312" w:eastAsia="仿宋_GB2312" w:cs="仿宋_GB2312"/>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05AF9BD">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支路</w:t>
            </w:r>
          </w:p>
        </w:tc>
        <w:tc>
          <w:tcPr>
            <w:tcW w:w="1417" w:type="dxa"/>
            <w:tcBorders>
              <w:top w:val="single" w:color="auto" w:sz="4" w:space="0"/>
              <w:left w:val="single" w:color="auto" w:sz="4" w:space="0"/>
              <w:bottom w:val="single" w:color="auto" w:sz="4" w:space="0"/>
              <w:right w:val="single" w:color="auto" w:sz="4" w:space="0"/>
            </w:tcBorders>
            <w:noWrap/>
            <w:vAlign w:val="center"/>
          </w:tcPr>
          <w:p w14:paraId="21E40544">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≥95%</w:t>
            </w:r>
          </w:p>
        </w:tc>
        <w:tc>
          <w:tcPr>
            <w:tcW w:w="709" w:type="dxa"/>
            <w:vMerge w:val="continue"/>
            <w:tcBorders>
              <w:left w:val="single" w:color="auto" w:sz="4" w:space="0"/>
              <w:right w:val="single" w:color="auto" w:sz="4" w:space="0"/>
            </w:tcBorders>
            <w:noWrap/>
            <w:vAlign w:val="center"/>
          </w:tcPr>
          <w:p w14:paraId="14231762">
            <w:pPr>
              <w:jc w:val="center"/>
              <w:rPr>
                <w:rFonts w:ascii="仿宋_GB2312" w:hAnsi="仿宋_GB2312" w:eastAsia="仿宋_GB2312" w:cs="仿宋_GB2312"/>
                <w:sz w:val="18"/>
                <w:szCs w:val="18"/>
                <w:highlight w:val="none"/>
              </w:rPr>
            </w:pPr>
          </w:p>
        </w:tc>
        <w:tc>
          <w:tcPr>
            <w:tcW w:w="1262" w:type="dxa"/>
            <w:vMerge w:val="continue"/>
            <w:tcBorders>
              <w:left w:val="single" w:color="auto" w:sz="4" w:space="0"/>
              <w:right w:val="single" w:color="auto" w:sz="4" w:space="0"/>
            </w:tcBorders>
            <w:noWrap/>
            <w:vAlign w:val="center"/>
          </w:tcPr>
          <w:p w14:paraId="0BF1E0BB">
            <w:pPr>
              <w:ind w:firstLine="360" w:firstLineChars="200"/>
              <w:jc w:val="center"/>
              <w:rPr>
                <w:rFonts w:ascii="仿宋_GB2312" w:hAnsi="仿宋_GB2312" w:eastAsia="仿宋_GB2312" w:cs="仿宋_GB2312"/>
                <w:sz w:val="18"/>
                <w:szCs w:val="18"/>
                <w:highlight w:val="none"/>
              </w:rPr>
            </w:pPr>
          </w:p>
        </w:tc>
        <w:tc>
          <w:tcPr>
            <w:tcW w:w="2880" w:type="dxa"/>
            <w:vMerge w:val="continue"/>
            <w:tcBorders>
              <w:left w:val="single" w:color="auto" w:sz="4" w:space="0"/>
              <w:bottom w:val="single" w:color="auto" w:sz="4" w:space="0"/>
              <w:right w:val="single" w:color="auto" w:sz="4" w:space="0"/>
            </w:tcBorders>
            <w:noWrap/>
            <w:vAlign w:val="center"/>
          </w:tcPr>
          <w:p w14:paraId="6175A043">
            <w:pPr>
              <w:jc w:val="center"/>
              <w:rPr>
                <w:rFonts w:ascii="仿宋_GB2312" w:hAnsi="仿宋_GB2312" w:eastAsia="仿宋_GB2312" w:cs="仿宋_GB2312"/>
                <w:sz w:val="18"/>
                <w:szCs w:val="18"/>
                <w:highlight w:val="none"/>
              </w:rPr>
            </w:pPr>
          </w:p>
        </w:tc>
      </w:tr>
      <w:tr w14:paraId="2D99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single" w:color="auto" w:sz="4" w:space="0"/>
              <w:left w:val="single" w:color="auto" w:sz="4" w:space="0"/>
              <w:bottom w:val="single" w:color="auto" w:sz="4" w:space="0"/>
              <w:right w:val="single" w:color="auto" w:sz="4" w:space="0"/>
            </w:tcBorders>
            <w:noWrap/>
            <w:vAlign w:val="center"/>
          </w:tcPr>
          <w:p w14:paraId="6D13BFBE">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平整度</w:t>
            </w:r>
          </w:p>
        </w:tc>
        <w:tc>
          <w:tcPr>
            <w:tcW w:w="1417" w:type="dxa"/>
            <w:tcBorders>
              <w:top w:val="single" w:color="auto" w:sz="4" w:space="0"/>
              <w:left w:val="single" w:color="auto" w:sz="4" w:space="0"/>
              <w:bottom w:val="single" w:color="auto" w:sz="4" w:space="0"/>
              <w:right w:val="single" w:color="auto" w:sz="4" w:space="0"/>
            </w:tcBorders>
            <w:noWrap/>
            <w:vAlign w:val="center"/>
          </w:tcPr>
          <w:p w14:paraId="0BEF8920">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≤10mm</w:t>
            </w:r>
          </w:p>
        </w:tc>
        <w:tc>
          <w:tcPr>
            <w:tcW w:w="709" w:type="dxa"/>
            <w:vMerge w:val="continue"/>
            <w:tcBorders>
              <w:left w:val="single" w:color="auto" w:sz="4" w:space="0"/>
              <w:right w:val="single" w:color="auto" w:sz="4" w:space="0"/>
            </w:tcBorders>
            <w:noWrap/>
            <w:vAlign w:val="center"/>
          </w:tcPr>
          <w:p w14:paraId="69FCB8D3">
            <w:pPr>
              <w:jc w:val="center"/>
              <w:rPr>
                <w:rFonts w:ascii="仿宋_GB2312" w:hAnsi="仿宋_GB2312" w:eastAsia="仿宋_GB2312" w:cs="仿宋_GB2312"/>
                <w:sz w:val="18"/>
                <w:szCs w:val="18"/>
                <w:highlight w:val="none"/>
              </w:rPr>
            </w:pPr>
          </w:p>
        </w:tc>
        <w:tc>
          <w:tcPr>
            <w:tcW w:w="1262" w:type="dxa"/>
            <w:vMerge w:val="continue"/>
            <w:tcBorders>
              <w:left w:val="single" w:color="auto" w:sz="4" w:space="0"/>
              <w:right w:val="single" w:color="auto" w:sz="4" w:space="0"/>
            </w:tcBorders>
            <w:noWrap/>
            <w:vAlign w:val="center"/>
          </w:tcPr>
          <w:p w14:paraId="7859B00A">
            <w:pPr>
              <w:ind w:firstLine="360" w:firstLineChars="200"/>
              <w:jc w:val="center"/>
              <w:rPr>
                <w:rFonts w:ascii="仿宋_GB2312" w:hAnsi="仿宋_GB2312" w:eastAsia="仿宋_GB2312" w:cs="仿宋_GB2312"/>
                <w:sz w:val="18"/>
                <w:szCs w:val="18"/>
                <w:highlight w:val="none"/>
              </w:rPr>
            </w:pPr>
          </w:p>
        </w:tc>
        <w:tc>
          <w:tcPr>
            <w:tcW w:w="2880" w:type="dxa"/>
            <w:tcBorders>
              <w:top w:val="single" w:color="auto" w:sz="4" w:space="0"/>
              <w:left w:val="single" w:color="auto" w:sz="4" w:space="0"/>
              <w:bottom w:val="single" w:color="auto" w:sz="4" w:space="0"/>
              <w:right w:val="single" w:color="auto" w:sz="4" w:space="0"/>
            </w:tcBorders>
            <w:noWrap/>
            <w:vAlign w:val="center"/>
          </w:tcPr>
          <w:p w14:paraId="3D1D2E92">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3m直尺</w:t>
            </w:r>
          </w:p>
        </w:tc>
      </w:tr>
      <w:tr w14:paraId="5834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tcBorders>
              <w:top w:val="single" w:color="auto" w:sz="4" w:space="0"/>
              <w:left w:val="single" w:color="auto" w:sz="4" w:space="0"/>
              <w:bottom w:val="single" w:color="auto" w:sz="4" w:space="0"/>
              <w:right w:val="single" w:color="auto" w:sz="4" w:space="0"/>
            </w:tcBorders>
            <w:noWrap/>
            <w:vAlign w:val="center"/>
          </w:tcPr>
          <w:p w14:paraId="42A7EDB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厚度</w:t>
            </w:r>
          </w:p>
        </w:tc>
        <w:tc>
          <w:tcPr>
            <w:tcW w:w="1417" w:type="dxa"/>
            <w:tcBorders>
              <w:top w:val="single" w:color="auto" w:sz="4" w:space="0"/>
              <w:left w:val="single" w:color="auto" w:sz="4" w:space="0"/>
              <w:bottom w:val="single" w:color="auto" w:sz="4" w:space="0"/>
              <w:right w:val="single" w:color="auto" w:sz="4" w:space="0"/>
            </w:tcBorders>
            <w:noWrap/>
            <w:vAlign w:val="center"/>
          </w:tcPr>
          <w:p w14:paraId="781FD396">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w:t>
            </w:r>
          </w:p>
        </w:tc>
        <w:tc>
          <w:tcPr>
            <w:tcW w:w="709" w:type="dxa"/>
            <w:vMerge w:val="continue"/>
            <w:tcBorders>
              <w:left w:val="single" w:color="auto" w:sz="4" w:space="0"/>
              <w:bottom w:val="single" w:color="auto" w:sz="4" w:space="0"/>
              <w:right w:val="single" w:color="auto" w:sz="4" w:space="0"/>
            </w:tcBorders>
            <w:noWrap/>
            <w:vAlign w:val="center"/>
          </w:tcPr>
          <w:p w14:paraId="3907C2C3">
            <w:pPr>
              <w:jc w:val="center"/>
              <w:rPr>
                <w:rFonts w:ascii="仿宋_GB2312" w:hAnsi="仿宋_GB2312" w:eastAsia="仿宋_GB2312" w:cs="仿宋_GB2312"/>
                <w:sz w:val="18"/>
                <w:szCs w:val="18"/>
                <w:highlight w:val="none"/>
              </w:rPr>
            </w:pPr>
          </w:p>
        </w:tc>
        <w:tc>
          <w:tcPr>
            <w:tcW w:w="1262" w:type="dxa"/>
            <w:vMerge w:val="continue"/>
            <w:tcBorders>
              <w:left w:val="single" w:color="auto" w:sz="4" w:space="0"/>
              <w:bottom w:val="single" w:color="auto" w:sz="4" w:space="0"/>
              <w:right w:val="single" w:color="auto" w:sz="4" w:space="0"/>
            </w:tcBorders>
            <w:noWrap/>
            <w:vAlign w:val="center"/>
          </w:tcPr>
          <w:p w14:paraId="3C82CA6F">
            <w:pPr>
              <w:jc w:val="center"/>
              <w:rPr>
                <w:rFonts w:ascii="仿宋_GB2312" w:hAnsi="仿宋_GB2312" w:eastAsia="仿宋_GB2312" w:cs="仿宋_GB2312"/>
                <w:sz w:val="18"/>
                <w:szCs w:val="18"/>
                <w:highlight w:val="none"/>
              </w:rPr>
            </w:pPr>
          </w:p>
        </w:tc>
        <w:tc>
          <w:tcPr>
            <w:tcW w:w="2880" w:type="dxa"/>
            <w:tcBorders>
              <w:top w:val="single" w:color="auto" w:sz="4" w:space="0"/>
              <w:left w:val="single" w:color="auto" w:sz="4" w:space="0"/>
              <w:bottom w:val="single" w:color="auto" w:sz="4" w:space="0"/>
              <w:right w:val="single" w:color="auto" w:sz="4" w:space="0"/>
            </w:tcBorders>
            <w:noWrap/>
            <w:vAlign w:val="center"/>
          </w:tcPr>
          <w:p w14:paraId="6AE3ED7A">
            <w:pPr>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钢尺</w:t>
            </w:r>
          </w:p>
        </w:tc>
      </w:tr>
    </w:tbl>
    <w:p w14:paraId="33CC8B3B">
      <w:pPr>
        <w:spacing w:beforeLines="50"/>
        <w:ind w:firstLine="360" w:firstLineChars="200"/>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四、面层修复</w:t>
      </w:r>
    </w:p>
    <w:p w14:paraId="18910D63">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1.沥青混凝土路面。</w:t>
      </w:r>
      <w:r>
        <w:rPr>
          <w:rFonts w:hint="eastAsia" w:ascii="仿宋_GB2312" w:hAnsi="仿宋_GB2312" w:eastAsia="仿宋_GB2312" w:cs="仿宋_GB2312"/>
          <w:sz w:val="18"/>
          <w:szCs w:val="18"/>
          <w:highlight w:val="none"/>
        </w:rPr>
        <w:t>修复前，应对掘路时影响的破损路面进行清除，修复宽度每侧应大于基层500mm及以上；修复沥青混凝土面层前，应对半刚性基层或刚性基层采取防反射裂缝措施及防水措施；宜采用振动压路机或振动夯实机具，分层碾压。</w:t>
      </w:r>
    </w:p>
    <w:p w14:paraId="009F6FE4">
      <w:pPr>
        <w:ind w:firstLine="361" w:firstLineChars="200"/>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2.水泥混凝土路面。</w:t>
      </w:r>
      <w:r>
        <w:rPr>
          <w:rFonts w:hint="eastAsia" w:ascii="仿宋_GB2312" w:hAnsi="仿宋_GB2312" w:eastAsia="仿宋_GB2312" w:cs="仿宋_GB2312"/>
          <w:sz w:val="18"/>
          <w:szCs w:val="18"/>
          <w:highlight w:val="none"/>
        </w:rPr>
        <w:t>当水泥混凝土路面掘路宽度超过1/3板宽时，应按整板恢复；当不足1/3板宽时应进行加固处理。</w:t>
      </w:r>
    </w:p>
    <w:p w14:paraId="64C93D76">
      <w:pPr>
        <w:rPr>
          <w:rFonts w:ascii="仿宋_GB2312" w:hAnsi="仿宋_GB2312" w:eastAsia="仿宋_GB2312" w:cs="仿宋_GB2312"/>
          <w:bCs/>
          <w:sz w:val="18"/>
          <w:szCs w:val="18"/>
          <w:highlight w:val="none"/>
        </w:rPr>
      </w:pPr>
      <w:r>
        <w:rPr>
          <w:rFonts w:hint="eastAsia" w:ascii="仿宋_GB2312" w:hAnsi="仿宋_GB2312" w:eastAsia="仿宋_GB2312" w:cs="仿宋_GB2312"/>
          <w:b/>
          <w:sz w:val="18"/>
          <w:szCs w:val="18"/>
          <w:highlight w:val="none"/>
        </w:rPr>
        <w:t>3.人行道面层修复。</w:t>
      </w:r>
      <w:r>
        <w:rPr>
          <w:rFonts w:hint="eastAsia" w:ascii="仿宋_GB2312" w:hAnsi="仿宋_GB2312" w:eastAsia="仿宋_GB2312" w:cs="仿宋_GB2312"/>
          <w:bCs/>
          <w:sz w:val="18"/>
          <w:szCs w:val="18"/>
          <w:highlight w:val="none"/>
        </w:rPr>
        <w:t>应将掘路施工期间被扰动的人行道板全部拆除重新铺砌。人行道板底应当紧贴垫层，不得有虚空现象。</w:t>
      </w:r>
    </w:p>
    <w:p w14:paraId="775D31A8">
      <w:pPr>
        <w:rPr>
          <w:rFonts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br w:type="page"/>
      </w:r>
    </w:p>
    <w:p w14:paraId="6E9C3260">
      <w:pPr>
        <w:jc w:val="center"/>
        <w:rPr>
          <w:rFonts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市政道路安全文明施工要求</w:t>
      </w:r>
    </w:p>
    <w:p w14:paraId="7FC67B59">
      <w:pPr>
        <w:pStyle w:val="42"/>
        <w:rPr>
          <w:rFonts w:ascii="仿宋_GB2312" w:hAnsi="仿宋_GB2312" w:eastAsia="仿宋_GB2312" w:cs="仿宋_GB2312"/>
          <w:sz w:val="18"/>
          <w:szCs w:val="18"/>
          <w:highlight w:val="none"/>
        </w:rPr>
      </w:pPr>
    </w:p>
    <w:p w14:paraId="28B0A672">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安全围护。道路养护施工现场，设置安全围护、施工牌、导流锥；夜间施工时施工现场必须配备照明、警示装置；现场作业必须严格执行有关安全生产操作规程，人员应穿戴反光背心、安全帽，机械设备应张贴反光标志。养护施工中，道路铣刨后2小时内应及时恢复面层，损坏道路交通标识标线的，应及时通知交警部门进行补划。</w:t>
      </w:r>
    </w:p>
    <w:p w14:paraId="3749B2F6">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降尘防污。人行道板施工时，对道板切割部位进行洒水除尘；沥青路面铣刨施工前，对铣刨区域进行洒水处理，利用路面水分降低扬尘；沥青养护撒布粘层油前应对维修范围以外的面层进行隔离保护防止油污污染路面。</w:t>
      </w:r>
    </w:p>
    <w:p w14:paraId="30AA3E84">
      <w:pPr>
        <w:ind w:firstLine="360" w:firstLineChars="200"/>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队伍形象。养护作业人员应按规定统一着装，养护作业施工时不大声喧哗。加强车辆、养护机械的管理，定期进行维修保养、年检，杜绝废气、噪声超标现象。养护施工完成后应清扫路面废料，回收各类工具，及时恢复交通，降低对城市环境影响。</w:t>
      </w:r>
    </w:p>
    <w:p w14:paraId="27F7827E">
      <w:pPr>
        <w:spacing w:line="340" w:lineRule="atLeast"/>
        <w:rPr>
          <w:rFonts w:hint="eastAsia" w:ascii="仿宋" w:hAnsi="仿宋" w:eastAsia="仿宋" w:cs="仿宋"/>
          <w:sz w:val="24"/>
          <w:szCs w:val="24"/>
          <w:highlight w:val="none"/>
        </w:rPr>
      </w:pPr>
    </w:p>
    <w:p w14:paraId="66008349">
      <w:pPr>
        <w:spacing w:line="340" w:lineRule="atLeast"/>
        <w:rPr>
          <w:rFonts w:hint="eastAsia" w:ascii="仿宋" w:hAnsi="仿宋" w:eastAsia="仿宋" w:cs="仿宋"/>
          <w:sz w:val="24"/>
          <w:szCs w:val="24"/>
          <w:highlight w:val="none"/>
        </w:rPr>
      </w:pPr>
    </w:p>
    <w:p w14:paraId="439C12A4">
      <w:pPr>
        <w:spacing w:line="340" w:lineRule="atLeast"/>
        <w:rPr>
          <w:rFonts w:hint="eastAsia" w:ascii="仿宋" w:hAnsi="仿宋" w:eastAsia="仿宋" w:cs="仿宋"/>
          <w:sz w:val="24"/>
          <w:szCs w:val="24"/>
          <w:highlight w:val="none"/>
        </w:rPr>
      </w:pPr>
    </w:p>
    <w:p w14:paraId="1848E99A">
      <w:pPr>
        <w:spacing w:line="340" w:lineRule="atLeast"/>
        <w:rPr>
          <w:rFonts w:hint="eastAsia" w:ascii="仿宋" w:hAnsi="仿宋" w:eastAsia="仿宋" w:cs="仿宋"/>
          <w:sz w:val="24"/>
          <w:szCs w:val="24"/>
          <w:highlight w:val="none"/>
        </w:rPr>
      </w:pPr>
    </w:p>
    <w:p w14:paraId="31D20179">
      <w:pPr>
        <w:spacing w:line="340" w:lineRule="atLeast"/>
        <w:rPr>
          <w:rFonts w:hint="eastAsia" w:ascii="仿宋" w:hAnsi="仿宋" w:eastAsia="仿宋" w:cs="仿宋"/>
          <w:sz w:val="24"/>
          <w:szCs w:val="24"/>
          <w:highlight w:val="none"/>
        </w:rPr>
      </w:pPr>
    </w:p>
    <w:p w14:paraId="03C66278">
      <w:pPr>
        <w:spacing w:line="340" w:lineRule="atLeast"/>
        <w:rPr>
          <w:rFonts w:hint="eastAsia" w:ascii="仿宋" w:hAnsi="仿宋" w:eastAsia="仿宋" w:cs="仿宋"/>
          <w:sz w:val="24"/>
          <w:szCs w:val="24"/>
          <w:highlight w:val="none"/>
        </w:rPr>
      </w:pPr>
    </w:p>
    <w:p w14:paraId="2E8EE767">
      <w:pPr>
        <w:spacing w:line="340" w:lineRule="atLeast"/>
        <w:rPr>
          <w:rFonts w:hint="eastAsia" w:ascii="仿宋" w:hAnsi="仿宋" w:eastAsia="仿宋" w:cs="仿宋"/>
          <w:sz w:val="24"/>
          <w:szCs w:val="24"/>
          <w:highlight w:val="none"/>
        </w:rPr>
      </w:pPr>
    </w:p>
    <w:p w14:paraId="42676559">
      <w:pPr>
        <w:spacing w:line="340" w:lineRule="atLeast"/>
        <w:rPr>
          <w:rFonts w:hint="eastAsia" w:ascii="仿宋" w:hAnsi="仿宋" w:eastAsia="仿宋" w:cs="仿宋"/>
          <w:sz w:val="24"/>
          <w:szCs w:val="24"/>
          <w:highlight w:val="none"/>
        </w:rPr>
      </w:pPr>
    </w:p>
    <w:p w14:paraId="3BAEB026">
      <w:pPr>
        <w:spacing w:line="340" w:lineRule="atLeast"/>
        <w:rPr>
          <w:rFonts w:hint="eastAsia" w:ascii="仿宋" w:hAnsi="仿宋" w:eastAsia="仿宋" w:cs="仿宋"/>
          <w:sz w:val="24"/>
          <w:szCs w:val="24"/>
          <w:highlight w:val="none"/>
        </w:rPr>
      </w:pPr>
    </w:p>
    <w:p w14:paraId="4FFEAF1B">
      <w:pPr>
        <w:spacing w:line="340" w:lineRule="atLeast"/>
        <w:rPr>
          <w:rFonts w:hint="eastAsia" w:ascii="仿宋" w:hAnsi="仿宋" w:eastAsia="仿宋" w:cs="仿宋"/>
          <w:sz w:val="24"/>
          <w:szCs w:val="24"/>
          <w:highlight w:val="none"/>
        </w:rPr>
      </w:pPr>
    </w:p>
    <w:p w14:paraId="2B5DBB2B">
      <w:pPr>
        <w:spacing w:line="340" w:lineRule="atLeast"/>
        <w:rPr>
          <w:rFonts w:hint="eastAsia" w:ascii="仿宋" w:hAnsi="仿宋" w:eastAsia="仿宋" w:cs="仿宋"/>
          <w:sz w:val="24"/>
          <w:szCs w:val="24"/>
          <w:highlight w:val="none"/>
        </w:rPr>
      </w:pPr>
    </w:p>
    <w:p w14:paraId="675DDBCF">
      <w:pPr>
        <w:spacing w:line="340" w:lineRule="atLeast"/>
        <w:rPr>
          <w:rFonts w:hint="eastAsia" w:ascii="仿宋" w:hAnsi="仿宋" w:eastAsia="仿宋" w:cs="仿宋"/>
          <w:sz w:val="24"/>
          <w:szCs w:val="24"/>
          <w:highlight w:val="none"/>
        </w:rPr>
      </w:pPr>
    </w:p>
    <w:p w14:paraId="74E2CD01">
      <w:pPr>
        <w:spacing w:line="340" w:lineRule="atLeast"/>
        <w:rPr>
          <w:rFonts w:hint="eastAsia" w:ascii="仿宋" w:hAnsi="仿宋" w:eastAsia="仿宋" w:cs="仿宋"/>
          <w:sz w:val="24"/>
          <w:szCs w:val="24"/>
          <w:highlight w:val="none"/>
        </w:rPr>
      </w:pPr>
    </w:p>
    <w:p w14:paraId="74DEF42D">
      <w:pPr>
        <w:spacing w:line="340" w:lineRule="atLeast"/>
        <w:rPr>
          <w:rFonts w:hint="eastAsia" w:ascii="仿宋" w:hAnsi="仿宋" w:eastAsia="仿宋" w:cs="仿宋"/>
          <w:sz w:val="24"/>
          <w:szCs w:val="24"/>
          <w:highlight w:val="none"/>
        </w:rPr>
      </w:pPr>
    </w:p>
    <w:p w14:paraId="03313284">
      <w:pPr>
        <w:spacing w:line="340" w:lineRule="atLeast"/>
        <w:rPr>
          <w:rFonts w:hint="eastAsia" w:ascii="仿宋" w:hAnsi="仿宋" w:eastAsia="仿宋" w:cs="仿宋"/>
          <w:sz w:val="24"/>
          <w:szCs w:val="24"/>
          <w:highlight w:val="none"/>
        </w:rPr>
      </w:pPr>
    </w:p>
    <w:p w14:paraId="310CC9AB">
      <w:pPr>
        <w:spacing w:line="340" w:lineRule="atLeast"/>
        <w:rPr>
          <w:rFonts w:hint="eastAsia" w:ascii="仿宋" w:hAnsi="仿宋" w:eastAsia="仿宋" w:cs="仿宋"/>
          <w:sz w:val="24"/>
          <w:szCs w:val="24"/>
          <w:highlight w:val="none"/>
        </w:rPr>
      </w:pPr>
    </w:p>
    <w:p w14:paraId="6EA0EE43">
      <w:pPr>
        <w:spacing w:line="340" w:lineRule="atLeast"/>
        <w:rPr>
          <w:rFonts w:hint="eastAsia" w:ascii="仿宋" w:hAnsi="仿宋" w:eastAsia="仿宋" w:cs="仿宋"/>
          <w:sz w:val="24"/>
          <w:szCs w:val="24"/>
          <w:highlight w:val="none"/>
        </w:rPr>
      </w:pPr>
    </w:p>
    <w:p w14:paraId="4AF3A4ED">
      <w:pPr>
        <w:spacing w:line="340" w:lineRule="atLeast"/>
        <w:rPr>
          <w:rFonts w:hint="eastAsia" w:ascii="仿宋" w:hAnsi="仿宋" w:eastAsia="仿宋" w:cs="仿宋"/>
          <w:sz w:val="24"/>
          <w:szCs w:val="24"/>
          <w:highlight w:val="none"/>
        </w:rPr>
      </w:pPr>
    </w:p>
    <w:p w14:paraId="6E4675C7">
      <w:pPr>
        <w:spacing w:line="340" w:lineRule="atLeast"/>
        <w:rPr>
          <w:rFonts w:hint="eastAsia" w:ascii="仿宋" w:hAnsi="仿宋" w:eastAsia="仿宋" w:cs="仿宋"/>
          <w:sz w:val="24"/>
          <w:szCs w:val="24"/>
          <w:highlight w:val="none"/>
        </w:rPr>
      </w:pPr>
    </w:p>
    <w:p w14:paraId="351D870F">
      <w:pPr>
        <w:spacing w:line="340" w:lineRule="atLeast"/>
        <w:rPr>
          <w:rFonts w:hint="eastAsia" w:ascii="仿宋" w:hAnsi="仿宋" w:eastAsia="仿宋" w:cs="仿宋"/>
          <w:sz w:val="24"/>
          <w:szCs w:val="24"/>
          <w:highlight w:val="none"/>
        </w:rPr>
      </w:pPr>
    </w:p>
    <w:p w14:paraId="4F549AE4">
      <w:pPr>
        <w:spacing w:line="340" w:lineRule="atLeast"/>
        <w:rPr>
          <w:rFonts w:hint="eastAsia" w:ascii="仿宋" w:hAnsi="仿宋" w:eastAsia="仿宋" w:cs="仿宋"/>
          <w:sz w:val="24"/>
          <w:szCs w:val="24"/>
          <w:highlight w:val="none"/>
        </w:rPr>
      </w:pPr>
    </w:p>
    <w:p w14:paraId="2133C524">
      <w:pPr>
        <w:spacing w:line="340" w:lineRule="atLeast"/>
        <w:rPr>
          <w:rFonts w:hint="eastAsia" w:ascii="仿宋" w:hAnsi="仿宋" w:eastAsia="仿宋" w:cs="仿宋"/>
          <w:sz w:val="24"/>
          <w:szCs w:val="24"/>
          <w:highlight w:val="none"/>
        </w:rPr>
      </w:pPr>
    </w:p>
    <w:p w14:paraId="4CB4A891">
      <w:pPr>
        <w:spacing w:line="340" w:lineRule="atLeast"/>
        <w:rPr>
          <w:rFonts w:hint="eastAsia" w:ascii="仿宋" w:hAnsi="仿宋" w:eastAsia="仿宋" w:cs="仿宋"/>
          <w:sz w:val="24"/>
          <w:szCs w:val="24"/>
          <w:highlight w:val="none"/>
        </w:rPr>
      </w:pPr>
    </w:p>
    <w:p w14:paraId="32209AAC">
      <w:pPr>
        <w:spacing w:line="340" w:lineRule="atLeast"/>
        <w:rPr>
          <w:rFonts w:hint="eastAsia" w:ascii="仿宋" w:hAnsi="仿宋" w:eastAsia="仿宋" w:cs="仿宋"/>
          <w:sz w:val="24"/>
          <w:szCs w:val="24"/>
          <w:highlight w:val="none"/>
        </w:rPr>
      </w:pPr>
    </w:p>
    <w:p w14:paraId="5454D6D6">
      <w:pPr>
        <w:rPr>
          <w:rFonts w:hint="eastAsia" w:ascii="仿宋" w:hAnsi="仿宋" w:eastAsia="仿宋" w:cs="仿宋"/>
          <w:sz w:val="24"/>
          <w:szCs w:val="24"/>
          <w:highlight w:val="none"/>
          <w:lang w:bidi="zh-CN"/>
        </w:rPr>
      </w:pPr>
    </w:p>
    <w:p w14:paraId="5119192E">
      <w:pPr>
        <w:rPr>
          <w:rFonts w:hint="eastAsia" w:ascii="仿宋" w:hAnsi="仿宋" w:eastAsia="仿宋" w:cs="仿宋"/>
          <w:sz w:val="24"/>
          <w:szCs w:val="24"/>
          <w:highlight w:val="none"/>
          <w:lang w:bidi="zh-CN"/>
        </w:rPr>
      </w:pPr>
    </w:p>
    <w:p w14:paraId="30710031">
      <w:pPr>
        <w:rPr>
          <w:rFonts w:hint="eastAsia" w:ascii="仿宋" w:hAnsi="仿宋" w:eastAsia="仿宋" w:cs="仿宋"/>
          <w:sz w:val="24"/>
          <w:szCs w:val="24"/>
          <w:highlight w:val="none"/>
          <w:lang w:bidi="zh-CN"/>
        </w:rPr>
      </w:pPr>
    </w:p>
    <w:p w14:paraId="3A2D8A2B">
      <w:pPr>
        <w:rPr>
          <w:rFonts w:hint="eastAsia" w:ascii="仿宋" w:hAnsi="仿宋" w:eastAsia="仿宋" w:cs="仿宋"/>
          <w:sz w:val="24"/>
          <w:szCs w:val="24"/>
          <w:highlight w:val="none"/>
          <w:lang w:bidi="zh-CN"/>
        </w:rPr>
      </w:pPr>
    </w:p>
    <w:p w14:paraId="2E1C7716">
      <w:pPr>
        <w:rPr>
          <w:rFonts w:hint="eastAsia" w:ascii="仿宋" w:hAnsi="仿宋" w:eastAsia="仿宋" w:cs="仿宋"/>
          <w:sz w:val="24"/>
          <w:szCs w:val="24"/>
          <w:highlight w:val="none"/>
          <w:lang w:bidi="zh-CN"/>
        </w:rPr>
      </w:pPr>
    </w:p>
    <w:p w14:paraId="573D89BA">
      <w:pPr>
        <w:rPr>
          <w:rFonts w:hint="eastAsia" w:ascii="仿宋" w:hAnsi="仿宋" w:eastAsia="仿宋" w:cs="仿宋"/>
          <w:sz w:val="24"/>
          <w:szCs w:val="24"/>
          <w:highlight w:val="none"/>
          <w:lang w:bidi="zh-CN"/>
        </w:rPr>
      </w:pPr>
    </w:p>
    <w:p w14:paraId="793D9F74">
      <w:pPr>
        <w:rPr>
          <w:rFonts w:hint="default" w:ascii="仿宋" w:hAnsi="仿宋" w:eastAsia="仿宋" w:cs="仿宋"/>
          <w:sz w:val="24"/>
          <w:szCs w:val="24"/>
          <w:highlight w:val="none"/>
          <w:lang w:val="en-US" w:bidi="zh-CN"/>
        </w:rPr>
      </w:pPr>
      <w:r>
        <w:rPr>
          <w:rFonts w:hint="eastAsia" w:ascii="仿宋" w:hAnsi="仿宋" w:eastAsia="仿宋" w:cs="仿宋"/>
          <w:sz w:val="24"/>
          <w:szCs w:val="24"/>
          <w:highlight w:val="none"/>
          <w:lang w:bidi="zh-CN"/>
        </w:rPr>
        <w:t>附件</w:t>
      </w:r>
      <w:r>
        <w:rPr>
          <w:rFonts w:hint="eastAsia" w:ascii="仿宋" w:hAnsi="仿宋" w:eastAsia="仿宋" w:cs="仿宋"/>
          <w:sz w:val="24"/>
          <w:szCs w:val="24"/>
          <w:highlight w:val="none"/>
          <w:lang w:val="en-US" w:bidi="zh-CN"/>
        </w:rPr>
        <w:t>11</w:t>
      </w:r>
    </w:p>
    <w:p w14:paraId="73DBFEA7">
      <w:pPr>
        <w:spacing w:line="58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承</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诺</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书</w:t>
      </w:r>
    </w:p>
    <w:p w14:paraId="41211CC6">
      <w:pPr>
        <w:spacing w:line="580" w:lineRule="exact"/>
        <w:jc w:val="center"/>
        <w:rPr>
          <w:rFonts w:ascii="Times New Roman" w:hAnsi="Times New Roman" w:eastAsia="仿宋" w:cs="Times New Roman"/>
          <w:sz w:val="32"/>
          <w:szCs w:val="32"/>
          <w:highlight w:val="none"/>
        </w:rPr>
      </w:pPr>
      <w:r>
        <w:rPr>
          <w:rFonts w:hint="eastAsia" w:ascii="Times New Roman" w:hAnsi="Times New Roman" w:eastAsia="楷体_GB2312" w:cs="Times New Roman"/>
          <w:sz w:val="32"/>
          <w:szCs w:val="32"/>
          <w:highlight w:val="none"/>
        </w:rPr>
        <w:t>（承包人）</w:t>
      </w:r>
    </w:p>
    <w:p w14:paraId="7644CD25">
      <w:pPr>
        <w:ind w:firstLine="640"/>
        <w:rPr>
          <w:rFonts w:ascii="Times New Roman" w:hAnsi="Times New Roman" w:eastAsia="仿宋" w:cs="Times New Roman"/>
          <w:sz w:val="32"/>
          <w:szCs w:val="32"/>
          <w:highlight w:val="none"/>
        </w:rPr>
      </w:pPr>
    </w:p>
    <w:p w14:paraId="6D963FA7">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本单位就</w:t>
      </w:r>
      <w:r>
        <w:rPr>
          <w:rFonts w:ascii="仿宋" w:hAnsi="仿宋" w:eastAsia="仿宋" w:cs="仿宋"/>
          <w:sz w:val="24"/>
          <w:szCs w:val="24"/>
          <w:highlight w:val="none"/>
        </w:rPr>
        <w:t>_______________________________</w:t>
      </w:r>
      <w:r>
        <w:rPr>
          <w:rFonts w:hint="eastAsia" w:ascii="仿宋" w:hAnsi="仿宋" w:eastAsia="仿宋" w:cs="仿宋"/>
          <w:sz w:val="24"/>
          <w:szCs w:val="24"/>
          <w:highlight w:val="none"/>
        </w:rPr>
        <w:t>（</w:t>
      </w:r>
      <w:bookmarkStart w:id="1492" w:name="_Hlk150284892"/>
      <w:r>
        <w:rPr>
          <w:rFonts w:hint="eastAsia" w:ascii="仿宋" w:hAnsi="仿宋" w:eastAsia="仿宋" w:cs="仿宋"/>
          <w:sz w:val="24"/>
          <w:szCs w:val="24"/>
          <w:highlight w:val="none"/>
        </w:rPr>
        <w:t>项目</w:t>
      </w:r>
      <w:bookmarkEnd w:id="1492"/>
      <w:r>
        <w:rPr>
          <w:rFonts w:hint="eastAsia" w:ascii="仿宋" w:hAnsi="仿宋" w:eastAsia="仿宋" w:cs="仿宋"/>
          <w:sz w:val="24"/>
          <w:szCs w:val="24"/>
          <w:highlight w:val="none"/>
        </w:rPr>
        <w:t>）的承包工作郑重承诺如下:</w:t>
      </w:r>
    </w:p>
    <w:p w14:paraId="62C3C454">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本单位承诺无正当理由绝不拒绝履行合同、擅自终止合同，或不按照合同约定履行义务完成项目。</w:t>
      </w:r>
    </w:p>
    <w:p w14:paraId="174550C5">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本单位承诺在合同未约定或者未经发包人同意，绝不将交易项目的部分非主体、非关键性工作分包给他人完成。</w:t>
      </w:r>
    </w:p>
    <w:p w14:paraId="3B23D980">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本单位承诺项目管理人员严重违反交易文件、响应文件或合同约定的要求绝不到岗履职。</w:t>
      </w:r>
    </w:p>
    <w:p w14:paraId="2FD37992">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本单位承诺绝不使用假冒伪劣产品或非合同约定的产品，出现严重质量问题的。</w:t>
      </w:r>
    </w:p>
    <w:p w14:paraId="1252A326">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本单位承诺坚决及时整改重大安全、质量隐患问题，发生质量安全事故的。</w:t>
      </w:r>
    </w:p>
    <w:p w14:paraId="26DACB9D">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本单位承诺绝不弄虚作假、以次充好，验收达不到合同要求。</w:t>
      </w:r>
    </w:p>
    <w:p w14:paraId="3034737E">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本单位承诺绝不通过挂靠承揽业务。</w:t>
      </w:r>
    </w:p>
    <w:p w14:paraId="645DF0D7">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rPr>
        <w:t>本单位承诺绝不恶意拖欠农民工工资。</w:t>
      </w:r>
    </w:p>
    <w:p w14:paraId="4EE1E5C1">
      <w:pPr>
        <w:ind w:firstLine="480" w:firstLineChars="200"/>
        <w:rPr>
          <w:rFonts w:ascii="仿宋" w:hAnsi="仿宋" w:eastAsia="仿宋" w:cs="仿宋"/>
          <w:sz w:val="24"/>
          <w:szCs w:val="24"/>
          <w:highlight w:val="none"/>
        </w:rPr>
      </w:pPr>
      <w:r>
        <w:rPr>
          <w:rFonts w:ascii="仿宋" w:hAnsi="仿宋" w:eastAsia="仿宋" w:cs="仿宋"/>
          <w:sz w:val="24"/>
          <w:szCs w:val="24"/>
          <w:highlight w:val="none"/>
        </w:rPr>
        <w:t>9.</w:t>
      </w:r>
      <w:r>
        <w:rPr>
          <w:rFonts w:hint="eastAsia" w:ascii="仿宋" w:hAnsi="仿宋" w:eastAsia="仿宋" w:cs="仿宋"/>
          <w:sz w:val="24"/>
          <w:szCs w:val="24"/>
          <w:highlight w:val="none"/>
        </w:rPr>
        <w:t>本单位承诺项目履约过程中自愿接受其他违法违规行为受到行政处罚。</w:t>
      </w:r>
    </w:p>
    <w:p w14:paraId="6C63199D">
      <w:pPr>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若本单位发生违背上述《上城区小额交易活动负面清单》所列“禁止行为”的承诺，经查实后，我单位自愿接受相关处罚和处理，并承担由此造成的一切不良后果。</w:t>
      </w:r>
    </w:p>
    <w:p w14:paraId="6EEEB385">
      <w:pPr>
        <w:ind w:firstLine="480" w:firstLineChars="200"/>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特此承诺！</w:t>
      </w:r>
      <w:r>
        <w:rPr>
          <w:rFonts w:hint="cs" w:ascii="仿宋" w:hAnsi="仿宋" w:eastAsia="仿宋" w:cs="仿宋"/>
          <w:color w:val="auto"/>
          <w:sz w:val="24"/>
          <w:szCs w:val="24"/>
          <w:highlight w:val="none"/>
          <w:shd w:val="clear" w:color="auto" w:fill="auto"/>
        </w:rPr>
        <w:t> </w:t>
      </w:r>
    </w:p>
    <w:p w14:paraId="2AC3E111">
      <w:pPr>
        <w:jc w:val="left"/>
        <w:rPr>
          <w:rFonts w:ascii="仿宋" w:hAnsi="仿宋" w:eastAsia="仿宋" w:cs="仿宋"/>
          <w:color w:val="auto"/>
          <w:sz w:val="24"/>
          <w:szCs w:val="24"/>
          <w:highlight w:val="none"/>
          <w:shd w:val="clear" w:color="auto" w:fill="auto"/>
        </w:rPr>
      </w:pPr>
    </w:p>
    <w:p w14:paraId="71236FF3">
      <w:pPr>
        <w:jc w:val="left"/>
        <w:rPr>
          <w:rFonts w:ascii="仿宋" w:hAnsi="仿宋" w:eastAsia="仿宋" w:cs="仿宋"/>
          <w:sz w:val="24"/>
          <w:szCs w:val="24"/>
          <w:highlight w:val="none"/>
        </w:rPr>
      </w:pPr>
    </w:p>
    <w:p w14:paraId="6FD9295C">
      <w:pPr>
        <w:jc w:val="left"/>
        <w:rPr>
          <w:rFonts w:ascii="仿宋" w:hAnsi="仿宋" w:eastAsia="仿宋" w:cs="仿宋"/>
          <w:sz w:val="24"/>
          <w:szCs w:val="24"/>
          <w:highlight w:val="none"/>
        </w:rPr>
      </w:pPr>
    </w:p>
    <w:p w14:paraId="6E7EF3C2">
      <w:pPr>
        <w:jc w:val="left"/>
        <w:rPr>
          <w:rFonts w:ascii="仿宋" w:hAnsi="仿宋" w:eastAsia="仿宋" w:cs="仿宋"/>
          <w:color w:val="auto"/>
          <w:sz w:val="24"/>
          <w:szCs w:val="24"/>
          <w:highlight w:val="none"/>
          <w:shd w:val="clear" w:color="auto" w:fill="auto"/>
        </w:rPr>
      </w:pPr>
    </w:p>
    <w:p w14:paraId="5ECC17FF">
      <w:pPr>
        <w:jc w:val="left"/>
        <w:rPr>
          <w:rFonts w:ascii="仿宋" w:hAnsi="仿宋" w:eastAsia="仿宋" w:cs="仿宋"/>
          <w:color w:val="auto"/>
          <w:sz w:val="24"/>
          <w:szCs w:val="24"/>
          <w:highlight w:val="none"/>
          <w:shd w:val="clear" w:color="auto" w:fill="auto"/>
        </w:rPr>
      </w:pPr>
    </w:p>
    <w:p w14:paraId="48EA6980">
      <w:pPr>
        <w:ind w:firstLine="3840" w:firstLineChars="1600"/>
        <w:jc w:val="left"/>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承诺单位名称：（单位公章）</w:t>
      </w:r>
    </w:p>
    <w:p w14:paraId="35C6DFC2">
      <w:pPr>
        <w:jc w:val="left"/>
        <w:rPr>
          <w:rFonts w:ascii="仿宋" w:hAnsi="仿宋" w:eastAsia="仿宋" w:cs="仿宋"/>
          <w:color w:val="auto"/>
          <w:sz w:val="24"/>
          <w:szCs w:val="24"/>
          <w:highlight w:val="none"/>
          <w:shd w:val="clear" w:color="auto" w:fill="auto"/>
        </w:rPr>
      </w:pPr>
    </w:p>
    <w:p w14:paraId="7B1A56F7">
      <w:pPr>
        <w:ind w:firstLine="3840" w:firstLineChars="1600"/>
        <w:jc w:val="left"/>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法定代表人：（法人签字或印章）</w:t>
      </w:r>
    </w:p>
    <w:p w14:paraId="2A82031B">
      <w:pPr>
        <w:jc w:val="left"/>
        <w:rPr>
          <w:rFonts w:ascii="仿宋" w:hAnsi="仿宋" w:eastAsia="仿宋" w:cs="仿宋"/>
          <w:color w:val="auto"/>
          <w:sz w:val="24"/>
          <w:szCs w:val="24"/>
          <w:highlight w:val="none"/>
          <w:shd w:val="clear" w:color="auto" w:fill="auto"/>
        </w:rPr>
      </w:pPr>
    </w:p>
    <w:p w14:paraId="68633B64">
      <w:pPr>
        <w:rPr>
          <w:rFonts w:ascii="仿宋" w:hAnsi="仿宋" w:eastAsia="仿宋" w:cs="仿宋"/>
          <w:sz w:val="24"/>
          <w:szCs w:val="24"/>
          <w:highlight w:val="none"/>
        </w:rPr>
      </w:pPr>
      <w:r>
        <w:rPr>
          <w:rFonts w:ascii="仿宋" w:hAnsi="仿宋" w:eastAsia="仿宋" w:cs="仿宋"/>
          <w:color w:val="000000"/>
          <w:sz w:val="24"/>
          <w:szCs w:val="24"/>
          <w:highlight w:val="none"/>
          <w:shd w:val="clear" w:color="auto" w:fill="FFFFFF"/>
        </w:rPr>
        <w:t xml:space="preserve">                           </w:t>
      </w:r>
      <w:r>
        <w:rPr>
          <w:rFonts w:hint="eastAsia" w:ascii="仿宋" w:hAnsi="仿宋" w:eastAsia="仿宋" w:cs="仿宋"/>
          <w:sz w:val="24"/>
          <w:szCs w:val="24"/>
          <w:highlight w:val="none"/>
        </w:rPr>
        <w:t xml:space="preserve">         </w:t>
      </w:r>
      <w:r>
        <w:rPr>
          <w:rFonts w:ascii="仿宋" w:hAnsi="仿宋" w:eastAsia="仿宋" w:cs="仿宋"/>
          <w:color w:val="000000"/>
          <w:sz w:val="24"/>
          <w:szCs w:val="24"/>
          <w:highlight w:val="none"/>
          <w:shd w:val="clear" w:color="auto" w:fill="FFFFFF"/>
        </w:rPr>
        <w:t xml:space="preserve"> </w:t>
      </w:r>
      <w:r>
        <w:rPr>
          <w:rFonts w:hint="eastAsia" w:ascii="仿宋" w:hAnsi="仿宋" w:eastAsia="仿宋" w:cs="仿宋"/>
          <w:color w:val="000000"/>
          <w:sz w:val="24"/>
          <w:szCs w:val="24"/>
          <w:highlight w:val="none"/>
          <w:shd w:val="clear" w:color="auto" w:fill="FFFFFF"/>
        </w:rPr>
        <w:t>承诺日期：</w:t>
      </w:r>
      <w:r>
        <w:rPr>
          <w:rFonts w:ascii="仿宋" w:hAnsi="仿宋" w:eastAsia="仿宋" w:cs="仿宋"/>
          <w:color w:val="000000"/>
          <w:sz w:val="24"/>
          <w:szCs w:val="24"/>
          <w:highlight w:val="none"/>
          <w:shd w:val="clear" w:color="auto" w:fill="FFFFFF"/>
        </w:rPr>
        <w:t xml:space="preserve">   </w:t>
      </w:r>
      <w:r>
        <w:rPr>
          <w:rFonts w:hint="eastAsia" w:ascii="仿宋" w:hAnsi="仿宋" w:eastAsia="仿宋" w:cs="仿宋"/>
          <w:color w:val="000000"/>
          <w:sz w:val="24"/>
          <w:szCs w:val="24"/>
          <w:highlight w:val="none"/>
          <w:shd w:val="clear" w:color="auto" w:fill="FFFFFF"/>
        </w:rPr>
        <w:t>年</w:t>
      </w:r>
      <w:r>
        <w:rPr>
          <w:rFonts w:ascii="仿宋" w:hAnsi="仿宋" w:eastAsia="仿宋" w:cs="仿宋"/>
          <w:color w:val="000000"/>
          <w:sz w:val="24"/>
          <w:szCs w:val="24"/>
          <w:highlight w:val="none"/>
          <w:shd w:val="clear" w:color="auto" w:fill="FFFFFF"/>
        </w:rPr>
        <w:t xml:space="preserve">   </w:t>
      </w:r>
      <w:r>
        <w:rPr>
          <w:rFonts w:hint="eastAsia" w:ascii="仿宋" w:hAnsi="仿宋" w:eastAsia="仿宋" w:cs="仿宋"/>
          <w:color w:val="000000"/>
          <w:sz w:val="24"/>
          <w:szCs w:val="24"/>
          <w:highlight w:val="none"/>
          <w:shd w:val="clear" w:color="auto" w:fill="FFFFFF"/>
        </w:rPr>
        <w:t>月</w:t>
      </w:r>
      <w:r>
        <w:rPr>
          <w:rFonts w:ascii="仿宋" w:hAnsi="仿宋" w:eastAsia="仿宋" w:cs="仿宋"/>
          <w:color w:val="000000"/>
          <w:sz w:val="24"/>
          <w:szCs w:val="24"/>
          <w:highlight w:val="none"/>
          <w:shd w:val="clear" w:color="auto" w:fill="FFFFFF"/>
        </w:rPr>
        <w:t xml:space="preserve">   </w:t>
      </w:r>
      <w:r>
        <w:rPr>
          <w:rFonts w:hint="eastAsia" w:ascii="仿宋" w:hAnsi="仿宋" w:eastAsia="仿宋" w:cs="仿宋"/>
          <w:color w:val="000000"/>
          <w:sz w:val="24"/>
          <w:szCs w:val="24"/>
          <w:highlight w:val="none"/>
          <w:shd w:val="clear" w:color="auto" w:fill="FFFFFF"/>
        </w:rPr>
        <w:t>日</w:t>
      </w:r>
    </w:p>
    <w:p w14:paraId="75BCC1CA">
      <w:pPr>
        <w:rPr>
          <w:rFonts w:ascii="仿宋" w:hAnsi="仿宋" w:eastAsia="仿宋" w:cs="仿宋"/>
          <w:sz w:val="24"/>
          <w:szCs w:val="24"/>
          <w:highlight w:val="none"/>
        </w:rPr>
      </w:pPr>
    </w:p>
    <w:p w14:paraId="4E240D98">
      <w:pPr>
        <w:rPr>
          <w:rFonts w:ascii="仿宋" w:hAnsi="仿宋" w:eastAsia="仿宋" w:cs="仿宋"/>
          <w:sz w:val="24"/>
          <w:szCs w:val="24"/>
          <w:highlight w:val="none"/>
        </w:rPr>
      </w:pPr>
    </w:p>
    <w:p w14:paraId="250423AB">
      <w:pPr>
        <w:rPr>
          <w:highlight w:val="none"/>
        </w:rPr>
      </w:pPr>
    </w:p>
    <w:p w14:paraId="1458BEB6">
      <w:pPr>
        <w:pStyle w:val="42"/>
        <w:rPr>
          <w:highlight w:val="none"/>
          <w:u w:val="single"/>
        </w:rPr>
      </w:pPr>
    </w:p>
    <w:p w14:paraId="0670905E">
      <w:pPr>
        <w:rPr>
          <w:highlight w:val="none"/>
        </w:rPr>
      </w:pPr>
    </w:p>
    <w:p w14:paraId="19855214">
      <w:pPr>
        <w:pStyle w:val="42"/>
        <w:rPr>
          <w:highlight w:val="none"/>
        </w:rPr>
      </w:pPr>
    </w:p>
    <w:p w14:paraId="1036D973">
      <w:pPr>
        <w:pStyle w:val="42"/>
        <w:wordWrap w:val="0"/>
        <w:spacing w:after="0" w:line="240" w:lineRule="auto"/>
        <w:rPr>
          <w:highlight w:val="none"/>
        </w:rPr>
      </w:pPr>
    </w:p>
    <w:p w14:paraId="0DB28B4A">
      <w:pPr>
        <w:spacing w:line="340" w:lineRule="atLeast"/>
        <w:rPr>
          <w:rFonts w:hint="eastAsia" w:ascii="仿宋" w:hAnsi="仿宋" w:eastAsia="仿宋" w:cs="仿宋"/>
          <w:sz w:val="24"/>
          <w:szCs w:val="24"/>
          <w:highlight w:val="none"/>
        </w:rPr>
      </w:pPr>
    </w:p>
    <w:p w14:paraId="5BB7738F">
      <w:pPr>
        <w:spacing w:line="340" w:lineRule="atLeast"/>
        <w:rPr>
          <w:rFonts w:hint="eastAsia" w:ascii="仿宋" w:hAnsi="仿宋" w:eastAsia="仿宋" w:cs="仿宋"/>
          <w:sz w:val="24"/>
          <w:szCs w:val="24"/>
          <w:highlight w:val="none"/>
        </w:rPr>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pPr>
    </w:p>
    <w:p w14:paraId="4CFD72A6">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tbl>
      <w:tblPr>
        <w:tblStyle w:val="62"/>
        <w:tblW w:w="12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509"/>
        <w:gridCol w:w="1076"/>
        <w:gridCol w:w="860"/>
        <w:gridCol w:w="1302"/>
        <w:gridCol w:w="1652"/>
        <w:gridCol w:w="769"/>
        <w:gridCol w:w="464"/>
        <w:gridCol w:w="898"/>
        <w:gridCol w:w="690"/>
        <w:gridCol w:w="871"/>
        <w:gridCol w:w="889"/>
        <w:gridCol w:w="898"/>
        <w:gridCol w:w="745"/>
      </w:tblGrid>
      <w:tr w14:paraId="0AA0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87" w:type="dxa"/>
            <w:tcBorders>
              <w:top w:val="nil"/>
              <w:left w:val="nil"/>
              <w:bottom w:val="nil"/>
              <w:right w:val="nil"/>
            </w:tcBorders>
            <w:shd w:val="clear" w:color="auto" w:fill="auto"/>
            <w:noWrap/>
            <w:vAlign w:val="bottom"/>
          </w:tcPr>
          <w:p w14:paraId="092168B2">
            <w:pPr>
              <w:rPr>
                <w:rFonts w:hint="eastAsia" w:ascii="Arial" w:hAnsi="Arial" w:cs="Arial"/>
                <w:i w:val="0"/>
                <w:iCs w:val="0"/>
                <w:color w:val="000000"/>
                <w:sz w:val="22"/>
                <w:szCs w:val="22"/>
                <w:highlight w:val="none"/>
                <w:u w:val="none"/>
              </w:rPr>
            </w:pPr>
          </w:p>
        </w:tc>
        <w:tc>
          <w:tcPr>
            <w:tcW w:w="509" w:type="dxa"/>
            <w:tcBorders>
              <w:top w:val="nil"/>
              <w:left w:val="nil"/>
              <w:bottom w:val="nil"/>
              <w:right w:val="nil"/>
            </w:tcBorders>
            <w:shd w:val="clear" w:color="auto" w:fill="auto"/>
            <w:noWrap/>
            <w:vAlign w:val="bottom"/>
          </w:tcPr>
          <w:p w14:paraId="6A98E447">
            <w:pPr>
              <w:rPr>
                <w:rFonts w:hint="default" w:ascii="Arial" w:hAnsi="Arial" w:cs="Arial"/>
                <w:i w:val="0"/>
                <w:iCs w:val="0"/>
                <w:color w:val="000000"/>
                <w:sz w:val="22"/>
                <w:szCs w:val="22"/>
                <w:highlight w:val="none"/>
                <w:u w:val="none"/>
              </w:rPr>
            </w:pPr>
          </w:p>
        </w:tc>
        <w:tc>
          <w:tcPr>
            <w:tcW w:w="1076" w:type="dxa"/>
            <w:tcBorders>
              <w:top w:val="nil"/>
              <w:left w:val="nil"/>
              <w:bottom w:val="nil"/>
              <w:right w:val="nil"/>
            </w:tcBorders>
            <w:shd w:val="clear" w:color="auto" w:fill="auto"/>
            <w:noWrap/>
            <w:vAlign w:val="bottom"/>
          </w:tcPr>
          <w:p w14:paraId="74EC29A3">
            <w:pPr>
              <w:rPr>
                <w:rFonts w:hint="default" w:ascii="Arial" w:hAnsi="Arial" w:cs="Arial"/>
                <w:i w:val="0"/>
                <w:iCs w:val="0"/>
                <w:color w:val="000000"/>
                <w:sz w:val="22"/>
                <w:szCs w:val="22"/>
                <w:highlight w:val="none"/>
                <w:u w:val="none"/>
              </w:rPr>
            </w:pPr>
          </w:p>
        </w:tc>
        <w:tc>
          <w:tcPr>
            <w:tcW w:w="860" w:type="dxa"/>
            <w:tcBorders>
              <w:top w:val="nil"/>
              <w:left w:val="nil"/>
              <w:bottom w:val="nil"/>
              <w:right w:val="nil"/>
            </w:tcBorders>
            <w:shd w:val="clear" w:color="auto" w:fill="auto"/>
            <w:noWrap/>
            <w:vAlign w:val="bottom"/>
          </w:tcPr>
          <w:p w14:paraId="604DDA2B">
            <w:pPr>
              <w:rPr>
                <w:rFonts w:hint="default" w:ascii="Arial" w:hAnsi="Arial" w:cs="Arial"/>
                <w:i w:val="0"/>
                <w:iCs w:val="0"/>
                <w:color w:val="000000"/>
                <w:sz w:val="22"/>
                <w:szCs w:val="22"/>
                <w:highlight w:val="none"/>
                <w:u w:val="none"/>
              </w:rPr>
            </w:pPr>
          </w:p>
        </w:tc>
        <w:tc>
          <w:tcPr>
            <w:tcW w:w="1302" w:type="dxa"/>
            <w:tcBorders>
              <w:top w:val="nil"/>
              <w:left w:val="nil"/>
              <w:bottom w:val="nil"/>
              <w:right w:val="nil"/>
            </w:tcBorders>
            <w:shd w:val="clear" w:color="auto" w:fill="auto"/>
            <w:noWrap/>
            <w:vAlign w:val="bottom"/>
          </w:tcPr>
          <w:p w14:paraId="0CEFA169">
            <w:pPr>
              <w:rPr>
                <w:rFonts w:hint="default" w:ascii="Arial" w:hAnsi="Arial" w:cs="Arial"/>
                <w:i w:val="0"/>
                <w:iCs w:val="0"/>
                <w:color w:val="000000"/>
                <w:sz w:val="22"/>
                <w:szCs w:val="22"/>
                <w:highlight w:val="none"/>
                <w:u w:val="none"/>
              </w:rPr>
            </w:pPr>
          </w:p>
        </w:tc>
        <w:tc>
          <w:tcPr>
            <w:tcW w:w="7883" w:type="dxa"/>
            <w:gridSpan w:val="9"/>
            <w:tcBorders>
              <w:top w:val="nil"/>
              <w:left w:val="nil"/>
              <w:bottom w:val="nil"/>
              <w:right w:val="nil"/>
            </w:tcBorders>
            <w:shd w:val="clear" w:color="auto" w:fill="auto"/>
            <w:vAlign w:val="top"/>
          </w:tcPr>
          <w:p w14:paraId="0C066910">
            <w:pPr>
              <w:keepNext w:val="0"/>
              <w:keepLines w:val="0"/>
              <w:widowControl/>
              <w:suppressLineNumbers w:val="0"/>
              <w:ind w:firstLineChars="200"/>
              <w:jc w:val="left"/>
              <w:textAlignment w:val="top"/>
              <w:rPr>
                <w:rFonts w:ascii="宋体" w:hAnsi="宋体" w:eastAsia="宋体" w:cs="宋体"/>
                <w:b/>
                <w:bCs/>
                <w:i w:val="0"/>
                <w:iCs w:val="0"/>
                <w:color w:val="000000"/>
                <w:sz w:val="20"/>
                <w:szCs w:val="20"/>
                <w:highlight w:val="none"/>
                <w:u w:val="none"/>
              </w:rPr>
            </w:pPr>
            <w:r>
              <w:rPr>
                <w:rFonts w:ascii="宋体" w:hAnsi="宋体" w:eastAsia="宋体" w:cs="宋体"/>
                <w:b/>
                <w:bCs/>
                <w:i w:val="0"/>
                <w:iCs w:val="0"/>
                <w:color w:val="000000"/>
                <w:kern w:val="0"/>
                <w:sz w:val="20"/>
                <w:szCs w:val="20"/>
                <w:highlight w:val="none"/>
                <w:u w:val="none"/>
                <w:lang w:val="en-US" w:eastAsia="zh-CN" w:bidi="ar"/>
              </w:rPr>
              <w:t xml:space="preserve"> 农民工工资发放花名册</w:t>
            </w:r>
          </w:p>
        </w:tc>
      </w:tr>
      <w:tr w14:paraId="3C4E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jc w:val="center"/>
        </w:trPr>
        <w:tc>
          <w:tcPr>
            <w:tcW w:w="12217" w:type="dxa"/>
            <w:gridSpan w:val="14"/>
            <w:tcBorders>
              <w:top w:val="nil"/>
              <w:left w:val="nil"/>
              <w:bottom w:val="nil"/>
              <w:right w:val="nil"/>
            </w:tcBorders>
            <w:shd w:val="clear" w:color="auto" w:fill="auto"/>
            <w:vAlign w:val="top"/>
          </w:tcPr>
          <w:p w14:paraId="17AA048E">
            <w:pPr>
              <w:keepNext w:val="0"/>
              <w:keepLines w:val="0"/>
              <w:widowControl/>
              <w:suppressLineNumbers w:val="0"/>
              <w:jc w:val="left"/>
              <w:textAlignment w:val="top"/>
              <w:rPr>
                <w:rFonts w:ascii="宋体" w:hAnsi="宋体" w:eastAsia="宋体" w:cs="宋体"/>
                <w:i w:val="0"/>
                <w:iCs w:val="0"/>
                <w:color w:val="000000"/>
                <w:sz w:val="12"/>
                <w:szCs w:val="12"/>
                <w:highlight w:val="none"/>
                <w:u w:val="none"/>
              </w:rPr>
            </w:pPr>
            <w:r>
              <w:rPr>
                <w:rFonts w:ascii="宋体" w:hAnsi="宋体" w:eastAsia="宋体" w:cs="宋体"/>
                <w:i w:val="0"/>
                <w:iCs w:val="0"/>
                <w:color w:val="000000"/>
                <w:kern w:val="0"/>
                <w:sz w:val="12"/>
                <w:szCs w:val="12"/>
                <w:highlight w:val="none"/>
                <w:u w:val="none"/>
                <w:lang w:val="en-US" w:eastAsia="zh-CN" w:bidi="ar"/>
              </w:rPr>
              <w:t>工程名称：                                                      班 ( 组 ) 名 称 ：                                   (     年   月   日 至     年    月 日 )                填报时间：    年    月    日</w:t>
            </w:r>
          </w:p>
        </w:tc>
      </w:tr>
      <w:tr w14:paraId="700C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0CD">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姓名</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45D">
            <w:pPr>
              <w:keepNext w:val="0"/>
              <w:keepLines w:val="0"/>
              <w:widowControl/>
              <w:suppressLineNumbers w:val="0"/>
              <w:jc w:val="left"/>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性别</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B2AC">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身份证号码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62F">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联系电话</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BDD3">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工资发放方式（现金/转账等）</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94E">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银行卡卡号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5C2">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标价</w:t>
            </w:r>
            <w:r>
              <w:rPr>
                <w:rFonts w:ascii="宋体" w:hAnsi="宋体" w:eastAsia="宋体" w:cs="宋体"/>
                <w:b/>
                <w:bCs/>
                <w:i w:val="0"/>
                <w:iCs w:val="0"/>
                <w:color w:val="000000"/>
                <w:kern w:val="0"/>
                <w:sz w:val="14"/>
                <w:szCs w:val="14"/>
                <w:highlight w:val="none"/>
                <w:u w:val="none"/>
                <w:lang w:val="en-US" w:eastAsia="zh-CN" w:bidi="ar"/>
              </w:rPr>
              <w:br w:type="textWrapping"/>
            </w:r>
            <w:r>
              <w:rPr>
                <w:rFonts w:ascii="宋体" w:hAnsi="宋体" w:eastAsia="宋体" w:cs="宋体"/>
                <w:b/>
                <w:bCs/>
                <w:i w:val="0"/>
                <w:iCs w:val="0"/>
                <w:color w:val="000000"/>
                <w:kern w:val="0"/>
                <w:sz w:val="14"/>
                <w:szCs w:val="14"/>
                <w:highlight w:val="none"/>
                <w:u w:val="none"/>
                <w:lang w:val="en-US" w:eastAsia="zh-CN" w:bidi="ar"/>
              </w:rPr>
              <w:t>(元/天)</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E47">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出勤天数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7B3">
            <w:pPr>
              <w:keepNext w:val="0"/>
              <w:keepLines w:val="0"/>
              <w:widowControl/>
              <w:suppressLineNumbers w:val="0"/>
              <w:jc w:val="left"/>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应发工资</w:t>
            </w:r>
            <w:r>
              <w:rPr>
                <w:rFonts w:ascii="宋体" w:hAnsi="宋体" w:eastAsia="宋体" w:cs="宋体"/>
                <w:b/>
                <w:bCs/>
                <w:i w:val="0"/>
                <w:iCs w:val="0"/>
                <w:color w:val="000000"/>
                <w:kern w:val="0"/>
                <w:sz w:val="14"/>
                <w:szCs w:val="14"/>
                <w:highlight w:val="none"/>
                <w:u w:val="none"/>
                <w:lang w:val="en-US" w:eastAsia="zh-CN" w:bidi="ar"/>
              </w:rPr>
              <w:br w:type="textWrapping"/>
            </w:r>
            <w:r>
              <w:rPr>
                <w:rFonts w:ascii="宋体" w:hAnsi="宋体" w:eastAsia="宋体" w:cs="宋体"/>
                <w:b/>
                <w:bCs/>
                <w:i w:val="0"/>
                <w:iCs w:val="0"/>
                <w:color w:val="000000"/>
                <w:kern w:val="0"/>
                <w:sz w:val="14"/>
                <w:szCs w:val="14"/>
                <w:highlight w:val="none"/>
                <w:u w:val="none"/>
                <w:lang w:val="en-US" w:eastAsia="zh-CN" w:bidi="ar"/>
              </w:rPr>
              <w:t xml:space="preserve">  (元)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F651">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借支</w:t>
            </w:r>
            <w:r>
              <w:rPr>
                <w:rFonts w:ascii="宋体" w:hAnsi="宋体" w:eastAsia="宋体" w:cs="宋体"/>
                <w:b/>
                <w:bCs/>
                <w:i w:val="0"/>
                <w:iCs w:val="0"/>
                <w:color w:val="000000"/>
                <w:kern w:val="0"/>
                <w:sz w:val="14"/>
                <w:szCs w:val="14"/>
                <w:highlight w:val="none"/>
                <w:u w:val="none"/>
                <w:lang w:val="en-US" w:eastAsia="zh-CN" w:bidi="ar"/>
              </w:rPr>
              <w:br w:type="textWrapping"/>
            </w:r>
            <w:r>
              <w:rPr>
                <w:rFonts w:ascii="宋体" w:hAnsi="宋体" w:eastAsia="宋体" w:cs="宋体"/>
                <w:b/>
                <w:bCs/>
                <w:i w:val="0"/>
                <w:iCs w:val="0"/>
                <w:color w:val="000000"/>
                <w:kern w:val="0"/>
                <w:sz w:val="14"/>
                <w:szCs w:val="14"/>
                <w:highlight w:val="none"/>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467">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实发工资</w:t>
            </w:r>
            <w:r>
              <w:rPr>
                <w:rFonts w:ascii="宋体" w:hAnsi="宋体" w:eastAsia="宋体" w:cs="宋体"/>
                <w:b/>
                <w:bCs/>
                <w:i w:val="0"/>
                <w:iCs w:val="0"/>
                <w:color w:val="000000"/>
                <w:kern w:val="0"/>
                <w:sz w:val="14"/>
                <w:szCs w:val="14"/>
                <w:highlight w:val="none"/>
                <w:u w:val="none"/>
                <w:lang w:val="en-US" w:eastAsia="zh-CN" w:bidi="ar"/>
              </w:rPr>
              <w:br w:type="textWrapping"/>
            </w:r>
            <w:r>
              <w:rPr>
                <w:rFonts w:ascii="宋体" w:hAnsi="宋体" w:eastAsia="宋体" w:cs="宋体"/>
                <w:b/>
                <w:bCs/>
                <w:i w:val="0"/>
                <w:iCs w:val="0"/>
                <w:color w:val="000000"/>
                <w:kern w:val="0"/>
                <w:sz w:val="14"/>
                <w:szCs w:val="14"/>
                <w:highlight w:val="none"/>
                <w:u w:val="none"/>
                <w:lang w:val="en-US" w:eastAsia="zh-CN" w:bidi="ar"/>
              </w:rPr>
              <w:t>(元)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37D8">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个人确认</w:t>
            </w:r>
            <w:r>
              <w:rPr>
                <w:rFonts w:ascii="宋体" w:hAnsi="宋体" w:eastAsia="宋体" w:cs="宋体"/>
                <w:b/>
                <w:bCs/>
                <w:i w:val="0"/>
                <w:iCs w:val="0"/>
                <w:color w:val="000000"/>
                <w:kern w:val="0"/>
                <w:sz w:val="14"/>
                <w:szCs w:val="14"/>
                <w:highlight w:val="none"/>
                <w:u w:val="none"/>
                <w:lang w:val="en-US" w:eastAsia="zh-CN" w:bidi="ar"/>
              </w:rPr>
              <w:br w:type="textWrapping"/>
            </w:r>
            <w:r>
              <w:rPr>
                <w:rFonts w:ascii="宋体" w:hAnsi="宋体" w:eastAsia="宋体" w:cs="宋体"/>
                <w:b/>
                <w:bCs/>
                <w:i w:val="0"/>
                <w:iCs w:val="0"/>
                <w:color w:val="000000"/>
                <w:kern w:val="0"/>
                <w:sz w:val="14"/>
                <w:szCs w:val="14"/>
                <w:highlight w:val="none"/>
                <w:u w:val="none"/>
                <w:lang w:val="en-US" w:eastAsia="zh-CN" w:bidi="ar"/>
              </w:rPr>
              <w:t>签字</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F61">
            <w:pPr>
              <w:keepNext w:val="0"/>
              <w:keepLines w:val="0"/>
              <w:widowControl/>
              <w:suppressLineNumbers w:val="0"/>
              <w:jc w:val="left"/>
              <w:textAlignment w:val="center"/>
              <w:rPr>
                <w:rFonts w:hint="default" w:ascii="宋体" w:hAnsi="宋体" w:eastAsia="宋体" w:cs="宋体"/>
                <w:b/>
                <w:bCs/>
                <w:i w:val="0"/>
                <w:iCs w:val="0"/>
                <w:color w:val="000000"/>
                <w:sz w:val="14"/>
                <w:szCs w:val="14"/>
                <w:highlight w:val="none"/>
                <w:u w:val="none"/>
                <w:lang w:val="en-US"/>
              </w:rPr>
            </w:pPr>
            <w:r>
              <w:rPr>
                <w:rFonts w:ascii="宋体" w:hAnsi="宋体" w:eastAsia="宋体" w:cs="宋体"/>
                <w:b/>
                <w:bCs/>
                <w:i w:val="0"/>
                <w:iCs w:val="0"/>
                <w:color w:val="000000"/>
                <w:kern w:val="0"/>
                <w:sz w:val="14"/>
                <w:szCs w:val="14"/>
                <w:highlight w:val="none"/>
                <w:u w:val="none"/>
                <w:lang w:val="en-US" w:eastAsia="zh-CN" w:bidi="ar"/>
              </w:rPr>
              <w:t>领款签字</w:t>
            </w:r>
            <w:r>
              <w:rPr>
                <w:rFonts w:hint="eastAsia" w:ascii="宋体" w:hAnsi="宋体" w:eastAsia="宋体" w:cs="宋体"/>
                <w:b/>
                <w:bCs/>
                <w:i w:val="0"/>
                <w:iCs w:val="0"/>
                <w:color w:val="000000"/>
                <w:kern w:val="0"/>
                <w:sz w:val="14"/>
                <w:szCs w:val="14"/>
                <w:highlight w:val="none"/>
                <w:u w:val="none"/>
                <w:lang w:val="en-US" w:eastAsia="zh-CN" w:bidi="ar"/>
              </w:rPr>
              <w:t>及捺印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D9F4">
            <w:pPr>
              <w:keepNext w:val="0"/>
              <w:keepLines w:val="0"/>
              <w:widowControl/>
              <w:suppressLineNumbers w:val="0"/>
              <w:jc w:val="center"/>
              <w:textAlignment w:val="center"/>
              <w:rPr>
                <w:rFonts w:ascii="宋体" w:hAnsi="宋体" w:eastAsia="宋体" w:cs="宋体"/>
                <w:b/>
                <w:bCs/>
                <w:i w:val="0"/>
                <w:iCs w:val="0"/>
                <w:color w:val="000000"/>
                <w:sz w:val="14"/>
                <w:szCs w:val="14"/>
                <w:highlight w:val="none"/>
                <w:u w:val="none"/>
              </w:rPr>
            </w:pPr>
            <w:r>
              <w:rPr>
                <w:rFonts w:ascii="宋体" w:hAnsi="宋体" w:eastAsia="宋体" w:cs="宋体"/>
                <w:b/>
                <w:bCs/>
                <w:i w:val="0"/>
                <w:iCs w:val="0"/>
                <w:color w:val="000000"/>
                <w:kern w:val="0"/>
                <w:sz w:val="14"/>
                <w:szCs w:val="14"/>
                <w:highlight w:val="none"/>
                <w:u w:val="none"/>
                <w:lang w:val="en-US" w:eastAsia="zh-CN" w:bidi="ar"/>
              </w:rPr>
              <w:t>备注</w:t>
            </w:r>
          </w:p>
        </w:tc>
      </w:tr>
      <w:tr w14:paraId="5FFC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78FFFAEE">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18FB17C1">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2E327F0B">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6F7F070B">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731C1B8B">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554FECF3">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56B8C601">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39F0DFBA">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6F9E8026">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B83F82C">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A1661">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16AE14C">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08D58511">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23695AD6">
            <w:pPr>
              <w:jc w:val="left"/>
              <w:rPr>
                <w:rFonts w:hint="default" w:ascii="Arial" w:hAnsi="Arial" w:cs="Arial"/>
                <w:i w:val="0"/>
                <w:iCs w:val="0"/>
                <w:color w:val="000000"/>
                <w:sz w:val="22"/>
                <w:szCs w:val="22"/>
                <w:highlight w:val="none"/>
                <w:u w:val="none"/>
              </w:rPr>
            </w:pPr>
          </w:p>
        </w:tc>
      </w:tr>
      <w:tr w14:paraId="40A5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60FCBB8B">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53FA5D71">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1CC4B6AB">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612018D9">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BE34">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05166671">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2C82D8C9">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DAA0C80">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C3C0CA">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BAEDC76">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68ADD44">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C9E778C">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88085B">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3518292F">
            <w:pPr>
              <w:jc w:val="left"/>
              <w:rPr>
                <w:rFonts w:hint="default" w:ascii="Arial" w:hAnsi="Arial" w:cs="Arial"/>
                <w:i w:val="0"/>
                <w:iCs w:val="0"/>
                <w:color w:val="000000"/>
                <w:sz w:val="22"/>
                <w:szCs w:val="22"/>
                <w:highlight w:val="none"/>
                <w:u w:val="none"/>
              </w:rPr>
            </w:pPr>
          </w:p>
        </w:tc>
      </w:tr>
      <w:tr w14:paraId="74B8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4FE36C2D">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6F38B995">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19AB0EC0">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36FC">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24DBF153">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68C32A37">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4236ED10">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DFB36CE">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361FD595">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64F6D7BE">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BBAA836">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5B0E1EFB">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11443131">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2ED5F8D7">
            <w:pPr>
              <w:jc w:val="left"/>
              <w:rPr>
                <w:rFonts w:hint="default" w:ascii="Arial" w:hAnsi="Arial" w:cs="Arial"/>
                <w:i w:val="0"/>
                <w:iCs w:val="0"/>
                <w:color w:val="000000"/>
                <w:sz w:val="22"/>
                <w:szCs w:val="22"/>
                <w:highlight w:val="none"/>
                <w:u w:val="none"/>
              </w:rPr>
            </w:pPr>
          </w:p>
        </w:tc>
      </w:tr>
      <w:tr w14:paraId="2C1B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706DA9D5">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74231ACD">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60B5EAC3">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4FED5170">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18A53E1D">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28C9E9BE">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316E5B1E">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7696E5F">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086E9796">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E9491E4">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556B348">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0DF6E8F">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394436CD">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7A1D9F11">
            <w:pPr>
              <w:jc w:val="left"/>
              <w:rPr>
                <w:rFonts w:hint="default" w:ascii="Arial" w:hAnsi="Arial" w:cs="Arial"/>
                <w:i w:val="0"/>
                <w:iCs w:val="0"/>
                <w:color w:val="000000"/>
                <w:sz w:val="22"/>
                <w:szCs w:val="22"/>
                <w:highlight w:val="none"/>
                <w:u w:val="none"/>
              </w:rPr>
            </w:pPr>
          </w:p>
        </w:tc>
      </w:tr>
      <w:tr w14:paraId="06DA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7DEAF741">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695288EB">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6FC30699">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6C4D3E05">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3F562895">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FF75">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21669AFB">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13B2C251">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4779D47">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6CBDD37D">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B9E016">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027C3B47">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08E9059">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4AB50695">
            <w:pPr>
              <w:jc w:val="left"/>
              <w:rPr>
                <w:rFonts w:hint="default" w:ascii="Arial" w:hAnsi="Arial" w:cs="Arial"/>
                <w:i w:val="0"/>
                <w:iCs w:val="0"/>
                <w:color w:val="000000"/>
                <w:sz w:val="22"/>
                <w:szCs w:val="22"/>
                <w:highlight w:val="none"/>
                <w:u w:val="none"/>
              </w:rPr>
            </w:pPr>
          </w:p>
        </w:tc>
      </w:tr>
      <w:tr w14:paraId="7B15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7E43A1C1">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2EF93905">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215BA07F">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45DD8B97">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B1F0F">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6E30D1">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5E58AD4E">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0EBD298">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8A53DAC">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E5138">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7417BB">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6D2643B3">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4229B3B1">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DC9E2B">
            <w:pPr>
              <w:jc w:val="left"/>
              <w:rPr>
                <w:rFonts w:hint="default" w:ascii="Arial" w:hAnsi="Arial" w:cs="Arial"/>
                <w:i w:val="0"/>
                <w:iCs w:val="0"/>
                <w:color w:val="000000"/>
                <w:sz w:val="22"/>
                <w:szCs w:val="22"/>
                <w:highlight w:val="none"/>
                <w:u w:val="none"/>
              </w:rPr>
            </w:pPr>
          </w:p>
        </w:tc>
      </w:tr>
      <w:tr w14:paraId="2F45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48E00C04">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5BD8C1E0">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2F9E80CD">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CBE36E">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0046D43B">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1E4C58F1">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49FF589E">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D27F5CD">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63DED177">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987BB4C">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A1ED3A2">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FF2D7DD">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84C196">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E47ED">
            <w:pPr>
              <w:jc w:val="left"/>
              <w:rPr>
                <w:rFonts w:hint="default" w:ascii="Arial" w:hAnsi="Arial" w:cs="Arial"/>
                <w:i w:val="0"/>
                <w:iCs w:val="0"/>
                <w:color w:val="000000"/>
                <w:sz w:val="22"/>
                <w:szCs w:val="22"/>
                <w:highlight w:val="none"/>
                <w:u w:val="none"/>
              </w:rPr>
            </w:pPr>
          </w:p>
        </w:tc>
      </w:tr>
      <w:tr w14:paraId="6728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3D8A42AF">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7A2E9D76">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3765E702">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7F90">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428F6F45">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5F0D7027">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5FDD9DF0">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6AB2314C">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7B4B25A">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7B19BB1A">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279BEED5">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75F6AD29">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2B8A146A">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AB565">
            <w:pPr>
              <w:jc w:val="left"/>
              <w:rPr>
                <w:rFonts w:hint="default" w:ascii="Arial" w:hAnsi="Arial" w:cs="Arial"/>
                <w:i w:val="0"/>
                <w:iCs w:val="0"/>
                <w:color w:val="000000"/>
                <w:sz w:val="22"/>
                <w:szCs w:val="22"/>
                <w:highlight w:val="none"/>
                <w:u w:val="none"/>
              </w:rPr>
            </w:pPr>
          </w:p>
        </w:tc>
      </w:tr>
      <w:tr w14:paraId="65D8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top"/>
          </w:tcPr>
          <w:p w14:paraId="1A1BF394">
            <w:pPr>
              <w:jc w:val="left"/>
              <w:rPr>
                <w:rFonts w:hint="default" w:ascii="Arial" w:hAnsi="Arial" w:cs="Arial"/>
                <w:i w:val="0"/>
                <w:iCs w:val="0"/>
                <w:color w:val="000000"/>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top"/>
          </w:tcPr>
          <w:p w14:paraId="56A0F24E">
            <w:pPr>
              <w:jc w:val="left"/>
              <w:rPr>
                <w:rFonts w:hint="default" w:ascii="Arial" w:hAnsi="Arial" w:cs="Arial"/>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14:paraId="47ECFC3A">
            <w:pPr>
              <w:jc w:val="left"/>
              <w:rPr>
                <w:rFonts w:hint="default" w:ascii="Arial" w:hAnsi="Arial" w:cs="Arial"/>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14:paraId="3A6C18E5">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533F51B7">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top"/>
          </w:tcPr>
          <w:p w14:paraId="24028294">
            <w:pPr>
              <w:jc w:val="left"/>
              <w:rPr>
                <w:rFonts w:hint="default" w:ascii="Arial" w:hAnsi="Arial" w:cs="Arial"/>
                <w:i w:val="0"/>
                <w:iCs w:val="0"/>
                <w:color w:val="000000"/>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top"/>
          </w:tcPr>
          <w:p w14:paraId="397E2824">
            <w:pPr>
              <w:jc w:val="left"/>
              <w:rPr>
                <w:rFonts w:hint="default" w:ascii="Arial" w:hAnsi="Arial" w:cs="Arial"/>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top"/>
          </w:tcPr>
          <w:p w14:paraId="46FFF3DE">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7B8C9D7A">
            <w:pPr>
              <w:jc w:val="left"/>
              <w:rPr>
                <w:rFonts w:hint="default" w:ascii="Arial" w:hAnsi="Arial" w:cs="Arial"/>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1CE939E">
            <w:pPr>
              <w:jc w:val="left"/>
              <w:rPr>
                <w:rFonts w:hint="default" w:ascii="Arial" w:hAnsi="Arial" w:cs="Arial"/>
                <w:i w:val="0"/>
                <w:iCs w:val="0"/>
                <w:color w:val="000000"/>
                <w:sz w:val="22"/>
                <w:szCs w:val="22"/>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14:paraId="7DB20B97">
            <w:pPr>
              <w:jc w:val="left"/>
              <w:rPr>
                <w:rFonts w:hint="default" w:ascii="Arial" w:hAnsi="Arial" w:cs="Arial"/>
                <w:i w:val="0"/>
                <w:iCs w:val="0"/>
                <w:color w:val="000000"/>
                <w:sz w:val="22"/>
                <w:szCs w:val="22"/>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top"/>
          </w:tcPr>
          <w:p w14:paraId="36A220D0">
            <w:pPr>
              <w:jc w:val="left"/>
              <w:rPr>
                <w:rFonts w:hint="default" w:ascii="Arial" w:hAnsi="Arial" w:cs="Arial"/>
                <w:i w:val="0"/>
                <w:iCs w:val="0"/>
                <w:color w:val="000000"/>
                <w:sz w:val="22"/>
                <w:szCs w:val="22"/>
                <w:highlight w:val="none"/>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top"/>
          </w:tcPr>
          <w:p w14:paraId="17934376">
            <w:pPr>
              <w:jc w:val="left"/>
              <w:rPr>
                <w:rFonts w:hint="default" w:ascii="Arial" w:hAnsi="Arial" w:cs="Arial"/>
                <w:i w:val="0"/>
                <w:iCs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9C1820">
            <w:pPr>
              <w:jc w:val="left"/>
              <w:rPr>
                <w:rFonts w:hint="default" w:ascii="Arial" w:hAnsi="Arial" w:cs="Arial"/>
                <w:i w:val="0"/>
                <w:iCs w:val="0"/>
                <w:color w:val="000000"/>
                <w:sz w:val="22"/>
                <w:szCs w:val="22"/>
                <w:highlight w:val="none"/>
                <w:u w:val="none"/>
              </w:rPr>
            </w:pPr>
          </w:p>
        </w:tc>
      </w:tr>
      <w:tr w14:paraId="7536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127EC">
            <w:pPr>
              <w:keepNext w:val="0"/>
              <w:keepLines w:val="0"/>
              <w:widowControl/>
              <w:suppressLineNumbers w:val="0"/>
              <w:jc w:val="left"/>
              <w:textAlignment w:val="center"/>
              <w:rPr>
                <w:rFonts w:ascii="宋体" w:hAnsi="宋体" w:eastAsia="宋体" w:cs="宋体"/>
                <w:i w:val="0"/>
                <w:iCs w:val="0"/>
                <w:color w:val="000000"/>
                <w:sz w:val="14"/>
                <w:szCs w:val="14"/>
                <w:highlight w:val="none"/>
                <w:u w:val="none"/>
              </w:rPr>
            </w:pPr>
            <w:r>
              <w:rPr>
                <w:rStyle w:val="206"/>
                <w:highlight w:val="none"/>
                <w:lang w:val="en-US" w:eastAsia="zh-CN" w:bidi="ar"/>
              </w:rPr>
              <w:t>班(组)负责</w:t>
            </w:r>
            <w:r>
              <w:rPr>
                <w:rStyle w:val="206"/>
                <w:highlight w:val="none"/>
                <w:lang w:val="en-US" w:eastAsia="zh-CN" w:bidi="ar"/>
              </w:rPr>
              <w:br w:type="textWrapping"/>
            </w:r>
            <w:r>
              <w:rPr>
                <w:rStyle w:val="206"/>
                <w:highlight w:val="none"/>
                <w:lang w:val="en-US" w:eastAsia="zh-CN" w:bidi="ar"/>
              </w:rPr>
              <w:t>人签字(或盖</w:t>
            </w:r>
            <w:r>
              <w:rPr>
                <w:rStyle w:val="206"/>
                <w:highlight w:val="none"/>
                <w:lang w:val="en-US" w:eastAsia="zh-CN" w:bidi="ar"/>
              </w:rPr>
              <w:br w:type="textWrapping"/>
            </w:r>
            <w:r>
              <w:rPr>
                <w:rStyle w:val="206"/>
                <w:highlight w:val="none"/>
                <w:lang w:val="en-US" w:eastAsia="zh-CN" w:bidi="ar"/>
              </w:rPr>
              <w:t>章 )</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F1DA3A">
            <w:pPr>
              <w:jc w:val="left"/>
              <w:rPr>
                <w:rFonts w:hint="default" w:ascii="Arial" w:hAnsi="Arial" w:cs="Arial"/>
                <w:i w:val="0"/>
                <w:iCs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top"/>
          </w:tcPr>
          <w:p w14:paraId="267A84EE">
            <w:pPr>
              <w:jc w:val="left"/>
              <w:rPr>
                <w:rFonts w:hint="default" w:ascii="Arial" w:hAnsi="Arial" w:cs="Arial"/>
                <w:i w:val="0"/>
                <w:iCs w:val="0"/>
                <w:color w:val="000000"/>
                <w:sz w:val="22"/>
                <w:szCs w:val="22"/>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5EEE">
            <w:pPr>
              <w:keepNext w:val="0"/>
              <w:keepLines w:val="0"/>
              <w:widowControl/>
              <w:suppressLineNumbers w:val="0"/>
              <w:jc w:val="left"/>
              <w:textAlignment w:val="center"/>
              <w:rPr>
                <w:rFonts w:ascii="宋体" w:hAnsi="宋体" w:eastAsia="宋体" w:cs="宋体"/>
                <w:i w:val="0"/>
                <w:iCs w:val="0"/>
                <w:color w:val="000000"/>
                <w:sz w:val="14"/>
                <w:szCs w:val="14"/>
                <w:highlight w:val="none"/>
                <w:u w:val="none"/>
              </w:rPr>
            </w:pPr>
            <w:r>
              <w:rPr>
                <w:rStyle w:val="206"/>
                <w:highlight w:val="none"/>
                <w:lang w:val="en-US" w:eastAsia="zh-CN" w:bidi="ar"/>
              </w:rPr>
              <w:t>专业建筑企业(或劳</w:t>
            </w:r>
            <w:r>
              <w:rPr>
                <w:rStyle w:val="206"/>
                <w:highlight w:val="none"/>
                <w:lang w:val="en-US" w:eastAsia="zh-CN" w:bidi="ar"/>
              </w:rPr>
              <w:br w:type="textWrapping"/>
            </w:r>
            <w:r>
              <w:rPr>
                <w:rStyle w:val="206"/>
                <w:highlight w:val="none"/>
                <w:lang w:val="en-US" w:eastAsia="zh-CN" w:bidi="ar"/>
              </w:rPr>
              <w:t>务公司)审核签字并</w:t>
            </w:r>
            <w:r>
              <w:rPr>
                <w:rStyle w:val="206"/>
                <w:highlight w:val="none"/>
                <w:lang w:val="en-US" w:eastAsia="zh-CN" w:bidi="ar"/>
              </w:rPr>
              <w:br w:type="textWrapping"/>
            </w:r>
            <w:r>
              <w:rPr>
                <w:rStyle w:val="206"/>
                <w:highlight w:val="none"/>
                <w:lang w:val="en-US" w:eastAsia="zh-CN" w:bidi="ar"/>
              </w:rPr>
              <w:t>盖章</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35BEFE">
            <w:pPr>
              <w:jc w:val="left"/>
              <w:rPr>
                <w:rFonts w:hint="default" w:ascii="Arial" w:hAnsi="Arial" w:cs="Arial"/>
                <w:i w:val="0"/>
                <w:iCs w:val="0"/>
                <w:color w:val="000000"/>
                <w:sz w:val="22"/>
                <w:szCs w:val="22"/>
                <w:highlight w:val="none"/>
                <w:u w:val="none"/>
              </w:rPr>
            </w:pPr>
          </w:p>
        </w:tc>
        <w:tc>
          <w:tcPr>
            <w:tcW w:w="2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7EFCD">
            <w:pPr>
              <w:keepNext w:val="0"/>
              <w:keepLines w:val="0"/>
              <w:widowControl/>
              <w:suppressLineNumbers w:val="0"/>
              <w:jc w:val="left"/>
              <w:textAlignment w:val="center"/>
              <w:rPr>
                <w:rFonts w:ascii="宋体" w:hAnsi="宋体" w:eastAsia="宋体" w:cs="宋体"/>
                <w:i w:val="0"/>
                <w:iCs w:val="0"/>
                <w:color w:val="000000"/>
                <w:sz w:val="14"/>
                <w:szCs w:val="14"/>
                <w:highlight w:val="none"/>
                <w:u w:val="none"/>
              </w:rPr>
            </w:pPr>
            <w:r>
              <w:rPr>
                <w:rFonts w:ascii="宋体" w:hAnsi="宋体" w:eastAsia="宋体" w:cs="宋体"/>
                <w:i w:val="0"/>
                <w:iCs w:val="0"/>
                <w:color w:val="000000"/>
                <w:kern w:val="0"/>
                <w:sz w:val="14"/>
                <w:szCs w:val="14"/>
                <w:highlight w:val="none"/>
                <w:u w:val="none"/>
                <w:lang w:val="en-US" w:eastAsia="zh-CN" w:bidi="ar"/>
              </w:rPr>
              <w:t>总承包公司审核签字并盖章</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E7CD9A">
            <w:pPr>
              <w:jc w:val="left"/>
              <w:rPr>
                <w:rFonts w:hint="default" w:ascii="Arial" w:hAnsi="Arial" w:cs="Arial"/>
                <w:i w:val="0"/>
                <w:iCs w:val="0"/>
                <w:color w:val="000000"/>
                <w:sz w:val="22"/>
                <w:szCs w:val="22"/>
                <w:highlight w:val="none"/>
                <w:u w:val="none"/>
              </w:rPr>
            </w:pPr>
          </w:p>
        </w:tc>
      </w:tr>
      <w:tr w14:paraId="5896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217" w:type="dxa"/>
            <w:gridSpan w:val="14"/>
            <w:tcBorders>
              <w:top w:val="nil"/>
              <w:left w:val="nil"/>
              <w:bottom w:val="nil"/>
              <w:right w:val="nil"/>
            </w:tcBorders>
            <w:shd w:val="clear" w:color="auto" w:fill="auto"/>
            <w:vAlign w:val="top"/>
          </w:tcPr>
          <w:p w14:paraId="4C3BADBA">
            <w:pPr>
              <w:keepNext w:val="0"/>
              <w:keepLines w:val="0"/>
              <w:widowControl/>
              <w:suppressLineNumbers w:val="0"/>
              <w:jc w:val="left"/>
              <w:textAlignment w:val="top"/>
              <w:rPr>
                <w:rFonts w:ascii="宋体" w:hAnsi="宋体" w:eastAsia="宋体" w:cs="宋体"/>
                <w:i w:val="0"/>
                <w:iCs w:val="0"/>
                <w:color w:val="000000"/>
                <w:sz w:val="12"/>
                <w:szCs w:val="12"/>
                <w:highlight w:val="none"/>
                <w:u w:val="none"/>
              </w:rPr>
            </w:pPr>
            <w:r>
              <w:rPr>
                <w:rFonts w:ascii="宋体" w:hAnsi="宋体" w:eastAsia="宋体" w:cs="宋体"/>
                <w:i w:val="0"/>
                <w:iCs w:val="0"/>
                <w:color w:val="000000"/>
                <w:kern w:val="0"/>
                <w:sz w:val="12"/>
                <w:szCs w:val="12"/>
                <w:highlight w:val="none"/>
                <w:u w:val="none"/>
                <w:lang w:val="en-US" w:eastAsia="zh-CN" w:bidi="ar"/>
              </w:rPr>
              <w:t xml:space="preserve">    注：1.支付至工程合同价70%与80%时，需报送《农民工工资发放花名册》；2.报送之前须进行公示，经农民工本人审核确定并在个人确认签字栏签字按手印后送专业建筑企业(或劳务公司)审核签字并盖章，最后送总承包公司审核签字并盖章后，在请款时一并报送监理与建设单位；3.农民工工资实行按月支付：4.工期在3个月以上的须办理银行卡，委托银行发放，相反可实行现金发放，并在备注栏注明：5.工程竣工验收清场前，无条件足额支付完所有农民工工资。        </w:t>
            </w:r>
          </w:p>
        </w:tc>
      </w:tr>
    </w:tbl>
    <w:p w14:paraId="317D67B5">
      <w:pPr>
        <w:pStyle w:val="42"/>
        <w:rPr>
          <w:highlight w:val="none"/>
        </w:rPr>
        <w:sectPr>
          <w:pgSz w:w="16838" w:h="11906" w:orient="landscape"/>
          <w:pgMar w:top="1800" w:right="1440" w:bottom="1800" w:left="1440" w:header="851" w:footer="992" w:gutter="0"/>
          <w:pgNumType w:fmt="decimal"/>
          <w:cols w:space="425" w:num="1"/>
          <w:docGrid w:type="lines" w:linePitch="312" w:charSpace="0"/>
        </w:sectPr>
      </w:pPr>
    </w:p>
    <w:p w14:paraId="43706CB8">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附件1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14:paraId="6FA6C639">
      <w:pPr>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无拖欠农民工工资承诺书</w:t>
      </w:r>
    </w:p>
    <w:p w14:paraId="087EA062">
      <w:pPr>
        <w:rPr>
          <w:rFonts w:hint="eastAsia"/>
          <w:sz w:val="32"/>
          <w:szCs w:val="32"/>
          <w:highlight w:val="none"/>
          <w:lang w:val="en-US" w:eastAsia="zh-CN"/>
        </w:rPr>
      </w:pPr>
    </w:p>
    <w:p w14:paraId="7BEDCAE7">
      <w:pPr>
        <w:rPr>
          <w:rFonts w:hint="eastAsia"/>
          <w:sz w:val="32"/>
          <w:szCs w:val="32"/>
          <w:highlight w:val="none"/>
          <w:lang w:val="en-US" w:eastAsia="zh-CN"/>
        </w:rPr>
      </w:pPr>
      <w:r>
        <w:rPr>
          <w:rFonts w:hint="eastAsia"/>
          <w:sz w:val="32"/>
          <w:szCs w:val="32"/>
          <w:highlight w:val="none"/>
          <w:lang w:val="en-US" w:eastAsia="zh-CN"/>
        </w:rPr>
        <w:t>杭州市上城区基础设施改善中心：</w:t>
      </w:r>
    </w:p>
    <w:p w14:paraId="24EBBE36">
      <w:pPr>
        <w:ind w:firstLine="640" w:firstLineChars="200"/>
        <w:rPr>
          <w:rFonts w:hint="eastAsia"/>
          <w:sz w:val="32"/>
          <w:szCs w:val="32"/>
          <w:highlight w:val="none"/>
          <w:lang w:val="en-US" w:eastAsia="zh-CN"/>
        </w:rPr>
      </w:pPr>
      <w:r>
        <w:rPr>
          <w:rFonts w:hint="eastAsia"/>
          <w:sz w:val="32"/>
          <w:szCs w:val="32"/>
          <w:highlight w:val="none"/>
          <w:lang w:val="en-US" w:eastAsia="zh-CN"/>
        </w:rPr>
        <w:t>为切实维护建筑工程农民工的合法权益，确保社会和企业稳定，根据各级政府和相关部门要求，结合我单位承包工程的劳务施工实际情况，特作如下承诺：</w:t>
      </w:r>
    </w:p>
    <w:p w14:paraId="1D29D663">
      <w:pPr>
        <w:ind w:firstLine="560" w:firstLineChars="200"/>
        <w:rPr>
          <w:rFonts w:hint="default"/>
          <w:sz w:val="28"/>
          <w:szCs w:val="28"/>
          <w:highlight w:val="none"/>
          <w:u w:val="single"/>
          <w:lang w:val="en-US" w:eastAsia="zh-CN"/>
        </w:rPr>
      </w:pPr>
      <w:r>
        <w:rPr>
          <w:rFonts w:hint="eastAsia"/>
          <w:sz w:val="28"/>
          <w:szCs w:val="28"/>
          <w:highlight w:val="none"/>
          <w:lang w:val="en-US" w:eastAsia="zh-CN"/>
        </w:rPr>
        <w:t>工程名称：</w:t>
      </w:r>
      <w:r>
        <w:rPr>
          <w:rFonts w:hint="eastAsia"/>
          <w:sz w:val="28"/>
          <w:szCs w:val="28"/>
          <w:highlight w:val="none"/>
          <w:u w:val="single"/>
          <w:lang w:val="en-US" w:eastAsia="zh-CN"/>
        </w:rPr>
        <w:t xml:space="preserve">                              （以下简称本工程）</w:t>
      </w:r>
    </w:p>
    <w:p w14:paraId="5156CFB3">
      <w:pPr>
        <w:numPr>
          <w:ilvl w:val="0"/>
          <w:numId w:val="0"/>
        </w:numPr>
        <w:ind w:firstLine="640" w:firstLineChars="200"/>
        <w:rPr>
          <w:rFonts w:hint="eastAsia"/>
          <w:sz w:val="32"/>
          <w:szCs w:val="32"/>
          <w:highlight w:val="none"/>
          <w:lang w:val="en-US" w:eastAsia="zh-CN"/>
        </w:rPr>
      </w:pPr>
      <w:r>
        <w:rPr>
          <w:rFonts w:hint="eastAsia"/>
          <w:sz w:val="32"/>
          <w:szCs w:val="32"/>
          <w:highlight w:val="none"/>
          <w:lang w:val="en-US" w:eastAsia="zh-CN"/>
        </w:rPr>
        <w:t>1、我司严格按照上级主管部门关于农民工工资发放的相关要求执行，目前本工程所有相关农民工工资均已结清，无拖欠情况（具体详见本工程农民工工资发放花名册及</w:t>
      </w:r>
      <w:r>
        <w:rPr>
          <w:rFonts w:hint="eastAsia"/>
          <w:sz w:val="32"/>
          <w:szCs w:val="32"/>
          <w:highlight w:val="none"/>
        </w:rPr>
        <w:t>农民工工资发放记录</w:t>
      </w:r>
      <w:r>
        <w:rPr>
          <w:rFonts w:hint="eastAsia"/>
          <w:sz w:val="32"/>
          <w:szCs w:val="32"/>
          <w:highlight w:val="none"/>
          <w:lang w:val="en-US" w:eastAsia="zh-CN"/>
        </w:rPr>
        <w:t>）。</w:t>
      </w:r>
    </w:p>
    <w:p w14:paraId="5F1B9698">
      <w:pPr>
        <w:numPr>
          <w:ilvl w:val="0"/>
          <w:numId w:val="0"/>
        </w:numPr>
        <w:ind w:firstLine="640" w:firstLineChars="200"/>
        <w:rPr>
          <w:rFonts w:hint="eastAsia"/>
          <w:sz w:val="32"/>
          <w:szCs w:val="32"/>
          <w:highlight w:val="none"/>
          <w:lang w:val="en-US" w:eastAsia="zh-CN"/>
        </w:rPr>
      </w:pPr>
      <w:r>
        <w:rPr>
          <w:rFonts w:hint="eastAsia"/>
          <w:sz w:val="32"/>
          <w:szCs w:val="32"/>
          <w:highlight w:val="none"/>
          <w:lang w:val="en-US" w:eastAsia="zh-CN"/>
        </w:rPr>
        <w:t>2、因我司原因导致农民工权益保障工作不到位，导致后续出现重大突发事件或造成不良影响的，我司承诺接收相关处罚，并承担全部责任。</w:t>
      </w:r>
    </w:p>
    <w:p w14:paraId="09DB0D0C">
      <w:pPr>
        <w:numPr>
          <w:ilvl w:val="0"/>
          <w:numId w:val="0"/>
        </w:numPr>
        <w:ind w:firstLine="640" w:firstLineChars="200"/>
        <w:rPr>
          <w:rFonts w:hint="eastAsia"/>
          <w:sz w:val="32"/>
          <w:szCs w:val="32"/>
          <w:highlight w:val="none"/>
          <w:lang w:val="en-US" w:eastAsia="zh-CN"/>
        </w:rPr>
      </w:pPr>
    </w:p>
    <w:p w14:paraId="65B3AC53">
      <w:pPr>
        <w:numPr>
          <w:ilvl w:val="0"/>
          <w:numId w:val="0"/>
        </w:numPr>
        <w:ind w:firstLine="640" w:firstLineChars="200"/>
        <w:rPr>
          <w:rFonts w:hint="eastAsia"/>
          <w:sz w:val="32"/>
          <w:szCs w:val="32"/>
          <w:highlight w:val="none"/>
          <w:lang w:val="en-US" w:eastAsia="zh-CN"/>
        </w:rPr>
      </w:pPr>
      <w:r>
        <w:rPr>
          <w:rFonts w:hint="eastAsia"/>
          <w:sz w:val="32"/>
          <w:szCs w:val="32"/>
          <w:highlight w:val="none"/>
          <w:lang w:val="en-US" w:eastAsia="zh-CN"/>
        </w:rPr>
        <w:t>承诺单位（公章）：</w:t>
      </w:r>
    </w:p>
    <w:p w14:paraId="76A6F536">
      <w:pPr>
        <w:numPr>
          <w:ilvl w:val="0"/>
          <w:numId w:val="0"/>
        </w:numPr>
        <w:ind w:firstLine="640" w:firstLineChars="200"/>
        <w:rPr>
          <w:rFonts w:hint="eastAsia"/>
          <w:sz w:val="32"/>
          <w:szCs w:val="32"/>
          <w:highlight w:val="none"/>
          <w:lang w:val="en-US" w:eastAsia="zh-CN"/>
        </w:rPr>
      </w:pPr>
    </w:p>
    <w:p w14:paraId="3507CF83">
      <w:pPr>
        <w:numPr>
          <w:ilvl w:val="0"/>
          <w:numId w:val="0"/>
        </w:numPr>
        <w:ind w:firstLine="640" w:firstLineChars="200"/>
        <w:rPr>
          <w:rFonts w:hint="default"/>
          <w:sz w:val="32"/>
          <w:szCs w:val="32"/>
          <w:highlight w:val="none"/>
          <w:lang w:val="en-US" w:eastAsia="zh-CN"/>
        </w:rPr>
      </w:pPr>
      <w:r>
        <w:rPr>
          <w:rFonts w:hint="eastAsia"/>
          <w:sz w:val="32"/>
          <w:szCs w:val="32"/>
          <w:highlight w:val="none"/>
          <w:lang w:val="en-US" w:eastAsia="zh-CN"/>
        </w:rPr>
        <w:t>法定代表人（签章）：</w:t>
      </w:r>
    </w:p>
    <w:p w14:paraId="1307136F">
      <w:pPr>
        <w:numPr>
          <w:ilvl w:val="0"/>
          <w:numId w:val="0"/>
        </w:numPr>
        <w:ind w:firstLine="640" w:firstLineChars="200"/>
        <w:rPr>
          <w:rFonts w:hint="eastAsia"/>
          <w:sz w:val="32"/>
          <w:szCs w:val="32"/>
          <w:highlight w:val="none"/>
          <w:lang w:val="en-US" w:eastAsia="zh-CN"/>
        </w:rPr>
      </w:pPr>
    </w:p>
    <w:p w14:paraId="524CD6E4">
      <w:pPr>
        <w:numPr>
          <w:ilvl w:val="0"/>
          <w:numId w:val="0"/>
        </w:numPr>
        <w:ind w:firstLine="640" w:firstLineChars="200"/>
        <w:rPr>
          <w:rFonts w:hint="default"/>
          <w:sz w:val="32"/>
          <w:szCs w:val="32"/>
          <w:highlight w:val="none"/>
          <w:lang w:val="en-US" w:eastAsia="zh-CN"/>
        </w:rPr>
      </w:pPr>
      <w:r>
        <w:rPr>
          <w:rFonts w:hint="eastAsia"/>
          <w:sz w:val="32"/>
          <w:szCs w:val="32"/>
          <w:highlight w:val="none"/>
          <w:lang w:val="en-US" w:eastAsia="zh-CN"/>
        </w:rPr>
        <w:t>日期：     年   月    日</w:t>
      </w:r>
    </w:p>
    <w:p w14:paraId="022DE434">
      <w:pPr>
        <w:rPr>
          <w:highlight w:val="none"/>
        </w:rPr>
      </w:pPr>
    </w:p>
    <w:p w14:paraId="6764361D">
      <w:pPr>
        <w:rPr>
          <w:highlight w:val="none"/>
        </w:rPr>
      </w:pPr>
    </w:p>
    <w:p w14:paraId="66D51B33">
      <w:pPr>
        <w:spacing w:line="480" w:lineRule="auto"/>
        <w:jc w:val="both"/>
        <w:rPr>
          <w:rFonts w:ascii="宋体" w:hAnsi="宋体" w:cs="宋体"/>
          <w:b/>
          <w:color w:val="auto"/>
          <w:sz w:val="28"/>
          <w:szCs w:val="28"/>
          <w:highlight w:val="none"/>
        </w:rPr>
      </w:pPr>
    </w:p>
    <w:p w14:paraId="404796FD">
      <w:pPr>
        <w:spacing w:line="360" w:lineRule="auto"/>
        <w:ind w:left="-420" w:leftChars="-200" w:right="-420" w:rightChars="-200" w:firstLine="480" w:firstLineChars="200"/>
        <w:jc w:val="center"/>
        <w:outlineLvl w:val="0"/>
        <w:rPr>
          <w:rFonts w:ascii="宋体" w:hAnsi="宋体" w:cs="宋体"/>
          <w:color w:val="auto"/>
          <w:sz w:val="24"/>
          <w:highlight w:val="none"/>
        </w:rPr>
      </w:pPr>
    </w:p>
    <w:p w14:paraId="45BD3AF0">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decimal"/>
          <w:cols w:space="720" w:num="1"/>
          <w:titlePg/>
          <w:docGrid w:linePitch="312" w:charSpace="0"/>
        </w:sectPr>
      </w:pPr>
    </w:p>
    <w:p w14:paraId="45AFA9DB">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A6D1AC6">
      <w:pPr>
        <w:spacing w:line="360" w:lineRule="auto"/>
        <w:jc w:val="center"/>
        <w:outlineLvl w:val="0"/>
        <w:rPr>
          <w:rFonts w:ascii="宋体" w:hAnsi="宋体" w:cs="宋体"/>
          <w:b/>
          <w:color w:val="auto"/>
          <w:kern w:val="0"/>
          <w:sz w:val="36"/>
          <w:szCs w:val="36"/>
          <w:highlight w:val="none"/>
        </w:rPr>
      </w:pPr>
    </w:p>
    <w:p w14:paraId="5F0BE0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1DED6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D055AD">
      <w:pPr>
        <w:spacing w:line="360" w:lineRule="auto"/>
        <w:jc w:val="center"/>
        <w:outlineLvl w:val="0"/>
        <w:rPr>
          <w:rFonts w:ascii="宋体" w:hAnsi="宋体" w:cs="宋体"/>
          <w:b/>
          <w:color w:val="auto"/>
          <w:kern w:val="0"/>
          <w:sz w:val="36"/>
          <w:szCs w:val="36"/>
          <w:highlight w:val="none"/>
        </w:rPr>
      </w:pPr>
    </w:p>
    <w:p w14:paraId="5F37BD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495B02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A63DD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316D8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739523">
      <w:pPr>
        <w:snapToGrid w:val="0"/>
        <w:spacing w:line="360" w:lineRule="auto"/>
        <w:ind w:firstLine="480" w:firstLineChars="200"/>
        <w:rPr>
          <w:rFonts w:ascii="宋体" w:hAnsi="宋体" w:cs="宋体"/>
          <w:color w:val="auto"/>
          <w:sz w:val="24"/>
          <w:highlight w:val="none"/>
        </w:rPr>
      </w:pPr>
    </w:p>
    <w:p w14:paraId="19EB89BB">
      <w:pPr>
        <w:spacing w:line="360" w:lineRule="auto"/>
        <w:ind w:firstLine="480" w:firstLineChars="200"/>
        <w:rPr>
          <w:rFonts w:ascii="宋体" w:hAnsi="宋体" w:cs="宋体"/>
          <w:color w:val="auto"/>
          <w:sz w:val="24"/>
          <w:highlight w:val="none"/>
        </w:rPr>
      </w:pPr>
    </w:p>
    <w:p w14:paraId="1E63F22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DB205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CEE49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352D108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6744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13FED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2BED0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AB1E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94791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E71BC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BE6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25634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AA323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B5B72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18EC53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4DF16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C56B7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B762EF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34B7D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26D6199">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93BF4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EC2F542">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0E00188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D909473">
      <w:pPr>
        <w:widowControl/>
        <w:spacing w:line="360" w:lineRule="auto"/>
        <w:ind w:firstLine="480"/>
        <w:jc w:val="left"/>
        <w:rPr>
          <w:rFonts w:ascii="宋体" w:hAnsi="宋体" w:cs="宋体"/>
          <w:color w:val="auto"/>
          <w:sz w:val="24"/>
          <w:highlight w:val="none"/>
        </w:rPr>
      </w:pPr>
    </w:p>
    <w:p w14:paraId="3738A58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E5B4AC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515E0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89804FB">
      <w:pPr>
        <w:widowControl/>
        <w:spacing w:line="360" w:lineRule="auto"/>
        <w:ind w:left="150"/>
        <w:jc w:val="center"/>
        <w:rPr>
          <w:rFonts w:ascii="宋体" w:hAnsi="宋体" w:cs="宋体"/>
          <w:b/>
          <w:color w:val="auto"/>
          <w:kern w:val="0"/>
          <w:sz w:val="32"/>
          <w:szCs w:val="32"/>
          <w:highlight w:val="none"/>
        </w:rPr>
      </w:pPr>
    </w:p>
    <w:p w14:paraId="5EA7F94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49677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428E49D0">
      <w:pPr>
        <w:rPr>
          <w:rFonts w:ascii="宋体" w:hAnsi="宋体" w:cs="宋体"/>
          <w:color w:val="auto"/>
          <w:highlight w:val="none"/>
        </w:rPr>
      </w:pPr>
    </w:p>
    <w:p w14:paraId="12D2BDA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81E636B">
      <w:pPr>
        <w:pStyle w:val="3"/>
        <w:rPr>
          <w:rFonts w:ascii="宋体" w:hAnsi="宋体" w:cs="宋体"/>
          <w:b w:val="0"/>
          <w:color w:val="auto"/>
          <w:kern w:val="0"/>
          <w:sz w:val="36"/>
          <w:szCs w:val="36"/>
          <w:highlight w:val="none"/>
        </w:rPr>
      </w:pPr>
    </w:p>
    <w:p w14:paraId="1DC9272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ECA8E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9A53CD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6BE7B737">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49B288A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29A285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33BC125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1530D83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B74EB4F">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132A8198">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21B80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7ABB6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32C75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332AE3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D0DAD7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C003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7C16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C0DB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82D5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2CE49A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4E48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B1710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A9A54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1E969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2924B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46FC7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2FEE5D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34EE0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AFF62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74849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59B21C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5A1AE0DD">
      <w:pPr>
        <w:pStyle w:val="8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4A37935E">
      <w:pPr>
        <w:snapToGrid w:val="0"/>
        <w:spacing w:line="360" w:lineRule="auto"/>
        <w:ind w:firstLine="480" w:firstLineChars="200"/>
        <w:rPr>
          <w:rFonts w:ascii="宋体" w:hAnsi="宋体" w:cs="宋体"/>
          <w:color w:val="auto"/>
          <w:sz w:val="24"/>
          <w:highlight w:val="none"/>
        </w:rPr>
      </w:pPr>
    </w:p>
    <w:p w14:paraId="10177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657242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2EFE59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EE239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666BC4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D2F501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EB82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F90AF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74E0C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7D3F642">
      <w:pPr>
        <w:snapToGrid w:val="0"/>
        <w:spacing w:line="360" w:lineRule="auto"/>
        <w:ind w:left="420" w:leftChars="200" w:firstLine="4200" w:firstLineChars="1750"/>
        <w:rPr>
          <w:rFonts w:ascii="宋体" w:hAnsi="宋体" w:cs="宋体"/>
          <w:color w:val="auto"/>
          <w:kern w:val="0"/>
          <w:sz w:val="24"/>
          <w:highlight w:val="none"/>
          <w:u w:val="single"/>
        </w:rPr>
      </w:pPr>
    </w:p>
    <w:p w14:paraId="073E10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58159A">
      <w:pPr>
        <w:snapToGrid w:val="0"/>
        <w:spacing w:line="360" w:lineRule="auto"/>
        <w:jc w:val="center"/>
        <w:rPr>
          <w:rFonts w:ascii="宋体" w:hAnsi="宋体" w:cs="宋体"/>
          <w:b/>
          <w:color w:val="auto"/>
          <w:kern w:val="0"/>
          <w:sz w:val="32"/>
          <w:szCs w:val="32"/>
          <w:highlight w:val="none"/>
        </w:rPr>
      </w:pPr>
    </w:p>
    <w:p w14:paraId="1DEA51EC">
      <w:pPr>
        <w:snapToGrid w:val="0"/>
        <w:spacing w:line="360" w:lineRule="auto"/>
        <w:rPr>
          <w:rFonts w:ascii="宋体" w:hAnsi="宋体" w:cs="宋体"/>
          <w:color w:val="auto"/>
          <w:sz w:val="24"/>
          <w:highlight w:val="none"/>
        </w:rPr>
      </w:pPr>
    </w:p>
    <w:p w14:paraId="44A5129B">
      <w:pPr>
        <w:jc w:val="center"/>
        <w:rPr>
          <w:rFonts w:ascii="宋体" w:hAnsi="宋体" w:cs="宋体"/>
          <w:b/>
          <w:color w:val="auto"/>
          <w:kern w:val="0"/>
          <w:sz w:val="32"/>
          <w:szCs w:val="32"/>
          <w:highlight w:val="none"/>
        </w:rPr>
      </w:pPr>
    </w:p>
    <w:p w14:paraId="04E71EB5">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EB40868">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85DFA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49D410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D5474F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7A4BAF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06664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641D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778F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51619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A1D331A">
      <w:pPr>
        <w:snapToGrid w:val="0"/>
        <w:spacing w:line="360" w:lineRule="auto"/>
        <w:rPr>
          <w:rFonts w:ascii="宋体" w:hAnsi="宋体" w:cs="宋体"/>
          <w:color w:val="auto"/>
          <w:sz w:val="24"/>
          <w:highlight w:val="none"/>
        </w:rPr>
      </w:pPr>
    </w:p>
    <w:p w14:paraId="4D0A867E">
      <w:pPr>
        <w:snapToGrid w:val="0"/>
        <w:spacing w:line="360" w:lineRule="auto"/>
        <w:rPr>
          <w:rFonts w:ascii="宋体" w:hAnsi="宋体" w:cs="宋体"/>
          <w:color w:val="auto"/>
          <w:sz w:val="24"/>
          <w:highlight w:val="none"/>
        </w:rPr>
      </w:pPr>
    </w:p>
    <w:p w14:paraId="6A12343E">
      <w:pPr>
        <w:snapToGrid w:val="0"/>
        <w:spacing w:line="360" w:lineRule="auto"/>
        <w:rPr>
          <w:rFonts w:ascii="宋体" w:hAnsi="宋体" w:cs="宋体"/>
          <w:color w:val="auto"/>
          <w:sz w:val="24"/>
          <w:highlight w:val="none"/>
        </w:rPr>
      </w:pPr>
    </w:p>
    <w:p w14:paraId="583718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BA48A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61E3B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C1930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B314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9C7F80">
      <w:pPr>
        <w:jc w:val="center"/>
        <w:rPr>
          <w:rFonts w:ascii="宋体" w:hAnsi="宋体" w:cs="宋体"/>
          <w:b/>
          <w:color w:val="auto"/>
          <w:kern w:val="0"/>
          <w:sz w:val="32"/>
          <w:szCs w:val="32"/>
          <w:highlight w:val="none"/>
        </w:rPr>
      </w:pPr>
    </w:p>
    <w:p w14:paraId="4D2FB605">
      <w:pPr>
        <w:jc w:val="center"/>
        <w:rPr>
          <w:rFonts w:ascii="宋体" w:hAnsi="宋体" w:cs="宋体"/>
          <w:b/>
          <w:color w:val="auto"/>
          <w:kern w:val="0"/>
          <w:sz w:val="32"/>
          <w:szCs w:val="32"/>
          <w:highlight w:val="none"/>
        </w:rPr>
      </w:pPr>
    </w:p>
    <w:p w14:paraId="635B3D09">
      <w:pPr>
        <w:jc w:val="center"/>
        <w:rPr>
          <w:rFonts w:ascii="宋体" w:hAnsi="宋体" w:cs="宋体"/>
          <w:b/>
          <w:color w:val="auto"/>
          <w:kern w:val="0"/>
          <w:sz w:val="32"/>
          <w:szCs w:val="32"/>
          <w:highlight w:val="none"/>
        </w:rPr>
      </w:pPr>
    </w:p>
    <w:p w14:paraId="0355B6D5">
      <w:pPr>
        <w:rPr>
          <w:rFonts w:ascii="宋体" w:hAnsi="宋体" w:cs="宋体"/>
          <w:color w:val="auto"/>
          <w:highlight w:val="none"/>
        </w:rPr>
      </w:pPr>
    </w:p>
    <w:p w14:paraId="3BF9BE9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12BB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69B1C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BD94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3235C7">
      <w:pPr>
        <w:snapToGrid w:val="0"/>
        <w:jc w:val="center"/>
        <w:rPr>
          <w:rFonts w:hint="eastAsia" w:ascii="宋体" w:hAnsi="宋体" w:cs="宋体"/>
          <w:b/>
          <w:bCs/>
          <w:color w:val="auto"/>
          <w:sz w:val="32"/>
          <w:szCs w:val="32"/>
          <w:highlight w:val="none"/>
          <w:lang w:val="zh-CN"/>
        </w:rPr>
      </w:pPr>
    </w:p>
    <w:p w14:paraId="232C2157">
      <w:pPr>
        <w:snapToGrid w:val="0"/>
        <w:jc w:val="center"/>
        <w:rPr>
          <w:rFonts w:hint="eastAsia" w:ascii="宋体" w:hAnsi="宋体" w:cs="宋体"/>
          <w:b/>
          <w:bCs/>
          <w:color w:val="auto"/>
          <w:sz w:val="32"/>
          <w:szCs w:val="32"/>
          <w:highlight w:val="none"/>
          <w:lang w:val="zh-CN"/>
        </w:rPr>
      </w:pPr>
    </w:p>
    <w:p w14:paraId="51E7F10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6C890C8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AB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F32279">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243863D">
            <w:pPr>
              <w:pStyle w:val="149"/>
              <w:adjustRightInd w:val="0"/>
              <w:spacing w:line="360" w:lineRule="auto"/>
              <w:rPr>
                <w:rFonts w:hAnsi="宋体" w:cs="宋体"/>
                <w:bCs/>
                <w:color w:val="auto"/>
                <w:sz w:val="24"/>
                <w:highlight w:val="none"/>
              </w:rPr>
            </w:pPr>
          </w:p>
        </w:tc>
      </w:tr>
    </w:tbl>
    <w:p w14:paraId="238FF49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762BE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8FE73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974BC1">
      <w:pPr>
        <w:jc w:val="center"/>
        <w:rPr>
          <w:rFonts w:ascii="宋体" w:hAnsi="宋体" w:cs="宋体"/>
          <w:b/>
          <w:color w:val="auto"/>
          <w:kern w:val="0"/>
          <w:sz w:val="32"/>
          <w:szCs w:val="32"/>
          <w:highlight w:val="none"/>
        </w:rPr>
      </w:pPr>
    </w:p>
    <w:p w14:paraId="29070272">
      <w:pPr>
        <w:jc w:val="center"/>
        <w:rPr>
          <w:rFonts w:ascii="宋体" w:hAnsi="宋体" w:cs="宋体"/>
          <w:b/>
          <w:color w:val="auto"/>
          <w:kern w:val="0"/>
          <w:sz w:val="32"/>
          <w:szCs w:val="32"/>
          <w:highlight w:val="none"/>
        </w:rPr>
      </w:pPr>
    </w:p>
    <w:p w14:paraId="172488DC">
      <w:pPr>
        <w:jc w:val="center"/>
        <w:rPr>
          <w:rFonts w:ascii="宋体" w:hAnsi="宋体" w:cs="宋体"/>
          <w:b/>
          <w:color w:val="auto"/>
          <w:kern w:val="0"/>
          <w:sz w:val="32"/>
          <w:szCs w:val="32"/>
          <w:highlight w:val="none"/>
        </w:rPr>
      </w:pPr>
    </w:p>
    <w:p w14:paraId="72A36978">
      <w:pPr>
        <w:jc w:val="center"/>
        <w:rPr>
          <w:rFonts w:ascii="宋体" w:hAnsi="宋体" w:cs="宋体"/>
          <w:b/>
          <w:color w:val="auto"/>
          <w:kern w:val="0"/>
          <w:sz w:val="32"/>
          <w:szCs w:val="32"/>
          <w:highlight w:val="none"/>
        </w:rPr>
      </w:pPr>
    </w:p>
    <w:p w14:paraId="50762918">
      <w:pPr>
        <w:jc w:val="center"/>
        <w:rPr>
          <w:rFonts w:ascii="宋体" w:hAnsi="宋体" w:cs="宋体"/>
          <w:b/>
          <w:color w:val="auto"/>
          <w:kern w:val="0"/>
          <w:sz w:val="32"/>
          <w:szCs w:val="32"/>
          <w:highlight w:val="none"/>
        </w:rPr>
      </w:pPr>
    </w:p>
    <w:p w14:paraId="6079C8DE">
      <w:pPr>
        <w:jc w:val="center"/>
        <w:rPr>
          <w:rFonts w:ascii="宋体" w:hAnsi="宋体" w:cs="宋体"/>
          <w:b/>
          <w:color w:val="auto"/>
          <w:kern w:val="0"/>
          <w:sz w:val="32"/>
          <w:szCs w:val="32"/>
          <w:highlight w:val="none"/>
        </w:rPr>
      </w:pPr>
    </w:p>
    <w:p w14:paraId="414AEFE2">
      <w:pPr>
        <w:jc w:val="center"/>
        <w:rPr>
          <w:rFonts w:ascii="宋体" w:hAnsi="宋体" w:cs="宋体"/>
          <w:b/>
          <w:color w:val="auto"/>
          <w:kern w:val="0"/>
          <w:sz w:val="32"/>
          <w:szCs w:val="32"/>
          <w:highlight w:val="none"/>
        </w:rPr>
      </w:pPr>
    </w:p>
    <w:p w14:paraId="145C8A88">
      <w:pPr>
        <w:jc w:val="center"/>
        <w:rPr>
          <w:rFonts w:ascii="宋体" w:hAnsi="宋体" w:cs="宋体"/>
          <w:b/>
          <w:color w:val="auto"/>
          <w:kern w:val="0"/>
          <w:sz w:val="32"/>
          <w:szCs w:val="32"/>
          <w:highlight w:val="none"/>
        </w:rPr>
      </w:pPr>
    </w:p>
    <w:p w14:paraId="64647B7C">
      <w:pPr>
        <w:jc w:val="center"/>
        <w:rPr>
          <w:rFonts w:ascii="宋体" w:hAnsi="宋体" w:cs="宋体"/>
          <w:b/>
          <w:color w:val="auto"/>
          <w:kern w:val="0"/>
          <w:sz w:val="32"/>
          <w:szCs w:val="32"/>
          <w:highlight w:val="none"/>
        </w:rPr>
      </w:pPr>
    </w:p>
    <w:p w14:paraId="61209BC1">
      <w:pPr>
        <w:jc w:val="center"/>
        <w:rPr>
          <w:rFonts w:ascii="宋体" w:hAnsi="宋体" w:cs="宋体"/>
          <w:b/>
          <w:color w:val="auto"/>
          <w:kern w:val="0"/>
          <w:sz w:val="32"/>
          <w:szCs w:val="32"/>
          <w:highlight w:val="none"/>
        </w:rPr>
      </w:pPr>
    </w:p>
    <w:p w14:paraId="462C1641">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1D68FE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E3156A5">
      <w:pPr>
        <w:widowControl/>
        <w:spacing w:line="360" w:lineRule="auto"/>
        <w:ind w:firstLine="120" w:firstLineChars="50"/>
        <w:jc w:val="left"/>
        <w:rPr>
          <w:rFonts w:ascii="宋体" w:hAnsi="宋体" w:cs="宋体"/>
          <w:color w:val="auto"/>
          <w:sz w:val="24"/>
          <w:highlight w:val="none"/>
        </w:rPr>
      </w:pPr>
      <w:bookmarkStart w:id="1493"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493"/>
    <w:p w14:paraId="69B31FA3">
      <w:pPr>
        <w:snapToGrid w:val="0"/>
        <w:spacing w:line="360" w:lineRule="auto"/>
        <w:rPr>
          <w:rFonts w:ascii="宋体" w:hAnsi="宋体" w:cs="宋体"/>
          <w:color w:val="auto"/>
          <w:kern w:val="0"/>
          <w:sz w:val="24"/>
          <w:highlight w:val="none"/>
        </w:rPr>
      </w:pPr>
    </w:p>
    <w:p w14:paraId="5BFA999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011019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E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8DC0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488CE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BCAD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E06142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7BDF0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48A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2D177B">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AC4B581">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5490BC2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C5613ED">
            <w:pPr>
              <w:rPr>
                <w:rFonts w:ascii="宋体" w:hAnsi="宋体" w:cs="宋体"/>
                <w:color w:val="auto"/>
                <w:sz w:val="24"/>
                <w:highlight w:val="none"/>
              </w:rPr>
            </w:pPr>
            <w:r>
              <w:rPr>
                <w:rFonts w:hint="eastAsia" w:ascii="宋体" w:hAnsi="宋体" w:cs="宋体"/>
                <w:color w:val="auto"/>
                <w:sz w:val="24"/>
                <w:highlight w:val="none"/>
              </w:rPr>
              <w:t>见响应文件</w:t>
            </w:r>
          </w:p>
          <w:p w14:paraId="08E56CA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FE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AC380A">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34EAB79">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B0A6C9C">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42548AEA">
            <w:pPr>
              <w:rPr>
                <w:rFonts w:ascii="宋体" w:hAnsi="宋体" w:cs="宋体"/>
                <w:color w:val="auto"/>
                <w:sz w:val="24"/>
                <w:highlight w:val="none"/>
              </w:rPr>
            </w:pPr>
            <w:r>
              <w:rPr>
                <w:rFonts w:hint="eastAsia" w:ascii="宋体" w:hAnsi="宋体" w:cs="宋体"/>
                <w:color w:val="auto"/>
                <w:sz w:val="24"/>
                <w:highlight w:val="none"/>
              </w:rPr>
              <w:t>见响应文件</w:t>
            </w:r>
          </w:p>
          <w:p w14:paraId="00FBCD2D">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13A4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525D3">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8E9A169">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3BB34EA">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CD273C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3B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4CDA6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273DACA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EEA93E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6E39EEF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BA0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07405F">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0825F5C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54335A0">
            <w:pPr>
              <w:rPr>
                <w:rFonts w:hint="eastAsia" w:ascii="宋体" w:hAnsi="宋体" w:cs="宋体"/>
                <w:color w:val="auto"/>
                <w:kern w:val="0"/>
                <w:sz w:val="24"/>
                <w:highlight w:val="none"/>
              </w:rPr>
            </w:pPr>
          </w:p>
        </w:tc>
        <w:tc>
          <w:tcPr>
            <w:tcW w:w="1418" w:type="dxa"/>
            <w:vAlign w:val="center"/>
          </w:tcPr>
          <w:p w14:paraId="51C7B14D">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C8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7D05E1">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2321AA69">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0594C13">
            <w:pPr>
              <w:rPr>
                <w:rFonts w:hint="eastAsia" w:ascii="宋体" w:hAnsi="宋体" w:cs="宋体"/>
                <w:color w:val="auto"/>
                <w:kern w:val="0"/>
                <w:sz w:val="24"/>
                <w:highlight w:val="none"/>
              </w:rPr>
            </w:pPr>
          </w:p>
        </w:tc>
        <w:tc>
          <w:tcPr>
            <w:tcW w:w="1418" w:type="dxa"/>
            <w:vAlign w:val="center"/>
          </w:tcPr>
          <w:p w14:paraId="2C9481A0">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EA80F7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5DEB12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0E70590C">
      <w:pPr>
        <w:pStyle w:val="79"/>
        <w:rPr>
          <w:color w:val="auto"/>
          <w:highlight w:val="none"/>
        </w:rPr>
      </w:pPr>
    </w:p>
    <w:p w14:paraId="23BB19F5">
      <w:pPr>
        <w:jc w:val="center"/>
        <w:rPr>
          <w:rFonts w:ascii="宋体" w:hAnsi="宋体" w:cs="宋体"/>
          <w:b/>
          <w:color w:val="auto"/>
          <w:kern w:val="0"/>
          <w:sz w:val="32"/>
          <w:szCs w:val="32"/>
          <w:highlight w:val="none"/>
        </w:rPr>
      </w:pPr>
    </w:p>
    <w:p w14:paraId="0A989CE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8A1EE55">
      <w:pPr>
        <w:jc w:val="center"/>
        <w:rPr>
          <w:rFonts w:ascii="宋体" w:hAnsi="宋体" w:cs="宋体"/>
          <w:b/>
          <w:color w:val="auto"/>
          <w:kern w:val="0"/>
          <w:sz w:val="32"/>
          <w:szCs w:val="32"/>
          <w:highlight w:val="none"/>
        </w:rPr>
      </w:pPr>
    </w:p>
    <w:p w14:paraId="23D20D4D">
      <w:pPr>
        <w:jc w:val="center"/>
        <w:rPr>
          <w:rFonts w:ascii="宋体" w:hAnsi="宋体" w:cs="宋体"/>
          <w:b/>
          <w:color w:val="auto"/>
          <w:kern w:val="0"/>
          <w:sz w:val="32"/>
          <w:szCs w:val="32"/>
          <w:highlight w:val="none"/>
        </w:rPr>
      </w:pPr>
    </w:p>
    <w:p w14:paraId="30E55596">
      <w:pPr>
        <w:jc w:val="center"/>
        <w:rPr>
          <w:rFonts w:ascii="宋体" w:hAnsi="宋体" w:cs="宋体"/>
          <w:b/>
          <w:color w:val="auto"/>
          <w:kern w:val="0"/>
          <w:sz w:val="32"/>
          <w:szCs w:val="32"/>
          <w:highlight w:val="none"/>
        </w:rPr>
      </w:pPr>
    </w:p>
    <w:p w14:paraId="476B22E7">
      <w:pPr>
        <w:jc w:val="center"/>
        <w:rPr>
          <w:rFonts w:ascii="宋体" w:hAnsi="宋体" w:cs="宋体"/>
          <w:b/>
          <w:color w:val="auto"/>
          <w:kern w:val="0"/>
          <w:sz w:val="32"/>
          <w:szCs w:val="32"/>
          <w:highlight w:val="none"/>
        </w:rPr>
      </w:pPr>
    </w:p>
    <w:p w14:paraId="404F2928">
      <w:pPr>
        <w:jc w:val="center"/>
        <w:rPr>
          <w:rFonts w:ascii="宋体" w:hAnsi="宋体" w:cs="宋体"/>
          <w:b/>
          <w:color w:val="auto"/>
          <w:kern w:val="0"/>
          <w:sz w:val="32"/>
          <w:szCs w:val="32"/>
          <w:highlight w:val="none"/>
        </w:rPr>
      </w:pPr>
    </w:p>
    <w:p w14:paraId="61C11F68">
      <w:pPr>
        <w:jc w:val="center"/>
        <w:rPr>
          <w:rFonts w:ascii="宋体" w:hAnsi="宋体" w:cs="宋体"/>
          <w:b/>
          <w:color w:val="auto"/>
          <w:kern w:val="0"/>
          <w:sz w:val="32"/>
          <w:szCs w:val="32"/>
          <w:highlight w:val="none"/>
        </w:rPr>
      </w:pPr>
    </w:p>
    <w:p w14:paraId="5A0C1407">
      <w:pPr>
        <w:jc w:val="center"/>
        <w:rPr>
          <w:rFonts w:ascii="宋体" w:hAnsi="宋体" w:cs="宋体"/>
          <w:b/>
          <w:color w:val="auto"/>
          <w:kern w:val="0"/>
          <w:sz w:val="32"/>
          <w:szCs w:val="32"/>
          <w:highlight w:val="none"/>
        </w:rPr>
      </w:pPr>
    </w:p>
    <w:p w14:paraId="16A83792">
      <w:pPr>
        <w:jc w:val="center"/>
        <w:rPr>
          <w:rFonts w:ascii="宋体" w:hAnsi="宋体" w:cs="宋体"/>
          <w:b/>
          <w:color w:val="auto"/>
          <w:kern w:val="0"/>
          <w:sz w:val="32"/>
          <w:szCs w:val="32"/>
          <w:highlight w:val="none"/>
        </w:rPr>
      </w:pPr>
    </w:p>
    <w:p w14:paraId="4ACDE79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5D5D12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0A9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9F4A8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5F8411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7D99787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443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A1B96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395C5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C9F532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7A4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0D7F1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2431BB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3C3FF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08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6ABFC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F330D8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E2F3F1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8BA13F1">
      <w:pPr>
        <w:jc w:val="center"/>
        <w:rPr>
          <w:rFonts w:ascii="宋体" w:hAnsi="宋体" w:cs="宋体"/>
          <w:b/>
          <w:color w:val="auto"/>
          <w:kern w:val="0"/>
          <w:sz w:val="32"/>
          <w:szCs w:val="32"/>
          <w:highlight w:val="none"/>
        </w:rPr>
      </w:pPr>
    </w:p>
    <w:p w14:paraId="75131B7F">
      <w:pPr>
        <w:jc w:val="center"/>
        <w:rPr>
          <w:rFonts w:ascii="宋体" w:hAnsi="宋体" w:cs="宋体"/>
          <w:b/>
          <w:color w:val="auto"/>
          <w:kern w:val="0"/>
          <w:sz w:val="32"/>
          <w:szCs w:val="32"/>
          <w:highlight w:val="none"/>
        </w:rPr>
      </w:pPr>
    </w:p>
    <w:p w14:paraId="3BA1D733">
      <w:pPr>
        <w:jc w:val="center"/>
        <w:rPr>
          <w:rFonts w:ascii="宋体" w:hAnsi="宋体" w:cs="宋体"/>
          <w:b/>
          <w:color w:val="auto"/>
          <w:kern w:val="0"/>
          <w:sz w:val="32"/>
          <w:szCs w:val="32"/>
          <w:highlight w:val="none"/>
        </w:rPr>
      </w:pPr>
    </w:p>
    <w:p w14:paraId="272CA753">
      <w:pPr>
        <w:jc w:val="center"/>
        <w:rPr>
          <w:rFonts w:ascii="宋体" w:hAnsi="宋体" w:cs="宋体"/>
          <w:b/>
          <w:color w:val="auto"/>
          <w:kern w:val="0"/>
          <w:sz w:val="32"/>
          <w:szCs w:val="32"/>
          <w:highlight w:val="none"/>
        </w:rPr>
      </w:pPr>
    </w:p>
    <w:p w14:paraId="3CB3C89A">
      <w:pPr>
        <w:jc w:val="center"/>
        <w:rPr>
          <w:rFonts w:ascii="宋体" w:hAnsi="宋体" w:cs="宋体"/>
          <w:b/>
          <w:color w:val="auto"/>
          <w:kern w:val="0"/>
          <w:sz w:val="32"/>
          <w:szCs w:val="32"/>
          <w:highlight w:val="none"/>
        </w:rPr>
      </w:pPr>
    </w:p>
    <w:p w14:paraId="3414E3A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AF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B863C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B04DDF1">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2B54F0A">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1B15C7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9C6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B3E8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C3A4D37">
            <w:pPr>
              <w:jc w:val="center"/>
              <w:rPr>
                <w:rFonts w:ascii="宋体" w:hAnsi="宋体" w:cs="宋体"/>
                <w:b/>
                <w:color w:val="auto"/>
                <w:kern w:val="0"/>
                <w:sz w:val="32"/>
                <w:szCs w:val="32"/>
                <w:highlight w:val="none"/>
              </w:rPr>
            </w:pPr>
          </w:p>
        </w:tc>
        <w:tc>
          <w:tcPr>
            <w:tcW w:w="3546" w:type="dxa"/>
          </w:tcPr>
          <w:p w14:paraId="46787FBE">
            <w:pPr>
              <w:jc w:val="center"/>
              <w:rPr>
                <w:rFonts w:ascii="宋体" w:hAnsi="宋体" w:cs="宋体"/>
                <w:b/>
                <w:color w:val="auto"/>
                <w:kern w:val="0"/>
                <w:sz w:val="32"/>
                <w:szCs w:val="32"/>
                <w:highlight w:val="none"/>
              </w:rPr>
            </w:pPr>
          </w:p>
        </w:tc>
        <w:tc>
          <w:tcPr>
            <w:tcW w:w="1276" w:type="dxa"/>
          </w:tcPr>
          <w:p w14:paraId="1817D5FB">
            <w:pPr>
              <w:jc w:val="center"/>
              <w:rPr>
                <w:rFonts w:ascii="宋体" w:hAnsi="宋体" w:cs="宋体"/>
                <w:b/>
                <w:color w:val="auto"/>
                <w:kern w:val="0"/>
                <w:sz w:val="32"/>
                <w:szCs w:val="32"/>
                <w:highlight w:val="none"/>
              </w:rPr>
            </w:pPr>
          </w:p>
        </w:tc>
      </w:tr>
      <w:tr w14:paraId="37CE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7F285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F60556B">
            <w:pPr>
              <w:jc w:val="center"/>
              <w:rPr>
                <w:rFonts w:ascii="宋体" w:hAnsi="宋体" w:cs="宋体"/>
                <w:b/>
                <w:color w:val="auto"/>
                <w:kern w:val="0"/>
                <w:sz w:val="32"/>
                <w:szCs w:val="32"/>
                <w:highlight w:val="none"/>
              </w:rPr>
            </w:pPr>
          </w:p>
        </w:tc>
        <w:tc>
          <w:tcPr>
            <w:tcW w:w="3546" w:type="dxa"/>
          </w:tcPr>
          <w:p w14:paraId="10D3D6FD">
            <w:pPr>
              <w:jc w:val="center"/>
              <w:rPr>
                <w:rFonts w:ascii="宋体" w:hAnsi="宋体" w:cs="宋体"/>
                <w:b/>
                <w:color w:val="auto"/>
                <w:kern w:val="0"/>
                <w:sz w:val="32"/>
                <w:szCs w:val="32"/>
                <w:highlight w:val="none"/>
              </w:rPr>
            </w:pPr>
          </w:p>
        </w:tc>
        <w:tc>
          <w:tcPr>
            <w:tcW w:w="1276" w:type="dxa"/>
          </w:tcPr>
          <w:p w14:paraId="7405B0B5">
            <w:pPr>
              <w:jc w:val="center"/>
              <w:rPr>
                <w:rFonts w:ascii="宋体" w:hAnsi="宋体" w:cs="宋体"/>
                <w:b/>
                <w:color w:val="auto"/>
                <w:kern w:val="0"/>
                <w:sz w:val="32"/>
                <w:szCs w:val="32"/>
                <w:highlight w:val="none"/>
              </w:rPr>
            </w:pPr>
          </w:p>
        </w:tc>
      </w:tr>
      <w:tr w14:paraId="070C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042B8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84609E">
            <w:pPr>
              <w:jc w:val="center"/>
              <w:rPr>
                <w:rFonts w:ascii="宋体" w:hAnsi="宋体" w:cs="宋体"/>
                <w:b/>
                <w:color w:val="auto"/>
                <w:kern w:val="0"/>
                <w:sz w:val="32"/>
                <w:szCs w:val="32"/>
                <w:highlight w:val="none"/>
              </w:rPr>
            </w:pPr>
          </w:p>
        </w:tc>
        <w:tc>
          <w:tcPr>
            <w:tcW w:w="3546" w:type="dxa"/>
          </w:tcPr>
          <w:p w14:paraId="7804C0E1">
            <w:pPr>
              <w:jc w:val="center"/>
              <w:rPr>
                <w:rFonts w:ascii="宋体" w:hAnsi="宋体" w:cs="宋体"/>
                <w:b/>
                <w:color w:val="auto"/>
                <w:kern w:val="0"/>
                <w:sz w:val="32"/>
                <w:szCs w:val="32"/>
                <w:highlight w:val="none"/>
              </w:rPr>
            </w:pPr>
          </w:p>
        </w:tc>
        <w:tc>
          <w:tcPr>
            <w:tcW w:w="1276" w:type="dxa"/>
          </w:tcPr>
          <w:p w14:paraId="4A96BBB4">
            <w:pPr>
              <w:jc w:val="center"/>
              <w:rPr>
                <w:rFonts w:ascii="宋体" w:hAnsi="宋体" w:cs="宋体"/>
                <w:b/>
                <w:color w:val="auto"/>
                <w:kern w:val="0"/>
                <w:sz w:val="32"/>
                <w:szCs w:val="32"/>
                <w:highlight w:val="none"/>
              </w:rPr>
            </w:pPr>
          </w:p>
        </w:tc>
      </w:tr>
    </w:tbl>
    <w:p w14:paraId="4AFB8B14">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58DF69EA">
      <w:pPr>
        <w:jc w:val="center"/>
        <w:rPr>
          <w:rFonts w:ascii="宋体" w:hAnsi="宋体" w:cs="宋体"/>
          <w:b/>
          <w:color w:val="auto"/>
          <w:kern w:val="0"/>
          <w:sz w:val="32"/>
          <w:szCs w:val="32"/>
          <w:highlight w:val="none"/>
        </w:rPr>
      </w:pPr>
    </w:p>
    <w:p w14:paraId="366CDD2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AA18AC2">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794EA955">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5CDC1B7A">
      <w:pPr>
        <w:spacing w:line="360" w:lineRule="auto"/>
        <w:ind w:right="420"/>
        <w:rPr>
          <w:rFonts w:ascii="宋体" w:hAnsi="宋体" w:cs="宋体"/>
          <w:color w:val="auto"/>
          <w:sz w:val="24"/>
          <w:highlight w:val="none"/>
        </w:rPr>
      </w:pPr>
    </w:p>
    <w:p w14:paraId="6EB62A8D">
      <w:pPr>
        <w:ind w:firstLine="1911" w:firstLineChars="595"/>
        <w:rPr>
          <w:rFonts w:ascii="宋体" w:hAnsi="宋体" w:cs="宋体"/>
          <w:b/>
          <w:bCs/>
          <w:color w:val="auto"/>
          <w:sz w:val="32"/>
          <w:szCs w:val="32"/>
          <w:highlight w:val="none"/>
        </w:rPr>
        <w:sectPr>
          <w:footerReference r:id="rId23" w:type="first"/>
          <w:footerReference r:id="rId22" w:type="default"/>
          <w:pgSz w:w="11906" w:h="16838"/>
          <w:pgMar w:top="1440" w:right="1080" w:bottom="1440" w:left="1080" w:header="851" w:footer="992" w:gutter="0"/>
          <w:pgNumType w:fmt="decimal"/>
          <w:cols w:space="720" w:num="1"/>
          <w:titlePg/>
          <w:docGrid w:linePitch="312" w:charSpace="0"/>
        </w:sectPr>
      </w:pPr>
    </w:p>
    <w:p w14:paraId="216ED1C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EADD16F">
      <w:pPr>
        <w:snapToGrid w:val="0"/>
        <w:spacing w:line="360" w:lineRule="auto"/>
        <w:rPr>
          <w:rFonts w:ascii="宋体" w:hAnsi="宋体" w:cs="宋体"/>
          <w:color w:val="auto"/>
          <w:sz w:val="24"/>
          <w:highlight w:val="none"/>
        </w:rPr>
      </w:pPr>
    </w:p>
    <w:p w14:paraId="03BF0DD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F5B8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81482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D77F9B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0E72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9667F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E2CCA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0612F3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8378D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63B7887">
      <w:pPr>
        <w:autoSpaceDE w:val="0"/>
        <w:autoSpaceDN w:val="0"/>
        <w:spacing w:line="360" w:lineRule="auto"/>
        <w:ind w:left="2"/>
        <w:jc w:val="left"/>
        <w:rPr>
          <w:rFonts w:ascii="宋体" w:hAnsi="宋体" w:cs="宋体"/>
          <w:color w:val="auto"/>
          <w:kern w:val="0"/>
          <w:sz w:val="24"/>
          <w:highlight w:val="none"/>
          <w:lang w:val="zh-CN"/>
        </w:rPr>
      </w:pPr>
    </w:p>
    <w:p w14:paraId="2E8A976D">
      <w:pPr>
        <w:autoSpaceDE w:val="0"/>
        <w:autoSpaceDN w:val="0"/>
        <w:spacing w:line="360" w:lineRule="auto"/>
        <w:ind w:left="2"/>
        <w:jc w:val="left"/>
        <w:rPr>
          <w:rFonts w:ascii="宋体" w:hAnsi="宋体" w:cs="宋体"/>
          <w:color w:val="auto"/>
          <w:kern w:val="0"/>
          <w:sz w:val="24"/>
          <w:highlight w:val="none"/>
          <w:lang w:val="zh-CN"/>
        </w:rPr>
      </w:pPr>
    </w:p>
    <w:p w14:paraId="192AF466">
      <w:pPr>
        <w:autoSpaceDE w:val="0"/>
        <w:autoSpaceDN w:val="0"/>
        <w:spacing w:line="360" w:lineRule="auto"/>
        <w:ind w:left="2"/>
        <w:jc w:val="left"/>
        <w:rPr>
          <w:rFonts w:ascii="宋体" w:hAnsi="宋体" w:cs="宋体"/>
          <w:color w:val="auto"/>
          <w:kern w:val="0"/>
          <w:sz w:val="24"/>
          <w:highlight w:val="none"/>
          <w:lang w:val="zh-CN"/>
        </w:rPr>
      </w:pPr>
    </w:p>
    <w:p w14:paraId="57E8B86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2B05C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CE6263">
      <w:pPr>
        <w:spacing w:line="360" w:lineRule="auto"/>
        <w:jc w:val="center"/>
        <w:rPr>
          <w:rFonts w:ascii="宋体" w:hAnsi="宋体" w:cs="宋体"/>
          <w:b/>
          <w:bCs/>
          <w:color w:val="auto"/>
          <w:sz w:val="24"/>
          <w:highlight w:val="none"/>
        </w:rPr>
      </w:pPr>
    </w:p>
    <w:p w14:paraId="5D2AC7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56CA1B">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2E1A9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CC2DB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ABFD5E">
      <w:pPr>
        <w:spacing w:line="360" w:lineRule="auto"/>
        <w:jc w:val="center"/>
        <w:outlineLvl w:val="0"/>
        <w:rPr>
          <w:rFonts w:ascii="宋体" w:hAnsi="宋体" w:cs="宋体"/>
          <w:b/>
          <w:color w:val="auto"/>
          <w:kern w:val="0"/>
          <w:sz w:val="36"/>
          <w:szCs w:val="36"/>
          <w:highlight w:val="none"/>
        </w:rPr>
      </w:pPr>
    </w:p>
    <w:p w14:paraId="0112B5EB">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2CB563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02EE073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575969B">
      <w:pPr>
        <w:pStyle w:val="80"/>
        <w:rPr>
          <w:color w:val="auto"/>
          <w:highlight w:val="none"/>
        </w:rPr>
      </w:pPr>
    </w:p>
    <w:p w14:paraId="6719020A">
      <w:pPr>
        <w:snapToGrid w:val="0"/>
        <w:spacing w:line="360" w:lineRule="auto"/>
        <w:ind w:right="480"/>
        <w:jc w:val="center"/>
        <w:rPr>
          <w:rFonts w:ascii="宋体" w:hAnsi="宋体" w:cs="宋体"/>
          <w:b/>
          <w:color w:val="auto"/>
          <w:kern w:val="0"/>
          <w:sz w:val="32"/>
          <w:szCs w:val="32"/>
          <w:highlight w:val="none"/>
        </w:rPr>
      </w:pPr>
    </w:p>
    <w:p w14:paraId="05AB4ED4">
      <w:pPr>
        <w:snapToGrid w:val="0"/>
        <w:spacing w:line="360" w:lineRule="auto"/>
        <w:ind w:right="480"/>
        <w:jc w:val="center"/>
        <w:rPr>
          <w:rFonts w:ascii="宋体" w:hAnsi="宋体" w:cs="宋体"/>
          <w:b/>
          <w:color w:val="auto"/>
          <w:kern w:val="0"/>
          <w:sz w:val="32"/>
          <w:szCs w:val="32"/>
          <w:highlight w:val="none"/>
        </w:rPr>
      </w:pPr>
    </w:p>
    <w:p w14:paraId="272D5C89">
      <w:pPr>
        <w:snapToGrid w:val="0"/>
        <w:spacing w:line="360" w:lineRule="auto"/>
        <w:ind w:right="480"/>
        <w:jc w:val="center"/>
        <w:rPr>
          <w:rFonts w:ascii="宋体" w:hAnsi="宋体" w:cs="宋体"/>
          <w:b/>
          <w:color w:val="auto"/>
          <w:kern w:val="0"/>
          <w:sz w:val="32"/>
          <w:szCs w:val="32"/>
          <w:highlight w:val="none"/>
        </w:rPr>
      </w:pPr>
    </w:p>
    <w:p w14:paraId="3F5B8119">
      <w:pPr>
        <w:snapToGrid w:val="0"/>
        <w:spacing w:line="360" w:lineRule="auto"/>
        <w:ind w:right="480"/>
        <w:jc w:val="center"/>
        <w:rPr>
          <w:rFonts w:ascii="宋体" w:hAnsi="宋体" w:cs="宋体"/>
          <w:b/>
          <w:color w:val="auto"/>
          <w:kern w:val="0"/>
          <w:sz w:val="32"/>
          <w:szCs w:val="32"/>
          <w:highlight w:val="none"/>
        </w:rPr>
      </w:pPr>
    </w:p>
    <w:p w14:paraId="023AA9F9">
      <w:pPr>
        <w:snapToGrid w:val="0"/>
        <w:spacing w:line="360" w:lineRule="auto"/>
        <w:ind w:right="480"/>
        <w:jc w:val="center"/>
        <w:rPr>
          <w:rFonts w:ascii="宋体" w:hAnsi="宋体" w:cs="宋体"/>
          <w:b/>
          <w:color w:val="auto"/>
          <w:kern w:val="0"/>
          <w:sz w:val="32"/>
          <w:szCs w:val="32"/>
          <w:highlight w:val="none"/>
        </w:rPr>
      </w:pPr>
    </w:p>
    <w:p w14:paraId="2DC5289F">
      <w:pPr>
        <w:snapToGrid w:val="0"/>
        <w:spacing w:line="360" w:lineRule="auto"/>
        <w:ind w:right="480"/>
        <w:jc w:val="center"/>
        <w:rPr>
          <w:rFonts w:ascii="宋体" w:hAnsi="宋体" w:cs="宋体"/>
          <w:b/>
          <w:color w:val="auto"/>
          <w:kern w:val="0"/>
          <w:sz w:val="32"/>
          <w:szCs w:val="32"/>
          <w:highlight w:val="none"/>
        </w:rPr>
      </w:pPr>
    </w:p>
    <w:p w14:paraId="218F9F91">
      <w:pPr>
        <w:snapToGrid w:val="0"/>
        <w:spacing w:line="360" w:lineRule="auto"/>
        <w:ind w:right="480"/>
        <w:jc w:val="center"/>
        <w:rPr>
          <w:rFonts w:ascii="宋体" w:hAnsi="宋体" w:cs="宋体"/>
          <w:b/>
          <w:color w:val="auto"/>
          <w:kern w:val="0"/>
          <w:sz w:val="32"/>
          <w:szCs w:val="32"/>
          <w:highlight w:val="none"/>
        </w:rPr>
      </w:pPr>
    </w:p>
    <w:p w14:paraId="5478CA2A">
      <w:pPr>
        <w:snapToGrid w:val="0"/>
        <w:spacing w:line="360" w:lineRule="auto"/>
        <w:ind w:right="480"/>
        <w:jc w:val="center"/>
        <w:rPr>
          <w:rFonts w:ascii="宋体" w:hAnsi="宋体" w:cs="宋体"/>
          <w:b/>
          <w:color w:val="auto"/>
          <w:kern w:val="0"/>
          <w:sz w:val="32"/>
          <w:szCs w:val="32"/>
          <w:highlight w:val="none"/>
        </w:rPr>
      </w:pPr>
    </w:p>
    <w:p w14:paraId="15D5E3FD">
      <w:pPr>
        <w:snapToGrid w:val="0"/>
        <w:spacing w:line="360" w:lineRule="auto"/>
        <w:ind w:right="480"/>
        <w:jc w:val="center"/>
        <w:rPr>
          <w:rFonts w:ascii="宋体" w:hAnsi="宋体" w:cs="宋体"/>
          <w:b/>
          <w:color w:val="auto"/>
          <w:kern w:val="0"/>
          <w:sz w:val="32"/>
          <w:szCs w:val="32"/>
          <w:highlight w:val="none"/>
        </w:rPr>
      </w:pPr>
    </w:p>
    <w:p w14:paraId="30F745BB">
      <w:pPr>
        <w:snapToGrid w:val="0"/>
        <w:spacing w:line="360" w:lineRule="auto"/>
        <w:ind w:right="480"/>
        <w:jc w:val="center"/>
        <w:rPr>
          <w:rFonts w:ascii="宋体" w:hAnsi="宋体" w:cs="宋体"/>
          <w:b/>
          <w:color w:val="auto"/>
          <w:kern w:val="0"/>
          <w:sz w:val="32"/>
          <w:szCs w:val="32"/>
          <w:highlight w:val="none"/>
        </w:rPr>
      </w:pPr>
    </w:p>
    <w:p w14:paraId="15DEB2C4">
      <w:pPr>
        <w:snapToGrid w:val="0"/>
        <w:spacing w:line="360" w:lineRule="auto"/>
        <w:ind w:right="480"/>
        <w:jc w:val="center"/>
        <w:rPr>
          <w:rFonts w:ascii="宋体" w:hAnsi="宋体" w:cs="宋体"/>
          <w:b/>
          <w:color w:val="auto"/>
          <w:kern w:val="0"/>
          <w:sz w:val="32"/>
          <w:szCs w:val="32"/>
          <w:highlight w:val="none"/>
        </w:rPr>
      </w:pPr>
    </w:p>
    <w:p w14:paraId="4383206D">
      <w:pPr>
        <w:snapToGrid w:val="0"/>
        <w:spacing w:line="360" w:lineRule="auto"/>
        <w:ind w:right="480"/>
        <w:jc w:val="center"/>
        <w:rPr>
          <w:rFonts w:ascii="宋体" w:hAnsi="宋体" w:cs="宋体"/>
          <w:b/>
          <w:color w:val="auto"/>
          <w:kern w:val="0"/>
          <w:sz w:val="32"/>
          <w:szCs w:val="32"/>
          <w:highlight w:val="none"/>
        </w:rPr>
      </w:pPr>
    </w:p>
    <w:p w14:paraId="01C66E8D">
      <w:pPr>
        <w:snapToGrid w:val="0"/>
        <w:spacing w:line="360" w:lineRule="auto"/>
        <w:ind w:right="480"/>
        <w:jc w:val="center"/>
        <w:rPr>
          <w:rFonts w:ascii="宋体" w:hAnsi="宋体" w:cs="宋体"/>
          <w:b/>
          <w:color w:val="auto"/>
          <w:kern w:val="0"/>
          <w:sz w:val="32"/>
          <w:szCs w:val="32"/>
          <w:highlight w:val="none"/>
        </w:rPr>
      </w:pPr>
    </w:p>
    <w:p w14:paraId="78EA9DC0">
      <w:pPr>
        <w:snapToGrid w:val="0"/>
        <w:spacing w:line="360" w:lineRule="auto"/>
        <w:ind w:right="480"/>
        <w:jc w:val="center"/>
        <w:rPr>
          <w:rFonts w:ascii="宋体" w:hAnsi="宋体" w:cs="宋体"/>
          <w:b/>
          <w:color w:val="auto"/>
          <w:kern w:val="0"/>
          <w:sz w:val="32"/>
          <w:szCs w:val="32"/>
          <w:highlight w:val="none"/>
        </w:rPr>
      </w:pPr>
    </w:p>
    <w:p w14:paraId="1322DDB0">
      <w:pPr>
        <w:snapToGrid w:val="0"/>
        <w:spacing w:line="360" w:lineRule="auto"/>
        <w:ind w:right="480"/>
        <w:jc w:val="center"/>
        <w:rPr>
          <w:rFonts w:ascii="宋体" w:hAnsi="宋体" w:cs="宋体"/>
          <w:b/>
          <w:color w:val="auto"/>
          <w:kern w:val="0"/>
          <w:sz w:val="32"/>
          <w:szCs w:val="32"/>
          <w:highlight w:val="none"/>
        </w:rPr>
      </w:pPr>
    </w:p>
    <w:p w14:paraId="776C2C5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6" w:type="first"/>
          <w:headerReference r:id="rId24" w:type="default"/>
          <w:footerReference r:id="rId25" w:type="default"/>
          <w:pgSz w:w="11906" w:h="16838"/>
          <w:pgMar w:top="1440" w:right="1080" w:bottom="1440" w:left="1080" w:header="851" w:footer="992" w:gutter="0"/>
          <w:pgNumType w:fmt="decimal"/>
          <w:cols w:space="720" w:num="1"/>
          <w:titlePg/>
          <w:docGrid w:linePitch="312" w:charSpace="0"/>
        </w:sectPr>
      </w:pPr>
    </w:p>
    <w:p w14:paraId="4E2D7A0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32055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21541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4FAF98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3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12D410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07A573F">
            <w:pPr>
              <w:spacing w:line="360" w:lineRule="auto"/>
              <w:jc w:val="center"/>
              <w:rPr>
                <w:rFonts w:ascii="宋体" w:hAnsi="宋体" w:cs="宋体"/>
                <w:b/>
                <w:color w:val="auto"/>
                <w:sz w:val="24"/>
                <w:highlight w:val="none"/>
              </w:rPr>
            </w:pPr>
          </w:p>
          <w:p w14:paraId="01D1D8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4A7B57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FF654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5E1B8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04B6E13">
            <w:pPr>
              <w:spacing w:line="360" w:lineRule="auto"/>
              <w:jc w:val="center"/>
              <w:rPr>
                <w:rFonts w:ascii="宋体" w:hAnsi="宋体" w:cs="宋体"/>
                <w:b/>
                <w:color w:val="auto"/>
                <w:sz w:val="24"/>
                <w:highlight w:val="none"/>
              </w:rPr>
            </w:pPr>
          </w:p>
          <w:p w14:paraId="5471BF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B0370EB">
            <w:pPr>
              <w:spacing w:line="360" w:lineRule="auto"/>
              <w:jc w:val="center"/>
              <w:rPr>
                <w:rFonts w:ascii="宋体" w:hAnsi="宋体" w:cs="宋体"/>
                <w:b/>
                <w:color w:val="auto"/>
                <w:sz w:val="24"/>
                <w:highlight w:val="none"/>
              </w:rPr>
            </w:pPr>
          </w:p>
        </w:tc>
      </w:tr>
      <w:tr w14:paraId="0C7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502FCB2">
            <w:pPr>
              <w:snapToGrid w:val="0"/>
              <w:spacing w:line="360" w:lineRule="auto"/>
              <w:jc w:val="center"/>
              <w:rPr>
                <w:rFonts w:ascii="宋体" w:hAnsi="宋体" w:cs="宋体"/>
                <w:color w:val="auto"/>
                <w:sz w:val="24"/>
                <w:highlight w:val="none"/>
              </w:rPr>
            </w:pPr>
          </w:p>
        </w:tc>
        <w:tc>
          <w:tcPr>
            <w:tcW w:w="1843" w:type="dxa"/>
            <w:vAlign w:val="center"/>
          </w:tcPr>
          <w:p w14:paraId="614EABFB">
            <w:pPr>
              <w:snapToGrid w:val="0"/>
              <w:spacing w:line="360" w:lineRule="auto"/>
              <w:jc w:val="center"/>
              <w:rPr>
                <w:rFonts w:ascii="宋体" w:hAnsi="宋体" w:cs="宋体"/>
                <w:color w:val="auto"/>
                <w:sz w:val="24"/>
                <w:highlight w:val="none"/>
              </w:rPr>
            </w:pPr>
          </w:p>
        </w:tc>
        <w:tc>
          <w:tcPr>
            <w:tcW w:w="3118" w:type="dxa"/>
            <w:vAlign w:val="center"/>
          </w:tcPr>
          <w:p w14:paraId="66898724">
            <w:pPr>
              <w:snapToGrid w:val="0"/>
              <w:spacing w:line="360" w:lineRule="auto"/>
              <w:jc w:val="center"/>
              <w:rPr>
                <w:rFonts w:ascii="宋体" w:hAnsi="宋体" w:cs="宋体"/>
                <w:color w:val="auto"/>
                <w:sz w:val="24"/>
                <w:highlight w:val="none"/>
              </w:rPr>
            </w:pPr>
          </w:p>
        </w:tc>
        <w:tc>
          <w:tcPr>
            <w:tcW w:w="2552" w:type="dxa"/>
            <w:vAlign w:val="center"/>
          </w:tcPr>
          <w:p w14:paraId="5A89B236">
            <w:pPr>
              <w:spacing w:line="360" w:lineRule="auto"/>
              <w:jc w:val="center"/>
              <w:rPr>
                <w:rFonts w:ascii="宋体" w:hAnsi="宋体" w:cs="宋体"/>
                <w:color w:val="auto"/>
                <w:sz w:val="24"/>
                <w:highlight w:val="none"/>
              </w:rPr>
            </w:pPr>
          </w:p>
        </w:tc>
        <w:tc>
          <w:tcPr>
            <w:tcW w:w="1984" w:type="dxa"/>
            <w:vAlign w:val="center"/>
          </w:tcPr>
          <w:p w14:paraId="0C61C9E9">
            <w:pPr>
              <w:spacing w:line="360" w:lineRule="auto"/>
              <w:jc w:val="center"/>
              <w:rPr>
                <w:rFonts w:ascii="宋体" w:hAnsi="宋体" w:cs="宋体"/>
                <w:color w:val="auto"/>
                <w:sz w:val="24"/>
                <w:highlight w:val="none"/>
              </w:rPr>
            </w:pPr>
          </w:p>
        </w:tc>
        <w:tc>
          <w:tcPr>
            <w:tcW w:w="3119" w:type="dxa"/>
            <w:vAlign w:val="center"/>
          </w:tcPr>
          <w:p w14:paraId="00120367">
            <w:pPr>
              <w:spacing w:line="360" w:lineRule="auto"/>
              <w:jc w:val="center"/>
              <w:rPr>
                <w:rFonts w:ascii="宋体" w:hAnsi="宋体" w:cs="宋体"/>
                <w:color w:val="auto"/>
                <w:sz w:val="24"/>
                <w:highlight w:val="none"/>
              </w:rPr>
            </w:pPr>
          </w:p>
        </w:tc>
      </w:tr>
      <w:tr w14:paraId="0D60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FC41A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4C67A9B9">
            <w:pPr>
              <w:spacing w:line="360" w:lineRule="auto"/>
              <w:jc w:val="center"/>
              <w:rPr>
                <w:rFonts w:ascii="宋体" w:hAnsi="宋体" w:cs="宋体"/>
                <w:color w:val="auto"/>
                <w:sz w:val="24"/>
                <w:highlight w:val="none"/>
              </w:rPr>
            </w:pPr>
          </w:p>
        </w:tc>
      </w:tr>
      <w:tr w14:paraId="5EE8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D57E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C0F434A">
            <w:pPr>
              <w:spacing w:line="360" w:lineRule="auto"/>
              <w:jc w:val="center"/>
              <w:rPr>
                <w:rFonts w:ascii="宋体" w:hAnsi="宋体" w:cs="宋体"/>
                <w:color w:val="auto"/>
                <w:sz w:val="24"/>
                <w:highlight w:val="none"/>
              </w:rPr>
            </w:pPr>
          </w:p>
        </w:tc>
      </w:tr>
    </w:tbl>
    <w:p w14:paraId="3DD4BE4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18499F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FC9F8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A7DEDA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4138CA3">
      <w:pPr>
        <w:spacing w:line="360" w:lineRule="auto"/>
        <w:ind w:firstLine="482" w:firstLineChars="200"/>
        <w:rPr>
          <w:rFonts w:ascii="宋体" w:hAnsi="宋体" w:cs="宋体"/>
          <w:b/>
          <w:color w:val="auto"/>
          <w:kern w:val="0"/>
          <w:sz w:val="24"/>
          <w:highlight w:val="none"/>
        </w:rPr>
      </w:pPr>
    </w:p>
    <w:p w14:paraId="285FE7B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756472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3A9F7C39">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10023602">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AFAADF">
      <w:pPr>
        <w:pStyle w:val="61"/>
        <w:ind w:firstLine="480"/>
        <w:rPr>
          <w:rFonts w:cs="宋体"/>
          <w:color w:val="auto"/>
          <w:sz w:val="24"/>
          <w:highlight w:val="none"/>
        </w:rPr>
      </w:pPr>
    </w:p>
    <w:p w14:paraId="3FEE82F1">
      <w:pPr>
        <w:pStyle w:val="61"/>
        <w:ind w:firstLine="480"/>
        <w:rPr>
          <w:rFonts w:cs="宋体"/>
          <w:color w:val="auto"/>
          <w:sz w:val="24"/>
          <w:highlight w:val="none"/>
        </w:rPr>
        <w:sectPr>
          <w:footerReference r:id="rId30" w:type="first"/>
          <w:headerReference r:id="rId27" w:type="default"/>
          <w:footerReference r:id="rId28" w:type="default"/>
          <w:footerReference r:id="rId29" w:type="even"/>
          <w:pgSz w:w="11906" w:h="16838"/>
          <w:pgMar w:top="1440" w:right="1080" w:bottom="1440" w:left="1080" w:header="851" w:footer="992" w:gutter="0"/>
          <w:pgNumType w:fmt="decimal"/>
          <w:cols w:space="720" w:num="1"/>
          <w:titlePg/>
          <w:docGrid w:linePitch="312" w:charSpace="0"/>
        </w:sectPr>
      </w:pPr>
    </w:p>
    <w:p w14:paraId="47D0E3D7">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494" w:name="_Hlk101259491"/>
      <w:r>
        <w:rPr>
          <w:rFonts w:hint="eastAsia" w:ascii="宋体" w:hAnsi="宋体" w:eastAsia="宋体" w:cs="宋体"/>
          <w:color w:val="auto"/>
          <w:sz w:val="32"/>
          <w:szCs w:val="32"/>
          <w:highlight w:val="none"/>
        </w:rPr>
        <w:t>（如果有）</w:t>
      </w:r>
      <w:bookmarkEnd w:id="1494"/>
    </w:p>
    <w:p w14:paraId="13B952F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D6DE58F">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495" w:name="_Toc465665161"/>
      <w:r>
        <w:rPr>
          <w:rFonts w:hint="eastAsia" w:ascii="宋体" w:hAnsi="宋体" w:cs="宋体"/>
          <w:color w:val="auto"/>
          <w:highlight w:val="none"/>
        </w:rPr>
        <w:t>附件</w:t>
      </w:r>
      <w:bookmarkEnd w:id="1495"/>
    </w:p>
    <w:p w14:paraId="2B5E441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25A0E59">
      <w:pPr>
        <w:spacing w:line="360" w:lineRule="auto"/>
        <w:jc w:val="center"/>
        <w:rPr>
          <w:rFonts w:ascii="宋体" w:hAnsi="宋体" w:cs="宋体"/>
          <w:b/>
          <w:color w:val="auto"/>
          <w:spacing w:val="6"/>
          <w:sz w:val="32"/>
          <w:szCs w:val="32"/>
          <w:highlight w:val="none"/>
        </w:rPr>
      </w:pPr>
      <w:bookmarkStart w:id="1496" w:name="OLE_LINK13"/>
      <w:bookmarkStart w:id="1497" w:name="OLE_LINK14"/>
      <w:r>
        <w:rPr>
          <w:rFonts w:hint="eastAsia" w:ascii="宋体" w:hAnsi="宋体" w:cs="宋体"/>
          <w:b/>
          <w:color w:val="auto"/>
          <w:spacing w:val="6"/>
          <w:sz w:val="32"/>
          <w:szCs w:val="32"/>
          <w:highlight w:val="none"/>
        </w:rPr>
        <w:t>残疾人福利性单位声明函</w:t>
      </w:r>
    </w:p>
    <w:bookmarkEnd w:id="1496"/>
    <w:bookmarkEnd w:id="1497"/>
    <w:p w14:paraId="4A4B6E7C">
      <w:pPr>
        <w:spacing w:line="360" w:lineRule="auto"/>
        <w:rPr>
          <w:rFonts w:ascii="宋体" w:hAnsi="宋体" w:cs="宋体"/>
          <w:b/>
          <w:color w:val="auto"/>
          <w:spacing w:val="6"/>
          <w:sz w:val="30"/>
          <w:szCs w:val="30"/>
          <w:highlight w:val="none"/>
        </w:rPr>
      </w:pPr>
    </w:p>
    <w:p w14:paraId="7B082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84E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BEBA5D">
      <w:pPr>
        <w:spacing w:line="360" w:lineRule="auto"/>
        <w:ind w:firstLine="480" w:firstLineChars="200"/>
        <w:rPr>
          <w:rFonts w:ascii="宋体" w:hAnsi="宋体" w:cs="宋体"/>
          <w:color w:val="auto"/>
          <w:sz w:val="24"/>
          <w:highlight w:val="none"/>
        </w:rPr>
      </w:pPr>
    </w:p>
    <w:p w14:paraId="42A1E852">
      <w:pPr>
        <w:spacing w:line="360" w:lineRule="auto"/>
        <w:ind w:firstLine="480" w:firstLineChars="200"/>
        <w:rPr>
          <w:rFonts w:ascii="宋体" w:hAnsi="宋体" w:cs="宋体"/>
          <w:color w:val="auto"/>
          <w:sz w:val="24"/>
          <w:highlight w:val="none"/>
        </w:rPr>
      </w:pPr>
    </w:p>
    <w:p w14:paraId="3B62ECB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E3DA42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7CB8A1E">
      <w:pPr>
        <w:spacing w:line="360" w:lineRule="auto"/>
        <w:ind w:firstLine="480" w:firstLineChars="200"/>
        <w:rPr>
          <w:rFonts w:ascii="宋体" w:hAnsi="宋体" w:cs="宋体"/>
          <w:color w:val="auto"/>
          <w:sz w:val="24"/>
          <w:highlight w:val="none"/>
        </w:rPr>
      </w:pPr>
    </w:p>
    <w:p w14:paraId="24942FF4">
      <w:pPr>
        <w:spacing w:line="360" w:lineRule="auto"/>
        <w:ind w:firstLine="420" w:firstLineChars="200"/>
        <w:rPr>
          <w:rFonts w:ascii="宋体" w:hAnsi="宋体" w:cs="宋体"/>
          <w:color w:val="auto"/>
          <w:highlight w:val="none"/>
        </w:rPr>
      </w:pPr>
    </w:p>
    <w:p w14:paraId="1336F988">
      <w:pPr>
        <w:spacing w:line="360" w:lineRule="auto"/>
        <w:ind w:firstLine="420" w:firstLineChars="200"/>
        <w:rPr>
          <w:rFonts w:ascii="宋体" w:hAnsi="宋体" w:cs="宋体"/>
          <w:color w:val="auto"/>
          <w:highlight w:val="none"/>
        </w:rPr>
      </w:pPr>
    </w:p>
    <w:p w14:paraId="26CD5E21">
      <w:pPr>
        <w:spacing w:line="360" w:lineRule="auto"/>
        <w:ind w:firstLine="420" w:firstLineChars="200"/>
        <w:rPr>
          <w:rFonts w:ascii="宋体" w:hAnsi="宋体" w:cs="宋体"/>
          <w:color w:val="auto"/>
          <w:highlight w:val="none"/>
        </w:rPr>
      </w:pPr>
    </w:p>
    <w:p w14:paraId="0056264D">
      <w:pPr>
        <w:spacing w:line="360" w:lineRule="auto"/>
        <w:ind w:firstLine="420" w:firstLineChars="200"/>
        <w:rPr>
          <w:rFonts w:ascii="宋体" w:hAnsi="宋体" w:cs="宋体"/>
          <w:color w:val="auto"/>
          <w:highlight w:val="none"/>
        </w:rPr>
      </w:pPr>
    </w:p>
    <w:p w14:paraId="17599ADE">
      <w:pPr>
        <w:spacing w:line="360" w:lineRule="auto"/>
        <w:rPr>
          <w:rFonts w:ascii="宋体" w:hAnsi="宋体" w:cs="宋体"/>
          <w:b/>
          <w:color w:val="auto"/>
          <w:sz w:val="24"/>
          <w:highlight w:val="none"/>
        </w:rPr>
      </w:pPr>
    </w:p>
    <w:p w14:paraId="74E6E45D">
      <w:pPr>
        <w:spacing w:line="360" w:lineRule="auto"/>
        <w:rPr>
          <w:rFonts w:ascii="宋体" w:hAnsi="宋体" w:cs="宋体"/>
          <w:b/>
          <w:color w:val="auto"/>
          <w:sz w:val="24"/>
          <w:highlight w:val="none"/>
        </w:rPr>
      </w:pPr>
    </w:p>
    <w:p w14:paraId="54F7C399">
      <w:pPr>
        <w:spacing w:line="360" w:lineRule="auto"/>
        <w:rPr>
          <w:rFonts w:ascii="宋体" w:hAnsi="宋体" w:cs="宋体"/>
          <w:b/>
          <w:color w:val="auto"/>
          <w:sz w:val="24"/>
          <w:highlight w:val="none"/>
        </w:rPr>
      </w:pPr>
    </w:p>
    <w:p w14:paraId="2F3162C1">
      <w:pPr>
        <w:spacing w:line="360" w:lineRule="auto"/>
        <w:rPr>
          <w:rFonts w:ascii="宋体" w:hAnsi="宋体" w:cs="宋体"/>
          <w:b/>
          <w:color w:val="auto"/>
          <w:sz w:val="24"/>
          <w:highlight w:val="none"/>
        </w:rPr>
      </w:pPr>
    </w:p>
    <w:p w14:paraId="6D6FDE18">
      <w:pPr>
        <w:spacing w:line="360" w:lineRule="auto"/>
        <w:rPr>
          <w:rFonts w:ascii="宋体" w:hAnsi="宋体" w:cs="宋体"/>
          <w:b/>
          <w:color w:val="auto"/>
          <w:sz w:val="24"/>
          <w:highlight w:val="none"/>
        </w:rPr>
      </w:pPr>
    </w:p>
    <w:p w14:paraId="49047D94">
      <w:pPr>
        <w:spacing w:line="360" w:lineRule="auto"/>
        <w:rPr>
          <w:rFonts w:ascii="宋体" w:hAnsi="宋体" w:cs="宋体"/>
          <w:b/>
          <w:color w:val="auto"/>
          <w:sz w:val="24"/>
          <w:highlight w:val="none"/>
        </w:rPr>
      </w:pPr>
    </w:p>
    <w:p w14:paraId="3DAB5A9D">
      <w:pPr>
        <w:spacing w:line="360" w:lineRule="auto"/>
        <w:rPr>
          <w:rFonts w:ascii="宋体" w:hAnsi="宋体" w:cs="宋体"/>
          <w:b/>
          <w:color w:val="auto"/>
          <w:sz w:val="24"/>
          <w:highlight w:val="none"/>
        </w:rPr>
      </w:pPr>
    </w:p>
    <w:p w14:paraId="34C00E04">
      <w:pPr>
        <w:spacing w:line="360" w:lineRule="auto"/>
        <w:rPr>
          <w:rFonts w:ascii="宋体" w:hAnsi="宋体" w:cs="宋体"/>
          <w:b/>
          <w:color w:val="auto"/>
          <w:sz w:val="24"/>
          <w:highlight w:val="none"/>
        </w:rPr>
      </w:pPr>
    </w:p>
    <w:p w14:paraId="1594137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12133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1223D3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2E54B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A6D7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BFA8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F933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7F78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F753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82B8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8A897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036E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E1B3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7791A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88D12D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6D63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12B6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08407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30178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8405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F282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C9EF3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7ADBF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ECB4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6C3C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8326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3810282">
      <w:pPr>
        <w:spacing w:line="360" w:lineRule="auto"/>
        <w:jc w:val="center"/>
        <w:rPr>
          <w:rFonts w:ascii="宋体" w:hAnsi="宋体" w:cs="宋体"/>
          <w:b/>
          <w:bCs/>
          <w:color w:val="auto"/>
          <w:sz w:val="24"/>
          <w:highlight w:val="none"/>
        </w:rPr>
      </w:pPr>
    </w:p>
    <w:p w14:paraId="1E0C4F88">
      <w:pPr>
        <w:spacing w:line="360" w:lineRule="auto"/>
        <w:rPr>
          <w:rFonts w:ascii="宋体" w:hAnsi="宋体" w:cs="宋体"/>
          <w:b/>
          <w:color w:val="auto"/>
          <w:sz w:val="24"/>
          <w:highlight w:val="none"/>
        </w:rPr>
      </w:pPr>
    </w:p>
    <w:p w14:paraId="780F8EAC">
      <w:pPr>
        <w:spacing w:line="360" w:lineRule="auto"/>
        <w:rPr>
          <w:rFonts w:ascii="宋体" w:hAnsi="宋体" w:cs="宋体"/>
          <w:b/>
          <w:color w:val="auto"/>
          <w:sz w:val="24"/>
          <w:highlight w:val="none"/>
        </w:rPr>
      </w:pPr>
    </w:p>
    <w:p w14:paraId="7CABD0E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5763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E39B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E13D2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46C55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F89B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6F7E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A11F34">
      <w:pPr>
        <w:widowControl/>
        <w:spacing w:line="360" w:lineRule="auto"/>
        <w:ind w:firstLine="600" w:firstLineChars="200"/>
        <w:jc w:val="left"/>
        <w:rPr>
          <w:rFonts w:ascii="宋体" w:hAnsi="宋体" w:cs="宋体"/>
          <w:color w:val="auto"/>
          <w:sz w:val="30"/>
          <w:szCs w:val="30"/>
          <w:highlight w:val="none"/>
        </w:rPr>
      </w:pPr>
    </w:p>
    <w:p w14:paraId="470D090F">
      <w:pPr>
        <w:spacing w:line="360" w:lineRule="auto"/>
        <w:jc w:val="center"/>
        <w:rPr>
          <w:rFonts w:ascii="宋体" w:hAnsi="宋体" w:cs="宋体"/>
          <w:b/>
          <w:color w:val="auto"/>
          <w:spacing w:val="6"/>
          <w:sz w:val="32"/>
          <w:szCs w:val="32"/>
          <w:highlight w:val="none"/>
        </w:rPr>
      </w:pPr>
    </w:p>
    <w:p w14:paraId="5ED4307B">
      <w:pPr>
        <w:spacing w:line="360" w:lineRule="auto"/>
        <w:jc w:val="center"/>
        <w:rPr>
          <w:rFonts w:ascii="宋体" w:hAnsi="宋体" w:cs="宋体"/>
          <w:b/>
          <w:color w:val="auto"/>
          <w:spacing w:val="6"/>
          <w:sz w:val="32"/>
          <w:szCs w:val="32"/>
          <w:highlight w:val="none"/>
        </w:rPr>
      </w:pPr>
    </w:p>
    <w:p w14:paraId="2F856D1F">
      <w:pPr>
        <w:spacing w:line="360" w:lineRule="auto"/>
        <w:jc w:val="center"/>
        <w:rPr>
          <w:rFonts w:ascii="宋体" w:hAnsi="宋体" w:cs="宋体"/>
          <w:b/>
          <w:color w:val="auto"/>
          <w:spacing w:val="6"/>
          <w:sz w:val="32"/>
          <w:szCs w:val="32"/>
          <w:highlight w:val="none"/>
        </w:rPr>
      </w:pPr>
    </w:p>
    <w:p w14:paraId="2E0C5A2D">
      <w:pPr>
        <w:spacing w:line="360" w:lineRule="auto"/>
        <w:jc w:val="center"/>
        <w:rPr>
          <w:rFonts w:ascii="宋体" w:hAnsi="宋体" w:cs="宋体"/>
          <w:b/>
          <w:color w:val="auto"/>
          <w:spacing w:val="6"/>
          <w:sz w:val="32"/>
          <w:szCs w:val="32"/>
          <w:highlight w:val="none"/>
        </w:rPr>
      </w:pPr>
    </w:p>
    <w:p w14:paraId="5117BD37">
      <w:pPr>
        <w:spacing w:line="360" w:lineRule="auto"/>
        <w:jc w:val="center"/>
        <w:rPr>
          <w:rFonts w:ascii="宋体" w:hAnsi="宋体" w:cs="宋体"/>
          <w:b/>
          <w:color w:val="auto"/>
          <w:spacing w:val="6"/>
          <w:sz w:val="32"/>
          <w:szCs w:val="32"/>
          <w:highlight w:val="none"/>
        </w:rPr>
      </w:pPr>
    </w:p>
    <w:p w14:paraId="0D120EEB">
      <w:pPr>
        <w:spacing w:line="360" w:lineRule="auto"/>
        <w:jc w:val="center"/>
        <w:rPr>
          <w:rFonts w:ascii="宋体" w:hAnsi="宋体" w:cs="宋体"/>
          <w:b/>
          <w:color w:val="auto"/>
          <w:spacing w:val="6"/>
          <w:sz w:val="32"/>
          <w:szCs w:val="32"/>
          <w:highlight w:val="none"/>
        </w:rPr>
      </w:pPr>
    </w:p>
    <w:p w14:paraId="3CC051B8">
      <w:pPr>
        <w:spacing w:line="360" w:lineRule="auto"/>
        <w:jc w:val="center"/>
        <w:rPr>
          <w:rFonts w:ascii="宋体" w:hAnsi="宋体" w:cs="宋体"/>
          <w:b/>
          <w:color w:val="auto"/>
          <w:spacing w:val="6"/>
          <w:sz w:val="32"/>
          <w:szCs w:val="32"/>
          <w:highlight w:val="none"/>
        </w:rPr>
      </w:pPr>
    </w:p>
    <w:p w14:paraId="7F203116">
      <w:pPr>
        <w:spacing w:line="360" w:lineRule="auto"/>
        <w:jc w:val="center"/>
        <w:rPr>
          <w:rFonts w:ascii="宋体" w:hAnsi="宋体" w:cs="宋体"/>
          <w:b/>
          <w:color w:val="auto"/>
          <w:spacing w:val="6"/>
          <w:sz w:val="32"/>
          <w:szCs w:val="32"/>
          <w:highlight w:val="none"/>
        </w:rPr>
      </w:pPr>
    </w:p>
    <w:p w14:paraId="4819A49E">
      <w:pPr>
        <w:spacing w:line="360" w:lineRule="auto"/>
        <w:jc w:val="center"/>
        <w:rPr>
          <w:rFonts w:ascii="宋体" w:hAnsi="宋体" w:cs="宋体"/>
          <w:b/>
          <w:color w:val="auto"/>
          <w:spacing w:val="6"/>
          <w:sz w:val="32"/>
          <w:szCs w:val="32"/>
          <w:highlight w:val="none"/>
        </w:rPr>
      </w:pPr>
    </w:p>
    <w:p w14:paraId="074CC0C7">
      <w:pPr>
        <w:spacing w:line="360" w:lineRule="auto"/>
        <w:jc w:val="center"/>
        <w:rPr>
          <w:rFonts w:ascii="宋体" w:hAnsi="宋体" w:cs="宋体"/>
          <w:b/>
          <w:color w:val="auto"/>
          <w:spacing w:val="6"/>
          <w:sz w:val="32"/>
          <w:szCs w:val="32"/>
          <w:highlight w:val="none"/>
        </w:rPr>
      </w:pPr>
    </w:p>
    <w:p w14:paraId="33125011">
      <w:pPr>
        <w:spacing w:line="360" w:lineRule="auto"/>
        <w:jc w:val="center"/>
        <w:rPr>
          <w:rFonts w:ascii="宋体" w:hAnsi="宋体" w:cs="宋体"/>
          <w:b/>
          <w:color w:val="auto"/>
          <w:spacing w:val="6"/>
          <w:sz w:val="32"/>
          <w:szCs w:val="32"/>
          <w:highlight w:val="none"/>
        </w:rPr>
      </w:pPr>
    </w:p>
    <w:p w14:paraId="074ECD74">
      <w:pPr>
        <w:spacing w:line="360" w:lineRule="auto"/>
        <w:jc w:val="center"/>
        <w:rPr>
          <w:rFonts w:ascii="宋体" w:hAnsi="宋体" w:cs="宋体"/>
          <w:b/>
          <w:color w:val="auto"/>
          <w:spacing w:val="6"/>
          <w:sz w:val="32"/>
          <w:szCs w:val="32"/>
          <w:highlight w:val="none"/>
        </w:rPr>
      </w:pPr>
    </w:p>
    <w:p w14:paraId="1315FA6B">
      <w:pPr>
        <w:spacing w:line="360" w:lineRule="auto"/>
        <w:jc w:val="left"/>
        <w:rPr>
          <w:rFonts w:ascii="宋体" w:hAnsi="宋体" w:cs="宋体"/>
          <w:b/>
          <w:color w:val="auto"/>
          <w:spacing w:val="6"/>
          <w:sz w:val="32"/>
          <w:szCs w:val="32"/>
          <w:highlight w:val="none"/>
        </w:rPr>
      </w:pPr>
    </w:p>
    <w:p w14:paraId="046E5C84">
      <w:pPr>
        <w:spacing w:line="360" w:lineRule="auto"/>
        <w:jc w:val="left"/>
        <w:rPr>
          <w:rFonts w:ascii="宋体" w:hAnsi="宋体" w:cs="宋体"/>
          <w:b/>
          <w:color w:val="auto"/>
          <w:spacing w:val="6"/>
          <w:sz w:val="32"/>
          <w:szCs w:val="32"/>
          <w:highlight w:val="none"/>
        </w:rPr>
      </w:pPr>
    </w:p>
    <w:p w14:paraId="4F5A8C6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E8CDA69">
      <w:pPr>
        <w:spacing w:line="360" w:lineRule="auto"/>
        <w:jc w:val="center"/>
        <w:rPr>
          <w:rFonts w:ascii="宋体" w:hAnsi="宋体" w:cs="宋体"/>
          <w:b/>
          <w:color w:val="auto"/>
          <w:sz w:val="24"/>
          <w:highlight w:val="none"/>
        </w:rPr>
      </w:pPr>
    </w:p>
    <w:p w14:paraId="7A2870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3119F1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5CD7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67F6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54A4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88E57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893B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F52B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703F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5075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ACF7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7A14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3D1DC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6F96A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4647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6BB1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C6B45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750A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85FB9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1BEB5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74C0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355E2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CA610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14B5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45D332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0418B3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BB92D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203C8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99738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AC9973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F6C1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ED33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7741C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E564CC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02124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6D931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1C473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FCA4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25566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8742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382B613">
      <w:pPr>
        <w:spacing w:line="360" w:lineRule="auto"/>
        <w:rPr>
          <w:rFonts w:ascii="宋体" w:hAnsi="宋体" w:cs="宋体"/>
          <w:b/>
          <w:color w:val="auto"/>
          <w:sz w:val="24"/>
          <w:highlight w:val="none"/>
        </w:rPr>
      </w:pPr>
    </w:p>
    <w:p w14:paraId="156B7FB4">
      <w:pPr>
        <w:spacing w:line="360" w:lineRule="auto"/>
        <w:rPr>
          <w:rFonts w:ascii="宋体" w:hAnsi="宋体" w:cs="宋体"/>
          <w:b/>
          <w:color w:val="auto"/>
          <w:sz w:val="24"/>
          <w:highlight w:val="none"/>
        </w:rPr>
      </w:pPr>
    </w:p>
    <w:p w14:paraId="6FAD925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8E9656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8FB6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F973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B6D4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CEBC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1DD2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BE19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5A8E09">
      <w:pPr>
        <w:spacing w:line="360" w:lineRule="auto"/>
        <w:rPr>
          <w:rFonts w:ascii="宋体" w:hAnsi="宋体" w:cs="宋体"/>
          <w:b/>
          <w:color w:val="auto"/>
          <w:sz w:val="24"/>
          <w:highlight w:val="none"/>
        </w:rPr>
      </w:pPr>
    </w:p>
    <w:p w14:paraId="051DF7BB">
      <w:pPr>
        <w:autoSpaceDE w:val="0"/>
        <w:autoSpaceDN w:val="0"/>
        <w:jc w:val="center"/>
        <w:rPr>
          <w:rFonts w:ascii="宋体" w:hAnsi="宋体" w:cs="宋体"/>
          <w:b/>
          <w:color w:val="auto"/>
          <w:spacing w:val="6"/>
          <w:sz w:val="32"/>
          <w:szCs w:val="32"/>
          <w:highlight w:val="none"/>
        </w:rPr>
      </w:pPr>
    </w:p>
    <w:p w14:paraId="6C48A8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7554D7B">
      <w:pPr>
        <w:spacing w:line="360" w:lineRule="auto"/>
        <w:rPr>
          <w:rFonts w:ascii="宋体" w:hAnsi="宋体" w:cs="宋体"/>
          <w:color w:val="auto"/>
          <w:sz w:val="24"/>
          <w:highlight w:val="none"/>
          <w:u w:val="single"/>
        </w:rPr>
      </w:pPr>
    </w:p>
    <w:p w14:paraId="3CA65E0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C2F45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F2965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E3BB7F">
      <w:pPr>
        <w:spacing w:line="360" w:lineRule="auto"/>
        <w:ind w:firstLine="494"/>
        <w:rPr>
          <w:rFonts w:ascii="宋体" w:hAnsi="宋体" w:cs="宋体"/>
          <w:color w:val="auto"/>
          <w:sz w:val="24"/>
          <w:highlight w:val="none"/>
        </w:rPr>
      </w:pPr>
    </w:p>
    <w:p w14:paraId="2A206EDC">
      <w:pPr>
        <w:spacing w:line="360" w:lineRule="auto"/>
        <w:ind w:firstLine="494"/>
        <w:rPr>
          <w:rFonts w:ascii="宋体" w:hAnsi="宋体" w:cs="宋体"/>
          <w:color w:val="auto"/>
          <w:sz w:val="24"/>
          <w:highlight w:val="none"/>
        </w:rPr>
      </w:pPr>
    </w:p>
    <w:p w14:paraId="63403411">
      <w:pPr>
        <w:spacing w:line="360" w:lineRule="auto"/>
        <w:ind w:firstLine="494"/>
        <w:rPr>
          <w:rFonts w:ascii="宋体" w:hAnsi="宋体" w:cs="宋体"/>
          <w:color w:val="auto"/>
          <w:sz w:val="24"/>
          <w:highlight w:val="none"/>
        </w:rPr>
      </w:pPr>
    </w:p>
    <w:p w14:paraId="2338CEFA">
      <w:pPr>
        <w:spacing w:line="360" w:lineRule="auto"/>
        <w:ind w:firstLine="494"/>
        <w:rPr>
          <w:rFonts w:ascii="宋体" w:hAnsi="宋体" w:cs="宋体"/>
          <w:color w:val="auto"/>
          <w:sz w:val="24"/>
          <w:highlight w:val="none"/>
        </w:rPr>
      </w:pPr>
    </w:p>
    <w:p w14:paraId="278FE2C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27EF32C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2077B3">
      <w:pPr>
        <w:rPr>
          <w:rFonts w:ascii="宋体" w:hAnsi="宋体" w:cs="宋体"/>
          <w:color w:val="auto"/>
          <w:sz w:val="24"/>
          <w:highlight w:val="none"/>
        </w:rPr>
      </w:pPr>
      <w:r>
        <w:rPr>
          <w:rFonts w:hint="eastAsia" w:ascii="宋体" w:hAnsi="宋体" w:cs="宋体"/>
          <w:b/>
          <w:bCs/>
          <w:color w:val="auto"/>
          <w:sz w:val="24"/>
          <w:highlight w:val="none"/>
        </w:rPr>
        <w:t>附：</w:t>
      </w:r>
    </w:p>
    <w:p w14:paraId="71379805">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67940FD">
      <w:pPr>
        <w:autoSpaceDE w:val="0"/>
        <w:autoSpaceDN w:val="0"/>
        <w:jc w:val="center"/>
        <w:rPr>
          <w:rFonts w:ascii="宋体" w:hAnsi="宋体" w:cs="宋体"/>
          <w:b/>
          <w:color w:val="auto"/>
          <w:spacing w:val="6"/>
          <w:sz w:val="32"/>
          <w:szCs w:val="32"/>
          <w:highlight w:val="none"/>
        </w:rPr>
      </w:pPr>
    </w:p>
    <w:p w14:paraId="07D561CC">
      <w:pPr>
        <w:autoSpaceDE w:val="0"/>
        <w:autoSpaceDN w:val="0"/>
        <w:jc w:val="center"/>
        <w:rPr>
          <w:rFonts w:ascii="宋体" w:hAnsi="宋体" w:cs="宋体"/>
          <w:b/>
          <w:color w:val="auto"/>
          <w:spacing w:val="6"/>
          <w:sz w:val="32"/>
          <w:szCs w:val="32"/>
          <w:highlight w:val="none"/>
        </w:rPr>
      </w:pPr>
    </w:p>
    <w:p w14:paraId="1DAFD004">
      <w:pPr>
        <w:autoSpaceDE w:val="0"/>
        <w:autoSpaceDN w:val="0"/>
        <w:jc w:val="center"/>
        <w:rPr>
          <w:rFonts w:ascii="宋体" w:hAnsi="宋体" w:cs="宋体"/>
          <w:b/>
          <w:color w:val="auto"/>
          <w:spacing w:val="6"/>
          <w:sz w:val="32"/>
          <w:szCs w:val="32"/>
          <w:highlight w:val="none"/>
        </w:rPr>
      </w:pPr>
    </w:p>
    <w:p w14:paraId="10819895">
      <w:pPr>
        <w:autoSpaceDE w:val="0"/>
        <w:autoSpaceDN w:val="0"/>
        <w:jc w:val="center"/>
        <w:rPr>
          <w:rFonts w:ascii="宋体" w:hAnsi="宋体" w:cs="宋体"/>
          <w:b/>
          <w:color w:val="auto"/>
          <w:spacing w:val="6"/>
          <w:sz w:val="32"/>
          <w:szCs w:val="32"/>
          <w:highlight w:val="none"/>
        </w:rPr>
      </w:pPr>
    </w:p>
    <w:p w14:paraId="7E2E33E8">
      <w:pPr>
        <w:autoSpaceDE w:val="0"/>
        <w:autoSpaceDN w:val="0"/>
        <w:jc w:val="center"/>
        <w:rPr>
          <w:rFonts w:ascii="宋体" w:hAnsi="宋体" w:cs="宋体"/>
          <w:b/>
          <w:color w:val="auto"/>
          <w:spacing w:val="6"/>
          <w:sz w:val="32"/>
          <w:szCs w:val="32"/>
          <w:highlight w:val="none"/>
        </w:rPr>
      </w:pPr>
    </w:p>
    <w:p w14:paraId="3B5DDF54">
      <w:pPr>
        <w:autoSpaceDE w:val="0"/>
        <w:autoSpaceDN w:val="0"/>
        <w:jc w:val="center"/>
        <w:rPr>
          <w:rFonts w:ascii="宋体" w:hAnsi="宋体" w:cs="宋体"/>
          <w:b/>
          <w:color w:val="auto"/>
          <w:spacing w:val="6"/>
          <w:sz w:val="32"/>
          <w:szCs w:val="32"/>
          <w:highlight w:val="none"/>
        </w:rPr>
      </w:pPr>
    </w:p>
    <w:p w14:paraId="7EC2BE01">
      <w:pPr>
        <w:autoSpaceDE w:val="0"/>
        <w:autoSpaceDN w:val="0"/>
        <w:jc w:val="center"/>
        <w:rPr>
          <w:rFonts w:ascii="宋体" w:hAnsi="宋体" w:cs="宋体"/>
          <w:b/>
          <w:color w:val="auto"/>
          <w:spacing w:val="6"/>
          <w:sz w:val="32"/>
          <w:szCs w:val="32"/>
          <w:highlight w:val="none"/>
        </w:rPr>
      </w:pPr>
    </w:p>
    <w:p w14:paraId="0DC0B115">
      <w:pPr>
        <w:autoSpaceDE w:val="0"/>
        <w:autoSpaceDN w:val="0"/>
        <w:jc w:val="center"/>
        <w:rPr>
          <w:rFonts w:ascii="宋体" w:hAnsi="宋体" w:cs="宋体"/>
          <w:b/>
          <w:color w:val="auto"/>
          <w:spacing w:val="6"/>
          <w:sz w:val="32"/>
          <w:szCs w:val="32"/>
          <w:highlight w:val="none"/>
        </w:rPr>
      </w:pPr>
    </w:p>
    <w:p w14:paraId="26002092">
      <w:pPr>
        <w:autoSpaceDE w:val="0"/>
        <w:autoSpaceDN w:val="0"/>
        <w:jc w:val="center"/>
        <w:rPr>
          <w:rFonts w:ascii="宋体" w:hAnsi="宋体" w:cs="宋体"/>
          <w:b/>
          <w:color w:val="auto"/>
          <w:spacing w:val="6"/>
          <w:sz w:val="32"/>
          <w:szCs w:val="32"/>
          <w:highlight w:val="none"/>
        </w:rPr>
      </w:pPr>
    </w:p>
    <w:p w14:paraId="48BA2248">
      <w:pPr>
        <w:autoSpaceDE w:val="0"/>
        <w:autoSpaceDN w:val="0"/>
        <w:jc w:val="center"/>
        <w:rPr>
          <w:rFonts w:ascii="宋体" w:hAnsi="宋体" w:cs="宋体"/>
          <w:b/>
          <w:color w:val="auto"/>
          <w:spacing w:val="6"/>
          <w:sz w:val="32"/>
          <w:szCs w:val="32"/>
          <w:highlight w:val="none"/>
        </w:rPr>
      </w:pPr>
    </w:p>
    <w:p w14:paraId="08837FC8">
      <w:pPr>
        <w:autoSpaceDE w:val="0"/>
        <w:autoSpaceDN w:val="0"/>
        <w:jc w:val="center"/>
        <w:rPr>
          <w:rFonts w:ascii="宋体" w:hAnsi="宋体" w:cs="宋体"/>
          <w:b/>
          <w:color w:val="auto"/>
          <w:spacing w:val="6"/>
          <w:sz w:val="32"/>
          <w:szCs w:val="32"/>
          <w:highlight w:val="none"/>
        </w:rPr>
      </w:pPr>
    </w:p>
    <w:p w14:paraId="01E645D2">
      <w:pPr>
        <w:autoSpaceDE w:val="0"/>
        <w:autoSpaceDN w:val="0"/>
        <w:jc w:val="center"/>
        <w:rPr>
          <w:rFonts w:ascii="宋体" w:hAnsi="宋体" w:cs="宋体"/>
          <w:b/>
          <w:color w:val="auto"/>
          <w:spacing w:val="6"/>
          <w:sz w:val="32"/>
          <w:szCs w:val="32"/>
          <w:highlight w:val="none"/>
        </w:rPr>
      </w:pPr>
    </w:p>
    <w:p w14:paraId="7E35E282">
      <w:pPr>
        <w:autoSpaceDE w:val="0"/>
        <w:autoSpaceDN w:val="0"/>
        <w:jc w:val="center"/>
        <w:rPr>
          <w:rFonts w:ascii="宋体" w:hAnsi="宋体" w:cs="宋体"/>
          <w:b/>
          <w:color w:val="auto"/>
          <w:spacing w:val="6"/>
          <w:sz w:val="32"/>
          <w:szCs w:val="32"/>
          <w:highlight w:val="none"/>
        </w:rPr>
      </w:pPr>
    </w:p>
    <w:p w14:paraId="427C9139">
      <w:pPr>
        <w:autoSpaceDE w:val="0"/>
        <w:autoSpaceDN w:val="0"/>
        <w:jc w:val="center"/>
        <w:rPr>
          <w:rFonts w:ascii="宋体" w:hAnsi="宋体" w:cs="宋体"/>
          <w:b/>
          <w:color w:val="auto"/>
          <w:spacing w:val="6"/>
          <w:sz w:val="32"/>
          <w:szCs w:val="32"/>
          <w:highlight w:val="none"/>
        </w:rPr>
      </w:pPr>
    </w:p>
    <w:p w14:paraId="66BEB378">
      <w:pPr>
        <w:autoSpaceDE w:val="0"/>
        <w:autoSpaceDN w:val="0"/>
        <w:jc w:val="center"/>
        <w:rPr>
          <w:rFonts w:ascii="宋体" w:hAnsi="宋体" w:cs="宋体"/>
          <w:b/>
          <w:color w:val="auto"/>
          <w:spacing w:val="6"/>
          <w:sz w:val="32"/>
          <w:szCs w:val="32"/>
          <w:highlight w:val="none"/>
        </w:rPr>
      </w:pPr>
    </w:p>
    <w:p w14:paraId="1F017B4C">
      <w:pPr>
        <w:autoSpaceDE w:val="0"/>
        <w:autoSpaceDN w:val="0"/>
        <w:jc w:val="center"/>
        <w:rPr>
          <w:rFonts w:ascii="宋体" w:hAnsi="宋体" w:cs="宋体"/>
          <w:b/>
          <w:color w:val="auto"/>
          <w:spacing w:val="6"/>
          <w:sz w:val="32"/>
          <w:szCs w:val="32"/>
          <w:highlight w:val="none"/>
        </w:rPr>
      </w:pPr>
    </w:p>
    <w:p w14:paraId="331DD01E">
      <w:pPr>
        <w:autoSpaceDE w:val="0"/>
        <w:autoSpaceDN w:val="0"/>
        <w:jc w:val="center"/>
        <w:rPr>
          <w:rFonts w:ascii="宋体" w:hAnsi="宋体" w:cs="宋体"/>
          <w:b/>
          <w:color w:val="auto"/>
          <w:spacing w:val="6"/>
          <w:sz w:val="32"/>
          <w:szCs w:val="32"/>
          <w:highlight w:val="none"/>
        </w:rPr>
      </w:pPr>
    </w:p>
    <w:p w14:paraId="718E255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A45EC3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048E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EE70E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61D8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4A9A4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1DA3AEEE">
      <w:pPr>
        <w:snapToGrid w:val="0"/>
        <w:spacing w:line="360" w:lineRule="auto"/>
        <w:ind w:firstLine="576"/>
        <w:rPr>
          <w:rFonts w:ascii="宋体" w:hAnsi="宋体" w:cs="宋体"/>
          <w:color w:val="auto"/>
          <w:kern w:val="0"/>
          <w:sz w:val="24"/>
          <w:highlight w:val="none"/>
          <w:lang w:val="zh-CN"/>
        </w:rPr>
      </w:pPr>
      <w:bookmarkStart w:id="149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54C8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73E9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98"/>
    <w:p w14:paraId="1322E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BB3B76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C553F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50E2E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31F9CE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2C1D8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0EF7F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1ECE9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5E66D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85FD3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7522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44E86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4E5A026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1F0D91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476E74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3B15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6E8B3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12208B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2300D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3778A3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8FA06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99"/>
    </w:p>
    <w:p w14:paraId="6E4263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2CF12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6B9DE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A94B7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37D2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8BF0F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8D4B4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833BE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9C9B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04B46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1EF79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A2045BC">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B25F3F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A3103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0863A">
      <w:pPr>
        <w:autoSpaceDE w:val="0"/>
        <w:autoSpaceDN w:val="0"/>
        <w:jc w:val="center"/>
        <w:rPr>
          <w:rFonts w:ascii="宋体" w:hAnsi="宋体" w:cs="宋体"/>
          <w:b/>
          <w:color w:val="auto"/>
          <w:spacing w:val="6"/>
          <w:sz w:val="32"/>
          <w:szCs w:val="32"/>
          <w:highlight w:val="none"/>
        </w:rPr>
      </w:pPr>
    </w:p>
    <w:p w14:paraId="3CB44CDD">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0DCA281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3DB749B">
      <w:pPr>
        <w:spacing w:line="360" w:lineRule="auto"/>
        <w:jc w:val="center"/>
        <w:rPr>
          <w:rFonts w:ascii="宋体" w:hAnsi="宋体" w:cs="宋体"/>
          <w:color w:val="auto"/>
          <w:sz w:val="24"/>
          <w:highlight w:val="none"/>
          <w:u w:val="single"/>
        </w:rPr>
      </w:pPr>
    </w:p>
    <w:p w14:paraId="057D2B9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90C5A6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711FD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8BF4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4B51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B0A82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535E1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EC96A1">
      <w:pPr>
        <w:spacing w:line="360" w:lineRule="auto"/>
        <w:ind w:firstLine="480" w:firstLineChars="200"/>
        <w:rPr>
          <w:rFonts w:ascii="宋体" w:hAnsi="宋体" w:cs="宋体"/>
          <w:color w:val="auto"/>
          <w:sz w:val="24"/>
          <w:highlight w:val="none"/>
        </w:rPr>
      </w:pPr>
    </w:p>
    <w:p w14:paraId="2E8CB52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26D619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6525768">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AADEB9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EBFFBE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14:paraId="1E6CE397">
      <w:pPr>
        <w:spacing w:line="360" w:lineRule="auto"/>
        <w:jc w:val="center"/>
        <w:rPr>
          <w:rFonts w:ascii="宋体" w:hAnsi="宋体" w:cs="宋体"/>
          <w:b/>
          <w:color w:val="auto"/>
          <w:sz w:val="32"/>
          <w:szCs w:val="32"/>
          <w:highlight w:val="none"/>
        </w:rPr>
      </w:pPr>
    </w:p>
    <w:p w14:paraId="6C80CFB4">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F32CB6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47AA14C7">
      <w:pPr>
        <w:spacing w:line="360" w:lineRule="auto"/>
        <w:rPr>
          <w:rFonts w:ascii="宋体" w:hAnsi="宋体" w:cs="宋体"/>
          <w:b/>
          <w:color w:val="auto"/>
          <w:spacing w:val="6"/>
          <w:sz w:val="32"/>
          <w:szCs w:val="32"/>
          <w:highlight w:val="none"/>
        </w:rPr>
      </w:pPr>
    </w:p>
    <w:p w14:paraId="32900E0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61A89A9">
      <w:pPr>
        <w:pStyle w:val="24"/>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
    <w:altName w:val="Cambria"/>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E4D3">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58E0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B58E0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4DE2">
    <w:pPr>
      <w:pStyle w:val="39"/>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45542">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245542">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DE3C8C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5294">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F04F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C2F04F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43D088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FEC2">
    <w:pPr>
      <w:pStyle w:val="39"/>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968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F4968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3C7A46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AD3F">
    <w:pPr>
      <w:pStyle w:val="39"/>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6BD3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5B6BD3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458B5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1DC">
    <w:pPr>
      <w:pStyle w:val="39"/>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319D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1D319D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504A9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B445">
    <w:pPr>
      <w:pStyle w:val="39"/>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4E3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9E4E3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6F76AD8">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F2EE">
    <w:pPr>
      <w:pStyle w:val="39"/>
      <w:jc w:val="center"/>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F966">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39F966">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526A">
    <w:pPr>
      <w:pStyle w:val="39"/>
      <w:framePr w:wrap="around" w:vAnchor="text" w:hAnchor="margin" w:xAlign="right" w:y="1"/>
      <w:rPr>
        <w:rStyle w:val="72"/>
      </w:rPr>
    </w:pPr>
    <w:r>
      <w:fldChar w:fldCharType="begin"/>
    </w:r>
    <w:r>
      <w:rPr>
        <w:rStyle w:val="72"/>
      </w:rPr>
      <w:instrText xml:space="preserve">PAGE  </w:instrText>
    </w:r>
    <w:r>
      <w:fldChar w:fldCharType="end"/>
    </w:r>
  </w:p>
  <w:p w14:paraId="55FF6B12">
    <w:pPr>
      <w:pStyle w:val="39"/>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7965">
    <w:pPr>
      <w:pStyle w:val="39"/>
      <w:jc w:val="center"/>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5B97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500" w:name="_Toc131845147"/>
                          <w:bookmarkStart w:id="1501" w:name="_Toc164085800"/>
                          <w:bookmarkStart w:id="1502" w:name="_Toc91899912"/>
                          <w:bookmarkStart w:id="1503" w:name="_Toc36110187"/>
                          <w:r>
                            <w:rPr>
                              <w:rFonts w:hint="eastAsia" w:ascii="仿宋_GB2312" w:eastAsia="仿宋_GB2312"/>
                              <w:kern w:val="0"/>
                              <w:szCs w:val="21"/>
                            </w:rPr>
                            <w:t xml:space="preserve"> 页</w:t>
                          </w:r>
                          <w:bookmarkEnd w:id="1500"/>
                          <w:bookmarkEnd w:id="1501"/>
                          <w:bookmarkEnd w:id="1502"/>
                          <w:bookmarkEnd w:id="1503"/>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995B97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500" w:name="_Toc131845147"/>
                    <w:bookmarkStart w:id="1501" w:name="_Toc164085800"/>
                    <w:bookmarkStart w:id="1502" w:name="_Toc91899912"/>
                    <w:bookmarkStart w:id="1503" w:name="_Toc36110187"/>
                    <w:r>
                      <w:rPr>
                        <w:rFonts w:hint="eastAsia" w:ascii="仿宋_GB2312" w:eastAsia="仿宋_GB2312"/>
                        <w:kern w:val="0"/>
                        <w:szCs w:val="21"/>
                      </w:rPr>
                      <w:t xml:space="preserve"> 页</w:t>
                    </w:r>
                    <w:bookmarkEnd w:id="1500"/>
                    <w:bookmarkEnd w:id="1501"/>
                    <w:bookmarkEnd w:id="1502"/>
                    <w:bookmarkEnd w:id="1503"/>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96EB">
    <w:pPr>
      <w:pStyle w:val="39"/>
      <w:framePr w:wrap="around" w:vAnchor="text" w:hAnchor="margin" w:xAlign="right" w:y="1"/>
      <w:rPr>
        <w:rStyle w:val="72"/>
      </w:rPr>
    </w:pPr>
    <w:r>
      <w:fldChar w:fldCharType="begin"/>
    </w:r>
    <w:r>
      <w:rPr>
        <w:rStyle w:val="72"/>
      </w:rPr>
      <w:instrText xml:space="preserve">PAGE  </w:instrText>
    </w:r>
    <w:r>
      <w:fldChar w:fldCharType="end"/>
    </w:r>
  </w:p>
  <w:p w14:paraId="55F23D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38D3">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379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98379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3437">
    <w:pPr>
      <w:pStyle w:val="3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153A14">
                          <w:pPr>
                            <w:pStyle w:val="3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4OZsnM0BAACnAwAADgAAAAAAAAABACAAAAAeAQAAZHJzL2Uy&#10;b0RvYy54bWxQSwUGAAAAAAYABgBZAQAAXQUAAAAA&#10;">
              <v:fill on="f" focussize="0,0"/>
              <v:stroke on="f"/>
              <v:imagedata o:title=""/>
              <o:lock v:ext="edit" aspectratio="f"/>
              <v:textbox inset="0mm,0mm,0mm,0mm" style="mso-fit-shape-to-text:t;">
                <w:txbxContent>
                  <w:p w14:paraId="1D153A14">
                    <w:pPr>
                      <w:pStyle w:val="3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AE0E">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7844">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3F0557">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6kL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cOpC/OAQAAqAMAAA4AAAAAAAAAAQAgAAAAHgEAAGRycy9l&#10;Mm9Eb2MueG1sUEsFBgAAAAAGAAYAWQEAAF4FAAAAAA==&#10;">
              <v:fill on="f" focussize="0,0"/>
              <v:stroke on="f"/>
              <v:imagedata o:title=""/>
              <o:lock v:ext="edit" aspectratio="f"/>
              <v:textbox inset="0mm,0mm,0mm,0mm" style="mso-fit-shape-to-text:t;">
                <w:txbxContent>
                  <w:p w14:paraId="7D3F0557">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262E">
    <w:pPr>
      <w:pStyle w:val="3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7D795">
                          <w:pPr>
                            <w:pStyle w:val="3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akHs3AgAAcA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JGpB7NwIAAHAEAAAOAAAAAAAAAAEAIAAAAB8BAABkcnMvZTJvRG9jLnht&#10;bFBLBQYAAAAABgAGAFkBAADIBQAAAAA=&#10;">
              <v:fill on="f" focussize="0,0"/>
              <v:stroke on="f" weight="0.5pt"/>
              <v:imagedata o:title=""/>
              <o:lock v:ext="edit" aspectratio="f"/>
              <v:textbox inset="0mm,0mm,0mm,0mm" style="mso-fit-shape-to-text:t;">
                <w:txbxContent>
                  <w:p w14:paraId="1F27D795">
                    <w:pPr>
                      <w:pStyle w:val="3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C83D">
    <w:pPr>
      <w:pStyle w:val="3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D5E59">
                          <w:pPr>
                            <w:pStyle w:val="39"/>
                            <w:jc w:val="center"/>
                          </w:pPr>
                          <w:r>
                            <w:fldChar w:fldCharType="begin"/>
                          </w:r>
                          <w:r>
                            <w:instrText xml:space="preserve"> PAGE   \* MERGEFORMAT </w:instrText>
                          </w:r>
                          <w: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60D5E59">
                    <w:pPr>
                      <w:pStyle w:val="39"/>
                      <w:jc w:val="center"/>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p>
  <w:p w14:paraId="7E11C62C">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6D74">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317500"/>
              <wp:effectExtent l="0" t="0" r="0" b="0"/>
              <wp:wrapNone/>
              <wp:docPr id="1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72085" cy="317500"/>
                      </a:xfrm>
                      <a:prstGeom prst="rect">
                        <a:avLst/>
                      </a:prstGeom>
                      <a:noFill/>
                      <a:ln>
                        <a:noFill/>
                      </a:ln>
                      <a:effectLst/>
                    </wps:spPr>
                    <wps:txbx>
                      <w:txbxContent>
                        <w:p w14:paraId="036696AB">
                          <w:pPr>
                            <w:pStyle w:val="39"/>
                            <w:rPr>
                              <w:rStyle w:val="72"/>
                            </w:rPr>
                          </w:pPr>
                          <w:r>
                            <w:fldChar w:fldCharType="begin"/>
                          </w:r>
                          <w:r>
                            <w:rPr>
                              <w:rStyle w:val="72"/>
                            </w:rPr>
                            <w:instrText xml:space="preserve">PAGE  </w:instrText>
                          </w:r>
                          <w:r>
                            <w:fldChar w:fldCharType="separate"/>
                          </w:r>
                          <w:r>
                            <w:rPr>
                              <w:rStyle w:val="72"/>
                            </w:rPr>
                            <w:t>40</w:t>
                          </w:r>
                          <w:r>
                            <w:fldChar w:fldCharType="end"/>
                          </w:r>
                        </w:p>
                        <w:p w14:paraId="0CE536F8"/>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2336;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5gJxtEAAAADAQAADwAAAAAAAAABACAAAAAiAAAA&#10;ZHJzL2Rvd25yZXYueG1sUEsBAhQAFAAAAAgAh07iQDZ4n4sOAgAAEQQAAA4AAAAAAAAAAQAgAAAA&#10;IAEAAGRycy9lMm9Eb2MueG1sUEsFBgAAAAAGAAYAWQEAAKAFAAAAAA==&#10;">
              <v:fill on="f" focussize="0,0"/>
              <v:stroke on="f"/>
              <v:imagedata o:title=""/>
              <o:lock v:ext="edit" aspectratio="f"/>
              <v:textbox inset="0mm,0mm,0mm,0mm" style="mso-fit-shape-to-text:t;">
                <w:txbxContent>
                  <w:p w14:paraId="036696AB">
                    <w:pPr>
                      <w:pStyle w:val="39"/>
                      <w:rPr>
                        <w:rStyle w:val="72"/>
                      </w:rPr>
                    </w:pPr>
                    <w:r>
                      <w:fldChar w:fldCharType="begin"/>
                    </w:r>
                    <w:r>
                      <w:rPr>
                        <w:rStyle w:val="72"/>
                      </w:rPr>
                      <w:instrText xml:space="preserve">PAGE  </w:instrText>
                    </w:r>
                    <w:r>
                      <w:fldChar w:fldCharType="separate"/>
                    </w:r>
                    <w:r>
                      <w:rPr>
                        <w:rStyle w:val="72"/>
                      </w:rPr>
                      <w:t>40</w:t>
                    </w:r>
                    <w:r>
                      <w:fldChar w:fldCharType="end"/>
                    </w:r>
                  </w:p>
                  <w:p w14:paraId="0CE536F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CA8A">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A7D9">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0C15">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DBBE">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7450">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D806">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FCF1"/>
  <w:p w14:paraId="5EDCE6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FA45">
    <w:pPr>
      <w:pStyle w:val="4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F609">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B024">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A54BF1B"/>
    <w:multiLevelType w:val="singleLevel"/>
    <w:tmpl w:val="9A54BF1B"/>
    <w:lvl w:ilvl="0" w:tentative="0">
      <w:start w:val="2"/>
      <w:numFmt w:val="decimal"/>
      <w:suff w:val="space"/>
      <w:lvlText w:val="%1."/>
      <w:lvlJc w:val="left"/>
    </w:lvl>
  </w:abstractNum>
  <w:abstractNum w:abstractNumId="2">
    <w:nsid w:val="A0812B16"/>
    <w:multiLevelType w:val="singleLevel"/>
    <w:tmpl w:val="A0812B16"/>
    <w:lvl w:ilvl="0" w:tentative="0">
      <w:start w:val="1"/>
      <w:numFmt w:val="decimal"/>
      <w:suff w:val="nothing"/>
      <w:lvlText w:val="%1、"/>
      <w:lvlJc w:val="left"/>
    </w:lvl>
  </w:abstractNum>
  <w:abstractNum w:abstractNumId="3">
    <w:nsid w:val="AF9D526E"/>
    <w:multiLevelType w:val="singleLevel"/>
    <w:tmpl w:val="AF9D526E"/>
    <w:lvl w:ilvl="0" w:tentative="0">
      <w:start w:val="1"/>
      <w:numFmt w:val="decimal"/>
      <w:suff w:val="nothing"/>
      <w:lvlText w:val="（%1）"/>
      <w:lvlJc w:val="left"/>
    </w:lvl>
  </w:abstractNum>
  <w:abstractNum w:abstractNumId="4">
    <w:nsid w:val="E8DAF655"/>
    <w:multiLevelType w:val="singleLevel"/>
    <w:tmpl w:val="E8DAF655"/>
    <w:lvl w:ilvl="0" w:tentative="0">
      <w:start w:val="1"/>
      <w:numFmt w:val="decimal"/>
      <w:lvlText w:val="%1."/>
      <w:lvlJc w:val="left"/>
      <w:pPr>
        <w:ind w:left="425" w:hanging="425"/>
      </w:pPr>
      <w:rPr>
        <w:rFonts w:hint="default"/>
      </w:rPr>
    </w:lvl>
  </w:abstractNum>
  <w:abstractNum w:abstractNumId="5">
    <w:nsid w:val="FEA6FA37"/>
    <w:multiLevelType w:val="singleLevel"/>
    <w:tmpl w:val="FEA6FA37"/>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38A1DF0F"/>
    <w:multiLevelType w:val="singleLevel"/>
    <w:tmpl w:val="38A1DF0F"/>
    <w:lvl w:ilvl="0" w:tentative="0">
      <w:start w:val="5"/>
      <w:numFmt w:val="chineseCounting"/>
      <w:suff w:val="nothing"/>
      <w:lvlText w:val="%1、"/>
      <w:lvlJc w:val="left"/>
      <w:rPr>
        <w:rFonts w:hint="eastAsia"/>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694E76"/>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B7DD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539A4"/>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E716B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610"/>
    <w:rsid w:val="1C7725CD"/>
    <w:rsid w:val="1C88086E"/>
    <w:rsid w:val="1CD103A8"/>
    <w:rsid w:val="1D266CE1"/>
    <w:rsid w:val="1D3963AF"/>
    <w:rsid w:val="1D3D0FE5"/>
    <w:rsid w:val="1D6A673C"/>
    <w:rsid w:val="1D9247AE"/>
    <w:rsid w:val="1DB567EC"/>
    <w:rsid w:val="1DDE10AA"/>
    <w:rsid w:val="1DF51A98"/>
    <w:rsid w:val="1E3D060F"/>
    <w:rsid w:val="1E3F7D2E"/>
    <w:rsid w:val="1E4134E4"/>
    <w:rsid w:val="1E5062B3"/>
    <w:rsid w:val="1E523514"/>
    <w:rsid w:val="1E554B1D"/>
    <w:rsid w:val="1E714A66"/>
    <w:rsid w:val="1E802593"/>
    <w:rsid w:val="1E8B6156"/>
    <w:rsid w:val="1EA703CC"/>
    <w:rsid w:val="1EB7330C"/>
    <w:rsid w:val="1F0A0FF3"/>
    <w:rsid w:val="1F512337"/>
    <w:rsid w:val="1F5771FF"/>
    <w:rsid w:val="1F646BF6"/>
    <w:rsid w:val="1F904124"/>
    <w:rsid w:val="1FE868A9"/>
    <w:rsid w:val="20034907"/>
    <w:rsid w:val="20173E4B"/>
    <w:rsid w:val="204E48BC"/>
    <w:rsid w:val="208921B3"/>
    <w:rsid w:val="20973DEB"/>
    <w:rsid w:val="20B26522"/>
    <w:rsid w:val="20B44310"/>
    <w:rsid w:val="20FF0204"/>
    <w:rsid w:val="211116EB"/>
    <w:rsid w:val="216133FC"/>
    <w:rsid w:val="21D56769"/>
    <w:rsid w:val="21E52EF3"/>
    <w:rsid w:val="21FB5D7B"/>
    <w:rsid w:val="22015E94"/>
    <w:rsid w:val="220B1C3D"/>
    <w:rsid w:val="221D1D20"/>
    <w:rsid w:val="22334A87"/>
    <w:rsid w:val="22BE6801"/>
    <w:rsid w:val="22DE3ED9"/>
    <w:rsid w:val="231F6AE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2E04"/>
    <w:rsid w:val="28DE40AA"/>
    <w:rsid w:val="291C55E5"/>
    <w:rsid w:val="29345E77"/>
    <w:rsid w:val="294C65AD"/>
    <w:rsid w:val="29806583"/>
    <w:rsid w:val="298B3C4C"/>
    <w:rsid w:val="29F26D24"/>
    <w:rsid w:val="2A15033F"/>
    <w:rsid w:val="2A1662C1"/>
    <w:rsid w:val="2A1C7367"/>
    <w:rsid w:val="2A2815FA"/>
    <w:rsid w:val="2A6D6092"/>
    <w:rsid w:val="2A7D76B4"/>
    <w:rsid w:val="2AFF761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B4250F"/>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6E7CAB"/>
    <w:rsid w:val="34950E68"/>
    <w:rsid w:val="34986E94"/>
    <w:rsid w:val="34AF62C9"/>
    <w:rsid w:val="34CB4388"/>
    <w:rsid w:val="34FA6E12"/>
    <w:rsid w:val="354D7158"/>
    <w:rsid w:val="358D5588"/>
    <w:rsid w:val="363A3B40"/>
    <w:rsid w:val="36401AD9"/>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15B66"/>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37FBC"/>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3C5345"/>
    <w:rsid w:val="495F5B3E"/>
    <w:rsid w:val="496F77D7"/>
    <w:rsid w:val="497654FD"/>
    <w:rsid w:val="49B64211"/>
    <w:rsid w:val="49D41AAC"/>
    <w:rsid w:val="49F6167F"/>
    <w:rsid w:val="4A064FA0"/>
    <w:rsid w:val="4A16615C"/>
    <w:rsid w:val="4A4424D7"/>
    <w:rsid w:val="4A7638C4"/>
    <w:rsid w:val="4AB82D0F"/>
    <w:rsid w:val="4AEB7664"/>
    <w:rsid w:val="4AFD7C19"/>
    <w:rsid w:val="4B0567D1"/>
    <w:rsid w:val="4B236AAE"/>
    <w:rsid w:val="4B2F799D"/>
    <w:rsid w:val="4B707271"/>
    <w:rsid w:val="4B9739F7"/>
    <w:rsid w:val="4BEE2503"/>
    <w:rsid w:val="4BF727EA"/>
    <w:rsid w:val="4C245A30"/>
    <w:rsid w:val="4C50029D"/>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42565"/>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3D8D"/>
    <w:rsid w:val="52D94AA4"/>
    <w:rsid w:val="52EA3A62"/>
    <w:rsid w:val="52F50BB8"/>
    <w:rsid w:val="53097272"/>
    <w:rsid w:val="534C1537"/>
    <w:rsid w:val="53544462"/>
    <w:rsid w:val="5397158E"/>
    <w:rsid w:val="53E325D5"/>
    <w:rsid w:val="54013861"/>
    <w:rsid w:val="540C4A75"/>
    <w:rsid w:val="541D0C3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57DE"/>
    <w:rsid w:val="58917D2F"/>
    <w:rsid w:val="5894085C"/>
    <w:rsid w:val="58AE4F0C"/>
    <w:rsid w:val="58B85899"/>
    <w:rsid w:val="58E363A9"/>
    <w:rsid w:val="58FD63A7"/>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5248"/>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0434C"/>
    <w:rsid w:val="668B6A45"/>
    <w:rsid w:val="67112C4A"/>
    <w:rsid w:val="672F3F24"/>
    <w:rsid w:val="673E055F"/>
    <w:rsid w:val="67551CE3"/>
    <w:rsid w:val="675B290B"/>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E0466"/>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431148"/>
    <w:rsid w:val="6B573233"/>
    <w:rsid w:val="6B5B6274"/>
    <w:rsid w:val="6B935D53"/>
    <w:rsid w:val="6C1316F7"/>
    <w:rsid w:val="6C196F71"/>
    <w:rsid w:val="6C226FCB"/>
    <w:rsid w:val="6C31226F"/>
    <w:rsid w:val="6C517EC7"/>
    <w:rsid w:val="6C552F0B"/>
    <w:rsid w:val="6C8C67B7"/>
    <w:rsid w:val="6C9D744C"/>
    <w:rsid w:val="6CD632E4"/>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B4EDB"/>
    <w:rsid w:val="6F2A7D94"/>
    <w:rsid w:val="6F8331F1"/>
    <w:rsid w:val="6FAE1A09"/>
    <w:rsid w:val="6FD75BF8"/>
    <w:rsid w:val="707723D0"/>
    <w:rsid w:val="70F5661B"/>
    <w:rsid w:val="71360107"/>
    <w:rsid w:val="713B688E"/>
    <w:rsid w:val="7148279F"/>
    <w:rsid w:val="71D43752"/>
    <w:rsid w:val="71F1796A"/>
    <w:rsid w:val="71FB63D5"/>
    <w:rsid w:val="72154626"/>
    <w:rsid w:val="72253C9E"/>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6DD4057"/>
    <w:rsid w:val="77052AA4"/>
    <w:rsid w:val="77136511"/>
    <w:rsid w:val="77340A39"/>
    <w:rsid w:val="77351FD0"/>
    <w:rsid w:val="77472422"/>
    <w:rsid w:val="777F31F2"/>
    <w:rsid w:val="77D1700D"/>
    <w:rsid w:val="77EC04CC"/>
    <w:rsid w:val="78775729"/>
    <w:rsid w:val="78A42DB0"/>
    <w:rsid w:val="78A656AB"/>
    <w:rsid w:val="78B2245C"/>
    <w:rsid w:val="78C72740"/>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EF3F34"/>
    <w:rsid w:val="ABAE2E32"/>
    <w:rsid w:val="AEFB2051"/>
    <w:rsid w:val="BB7FA927"/>
    <w:rsid w:val="CB5B20FB"/>
    <w:rsid w:val="EFBE7A0C"/>
    <w:rsid w:val="EFF72F48"/>
    <w:rsid w:val="F5FDC5E0"/>
    <w:rsid w:val="F5FFD31F"/>
    <w:rsid w:val="F7E57758"/>
    <w:rsid w:val="F7FD985E"/>
    <w:rsid w:val="FBDE7B37"/>
    <w:rsid w:val="FDEBBDD0"/>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next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2"/>
    <w:qFormat/>
    <w:uiPriority w:val="0"/>
    <w:pPr>
      <w:adjustRightInd w:val="0"/>
      <w:snapToGrid w:val="0"/>
      <w:spacing w:line="400" w:lineRule="exact"/>
      <w:ind w:firstLine="200" w:firstLineChars="200"/>
    </w:pPr>
    <w:rPr>
      <w:rFonts w:ascii="Arial" w:hAnsi="Arial"/>
      <w:color w:val="000000"/>
    </w:rPr>
  </w:style>
  <w:style w:type="paragraph" w:styleId="968">
    <w:name w:val="List Paragraph"/>
    <w:basedOn w:val="1"/>
    <w:qFormat/>
    <w:uiPriority w:val="99"/>
    <w:pPr>
      <w:ind w:firstLine="420" w:firstLineChars="200"/>
    </w:pPr>
    <w:rPr>
      <w:sz w:val="24"/>
      <w:szCs w:val="20"/>
    </w:rPr>
  </w:style>
  <w:style w:type="paragraph" w:customStyle="1" w:styleId="969">
    <w:name w:val="_Style 177"/>
    <w:basedOn w:val="1"/>
    <w:next w:val="1"/>
    <w:unhideWhenUsed/>
    <w:qFormat/>
    <w:uiPriority w:val="0"/>
    <w:pPr>
      <w:ind w:left="840" w:leftChars="4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5.wmf"/><Relationship Id="rId40" Type="http://schemas.openxmlformats.org/officeDocument/2006/relationships/oleObject" Target="embeddings/oleObject5.bin"/><Relationship Id="rId4" Type="http://schemas.openxmlformats.org/officeDocument/2006/relationships/header" Target="header2.xml"/><Relationship Id="rId39" Type="http://schemas.openxmlformats.org/officeDocument/2006/relationships/image" Target="media/image4.wmf"/><Relationship Id="rId38" Type="http://schemas.openxmlformats.org/officeDocument/2006/relationships/oleObject" Target="embeddings/oleObject4.bin"/><Relationship Id="rId37" Type="http://schemas.openxmlformats.org/officeDocument/2006/relationships/image" Target="media/image3.wmf"/><Relationship Id="rId36" Type="http://schemas.openxmlformats.org/officeDocument/2006/relationships/oleObject" Target="embeddings/oleObject3.bin"/><Relationship Id="rId35" Type="http://schemas.openxmlformats.org/officeDocument/2006/relationships/image" Target="media/image2.wmf"/><Relationship Id="rId34" Type="http://schemas.openxmlformats.org/officeDocument/2006/relationships/oleObject" Target="embeddings/oleObject2.bin"/><Relationship Id="rId33" Type="http://schemas.openxmlformats.org/officeDocument/2006/relationships/image" Target="media/image1.wmf"/><Relationship Id="rId32" Type="http://schemas.openxmlformats.org/officeDocument/2006/relationships/oleObject" Target="embeddings/oleObject1.bin"/><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175</Pages>
  <Words>11797</Words>
  <Characters>12838</Characters>
  <Lines>1</Lines>
  <Paragraphs>1</Paragraphs>
  <TotalTime>5</TotalTime>
  <ScaleCrop>false</ScaleCrop>
  <LinksUpToDate>false</LinksUpToDate>
  <CharactersWithSpaces>13139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2022-05-08T15:35:00Z</dcterms:created>
  <dc:creator>玥</dc:creator>
  <cp:lastModifiedBy>比你酷一点儿</cp:lastModifiedBy>
  <cp:lastPrinted>2025-06-13T00:02:00Z</cp:lastPrinted>
  <dcterms:modified xsi:type="dcterms:W3CDTF">2025-07-04T07:54:59Z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eyJoZGlkIjoiZDg0N2I0Mzg4NWQ0NmYxYTc4ZDEyZTJjN2I2OGQ1ZTgiLCJ1c2VySWQiOiI0Mzc5ODY0MTkifQ==</vt:lpwstr>
  </property>
</Properties>
</file>