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7E3993E5">
      <w:pPr>
        <w:adjustRightInd/>
        <w:spacing w:line="360" w:lineRule="auto"/>
        <w:jc w:val="both"/>
        <w:rPr>
          <w:rFonts w:ascii="宋体" w:hAnsi="宋体" w:cs="宋体"/>
          <w:b/>
          <w:color w:val="auto"/>
          <w:sz w:val="48"/>
          <w:szCs w:val="48"/>
          <w:highlight w:val="none"/>
        </w:rPr>
      </w:pPr>
    </w:p>
    <w:p w14:paraId="6D34D57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56"/>
          <w:szCs w:val="56"/>
          <w:highlight w:val="none"/>
        </w:rPr>
        <w:t>（</w:t>
      </w:r>
      <w:r>
        <w:rPr>
          <w:rFonts w:hint="eastAsia" w:ascii="宋体" w:hAnsi="宋体" w:cs="宋体"/>
          <w:color w:val="auto"/>
          <w:sz w:val="52"/>
          <w:szCs w:val="52"/>
          <w:highlight w:val="none"/>
          <w:lang w:eastAsia="zh-CN"/>
        </w:rPr>
        <w:t>笕桥街道机关工会疗休养项目</w:t>
      </w:r>
      <w:r>
        <w:rPr>
          <w:rFonts w:hint="eastAsia" w:ascii="宋体" w:hAnsi="宋体" w:cs="宋体"/>
          <w:color w:val="auto"/>
          <w:sz w:val="56"/>
          <w:szCs w:val="56"/>
          <w:highlight w:val="none"/>
        </w:rPr>
        <w:t>）</w:t>
      </w:r>
    </w:p>
    <w:p w14:paraId="6DE58DE0">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（电子招投标）</w:t>
      </w:r>
    </w:p>
    <w:p w14:paraId="7EB7ECAE">
      <w:pPr>
        <w:adjustRightInd/>
        <w:spacing w:line="360" w:lineRule="auto"/>
        <w:jc w:val="center"/>
        <w:rPr>
          <w:rFonts w:hint="eastAsia" w:ascii="宋体" w:hAnsi="宋体" w:cs="宋体"/>
          <w:color w:val="auto"/>
          <w:sz w:val="48"/>
          <w:szCs w:val="48"/>
          <w:highlight w:val="none"/>
        </w:rPr>
      </w:pPr>
    </w:p>
    <w:p w14:paraId="4F8D835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w:t>
      </w:r>
    </w:p>
    <w:p w14:paraId="56EC62D7">
      <w:pPr>
        <w:adjustRightInd/>
        <w:spacing w:line="360" w:lineRule="auto"/>
        <w:jc w:val="center"/>
        <w:rPr>
          <w:rFonts w:hint="eastAsia" w:ascii="宋体" w:hAnsi="宋体" w:cs="宋体"/>
          <w:color w:val="auto"/>
          <w:sz w:val="48"/>
          <w:szCs w:val="48"/>
          <w:highlight w:val="none"/>
        </w:rPr>
      </w:pPr>
    </w:p>
    <w:p w14:paraId="5C89E8A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标</w:t>
      </w:r>
    </w:p>
    <w:p w14:paraId="3A04D569">
      <w:pPr>
        <w:adjustRightInd/>
        <w:spacing w:line="360" w:lineRule="auto"/>
        <w:jc w:val="center"/>
        <w:rPr>
          <w:rFonts w:hint="eastAsia" w:ascii="宋体" w:hAnsi="宋体" w:cs="宋体"/>
          <w:color w:val="auto"/>
          <w:sz w:val="48"/>
          <w:szCs w:val="48"/>
          <w:highlight w:val="none"/>
        </w:rPr>
      </w:pPr>
    </w:p>
    <w:p w14:paraId="7770A9E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文</w:t>
      </w:r>
    </w:p>
    <w:p w14:paraId="0D6C9DC6">
      <w:pPr>
        <w:adjustRightInd/>
        <w:spacing w:line="360" w:lineRule="auto"/>
        <w:jc w:val="center"/>
        <w:rPr>
          <w:rFonts w:hint="eastAsia" w:ascii="宋体" w:hAnsi="宋体" w:cs="宋体"/>
          <w:color w:val="auto"/>
          <w:sz w:val="48"/>
          <w:szCs w:val="48"/>
          <w:highlight w:val="none"/>
        </w:rPr>
      </w:pP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color w:val="auto"/>
          <w:sz w:val="48"/>
          <w:szCs w:val="48"/>
          <w:highlight w:val="none"/>
        </w:rPr>
        <w:t xml:space="preserve">件 </w:t>
      </w:r>
    </w:p>
    <w:p w14:paraId="4B65B72C">
      <w:pPr>
        <w:snapToGrid w:val="0"/>
        <w:spacing w:line="360" w:lineRule="auto"/>
        <w:jc w:val="center"/>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JQ-GS-20250707</w:t>
      </w:r>
    </w:p>
    <w:p w14:paraId="17DD0206">
      <w:pPr>
        <w:pStyle w:val="2"/>
        <w:rPr>
          <w:rFonts w:hint="default"/>
          <w:lang w:val="en-US" w:eastAsia="zh-CN"/>
        </w:rPr>
      </w:pPr>
    </w:p>
    <w:p w14:paraId="732EA611">
      <w:pPr>
        <w:snapToGrid w:val="0"/>
        <w:spacing w:line="360" w:lineRule="auto"/>
        <w:jc w:val="center"/>
        <w:rPr>
          <w:rFonts w:hint="eastAsia" w:ascii="宋体" w:hAnsi="宋体" w:cs="宋体"/>
          <w:bCs/>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杭州市上城区人民政府笕桥街道办事处</w:t>
      </w:r>
    </w:p>
    <w:p w14:paraId="529E7788">
      <w:pPr>
        <w:spacing w:line="360" w:lineRule="auto"/>
        <w:jc w:val="center"/>
        <w:rPr>
          <w:rFonts w:hint="eastAsia" w:ascii="宋体" w:hAnsi="宋体" w:cs="宋体"/>
          <w:bCs/>
          <w:color w:val="auto"/>
          <w:sz w:val="32"/>
          <w:szCs w:val="32"/>
          <w:highlight w:val="none"/>
        </w:rPr>
      </w:pPr>
    </w:p>
    <w:p w14:paraId="00A31FC5">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杭州广厦建筑咨询有限公司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笕桥街道机关工会疗休养项目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项目编号：JQ-GS-2025</w:t>
      </w:r>
      <w:r>
        <w:rPr>
          <w:rFonts w:hint="eastAsia" w:ascii="宋体" w:hAnsi="宋体" w:cs="宋体"/>
          <w:b/>
          <w:color w:val="auto"/>
          <w:sz w:val="24"/>
          <w:highlight w:val="none"/>
          <w:lang w:eastAsia="zh-CN"/>
        </w:rPr>
        <w:t>0707</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笕桥街道机关工会疗休养项目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 xml:space="preserve">680000 </w:t>
      </w:r>
    </w:p>
    <w:p w14:paraId="4EDBC29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680000  </w:t>
      </w:r>
    </w:p>
    <w:p w14:paraId="5D6D4965">
      <w:pPr>
        <w:spacing w:line="360" w:lineRule="auto"/>
        <w:jc w:val="left"/>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snapToGrid w:val="0"/>
          <w:color w:val="auto"/>
          <w:kern w:val="28"/>
          <w:sz w:val="24"/>
          <w:szCs w:val="20"/>
          <w:highlight w:val="none"/>
          <w:lang w:val="en-US" w:eastAsia="zh-CN"/>
        </w:rPr>
        <w:t>主要内容是</w:t>
      </w:r>
      <w:r>
        <w:rPr>
          <w:rFonts w:hint="eastAsia" w:ascii="宋体" w:hAnsi="宋体" w:cs="宋体"/>
          <w:snapToGrid w:val="0"/>
          <w:color w:val="auto"/>
          <w:kern w:val="28"/>
          <w:sz w:val="24"/>
          <w:szCs w:val="20"/>
          <w:highlight w:val="none"/>
          <w:lang w:val="en-US" w:eastAsia="zh-CN"/>
        </w:rPr>
        <w:t>笕桥街道机关工会</w:t>
      </w:r>
      <w:r>
        <w:rPr>
          <w:rFonts w:hint="eastAsia" w:ascii="宋体" w:hAnsi="宋体" w:eastAsia="宋体" w:cs="宋体"/>
          <w:snapToGrid w:val="0"/>
          <w:color w:val="auto"/>
          <w:kern w:val="28"/>
          <w:sz w:val="24"/>
          <w:szCs w:val="20"/>
          <w:highlight w:val="none"/>
          <w:lang w:val="en-US" w:eastAsia="zh-CN"/>
        </w:rPr>
        <w:t>等人员疗休养，提供出行计划安排、出行线路安排、交通安排、住宿及餐饮等一系列服务。疗休养人员共计</w:t>
      </w:r>
      <w:r>
        <w:rPr>
          <w:rFonts w:hint="eastAsia" w:ascii="宋体" w:hAnsi="宋体" w:cs="宋体"/>
          <w:snapToGrid w:val="0"/>
          <w:color w:val="auto"/>
          <w:kern w:val="28"/>
          <w:sz w:val="24"/>
          <w:szCs w:val="20"/>
          <w:highlight w:val="none"/>
          <w:lang w:val="en-US" w:eastAsia="zh-CN"/>
        </w:rPr>
        <w:t>155</w:t>
      </w:r>
      <w:r>
        <w:rPr>
          <w:rFonts w:hint="eastAsia" w:ascii="宋体" w:hAnsi="宋体" w:eastAsia="宋体" w:cs="宋体"/>
          <w:snapToGrid w:val="0"/>
          <w:color w:val="auto"/>
          <w:kern w:val="28"/>
          <w:sz w:val="24"/>
          <w:szCs w:val="20"/>
          <w:highlight w:val="none"/>
          <w:lang w:val="en-US" w:eastAsia="zh-CN"/>
        </w:rPr>
        <w:t>人左右，按照省外每人3000元（不含大交通），省内每人3000元（含大交通）标准</w:t>
      </w:r>
      <w:r>
        <w:rPr>
          <w:rFonts w:hint="eastAsia" w:ascii="宋体" w:hAnsi="宋体" w:cs="宋体"/>
          <w:snapToGrid w:val="0"/>
          <w:color w:val="auto"/>
          <w:kern w:val="28"/>
          <w:sz w:val="24"/>
          <w:szCs w:val="20"/>
          <w:highlight w:val="none"/>
          <w:lang w:val="en-US" w:eastAsia="zh-CN"/>
        </w:rPr>
        <w:t>。分5批出行（暂分浙江省内3批和浙江省外2批）。</w:t>
      </w:r>
      <w:r>
        <w:rPr>
          <w:rFonts w:hint="eastAsia" w:hAnsi="宋体" w:cs="宋体"/>
          <w:bCs/>
          <w:snapToGrid/>
          <w:color w:val="auto"/>
          <w:kern w:val="2"/>
          <w:sz w:val="24"/>
          <w:szCs w:val="24"/>
          <w:highlight w:val="none"/>
        </w:rPr>
        <w:t>详见采购文件第三部分采购需求。</w:t>
      </w:r>
    </w:p>
    <w:p w14:paraId="0CF83623">
      <w:pPr>
        <w:spacing w:line="360" w:lineRule="auto"/>
        <w:jc w:val="left"/>
        <w:rPr>
          <w:rFonts w:ascii="宋体" w:hAnsi="宋体" w:cs="宋体"/>
          <w:color w:val="auto"/>
          <w:highlight w:val="none"/>
        </w:rPr>
      </w:pPr>
      <w:r>
        <w:rPr>
          <w:rFonts w:hint="eastAsia" w:ascii="宋体" w:hAnsi="宋体" w:cs="宋体"/>
          <w:b/>
          <w:color w:val="auto"/>
          <w:highlight w:val="none"/>
        </w:rPr>
        <w:t>合同履约期限：202</w:t>
      </w:r>
      <w:r>
        <w:rPr>
          <w:rFonts w:hint="eastAsia" w:ascii="宋体" w:hAnsi="宋体" w:cs="宋体"/>
          <w:b/>
          <w:color w:val="auto"/>
          <w:highlight w:val="none"/>
          <w:lang w:val="en-US" w:eastAsia="zh-CN"/>
        </w:rPr>
        <w:t>5</w:t>
      </w:r>
      <w:r>
        <w:rPr>
          <w:rFonts w:hint="eastAsia" w:ascii="宋体" w:hAnsi="宋体" w:cs="宋体"/>
          <w:b/>
          <w:color w:val="auto"/>
          <w:highlight w:val="none"/>
        </w:rPr>
        <w:t>年12月底前完成</w:t>
      </w:r>
      <w:r>
        <w:rPr>
          <w:rFonts w:ascii="宋体" w:hAnsi="宋体" w:cs="宋体"/>
          <w:color w:val="auto"/>
          <w:highlight w:val="none"/>
        </w:rPr>
        <w:t xml:space="preserve"> </w:t>
      </w:r>
    </w:p>
    <w:p w14:paraId="07281B02">
      <w:pPr>
        <w:pStyle w:val="6"/>
        <w:spacing w:line="360" w:lineRule="auto"/>
        <w:ind w:left="0" w:leftChars="0" w:firstLine="0" w:firstLineChars="0"/>
        <w:rPr>
          <w:rFonts w:hint="eastAsia" w:hAnsi="宋体" w:eastAsia="宋体" w:cs="宋体"/>
          <w:b/>
          <w:color w:val="auto"/>
          <w:highlight w:val="none"/>
          <w:lang w:eastAsia="zh-CN"/>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sz w:val="24"/>
          <w:highlight w:val="none"/>
          <w:lang w:eastAsia="zh-CN"/>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480" w:firstLineChars="20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服务全部由符合政策要求的中小企业承接，提供中小企业声明函；</w:t>
      </w:r>
    </w:p>
    <w:p w14:paraId="54F8041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color w:val="auto"/>
          <w:kern w:val="2"/>
          <w:sz w:val="24"/>
          <w:szCs w:val="24"/>
          <w:highlight w:val="none"/>
          <w:lang w:val="en-US" w:eastAsia="zh-CN" w:bidi="ar-SA"/>
        </w:rPr>
        <w:t>具有有效的《旅行社业务经营许可证》。</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B475FC">
      <w:pPr>
        <w:spacing w:line="360" w:lineRule="auto"/>
        <w:rPr>
          <w:rFonts w:hint="eastAsia" w:ascii="宋体" w:hAnsi="宋体" w:cs="宋体"/>
          <w:b/>
          <w:color w:val="auto"/>
          <w:sz w:val="24"/>
          <w:highlight w:val="none"/>
        </w:rPr>
      </w:pP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日09点30分00秒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开标时间：2025年</w:t>
      </w:r>
      <w:r>
        <w:rPr>
          <w:rFonts w:hint="eastAsia" w:ascii="宋体" w:hAnsi="宋体" w:cs="宋体"/>
          <w:b/>
          <w:color w:val="auto"/>
          <w:sz w:val="24"/>
          <w:highlight w:val="none"/>
          <w:lang w:val="en-US" w:eastAsia="zh-CN"/>
        </w:rPr>
        <w:t>07</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31</w:t>
      </w:r>
      <w:r>
        <w:rPr>
          <w:rFonts w:hint="eastAsia" w:ascii="宋体" w:hAnsi="宋体" w:cs="宋体"/>
          <w:b/>
          <w:color w:val="auto"/>
          <w:sz w:val="24"/>
          <w:highlight w:val="none"/>
        </w:rPr>
        <w:t xml:space="preserve">日09点30分00秒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6110DA">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636EB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杭州市上城区人民政府笕桥街道办事处</w:t>
      </w:r>
    </w:p>
    <w:p w14:paraId="747787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eastAsia="zh-CN"/>
        </w:rPr>
        <w:t>浙江省杭州市上城区机场路391号</w:t>
      </w:r>
    </w:p>
    <w:p w14:paraId="5623E5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492346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高工</w:t>
      </w:r>
      <w:r>
        <w:rPr>
          <w:rFonts w:hint="eastAsia" w:ascii="宋体" w:hAnsi="宋体" w:cs="宋体"/>
          <w:color w:val="auto"/>
          <w:sz w:val="24"/>
          <w:highlight w:val="none"/>
          <w:lang w:val="en-US" w:eastAsia="zh-CN"/>
        </w:rPr>
        <w:tab/>
      </w:r>
    </w:p>
    <w:p w14:paraId="57CE62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项目联系方式：13336062163</w:t>
      </w:r>
    </w:p>
    <w:p w14:paraId="1B057C3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郑工</w:t>
      </w:r>
    </w:p>
    <w:p w14:paraId="2642C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质疑联系方式：15372083997</w:t>
      </w:r>
      <w:bookmarkStart w:id="0" w:name="_GoBack"/>
      <w:bookmarkEnd w:id="0"/>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杭州广厦建筑咨询有限公司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杭州市上城区秋涛北路332号佰富时代中心2幢1010</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100F335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何懿冉</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18329196300</w:t>
      </w:r>
    </w:p>
    <w:p w14:paraId="44BADC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蒋炜玮</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15706871603</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rPr>
        <w:t>陈先生、厉先生，0571-89580460、89580456</w:t>
      </w:r>
      <w:r>
        <w:rPr>
          <w:rFonts w:hint="eastAsia" w:ascii="宋体" w:hAnsi="宋体" w:cs="宋体"/>
          <w:color w:val="auto"/>
          <w:sz w:val="24"/>
          <w:highlight w:val="none"/>
          <w:lang w:eastAsia="zh-CN"/>
        </w:rPr>
        <w:t>，</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jc w:val="left"/>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AAEB3">
            <w:pPr>
              <w:spacing w:line="360" w:lineRule="auto"/>
              <w:jc w:val="left"/>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 xml:space="preserve"> 笕桥街道机关工会疗休养项目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sz w:val="24"/>
                <w:highlight w:val="none"/>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FD0C2">
            <w:pPr>
              <w:spacing w:line="360" w:lineRule="auto"/>
              <w:jc w:val="left"/>
              <w:rPr>
                <w:rFonts w:ascii="宋体" w:hAnsi="宋体" w:cs="宋体"/>
                <w:color w:val="auto"/>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5748277">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E5266">
            <w:pPr>
              <w:spacing w:line="360" w:lineRule="auto"/>
              <w:jc w:val="left"/>
              <w:rPr>
                <w:rFonts w:hint="eastAsia" w:eastAsia="宋体"/>
                <w:color w:val="auto"/>
                <w:highlight w:val="none"/>
                <w:lang w:eastAsia="zh-CN"/>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D61E6">
            <w:pPr>
              <w:spacing w:line="360" w:lineRule="auto"/>
              <w:jc w:val="left"/>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D1C2A">
            <w:pPr>
              <w:spacing w:line="360" w:lineRule="auto"/>
              <w:jc w:val="left"/>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jc w:val="lef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9C289">
            <w:pPr>
              <w:pStyle w:val="79"/>
              <w:snapToGrid w:val="0"/>
              <w:spacing w:line="360" w:lineRule="auto"/>
              <w:ind w:firstLine="0" w:firstLineChars="0"/>
              <w:jc w:val="center"/>
              <w:rPr>
                <w:color w:val="auto"/>
                <w:highlight w:val="none"/>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投标报价超过招标文件中规定的预算金额或者最高限的;</w:t>
            </w:r>
          </w:p>
          <w:p w14:paraId="02250257">
            <w:pPr>
              <w:spacing w:line="360" w:lineRule="auto"/>
              <w:jc w:val="left"/>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jc w:val="left"/>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jc w:val="center"/>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jc w:val="center"/>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杭州市上城区秋涛北路332号佰富时代中心2幢1010</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何工/18329196300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jc w:val="cente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3E0D79">
            <w:pPr>
              <w:spacing w:line="360" w:lineRule="auto"/>
              <w:jc w:val="both"/>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联</w:t>
            </w:r>
            <w:r>
              <w:rPr>
                <w:rFonts w:hint="eastAsia" w:ascii="宋体" w:hAnsi="宋体" w:cs="宋体"/>
                <w:snapToGrid w:val="0"/>
                <w:color w:val="auto"/>
                <w:kern w:val="28"/>
                <w:sz w:val="24"/>
                <w:highlight w:val="none"/>
              </w:rPr>
              <w:t>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jc w:val="left"/>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0E61643">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由中标人在领取中标通知书时支付。</w:t>
            </w:r>
          </w:p>
          <w:p w14:paraId="2C3A6848">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收费标准：以中标金额为计费基准，按</w:t>
            </w:r>
            <w:r>
              <w:rPr>
                <w:rFonts w:hint="eastAsia" w:ascii="宋体" w:hAnsi="宋体" w:eastAsia="宋体" w:cs="宋体"/>
                <w:snapToGrid w:val="0"/>
                <w:color w:val="auto"/>
                <w:kern w:val="28"/>
                <w:sz w:val="24"/>
                <w:highlight w:val="none"/>
              </w:rPr>
              <w:t>代理费收费参考浙价服</w:t>
            </w:r>
            <w:r>
              <w:rPr>
                <w:rFonts w:hint="eastAsia" w:ascii="宋体" w:hAnsi="宋体" w:cs="宋体"/>
                <w:snapToGrid w:val="0"/>
                <w:color w:val="auto"/>
                <w:kern w:val="28"/>
                <w:sz w:val="24"/>
                <w:highlight w:val="none"/>
                <w:lang w:val="en-US" w:eastAsia="zh-CN"/>
              </w:rPr>
              <w:t>1980</w:t>
            </w:r>
            <w:r>
              <w:rPr>
                <w:rFonts w:hint="eastAsia" w:ascii="宋体" w:hAnsi="宋体" w:eastAsia="宋体" w:cs="宋体"/>
                <w:snapToGrid w:val="0"/>
                <w:color w:val="auto"/>
                <w:kern w:val="28"/>
                <w:sz w:val="24"/>
                <w:highlight w:val="none"/>
              </w:rPr>
              <w:t>号文件</w:t>
            </w:r>
            <w:r>
              <w:rPr>
                <w:rFonts w:hint="eastAsia" w:ascii="宋体" w:hAnsi="宋体" w:eastAsia="宋体" w:cs="宋体"/>
                <w:snapToGrid w:val="0"/>
                <w:color w:val="auto"/>
                <w:kern w:val="28"/>
                <w:sz w:val="24"/>
                <w:highlight w:val="none"/>
                <w:lang w:val="en-US" w:eastAsia="zh-CN"/>
              </w:rPr>
              <w:t>收取</w:t>
            </w:r>
            <w:r>
              <w:rPr>
                <w:rFonts w:hint="eastAsia" w:ascii="宋体" w:hAnsi="宋体" w:eastAsia="宋体" w:cs="宋体"/>
                <w:snapToGrid w:val="0"/>
                <w:color w:val="auto"/>
                <w:kern w:val="28"/>
                <w:sz w:val="24"/>
                <w:highlight w:val="none"/>
              </w:rPr>
              <w:t>，由中标单位支付</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按中标价为计算基准，</w:t>
            </w:r>
            <w:r>
              <w:rPr>
                <w:rFonts w:hint="eastAsia" w:ascii="宋体" w:hAnsi="宋体" w:cs="宋体"/>
                <w:color w:val="auto"/>
                <w:kern w:val="0"/>
                <w:sz w:val="24"/>
                <w:highlight w:val="none"/>
              </w:rPr>
              <w:t>不足人民币陆仟元按陆仟元计取。即：</w:t>
            </w:r>
          </w:p>
          <w:tbl>
            <w:tblPr>
              <w:tblStyle w:val="63"/>
              <w:tblW w:w="5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3000"/>
            </w:tblGrid>
            <w:tr w14:paraId="25B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C823A7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中标金额</w:t>
                  </w:r>
                </w:p>
              </w:tc>
              <w:tc>
                <w:tcPr>
                  <w:tcW w:w="3000" w:type="dxa"/>
                </w:tcPr>
                <w:p w14:paraId="5C1F02AB">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服务类收费费率</w:t>
                  </w:r>
                </w:p>
              </w:tc>
            </w:tr>
            <w:tr w14:paraId="017C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7E4F1F2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≤100万元（部分）</w:t>
                  </w:r>
                </w:p>
              </w:tc>
              <w:tc>
                <w:tcPr>
                  <w:tcW w:w="3000" w:type="dxa"/>
                  <w:vAlign w:val="center"/>
                </w:tcPr>
                <w:p w14:paraId="427ADC8D">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1.5%</w:t>
                  </w:r>
                </w:p>
              </w:tc>
            </w:tr>
            <w:tr w14:paraId="48A6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4110F422">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100万元-500万元（部分）</w:t>
                  </w:r>
                </w:p>
              </w:tc>
              <w:tc>
                <w:tcPr>
                  <w:tcW w:w="3000" w:type="dxa"/>
                  <w:vAlign w:val="center"/>
                </w:tcPr>
                <w:p w14:paraId="26E8F903">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0.8%</w:t>
                  </w:r>
                </w:p>
              </w:tc>
            </w:tr>
          </w:tbl>
          <w:p w14:paraId="790FAAA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收取方式：本项目的代理费由中标人分别支付。在中标结果公告发出后15个工作日内由中标人分别一次性向采购代理机构付清。账户信息如下：</w:t>
            </w:r>
          </w:p>
          <w:p w14:paraId="3C2BBDEB">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账户名称：杭州广厦建筑咨询有限公司</w:t>
            </w:r>
          </w:p>
          <w:p w14:paraId="027D37E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开户银行：377958326822</w:t>
            </w:r>
          </w:p>
          <w:p w14:paraId="74F7CCC7">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银行账号：中国银行杭州城北支行</w:t>
            </w:r>
          </w:p>
          <w:p w14:paraId="4C802DFB">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其他：</w:t>
            </w:r>
          </w:p>
          <w:p w14:paraId="581FB2F9">
            <w:pPr>
              <w:spacing w:line="360" w:lineRule="auto"/>
              <w:jc w:val="left"/>
              <w:rPr>
                <w:rFonts w:hint="eastAsia" w:ascii="宋体" w:hAnsi="宋体" w:eastAsia="宋体" w:cs="宋体"/>
                <w:color w:val="auto"/>
                <w:kern w:val="0"/>
                <w:sz w:val="24"/>
                <w:highlight w:val="none"/>
                <w:lang w:val="en" w:eastAsia="zh-CN"/>
              </w:rPr>
            </w:pPr>
            <w:r>
              <w:rPr>
                <w:rFonts w:hint="eastAsia" w:ascii="宋体" w:hAnsi="宋体" w:cs="宋体"/>
                <w:color w:val="auto"/>
                <w:kern w:val="0"/>
                <w:sz w:val="24"/>
                <w:highlight w:val="none"/>
              </w:rPr>
              <w:t>供应商提出质疑或投诉的，供应商在浙江政府采购网电子交易系统（政采云系统）在线提出。</w:t>
            </w:r>
          </w:p>
        </w:tc>
      </w:tr>
    </w:tbl>
    <w:p w14:paraId="1969C939">
      <w:pPr>
        <w:snapToGrid w:val="0"/>
        <w:spacing w:line="360" w:lineRule="auto"/>
        <w:jc w:val="center"/>
        <w:rPr>
          <w:rFonts w:ascii="宋体" w:hAnsi="宋体" w:cs="宋体"/>
          <w:b/>
          <w:color w:val="auto"/>
          <w:sz w:val="32"/>
          <w:szCs w:val="20"/>
          <w:highlight w:val="none"/>
        </w:rPr>
      </w:pPr>
    </w:p>
    <w:p w14:paraId="4FDFB31C">
      <w:pPr>
        <w:pStyle w:val="2"/>
        <w:rPr>
          <w:rFonts w:ascii="宋体" w:hAnsi="宋体" w:cs="宋体"/>
          <w:b/>
          <w:color w:val="auto"/>
          <w:sz w:val="32"/>
          <w:szCs w:val="20"/>
          <w:highlight w:val="none"/>
        </w:rPr>
      </w:pPr>
    </w:p>
    <w:p w14:paraId="61647072"/>
    <w:p w14:paraId="22C0F6DD">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93CF22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adjustRightInd w:val="0"/>
        <w:snapToGrid w:val="0"/>
        <w:spacing w:line="360" w:lineRule="auto"/>
        <w:ind w:firstLine="420" w:firstLineChars="200"/>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BB4D946">
      <w:pPr>
        <w:pStyle w:val="131"/>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060547">
      <w:pPr>
        <w:pStyle w:val="131"/>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DC5F1C0">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18C358E">
      <w:pPr>
        <w:pStyle w:val="131"/>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6CF853D2">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F4F139C">
      <w:pPr>
        <w:pStyle w:val="131"/>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EB3596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DECACE4">
      <w:pPr>
        <w:tabs>
          <w:tab w:val="left" w:pos="1021"/>
          <w:tab w:val="center" w:pos="4199"/>
        </w:tabs>
        <w:spacing w:line="360" w:lineRule="auto"/>
        <w:jc w:val="left"/>
        <w:outlineLvl w:val="0"/>
        <w:rPr>
          <w:rFonts w:hint="eastAsia" w:ascii="宋体" w:hAnsi="宋体" w:eastAsia="宋体"/>
          <w:b/>
          <w:bCs/>
          <w:snapToGrid w:val="0"/>
          <w:color w:val="auto"/>
          <w:kern w:val="0"/>
          <w:sz w:val="24"/>
          <w:szCs w:val="24"/>
          <w:highlight w:val="none"/>
          <w:lang w:eastAsia="zh-CN"/>
        </w:rPr>
      </w:pPr>
      <w:r>
        <w:rPr>
          <w:rFonts w:hint="eastAsia" w:ascii="宋体" w:hAnsi="宋体"/>
          <w:b/>
          <w:bCs/>
          <w:snapToGrid w:val="0"/>
          <w:color w:val="auto"/>
          <w:kern w:val="0"/>
          <w:sz w:val="24"/>
          <w:szCs w:val="24"/>
          <w:highlight w:val="none"/>
          <w:lang w:eastAsia="zh-CN"/>
        </w:rPr>
        <w:t>一、项目概况</w:t>
      </w:r>
    </w:p>
    <w:p w14:paraId="098CA090">
      <w:pPr>
        <w:pStyle w:val="4"/>
        <w:keepNext/>
        <w:keepLines/>
        <w:pageBreakBefore w:val="0"/>
        <w:widowControl w:val="0"/>
        <w:numPr>
          <w:ilvl w:val="0"/>
          <w:numId w:val="0"/>
        </w:numPr>
        <w:tabs>
          <w:tab w:val="left" w:pos="706"/>
          <w:tab w:val="clear" w:pos="432"/>
        </w:tabs>
        <w:kinsoku/>
        <w:wordWrap/>
        <w:overflowPunct/>
        <w:topLinePunct w:val="0"/>
        <w:autoSpaceDE/>
        <w:autoSpaceDN/>
        <w:bidi w:val="0"/>
        <w:adjustRightInd/>
        <w:snapToGrid w:val="0"/>
        <w:spacing w:before="0" w:after="0" w:line="360" w:lineRule="auto"/>
        <w:ind w:firstLine="480" w:firstLineChars="200"/>
        <w:textAlignment w:val="auto"/>
        <w:rPr>
          <w:rFonts w:hint="eastAsia" w:asciiTheme="minorEastAsia" w:hAnsiTheme="minorEastAsia" w:eastAsiaTheme="minorEastAsia" w:cstheme="minorEastAsia"/>
          <w:b w:val="0"/>
          <w:bCs w:val="0"/>
          <w:snapToGrid w:val="0"/>
          <w:color w:val="auto"/>
          <w:kern w:val="0"/>
          <w:sz w:val="24"/>
          <w:szCs w:val="24"/>
          <w:highlight w:val="none"/>
          <w:lang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主</w:t>
      </w:r>
      <w:r>
        <w:rPr>
          <w:rFonts w:hint="eastAsia" w:asciiTheme="minorEastAsia" w:hAnsiTheme="minorEastAsia" w:eastAsiaTheme="minorEastAsia" w:cstheme="minorEastAsia"/>
          <w:b w:val="0"/>
          <w:bCs w:val="0"/>
          <w:snapToGrid w:val="0"/>
          <w:color w:val="auto"/>
          <w:kern w:val="0"/>
          <w:sz w:val="24"/>
          <w:szCs w:val="24"/>
          <w:highlight w:val="none"/>
          <w:lang w:eastAsia="zh-CN"/>
        </w:rPr>
        <w:t>要内容是笕桥街道机关工会等人员疗休养，提供出行计划安排、出行线路安排、交通安排、住宿及餐饮等一系列服务。疗休养人员共计155人左右，按照省外每人3000元（不含大交通），省内每人3000元（含大交通）标准。</w:t>
      </w:r>
    </w:p>
    <w:p w14:paraId="12FCF205">
      <w:pPr>
        <w:pStyle w:val="4"/>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textAlignment w:val="auto"/>
        <w:rPr>
          <w:rFonts w:ascii="宋体" w:hAnsi="宋体" w:eastAsia="宋体"/>
          <w:snapToGrid w:val="0"/>
          <w:color w:val="auto"/>
          <w:kern w:val="0"/>
          <w:sz w:val="24"/>
          <w:szCs w:val="24"/>
          <w:highlight w:val="none"/>
        </w:rPr>
      </w:pPr>
      <w:r>
        <w:rPr>
          <w:rFonts w:hint="eastAsia" w:ascii="宋体" w:hAnsi="宋体"/>
          <w:snapToGrid w:val="0"/>
          <w:color w:val="auto"/>
          <w:kern w:val="0"/>
          <w:sz w:val="24"/>
          <w:szCs w:val="24"/>
          <w:highlight w:val="none"/>
          <w:lang w:eastAsia="zh-CN"/>
        </w:rPr>
        <w:t>二、服务</w:t>
      </w:r>
      <w:r>
        <w:rPr>
          <w:rFonts w:hint="eastAsia" w:ascii="宋体" w:hAnsi="宋体" w:eastAsia="宋体"/>
          <w:snapToGrid w:val="0"/>
          <w:color w:val="auto"/>
          <w:kern w:val="0"/>
          <w:sz w:val="24"/>
          <w:szCs w:val="24"/>
          <w:highlight w:val="none"/>
        </w:rPr>
        <w:t>时间</w:t>
      </w:r>
    </w:p>
    <w:p w14:paraId="5C426217">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Arial"/>
          <w:color w:val="auto"/>
          <w:kern w:val="0"/>
          <w:sz w:val="24"/>
          <w:szCs w:val="24"/>
          <w:highlight w:val="none"/>
          <w:lang w:val="en-US" w:eastAsia="zh-CN"/>
        </w:rPr>
      </w:pPr>
      <w:r>
        <w:rPr>
          <w:rFonts w:hint="eastAsia" w:ascii="宋体" w:hAnsi="宋体" w:cs="宋体"/>
          <w:snapToGrid w:val="0"/>
          <w:color w:val="auto"/>
          <w:kern w:val="28"/>
          <w:sz w:val="24"/>
          <w:szCs w:val="20"/>
          <w:highlight w:val="none"/>
          <w:lang w:val="en-US" w:eastAsia="zh-CN"/>
        </w:rPr>
        <w:t>分</w:t>
      </w:r>
      <w:r>
        <w:rPr>
          <w:rFonts w:hint="eastAsia" w:hAnsi="宋体" w:cs="宋体"/>
          <w:snapToGrid w:val="0"/>
          <w:color w:val="auto"/>
          <w:kern w:val="28"/>
          <w:sz w:val="24"/>
          <w:szCs w:val="20"/>
          <w:highlight w:val="none"/>
          <w:lang w:val="en-US" w:eastAsia="zh-CN"/>
        </w:rPr>
        <w:t>5</w:t>
      </w:r>
      <w:r>
        <w:rPr>
          <w:rFonts w:hint="eastAsia" w:ascii="宋体" w:hAnsi="宋体" w:cs="宋体"/>
          <w:snapToGrid w:val="0"/>
          <w:color w:val="auto"/>
          <w:kern w:val="28"/>
          <w:sz w:val="24"/>
          <w:szCs w:val="20"/>
          <w:highlight w:val="none"/>
          <w:lang w:val="en-US" w:eastAsia="zh-CN"/>
        </w:rPr>
        <w:t>批出行（暂分浙江省内3批和浙江省外</w:t>
      </w:r>
      <w:r>
        <w:rPr>
          <w:rFonts w:hint="eastAsia"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lang w:val="en-US" w:eastAsia="zh-CN"/>
        </w:rPr>
        <w:t>批）</w:t>
      </w:r>
      <w:r>
        <w:rPr>
          <w:rFonts w:hint="eastAsia" w:hAnsi="宋体" w:cs="Arial"/>
          <w:color w:val="auto"/>
          <w:kern w:val="0"/>
          <w:sz w:val="24"/>
          <w:szCs w:val="24"/>
          <w:highlight w:val="none"/>
          <w:lang w:val="zh-CN" w:eastAsia="zh-CN"/>
        </w:rPr>
        <w:t>，</w:t>
      </w:r>
      <w:r>
        <w:rPr>
          <w:rFonts w:hint="eastAsia" w:hAnsi="宋体" w:cs="Arial"/>
          <w:color w:val="auto"/>
          <w:kern w:val="0"/>
          <w:sz w:val="24"/>
          <w:szCs w:val="24"/>
          <w:highlight w:val="none"/>
          <w:lang w:val="en-US" w:eastAsia="zh-CN"/>
        </w:rPr>
        <w:t>路线暂定为：1、四川雅江（费用标准7000元/人（含大交通）、适时出发）；2、青海德令哈（费用标准6500元/人（含大交通）、8月25日出发）；3、温州雁荡山洞头（费用标准3000元/人、7-8月出发）；4、温州楠溪江洞头（费用标准3000元/人、9月出发）；5、衢州地区（费用3000元/人、7-8月出发），具体时间以采购人通知为准，最晚在2025年12月底前完成所有出行任务。</w:t>
      </w:r>
    </w:p>
    <w:p w14:paraId="7AD94794">
      <w:pPr>
        <w:pStyle w:val="4"/>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textAlignment w:val="auto"/>
        <w:rPr>
          <w:rFonts w:hint="eastAsia" w:ascii="宋体" w:hAnsi="宋体" w:eastAsia="宋体"/>
          <w:snapToGrid w:val="0"/>
          <w:color w:val="auto"/>
          <w:kern w:val="0"/>
          <w:sz w:val="24"/>
          <w:szCs w:val="24"/>
          <w:highlight w:val="none"/>
        </w:rPr>
      </w:pPr>
      <w:r>
        <w:rPr>
          <w:rFonts w:hint="eastAsia" w:ascii="宋体" w:hAnsi="宋体"/>
          <w:snapToGrid w:val="0"/>
          <w:color w:val="auto"/>
          <w:kern w:val="0"/>
          <w:sz w:val="24"/>
          <w:szCs w:val="24"/>
          <w:highlight w:val="none"/>
          <w:lang w:eastAsia="zh-CN"/>
        </w:rPr>
        <w:t>三、</w:t>
      </w:r>
      <w:r>
        <w:rPr>
          <w:rFonts w:hint="eastAsia" w:ascii="宋体" w:hAnsi="宋体" w:eastAsia="宋体"/>
          <w:snapToGrid w:val="0"/>
          <w:color w:val="auto"/>
          <w:kern w:val="0"/>
          <w:sz w:val="24"/>
          <w:szCs w:val="24"/>
          <w:highlight w:val="none"/>
          <w:lang w:eastAsia="zh-CN"/>
        </w:rPr>
        <w:t>人数及</w:t>
      </w:r>
      <w:r>
        <w:rPr>
          <w:rFonts w:hint="eastAsia" w:ascii="宋体" w:hAnsi="宋体"/>
          <w:snapToGrid w:val="0"/>
          <w:color w:val="auto"/>
          <w:kern w:val="0"/>
          <w:sz w:val="24"/>
          <w:szCs w:val="24"/>
          <w:highlight w:val="none"/>
          <w:lang w:eastAsia="zh-CN"/>
        </w:rPr>
        <w:t>服务</w:t>
      </w:r>
      <w:r>
        <w:rPr>
          <w:rFonts w:hint="eastAsia" w:ascii="宋体" w:hAnsi="宋体" w:eastAsia="宋体"/>
          <w:snapToGrid w:val="0"/>
          <w:color w:val="auto"/>
          <w:kern w:val="0"/>
          <w:sz w:val="24"/>
          <w:szCs w:val="24"/>
          <w:highlight w:val="none"/>
          <w:lang w:eastAsia="zh-CN"/>
        </w:rPr>
        <w:t>基本要求</w:t>
      </w:r>
    </w:p>
    <w:p w14:paraId="1C576F0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1、总人数</w:t>
      </w:r>
      <w:r>
        <w:rPr>
          <w:rFonts w:hint="eastAsia" w:ascii="宋体" w:hAnsi="宋体" w:eastAsia="宋体" w:cs="宋体"/>
          <w:color w:val="auto"/>
          <w:kern w:val="0"/>
          <w:sz w:val="24"/>
          <w:szCs w:val="24"/>
          <w:highlight w:val="none"/>
          <w:lang w:val="zh-CN"/>
        </w:rPr>
        <w:t>约</w:t>
      </w:r>
      <w:r>
        <w:rPr>
          <w:rFonts w:hint="eastAsia" w:hAnsi="宋体" w:cs="宋体"/>
          <w:color w:val="auto"/>
          <w:kern w:val="0"/>
          <w:sz w:val="24"/>
          <w:szCs w:val="24"/>
          <w:highlight w:val="none"/>
          <w:lang w:val="en-US" w:eastAsia="zh-CN"/>
        </w:rPr>
        <w:t>155</w:t>
      </w:r>
      <w:r>
        <w:rPr>
          <w:rFonts w:hint="eastAsia" w:ascii="宋体" w:hAnsi="宋体" w:eastAsia="宋体" w:cs="宋体"/>
          <w:color w:val="auto"/>
          <w:kern w:val="0"/>
          <w:sz w:val="24"/>
          <w:szCs w:val="24"/>
          <w:highlight w:val="none"/>
          <w:lang w:val="zh-CN"/>
        </w:rPr>
        <w:t>人，结算时按实际出游人数计算，出行天数</w:t>
      </w:r>
      <w:r>
        <w:rPr>
          <w:rFonts w:hint="eastAsia" w:ascii="宋体" w:hAnsi="宋体" w:eastAsia="宋体" w:cs="宋体"/>
          <w:color w:val="auto"/>
          <w:kern w:val="0"/>
          <w:sz w:val="24"/>
          <w:szCs w:val="24"/>
          <w:highlight w:val="none"/>
          <w:lang w:val="en-US" w:eastAsia="zh-CN"/>
        </w:rPr>
        <w:t>5天，</w:t>
      </w:r>
      <w:r>
        <w:rPr>
          <w:rFonts w:hint="eastAsia" w:ascii="宋体" w:hAnsi="宋体" w:eastAsia="宋体" w:cs="宋体"/>
          <w:color w:val="auto"/>
          <w:kern w:val="0"/>
          <w:sz w:val="24"/>
          <w:szCs w:val="24"/>
          <w:highlight w:val="none"/>
          <w:lang w:val="zh-CN"/>
        </w:rPr>
        <w:t>供应商需按</w:t>
      </w:r>
      <w:r>
        <w:rPr>
          <w:rFonts w:hint="eastAsia" w:hAnsi="宋体" w:cs="宋体"/>
          <w:bCs/>
          <w:color w:val="auto"/>
          <w:sz w:val="24"/>
          <w:szCs w:val="24"/>
          <w:highlight w:val="none"/>
          <w:lang w:val="en-US" w:eastAsia="zh-CN"/>
        </w:rPr>
        <w:t>对应出行计划</w:t>
      </w:r>
      <w:r>
        <w:rPr>
          <w:rFonts w:hint="eastAsia" w:ascii="宋体" w:hAnsi="宋体" w:eastAsia="宋体" w:cs="宋体"/>
          <w:bCs/>
          <w:color w:val="auto"/>
          <w:sz w:val="24"/>
          <w:szCs w:val="24"/>
          <w:highlight w:val="none"/>
          <w:lang w:val="en-US" w:eastAsia="zh-CN"/>
        </w:rPr>
        <w:t>的标准制定</w:t>
      </w:r>
      <w:r>
        <w:rPr>
          <w:rFonts w:hint="eastAsia" w:hAnsi="宋体" w:cs="宋体"/>
          <w:bCs/>
          <w:color w:val="auto"/>
          <w:sz w:val="24"/>
          <w:szCs w:val="24"/>
          <w:highlight w:val="none"/>
          <w:lang w:val="en-US" w:eastAsia="zh-CN"/>
        </w:rPr>
        <w:t>详细旅游</w:t>
      </w:r>
      <w:r>
        <w:rPr>
          <w:rFonts w:hint="eastAsia" w:ascii="宋体" w:hAnsi="宋体" w:eastAsia="宋体" w:cs="宋体"/>
          <w:bCs/>
          <w:color w:val="auto"/>
          <w:sz w:val="24"/>
          <w:szCs w:val="24"/>
          <w:highlight w:val="none"/>
          <w:lang w:val="en-US" w:eastAsia="zh-CN"/>
        </w:rPr>
        <w:t>计划</w:t>
      </w:r>
      <w:r>
        <w:rPr>
          <w:rFonts w:hint="eastAsia" w:hAnsi="宋体" w:cs="宋体"/>
          <w:bCs/>
          <w:color w:val="auto"/>
          <w:sz w:val="24"/>
          <w:szCs w:val="24"/>
          <w:highlight w:val="none"/>
          <w:lang w:val="en-US" w:eastAsia="zh-CN"/>
        </w:rPr>
        <w:t>，如若须携带职工直系亲属出行，则由其自行支付标准费用且自行承担责任风险。</w:t>
      </w:r>
    </w:p>
    <w:p w14:paraId="2C8379DF">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2、交通：</w:t>
      </w:r>
      <w:r>
        <w:rPr>
          <w:rFonts w:hint="eastAsia" w:hAnsi="宋体" w:cs="宋体"/>
          <w:color w:val="auto"/>
          <w:kern w:val="0"/>
          <w:sz w:val="24"/>
          <w:szCs w:val="24"/>
          <w:highlight w:val="none"/>
          <w:lang w:val="en-US" w:eastAsia="zh-CN"/>
        </w:rPr>
        <w:t>（1）旅行接驳中须</w:t>
      </w:r>
      <w:r>
        <w:rPr>
          <w:rFonts w:hint="eastAsia" w:ascii="宋体" w:hAnsi="宋体" w:eastAsia="宋体" w:cs="宋体"/>
          <w:color w:val="auto"/>
          <w:sz w:val="24"/>
          <w:highlight w:val="none"/>
        </w:rPr>
        <w:t>全程空调旅游车，车况好，座位充足，空调效果好，司机服务态度好、技术好，确保行程安全，要求</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年内设施好的空调大巴车</w:t>
      </w:r>
      <w:r>
        <w:rPr>
          <w:rFonts w:hint="eastAsia" w:ascii="宋体" w:hAnsi="宋体" w:eastAsia="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2</w:t>
      </w:r>
      <w:r>
        <w:rPr>
          <w:rFonts w:hint="eastAsia" w:hAnsi="宋体" w:cs="宋体"/>
          <w:color w:val="auto"/>
          <w:sz w:val="24"/>
          <w:highlight w:val="none"/>
          <w:lang w:eastAsia="zh-CN"/>
        </w:rPr>
        <w:t>）</w:t>
      </w:r>
      <w:r>
        <w:rPr>
          <w:rFonts w:hint="eastAsia" w:hAnsi="宋体" w:cs="宋体"/>
          <w:color w:val="auto"/>
          <w:sz w:val="24"/>
          <w:highlight w:val="none"/>
          <w:lang w:val="en-US" w:eastAsia="zh-CN"/>
        </w:rPr>
        <w:t>涉及省外大交通时，须确保人员集中，座位不过度分散，乘坐环境舒适。</w:t>
      </w:r>
    </w:p>
    <w:p w14:paraId="4F5A6B1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3、费用：</w:t>
      </w:r>
      <w:r>
        <w:rPr>
          <w:rFonts w:hint="eastAsia" w:ascii="宋体" w:hAnsi="宋体" w:eastAsia="宋体" w:cs="宋体"/>
          <w:color w:val="auto"/>
          <w:sz w:val="24"/>
          <w:highlight w:val="none"/>
        </w:rPr>
        <w:t>必须包括游线景点门票、上下索道、交通费、人身意外保险费等费用，并明确标示每项的具体价格</w:t>
      </w:r>
      <w:r>
        <w:rPr>
          <w:rFonts w:hint="eastAsia" w:ascii="宋体" w:hAnsi="宋体" w:eastAsia="宋体" w:cs="宋体"/>
          <w:color w:val="auto"/>
          <w:kern w:val="0"/>
          <w:sz w:val="24"/>
          <w:szCs w:val="24"/>
          <w:highlight w:val="none"/>
          <w:lang w:val="en-US" w:eastAsia="zh-CN"/>
        </w:rPr>
        <w:t>。</w:t>
      </w:r>
    </w:p>
    <w:p w14:paraId="18EE4DE6">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highlight w:val="none"/>
        </w:rPr>
        <w:t>住宿标准为标准间（双人间），</w:t>
      </w:r>
      <w:r>
        <w:rPr>
          <w:rFonts w:hint="eastAsia" w:hAnsi="宋体" w:cs="宋体"/>
          <w:color w:val="auto"/>
          <w:sz w:val="24"/>
          <w:highlight w:val="none"/>
          <w:lang w:val="en-US" w:eastAsia="zh-CN"/>
        </w:rPr>
        <w:t>须为不低于</w:t>
      </w:r>
      <w:r>
        <w:rPr>
          <w:rFonts w:hint="eastAsia" w:ascii="宋体" w:hAnsi="宋体" w:eastAsia="宋体" w:cs="宋体"/>
          <w:color w:val="auto"/>
          <w:sz w:val="24"/>
          <w:highlight w:val="none"/>
          <w:lang w:val="en-US" w:eastAsia="zh-CN"/>
        </w:rPr>
        <w:t>五星</w:t>
      </w:r>
      <w:r>
        <w:rPr>
          <w:rFonts w:hint="eastAsia" w:hAnsi="宋体" w:cs="宋体"/>
          <w:color w:val="auto"/>
          <w:sz w:val="24"/>
          <w:highlight w:val="none"/>
          <w:lang w:val="en-US" w:eastAsia="zh-CN"/>
        </w:rPr>
        <w:t>级或同等价位房型</w:t>
      </w:r>
      <w:r>
        <w:rPr>
          <w:rFonts w:hint="eastAsia" w:ascii="宋体" w:hAnsi="宋体" w:eastAsia="宋体" w:cs="宋体"/>
          <w:color w:val="auto"/>
          <w:sz w:val="24"/>
          <w:highlight w:val="none"/>
        </w:rPr>
        <w:t>及以上标准</w:t>
      </w:r>
      <w:r>
        <w:rPr>
          <w:rFonts w:hint="eastAsia" w:hAnsi="宋体" w:cs="宋体"/>
          <w:color w:val="auto"/>
          <w:sz w:val="24"/>
          <w:highlight w:val="none"/>
          <w:lang w:eastAsia="zh-CN"/>
        </w:rPr>
        <w:t>，</w:t>
      </w:r>
      <w:r>
        <w:rPr>
          <w:rFonts w:hint="eastAsia" w:ascii="宋体" w:hAnsi="宋体" w:eastAsia="宋体" w:cs="宋体"/>
          <w:color w:val="auto"/>
          <w:sz w:val="24"/>
          <w:highlight w:val="none"/>
        </w:rPr>
        <w:t>具体要求交通便利、环境较好、干净卫生、服务优质，有较强接待能力，同时配套设施齐全、使用方便安全。</w:t>
      </w:r>
    </w:p>
    <w:p w14:paraId="2C60FA8A">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5、用餐：省内线路</w:t>
      </w:r>
      <w:r>
        <w:rPr>
          <w:rFonts w:hint="eastAsia" w:ascii="宋体" w:hAnsi="宋体" w:eastAsia="宋体" w:cs="宋体"/>
          <w:color w:val="auto"/>
          <w:sz w:val="24"/>
          <w:highlight w:val="none"/>
        </w:rPr>
        <w:t>中餐</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0元/人/餐，晚餐</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元/人/餐。（早餐酒店内，午餐、晚餐为中式桌餐：10人一桌至少8菜一汤）</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省外线路</w:t>
      </w:r>
      <w:r>
        <w:rPr>
          <w:rFonts w:hint="eastAsia" w:ascii="宋体" w:hAnsi="宋体" w:eastAsia="宋体" w:cs="宋体"/>
          <w:color w:val="auto"/>
          <w:sz w:val="24"/>
          <w:highlight w:val="none"/>
        </w:rPr>
        <w:t>中餐</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0元/人/餐，晚餐</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元/人/餐。（早餐酒店内，午餐、晚餐为中式桌餐：10人一桌至少8菜一汤）</w:t>
      </w:r>
    </w:p>
    <w:p w14:paraId="473A4D6B">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6、导游：有导游资格的专业导游全程陪同，讲解服务（不送小费）</w:t>
      </w:r>
    </w:p>
    <w:p w14:paraId="52E345A0">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7、保险：</w:t>
      </w:r>
      <w:r>
        <w:rPr>
          <w:rFonts w:hint="eastAsia" w:ascii="宋体" w:hAnsi="宋体" w:eastAsia="宋体" w:cs="宋体"/>
          <w:color w:val="auto"/>
          <w:sz w:val="24"/>
          <w:highlight w:val="none"/>
        </w:rPr>
        <w:t>旅行社责任险，个人意外险（意外伤害最高</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万元/人附加医疗4万元/人）</w:t>
      </w:r>
    </w:p>
    <w:p w14:paraId="7F85587E">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8、购物：</w:t>
      </w:r>
      <w:r>
        <w:rPr>
          <w:rFonts w:hint="eastAsia" w:ascii="宋体" w:hAnsi="宋体" w:eastAsia="宋体" w:cs="宋体"/>
          <w:color w:val="auto"/>
          <w:sz w:val="24"/>
          <w:highlight w:val="none"/>
        </w:rPr>
        <w:t>不得强行推销自费项目、零购物</w:t>
      </w:r>
    </w:p>
    <w:p w14:paraId="1C380AB6">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9、无需自费的景点或活动</w:t>
      </w:r>
    </w:p>
    <w:p w14:paraId="7467D48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10、出行要求配备常用药品，供实际事故发生应急使用。</w:t>
      </w:r>
    </w:p>
    <w:p w14:paraId="267C34C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11、出行前需要制定应急预案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疫情防控措施齐全、</w:t>
      </w:r>
      <w:r>
        <w:rPr>
          <w:rFonts w:hint="eastAsia" w:ascii="宋体" w:hAnsi="宋体" w:eastAsia="宋体" w:cs="宋体"/>
          <w:color w:val="auto"/>
          <w:sz w:val="24"/>
          <w:szCs w:val="24"/>
          <w:highlight w:val="none"/>
          <w:lang w:eastAsia="zh-CN"/>
        </w:rPr>
        <w:t>服务实施计划、交通工具选择情况（包括车型等）、用餐服务计划（包括餐厅选择，菜品选择等）、</w:t>
      </w:r>
      <w:r>
        <w:rPr>
          <w:rFonts w:hint="eastAsia" w:ascii="宋体" w:hAnsi="宋体" w:eastAsia="宋体" w:cs="宋体"/>
          <w:color w:val="auto"/>
          <w:kern w:val="0"/>
          <w:sz w:val="24"/>
          <w:szCs w:val="24"/>
          <w:highlight w:val="none"/>
          <w:lang w:val="en-US" w:eastAsia="zh-CN"/>
        </w:rPr>
        <w:t>行程安排明细单。供采购人审核通过后方可实施。</w:t>
      </w:r>
    </w:p>
    <w:p w14:paraId="32A9E0C2">
      <w:pPr>
        <w:pStyle w:val="4"/>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四、</w:t>
      </w:r>
      <w:r>
        <w:rPr>
          <w:rFonts w:hint="eastAsia" w:ascii="宋体" w:hAnsi="宋体" w:eastAsia="宋体" w:cs="宋体"/>
          <w:snapToGrid w:val="0"/>
          <w:color w:val="auto"/>
          <w:kern w:val="0"/>
          <w:sz w:val="24"/>
          <w:szCs w:val="24"/>
          <w:highlight w:val="none"/>
        </w:rPr>
        <w:t>出游</w:t>
      </w:r>
      <w:r>
        <w:rPr>
          <w:rFonts w:hint="eastAsia" w:ascii="宋体" w:hAnsi="宋体" w:eastAsia="宋体" w:cs="宋体"/>
          <w:snapToGrid w:val="0"/>
          <w:color w:val="auto"/>
          <w:kern w:val="0"/>
          <w:sz w:val="24"/>
          <w:szCs w:val="24"/>
          <w:highlight w:val="none"/>
          <w:lang w:eastAsia="zh-CN"/>
        </w:rPr>
        <w:t>路线与具体景点安排</w:t>
      </w:r>
    </w:p>
    <w:p w14:paraId="008D8382">
      <w:pPr>
        <w:pStyle w:val="33"/>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1.出游线路</w:t>
      </w:r>
      <w:r>
        <w:rPr>
          <w:rFonts w:hint="eastAsia" w:hAnsi="宋体" w:cs="宋体"/>
          <w:b w:val="0"/>
          <w:bCs w:val="0"/>
          <w:color w:val="auto"/>
          <w:kern w:val="0"/>
          <w:sz w:val="24"/>
          <w:szCs w:val="24"/>
          <w:highlight w:val="none"/>
          <w:lang w:val="en-US" w:eastAsia="zh-CN"/>
        </w:rPr>
        <w:t>由供应商自行编制五条路线（暂分为省内3条及省外2条）并提供相关配套服务方案（根据评分需求设定）</w:t>
      </w:r>
      <w:r>
        <w:rPr>
          <w:rFonts w:hint="eastAsia" w:ascii="宋体" w:hAnsi="宋体" w:eastAsia="宋体" w:cs="宋体"/>
          <w:b w:val="0"/>
          <w:bCs w:val="0"/>
          <w:color w:val="auto"/>
          <w:kern w:val="0"/>
          <w:sz w:val="24"/>
          <w:szCs w:val="24"/>
          <w:highlight w:val="none"/>
          <w:lang w:val="en-US" w:eastAsia="zh-CN"/>
        </w:rPr>
        <w:t>，最终出行线路以采购人</w:t>
      </w:r>
      <w:r>
        <w:rPr>
          <w:rFonts w:hint="eastAsia" w:hAnsi="宋体" w:cs="宋体"/>
          <w:b w:val="0"/>
          <w:bCs w:val="0"/>
          <w:color w:val="auto"/>
          <w:kern w:val="0"/>
          <w:sz w:val="24"/>
          <w:szCs w:val="24"/>
          <w:highlight w:val="none"/>
          <w:lang w:val="en-US" w:eastAsia="zh-CN"/>
        </w:rPr>
        <w:t>根据实际需求</w:t>
      </w:r>
      <w:r>
        <w:rPr>
          <w:rFonts w:hint="eastAsia" w:ascii="宋体" w:hAnsi="宋体" w:eastAsia="宋体" w:cs="宋体"/>
          <w:b w:val="0"/>
          <w:bCs w:val="0"/>
          <w:color w:val="auto"/>
          <w:kern w:val="0"/>
          <w:sz w:val="24"/>
          <w:szCs w:val="24"/>
          <w:highlight w:val="none"/>
          <w:lang w:val="en-US" w:eastAsia="zh-CN"/>
        </w:rPr>
        <w:t>确定为准。</w:t>
      </w:r>
    </w:p>
    <w:p w14:paraId="1A6713D7">
      <w:pPr>
        <w:pStyle w:val="33"/>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省内路线：（1）温州雁荡山、洞头；（2）温州楠溪江、洞头；（3）衢州地区；</w:t>
      </w:r>
    </w:p>
    <w:p w14:paraId="569CED44">
      <w:pPr>
        <w:pStyle w:val="33"/>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default"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省外路线：（1）四川雅江；（2）青海德令哈。</w:t>
      </w:r>
    </w:p>
    <w:p w14:paraId="11C347B3">
      <w:pPr>
        <w:pStyle w:val="33"/>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highlight w:val="none"/>
          <w:lang w:val="en-US" w:eastAsia="zh-CN"/>
        </w:rPr>
        <w:t>2.供应商需要无条件接受采购人出行时间节点安排及采购人有权自主线路选择不因淡旺季调整线路</w:t>
      </w:r>
      <w:r>
        <w:rPr>
          <w:rFonts w:hint="eastAsia" w:ascii="宋体" w:hAnsi="宋体" w:eastAsia="宋体" w:cs="宋体"/>
          <w:color w:val="auto"/>
          <w:sz w:val="24"/>
          <w:highlight w:val="none"/>
        </w:rPr>
        <w:t>。</w:t>
      </w:r>
    </w:p>
    <w:p w14:paraId="49BEA7EB">
      <w:pPr>
        <w:pStyle w:val="33"/>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lang w:val="zh-CN"/>
        </w:rPr>
        <w:t>五</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sz w:val="24"/>
          <w:highlight w:val="none"/>
        </w:rPr>
        <w:t>商务要求</w:t>
      </w:r>
      <w:r>
        <w:rPr>
          <w:rFonts w:hint="eastAsia" w:ascii="宋体" w:hAnsi="宋体" w:eastAsia="宋体" w:cs="宋体"/>
          <w:color w:val="auto"/>
          <w:sz w:val="24"/>
          <w:highlight w:val="none"/>
        </w:rPr>
        <w:t>：</w:t>
      </w:r>
    </w:p>
    <w:p w14:paraId="37D46A5E">
      <w:pPr>
        <w:spacing w:line="360" w:lineRule="auto"/>
        <w:rPr>
          <w:rFonts w:hint="eastAsia" w:ascii="宋体" w:hAnsi="宋体" w:eastAsia="宋体" w:cs="宋体"/>
          <w:b w:val="0"/>
          <w:bCs/>
          <w:color w:val="auto"/>
          <w:sz w:val="24"/>
          <w:highlight w:val="none"/>
          <w:lang w:val="en-GB"/>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付款方式：</w:t>
      </w:r>
      <w:r>
        <w:rPr>
          <w:rFonts w:hint="eastAsia" w:ascii="宋体" w:hAnsi="宋体" w:eastAsia="宋体" w:cs="宋体"/>
          <w:b w:val="0"/>
          <w:bCs/>
          <w:color w:val="auto"/>
          <w:sz w:val="24"/>
          <w:highlight w:val="none"/>
          <w:lang w:val="en-US" w:eastAsia="zh-CN"/>
        </w:rPr>
        <w:t>项目完成按</w:t>
      </w:r>
      <w:r>
        <w:rPr>
          <w:rFonts w:hint="eastAsia" w:ascii="宋体" w:hAnsi="宋体" w:eastAsia="宋体" w:cs="宋体"/>
          <w:b w:val="0"/>
          <w:bCs/>
          <w:color w:val="auto"/>
          <w:sz w:val="24"/>
          <w:highlight w:val="none"/>
          <w:lang w:val="en-GB" w:eastAsia="zh-CN"/>
        </w:rPr>
        <w:t>实际疗休养人数一次性支付</w:t>
      </w:r>
      <w:r>
        <w:rPr>
          <w:rFonts w:hint="eastAsia" w:ascii="宋体" w:hAnsi="宋体" w:eastAsia="宋体" w:cs="宋体"/>
          <w:b w:val="0"/>
          <w:bCs/>
          <w:color w:val="auto"/>
          <w:sz w:val="24"/>
          <w:highlight w:val="none"/>
          <w:lang w:val="en-GB"/>
        </w:rPr>
        <w:t>，中标人（承包人）必须出具符合财政要求的票据。每次款项支付7个工作日前，中标人需提供相应金额的财政部门认可的正规发票，提示采购人付款，否则采购人有权拒绝付款并不视为违约。</w:t>
      </w:r>
    </w:p>
    <w:p w14:paraId="6181532F">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第四部分   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8"/>
        <w:gridCol w:w="5657"/>
        <w:gridCol w:w="780"/>
        <w:gridCol w:w="1351"/>
      </w:tblGrid>
      <w:tr w14:paraId="22EA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trPr>
        <w:tc>
          <w:tcPr>
            <w:tcW w:w="456" w:type="dxa"/>
            <w:tcBorders>
              <w:top w:val="single" w:color="auto" w:sz="4" w:space="0"/>
              <w:left w:val="single" w:color="auto" w:sz="4" w:space="0"/>
              <w:bottom w:val="single" w:color="auto" w:sz="4" w:space="0"/>
              <w:right w:val="single" w:color="auto" w:sz="4" w:space="0"/>
            </w:tcBorders>
            <w:noWrap w:val="0"/>
            <w:vAlign w:val="center"/>
          </w:tcPr>
          <w:p w14:paraId="5992954F">
            <w:pPr>
              <w:spacing w:line="360" w:lineRule="auto"/>
              <w:jc w:val="left"/>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48AA072">
            <w:pPr>
              <w:spacing w:line="360" w:lineRule="auto"/>
              <w:jc w:val="center"/>
              <w:outlineLvl w:val="0"/>
              <w:rPr>
                <w:rFonts w:hint="eastAsia" w:ascii="宋体" w:hAnsi="宋体" w:cs="宋体"/>
                <w:bCs/>
                <w:color w:val="auto"/>
                <w:sz w:val="24"/>
                <w:highlight w:val="none"/>
              </w:rPr>
            </w:pPr>
            <w:r>
              <w:rPr>
                <w:rFonts w:hint="eastAsia" w:ascii="宋体" w:hAnsi="宋体"/>
                <w:color w:val="auto"/>
                <w:sz w:val="24"/>
                <w:szCs w:val="24"/>
                <w:highlight w:val="none"/>
              </w:rPr>
              <w:t>评审因素</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78765BB4">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4AB5483">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914AC0A">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主观分/客观分属性</w:t>
            </w:r>
          </w:p>
        </w:tc>
      </w:tr>
      <w:tr w14:paraId="191F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60449A22">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0414F6F">
            <w:pPr>
              <w:spacing w:line="360" w:lineRule="auto"/>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策划方案</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BB7DEF8">
            <w:pPr>
              <w:spacing w:line="360" w:lineRule="auto"/>
              <w:jc w:val="left"/>
              <w:outlineLvl w:val="0"/>
              <w:rPr>
                <w:rFonts w:ascii="宋体" w:hAnsi="宋体" w:cs="宋体"/>
                <w:color w:val="auto"/>
                <w:sz w:val="24"/>
                <w:highlight w:val="none"/>
              </w:rPr>
            </w:pPr>
            <w:r>
              <w:rPr>
                <w:rFonts w:hint="eastAsia" w:ascii="宋体" w:hAnsi="宋体" w:cs="宋体"/>
                <w:bCs/>
                <w:color w:val="auto"/>
                <w:sz w:val="24"/>
                <w:highlight w:val="none"/>
                <w:lang w:val="en-US" w:eastAsia="zh-CN"/>
              </w:rPr>
              <w:t>针对不同疗休养对象及路线的</w:t>
            </w:r>
            <w:r>
              <w:rPr>
                <w:rFonts w:hint="eastAsia" w:ascii="宋体" w:hAnsi="宋体" w:cs="宋体"/>
                <w:bCs/>
                <w:color w:val="auto"/>
                <w:sz w:val="24"/>
                <w:highlight w:val="none"/>
              </w:rPr>
              <w:t>策划方案内容全面完整,线路符合招标文件要求及</w:t>
            </w:r>
            <w:r>
              <w:rPr>
                <w:rFonts w:hint="eastAsia" w:ascii="宋体" w:hAnsi="宋体" w:cs="宋体"/>
                <w:bCs/>
                <w:color w:val="auto"/>
                <w:sz w:val="24"/>
                <w:highlight w:val="none"/>
                <w:lang w:eastAsia="zh-CN"/>
              </w:rPr>
              <w:t>疗休养</w:t>
            </w:r>
            <w:r>
              <w:rPr>
                <w:rFonts w:hint="eastAsia" w:ascii="宋体" w:hAnsi="宋体" w:cs="宋体"/>
                <w:bCs/>
                <w:color w:val="auto"/>
                <w:sz w:val="24"/>
                <w:highlight w:val="none"/>
              </w:rPr>
              <w:t>相关政策，策划突出</w:t>
            </w:r>
            <w:r>
              <w:rPr>
                <w:rFonts w:hint="eastAsia" w:ascii="宋体" w:hAnsi="宋体" w:cs="宋体"/>
                <w:bCs/>
                <w:color w:val="auto"/>
                <w:sz w:val="24"/>
                <w:highlight w:val="none"/>
                <w:lang w:eastAsia="zh-CN"/>
              </w:rPr>
              <w:t>疗休养</w:t>
            </w:r>
            <w:r>
              <w:rPr>
                <w:rFonts w:hint="eastAsia" w:ascii="宋体" w:hAnsi="宋体" w:cs="宋体"/>
                <w:bCs/>
                <w:color w:val="auto"/>
                <w:sz w:val="24"/>
                <w:highlight w:val="none"/>
              </w:rPr>
              <w:t>主题，对“</w:t>
            </w:r>
            <w:r>
              <w:rPr>
                <w:rFonts w:hint="eastAsia" w:ascii="宋体" w:hAnsi="宋体" w:cs="宋体"/>
                <w:bCs/>
                <w:color w:val="auto"/>
                <w:sz w:val="24"/>
                <w:highlight w:val="none"/>
                <w:lang w:eastAsia="zh-CN"/>
              </w:rPr>
              <w:t>疗休养</w:t>
            </w:r>
            <w:r>
              <w:rPr>
                <w:rFonts w:hint="eastAsia" w:ascii="宋体" w:hAnsi="宋体" w:cs="宋体"/>
                <w:bCs/>
                <w:color w:val="auto"/>
                <w:sz w:val="24"/>
                <w:highlight w:val="none"/>
              </w:rPr>
              <w:t>”方案分析针对性强、全面深入得5分，对“</w:t>
            </w:r>
            <w:r>
              <w:rPr>
                <w:rFonts w:hint="eastAsia" w:ascii="宋体" w:hAnsi="宋体" w:cs="宋体"/>
                <w:bCs/>
                <w:color w:val="auto"/>
                <w:sz w:val="24"/>
                <w:highlight w:val="none"/>
                <w:lang w:eastAsia="zh-CN"/>
              </w:rPr>
              <w:t>疗休养</w:t>
            </w:r>
            <w:r>
              <w:rPr>
                <w:rFonts w:hint="eastAsia" w:ascii="宋体" w:hAnsi="宋体" w:cs="宋体"/>
                <w:bCs/>
                <w:color w:val="auto"/>
                <w:sz w:val="24"/>
                <w:highlight w:val="none"/>
              </w:rPr>
              <w:t>”方案分析针对性较强、较全面深入得</w:t>
            </w:r>
            <w:r>
              <w:rPr>
                <w:rFonts w:ascii="宋体" w:hAnsi="宋体" w:cs="宋体"/>
                <w:bCs/>
                <w:color w:val="auto"/>
                <w:sz w:val="24"/>
                <w:highlight w:val="none"/>
              </w:rPr>
              <w:t>3</w:t>
            </w:r>
            <w:r>
              <w:rPr>
                <w:rFonts w:hint="eastAsia" w:ascii="宋体" w:hAnsi="宋体" w:cs="宋体"/>
                <w:bCs/>
                <w:color w:val="auto"/>
                <w:sz w:val="24"/>
                <w:highlight w:val="none"/>
              </w:rPr>
              <w:t>分，对“</w:t>
            </w:r>
            <w:r>
              <w:rPr>
                <w:rFonts w:hint="eastAsia" w:ascii="宋体" w:hAnsi="宋体" w:cs="宋体"/>
                <w:bCs/>
                <w:color w:val="auto"/>
                <w:sz w:val="24"/>
                <w:highlight w:val="none"/>
                <w:lang w:eastAsia="zh-CN"/>
              </w:rPr>
              <w:t>疗休养</w:t>
            </w:r>
            <w:r>
              <w:rPr>
                <w:rFonts w:hint="eastAsia" w:ascii="宋体" w:hAnsi="宋体" w:cs="宋体"/>
                <w:bCs/>
                <w:color w:val="auto"/>
                <w:sz w:val="24"/>
                <w:highlight w:val="none"/>
              </w:rPr>
              <w:t>”方案分析具有一定针对性、方案基本全面得</w:t>
            </w:r>
            <w:r>
              <w:rPr>
                <w:rFonts w:ascii="宋体" w:hAnsi="宋体" w:cs="宋体"/>
                <w:bCs/>
                <w:color w:val="auto"/>
                <w:sz w:val="24"/>
                <w:highlight w:val="none"/>
              </w:rPr>
              <w:t>2</w:t>
            </w:r>
            <w:r>
              <w:rPr>
                <w:rFonts w:hint="eastAsia" w:ascii="宋体" w:hAnsi="宋体" w:cs="宋体"/>
                <w:bCs/>
                <w:color w:val="auto"/>
                <w:sz w:val="24"/>
                <w:highlight w:val="none"/>
              </w:rPr>
              <w:t>分，对“</w:t>
            </w:r>
            <w:r>
              <w:rPr>
                <w:rFonts w:hint="eastAsia" w:ascii="宋体" w:hAnsi="宋体" w:cs="宋体"/>
                <w:bCs/>
                <w:color w:val="auto"/>
                <w:sz w:val="24"/>
                <w:highlight w:val="none"/>
                <w:lang w:eastAsia="zh-CN"/>
              </w:rPr>
              <w:t>疗休养</w:t>
            </w:r>
            <w:r>
              <w:rPr>
                <w:rFonts w:hint="eastAsia" w:ascii="宋体" w:hAnsi="宋体" w:cs="宋体"/>
                <w:bCs/>
                <w:color w:val="auto"/>
                <w:sz w:val="24"/>
                <w:highlight w:val="none"/>
              </w:rPr>
              <w:t>”方案分析一般，针对性不足得1分，未提供方案不得分。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3834B36">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7A8C7CBB">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主观分</w:t>
            </w:r>
          </w:p>
        </w:tc>
      </w:tr>
      <w:tr w14:paraId="7FDC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02D38EFA">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A6A8934">
            <w:pPr>
              <w:spacing w:line="360" w:lineRule="auto"/>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餐饮</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5C36D1D">
            <w:pPr>
              <w:spacing w:line="360" w:lineRule="auto"/>
              <w:jc w:val="left"/>
              <w:outlineLvl w:val="0"/>
              <w:rPr>
                <w:rFonts w:ascii="宋体" w:hAnsi="宋体" w:cs="宋体"/>
                <w:color w:val="auto"/>
                <w:sz w:val="24"/>
                <w:highlight w:val="none"/>
              </w:rPr>
            </w:pPr>
            <w:r>
              <w:rPr>
                <w:rFonts w:hint="eastAsia" w:ascii="宋体" w:hAnsi="宋体" w:cs="宋体"/>
                <w:bCs/>
                <w:color w:val="auto"/>
                <w:sz w:val="24"/>
                <w:highlight w:val="none"/>
                <w:lang w:val="en-US" w:eastAsia="zh-CN"/>
              </w:rPr>
              <w:t>针对不同疗休养对象及路线的</w:t>
            </w:r>
            <w:r>
              <w:rPr>
                <w:rFonts w:hint="eastAsia" w:ascii="宋体" w:hAnsi="宋体" w:cs="宋体"/>
                <w:color w:val="auto"/>
                <w:sz w:val="24"/>
                <w:highlight w:val="none"/>
              </w:rPr>
              <w:t>餐饮安排内容合理具体，具有当地特色、菜肴搭配丰富均衡、综合评价好的社会餐厅得5分，具有当地特色、菜肴搭配较为丰富均衡、评价较好的社会餐厅得3分，菜肴搭配基本均衡、评价较好的社会餐厅得</w:t>
            </w:r>
            <w:r>
              <w:rPr>
                <w:rFonts w:ascii="宋体" w:hAnsi="宋体" w:cs="宋体"/>
                <w:color w:val="auto"/>
                <w:sz w:val="24"/>
                <w:highlight w:val="none"/>
              </w:rPr>
              <w:t>2</w:t>
            </w:r>
            <w:r>
              <w:rPr>
                <w:rFonts w:hint="eastAsia" w:ascii="宋体" w:hAnsi="宋体" w:cs="宋体"/>
                <w:color w:val="auto"/>
                <w:sz w:val="24"/>
                <w:highlight w:val="none"/>
              </w:rPr>
              <w:t>分，菜肴搭配一般、缺少当地特色、评价一般的社会餐厅得1分，未提供方案的不得分。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4D3BE87">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F333587">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60ED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04F1631">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4F23133">
            <w:pPr>
              <w:spacing w:line="360" w:lineRule="auto"/>
              <w:jc w:val="center"/>
              <w:outlineLvl w:val="0"/>
              <w:rPr>
                <w:rFonts w:hint="eastAsia" w:ascii="宋体" w:hAnsi="宋体" w:cs="宋体"/>
                <w:bCs/>
                <w:color w:val="auto"/>
                <w:sz w:val="24"/>
                <w:highlight w:val="none"/>
                <w:lang w:val="en-US" w:eastAsia="zh-CN"/>
              </w:rPr>
            </w:pPr>
            <w:r>
              <w:rPr>
                <w:rFonts w:hint="eastAsia" w:ascii="宋体" w:hAnsi="宋体" w:cs="宋体"/>
                <w:color w:val="auto"/>
                <w:sz w:val="24"/>
                <w:highlight w:val="none"/>
              </w:rPr>
              <w:t>游览行程</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32495C00">
            <w:pPr>
              <w:spacing w:line="360" w:lineRule="auto"/>
              <w:jc w:val="left"/>
              <w:outlineLvl w:val="0"/>
              <w:rPr>
                <w:rFonts w:ascii="宋体" w:hAnsi="宋体" w:cs="宋体"/>
                <w:color w:val="auto"/>
                <w:sz w:val="24"/>
                <w:highlight w:val="none"/>
              </w:rPr>
            </w:pPr>
            <w:r>
              <w:rPr>
                <w:rFonts w:hint="eastAsia" w:ascii="宋体" w:hAnsi="宋体" w:cs="宋体"/>
                <w:bCs/>
                <w:color w:val="auto"/>
                <w:sz w:val="24"/>
                <w:highlight w:val="none"/>
                <w:lang w:val="en-US" w:eastAsia="zh-CN"/>
              </w:rPr>
              <w:t>针对不同疗休养对象及路线的</w:t>
            </w:r>
            <w:r>
              <w:rPr>
                <w:rFonts w:hint="eastAsia" w:ascii="宋体" w:hAnsi="宋体" w:cs="宋体"/>
                <w:color w:val="auto"/>
                <w:sz w:val="24"/>
                <w:highlight w:val="none"/>
              </w:rPr>
              <w:t>游览行程安排合理具体，景点设置完善详细、游览线路安排合理、符合</w:t>
            </w:r>
            <w:r>
              <w:rPr>
                <w:rFonts w:hint="eastAsia" w:ascii="宋体" w:hAnsi="宋体" w:cs="宋体"/>
                <w:color w:val="auto"/>
                <w:sz w:val="24"/>
                <w:highlight w:val="none"/>
                <w:lang w:eastAsia="zh-CN"/>
              </w:rPr>
              <w:t>疗休养</w:t>
            </w:r>
            <w:r>
              <w:rPr>
                <w:rFonts w:hint="eastAsia" w:ascii="宋体" w:hAnsi="宋体" w:cs="宋体"/>
                <w:color w:val="auto"/>
                <w:sz w:val="24"/>
                <w:highlight w:val="none"/>
              </w:rPr>
              <w:t>定位得5分，景点设置内容较为完善详细、游览线路安排较为合理、符合</w:t>
            </w:r>
            <w:r>
              <w:rPr>
                <w:rFonts w:hint="eastAsia" w:ascii="宋体" w:hAnsi="宋体" w:cs="宋体"/>
                <w:color w:val="auto"/>
                <w:sz w:val="24"/>
                <w:highlight w:val="none"/>
                <w:lang w:eastAsia="zh-CN"/>
              </w:rPr>
              <w:t>疗休养</w:t>
            </w:r>
            <w:r>
              <w:rPr>
                <w:rFonts w:hint="eastAsia" w:ascii="宋体" w:hAnsi="宋体" w:cs="宋体"/>
                <w:color w:val="auto"/>
                <w:sz w:val="24"/>
                <w:highlight w:val="none"/>
              </w:rPr>
              <w:t>定位得3分，景点设置内容基本完善详细、游览线路安排基本合理、基本符合</w:t>
            </w:r>
            <w:r>
              <w:rPr>
                <w:rFonts w:hint="eastAsia" w:ascii="宋体" w:hAnsi="宋体" w:cs="宋体"/>
                <w:color w:val="auto"/>
                <w:sz w:val="24"/>
                <w:highlight w:val="none"/>
                <w:lang w:eastAsia="zh-CN"/>
              </w:rPr>
              <w:t>疗休养</w:t>
            </w:r>
            <w:r>
              <w:rPr>
                <w:rFonts w:hint="eastAsia" w:ascii="宋体" w:hAnsi="宋体" w:cs="宋体"/>
                <w:color w:val="auto"/>
                <w:sz w:val="24"/>
                <w:highlight w:val="none"/>
              </w:rPr>
              <w:t>定位得</w:t>
            </w:r>
            <w:r>
              <w:rPr>
                <w:rFonts w:ascii="宋体" w:hAnsi="宋体" w:cs="宋体"/>
                <w:color w:val="auto"/>
                <w:sz w:val="24"/>
                <w:highlight w:val="none"/>
              </w:rPr>
              <w:t>2</w:t>
            </w:r>
            <w:r>
              <w:rPr>
                <w:rFonts w:hint="eastAsia" w:ascii="宋体" w:hAnsi="宋体" w:cs="宋体"/>
                <w:color w:val="auto"/>
                <w:sz w:val="24"/>
                <w:highlight w:val="none"/>
              </w:rPr>
              <w:t>分，景点设置内容完整度一般、游览线路安排合理性一般，</w:t>
            </w:r>
            <w:r>
              <w:rPr>
                <w:rFonts w:hint="eastAsia" w:ascii="宋体" w:hAnsi="宋体" w:cs="宋体"/>
                <w:color w:val="auto"/>
                <w:sz w:val="24"/>
                <w:highlight w:val="none"/>
                <w:lang w:eastAsia="zh-CN"/>
              </w:rPr>
              <w:t>疗休养</w:t>
            </w:r>
            <w:r>
              <w:rPr>
                <w:rFonts w:hint="eastAsia" w:ascii="宋体" w:hAnsi="宋体" w:cs="宋体"/>
                <w:color w:val="auto"/>
                <w:sz w:val="24"/>
                <w:highlight w:val="none"/>
              </w:rPr>
              <w:t>定位尚有不足得1分，未提供方案的不得分。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3B0FDD7">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073EA477">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0C4C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2077CA8F">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50D2CAC">
            <w:pPr>
              <w:spacing w:line="360" w:lineRule="auto"/>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住宿</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4BDC53B0">
            <w:pPr>
              <w:spacing w:line="360" w:lineRule="auto"/>
              <w:jc w:val="left"/>
              <w:outlineLvl w:val="0"/>
              <w:rPr>
                <w:rFonts w:hint="eastAsia" w:ascii="宋体" w:hAnsi="宋体" w:cs="宋体"/>
                <w:color w:val="auto"/>
                <w:sz w:val="24"/>
                <w:highlight w:val="none"/>
              </w:rPr>
            </w:pPr>
            <w:r>
              <w:rPr>
                <w:rFonts w:hint="eastAsia" w:ascii="宋体" w:hAnsi="宋体" w:cs="宋体"/>
                <w:bCs/>
                <w:color w:val="auto"/>
                <w:sz w:val="24"/>
                <w:highlight w:val="none"/>
                <w:lang w:val="en-US" w:eastAsia="zh-CN"/>
              </w:rPr>
              <w:t>针对不同疗休养对象及路线的</w:t>
            </w:r>
            <w:r>
              <w:rPr>
                <w:rFonts w:hint="eastAsia" w:ascii="宋体" w:hAnsi="宋体" w:cs="宋体"/>
                <w:color w:val="auto"/>
                <w:sz w:val="24"/>
                <w:szCs w:val="24"/>
                <w:highlight w:val="none"/>
              </w:rPr>
              <w:t>住宿酒店安排合理具体，酒店星级评价达到招标文件要求、地理位置处该地区中心（除必须入住景区周边的酒店外）、周边交通环境出行方便得5分，酒店星级评价</w:t>
            </w:r>
            <w:r>
              <w:rPr>
                <w:rFonts w:hint="eastAsia" w:ascii="宋体" w:hAnsi="宋体" w:cs="宋体"/>
                <w:color w:val="auto"/>
                <w:sz w:val="24"/>
                <w:szCs w:val="24"/>
                <w:highlight w:val="none"/>
                <w:lang w:val="en-US" w:eastAsia="zh-CN"/>
              </w:rPr>
              <w:t>基本</w:t>
            </w:r>
            <w:r>
              <w:rPr>
                <w:rFonts w:hint="eastAsia" w:ascii="宋体" w:hAnsi="宋体" w:cs="宋体"/>
                <w:color w:val="auto"/>
                <w:sz w:val="24"/>
                <w:szCs w:val="24"/>
                <w:highlight w:val="none"/>
              </w:rPr>
              <w:t>达到招标文件要求、地理位置处该地区中心（除必须入住景区周边的酒店外）、周边交通环境出行方便得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分，酒店星级评价达到招标文件要求、地理位置与该地区中心有一定偏差（除必须入住景区周边的酒店外）、周边交通环境出行较为方便得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分，酒店星级评价与招标文件要求有一定偏离、地理位置与该地区中心位置偏差较大（除必须入住景区周边的酒店外）、周边交通环境出行一般得1分，未提供方案的不得分。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A429B2E">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F27290E">
            <w:pPr>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r>
      <w:tr w14:paraId="7F53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308D2B1F">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D65829B">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交通车辆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07D5728F">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lang w:val="en-US" w:eastAsia="zh-CN"/>
              </w:rPr>
              <w:t>针对省内、省外线路</w:t>
            </w:r>
            <w:r>
              <w:rPr>
                <w:rFonts w:hint="eastAsia" w:ascii="宋体" w:hAnsi="宋体" w:cs="宋体"/>
                <w:color w:val="auto"/>
                <w:sz w:val="24"/>
                <w:highlight w:val="none"/>
              </w:rPr>
              <w:t>对交通的安排合理具体，满足项目人员出行及安全保障条件，旅游大巴车型多样化，符合不同</w:t>
            </w:r>
            <w:r>
              <w:rPr>
                <w:rFonts w:hint="eastAsia" w:ascii="宋体" w:hAnsi="宋体" w:cs="宋体"/>
                <w:color w:val="auto"/>
                <w:sz w:val="24"/>
                <w:highlight w:val="none"/>
                <w:lang w:val="en-US" w:eastAsia="zh-CN"/>
              </w:rPr>
              <w:t>疗休养目的地</w:t>
            </w:r>
            <w:r>
              <w:rPr>
                <w:rFonts w:hint="eastAsia" w:ascii="宋体" w:hAnsi="宋体" w:cs="宋体"/>
                <w:color w:val="auto"/>
                <w:sz w:val="24"/>
                <w:highlight w:val="none"/>
              </w:rPr>
              <w:t>出行人数</w:t>
            </w:r>
            <w:r>
              <w:rPr>
                <w:rFonts w:hint="eastAsia" w:ascii="宋体" w:hAnsi="宋体" w:cs="宋体"/>
                <w:color w:val="auto"/>
                <w:sz w:val="24"/>
                <w:highlight w:val="none"/>
                <w:lang w:val="en-US" w:eastAsia="zh-CN"/>
              </w:rPr>
              <w:t>和人员舒适</w:t>
            </w:r>
            <w:r>
              <w:rPr>
                <w:rFonts w:hint="eastAsia" w:ascii="宋体" w:hAnsi="宋体" w:cs="宋体"/>
                <w:color w:val="auto"/>
                <w:sz w:val="24"/>
                <w:highlight w:val="none"/>
              </w:rPr>
              <w:t>需求，且</w:t>
            </w:r>
            <w:r>
              <w:rPr>
                <w:rFonts w:hint="eastAsia" w:ascii="宋体" w:hAnsi="宋体" w:cs="宋体"/>
                <w:color w:val="auto"/>
                <w:sz w:val="24"/>
                <w:highlight w:val="none"/>
                <w:lang w:val="en-US" w:eastAsia="zh-CN"/>
              </w:rPr>
              <w:t>省内</w:t>
            </w:r>
            <w:r>
              <w:rPr>
                <w:rFonts w:hint="eastAsia" w:ascii="宋体" w:hAnsi="宋体" w:cs="宋体"/>
                <w:color w:val="auto"/>
                <w:sz w:val="24"/>
                <w:highlight w:val="none"/>
              </w:rPr>
              <w:t>车况良好为二年之内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省外</w:t>
            </w:r>
            <w:r>
              <w:rPr>
                <w:rFonts w:hint="eastAsia" w:ascii="宋体" w:hAnsi="宋体" w:cs="宋体"/>
                <w:color w:val="auto"/>
                <w:sz w:val="24"/>
                <w:highlight w:val="none"/>
              </w:rPr>
              <w:t>车况良好为</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年之内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设施好的空调旅游车得5分，旅游大巴车型较为多样化，符合不同</w:t>
            </w:r>
            <w:r>
              <w:rPr>
                <w:rFonts w:hint="eastAsia" w:ascii="宋体" w:hAnsi="宋体" w:cs="宋体"/>
                <w:color w:val="auto"/>
                <w:sz w:val="24"/>
                <w:highlight w:val="none"/>
                <w:lang w:val="en-US" w:eastAsia="zh-CN"/>
              </w:rPr>
              <w:t>疗休养目的地</w:t>
            </w:r>
            <w:r>
              <w:rPr>
                <w:rFonts w:hint="eastAsia" w:ascii="宋体" w:hAnsi="宋体" w:cs="宋体"/>
                <w:color w:val="auto"/>
                <w:sz w:val="24"/>
                <w:highlight w:val="none"/>
              </w:rPr>
              <w:t>出行人数</w:t>
            </w:r>
            <w:r>
              <w:rPr>
                <w:rFonts w:hint="eastAsia" w:ascii="宋体" w:hAnsi="宋体" w:cs="宋体"/>
                <w:color w:val="auto"/>
                <w:sz w:val="24"/>
                <w:highlight w:val="none"/>
                <w:lang w:val="en-US" w:eastAsia="zh-CN"/>
              </w:rPr>
              <w:t>和人员舒适</w:t>
            </w:r>
            <w:r>
              <w:rPr>
                <w:rFonts w:hint="eastAsia" w:ascii="宋体" w:hAnsi="宋体" w:cs="宋体"/>
                <w:color w:val="auto"/>
                <w:sz w:val="24"/>
                <w:highlight w:val="none"/>
              </w:rPr>
              <w:t>需求，但</w:t>
            </w:r>
            <w:r>
              <w:rPr>
                <w:rFonts w:hint="eastAsia" w:ascii="宋体" w:hAnsi="宋体" w:cs="宋体"/>
                <w:color w:val="auto"/>
                <w:sz w:val="24"/>
                <w:highlight w:val="none"/>
                <w:lang w:val="en-US" w:eastAsia="zh-CN"/>
              </w:rPr>
              <w:t>省内、省外车况</w:t>
            </w:r>
            <w:r>
              <w:rPr>
                <w:rFonts w:hint="eastAsia" w:ascii="宋体" w:hAnsi="宋体" w:cs="宋体"/>
                <w:color w:val="auto"/>
                <w:sz w:val="24"/>
                <w:highlight w:val="none"/>
              </w:rPr>
              <w:t>使用年限为</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年至</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的旅游大巴得3分，旅游大巴有一定车型可选择，基本符合不同</w:t>
            </w:r>
            <w:r>
              <w:rPr>
                <w:rFonts w:hint="eastAsia" w:ascii="宋体" w:hAnsi="宋体" w:cs="宋体"/>
                <w:color w:val="auto"/>
                <w:sz w:val="24"/>
                <w:highlight w:val="none"/>
                <w:lang w:val="en-US" w:eastAsia="zh-CN"/>
              </w:rPr>
              <w:t>疗休养目的地</w:t>
            </w:r>
            <w:r>
              <w:rPr>
                <w:rFonts w:hint="eastAsia" w:ascii="宋体" w:hAnsi="宋体" w:cs="宋体"/>
                <w:color w:val="auto"/>
                <w:sz w:val="24"/>
                <w:highlight w:val="none"/>
              </w:rPr>
              <w:t>出行人数</w:t>
            </w:r>
            <w:r>
              <w:rPr>
                <w:rFonts w:hint="eastAsia" w:ascii="宋体" w:hAnsi="宋体" w:cs="宋体"/>
                <w:color w:val="auto"/>
                <w:sz w:val="24"/>
                <w:highlight w:val="none"/>
                <w:lang w:val="en-US" w:eastAsia="zh-CN"/>
              </w:rPr>
              <w:t>和人员舒适</w:t>
            </w:r>
            <w:r>
              <w:rPr>
                <w:rFonts w:hint="eastAsia" w:ascii="宋体" w:hAnsi="宋体" w:cs="宋体"/>
                <w:color w:val="auto"/>
                <w:sz w:val="24"/>
                <w:highlight w:val="none"/>
              </w:rPr>
              <w:t>需求，但</w:t>
            </w:r>
            <w:r>
              <w:rPr>
                <w:rFonts w:hint="eastAsia" w:ascii="宋体" w:hAnsi="宋体" w:cs="宋体"/>
                <w:color w:val="auto"/>
                <w:sz w:val="24"/>
                <w:highlight w:val="none"/>
                <w:lang w:val="en-US" w:eastAsia="zh-CN"/>
              </w:rPr>
              <w:t>省内、省外车况</w:t>
            </w:r>
            <w:r>
              <w:rPr>
                <w:rFonts w:hint="eastAsia" w:ascii="宋体" w:hAnsi="宋体" w:cs="宋体"/>
                <w:color w:val="auto"/>
                <w:sz w:val="24"/>
                <w:highlight w:val="none"/>
              </w:rPr>
              <w:t>使用年限为</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年至</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的旅游大巴得</w:t>
            </w:r>
            <w:r>
              <w:rPr>
                <w:rFonts w:ascii="宋体" w:hAnsi="宋体" w:cs="宋体"/>
                <w:color w:val="auto"/>
                <w:sz w:val="24"/>
                <w:highlight w:val="none"/>
              </w:rPr>
              <w:t>2</w:t>
            </w:r>
            <w:r>
              <w:rPr>
                <w:rFonts w:hint="eastAsia" w:ascii="宋体" w:hAnsi="宋体" w:cs="宋体"/>
                <w:color w:val="auto"/>
                <w:sz w:val="24"/>
                <w:highlight w:val="none"/>
              </w:rPr>
              <w:t>分，旅游大巴车型不够多样化，</w:t>
            </w:r>
            <w:r>
              <w:rPr>
                <w:rFonts w:hint="eastAsia" w:ascii="宋体" w:hAnsi="宋体" w:cs="宋体"/>
                <w:color w:val="auto"/>
                <w:sz w:val="24"/>
                <w:highlight w:val="none"/>
                <w:lang w:val="en-US" w:eastAsia="zh-CN"/>
              </w:rPr>
              <w:t>省内、省外</w:t>
            </w:r>
            <w:r>
              <w:rPr>
                <w:rFonts w:hint="eastAsia" w:ascii="宋体" w:hAnsi="宋体" w:cs="宋体"/>
                <w:color w:val="auto"/>
                <w:sz w:val="24"/>
                <w:highlight w:val="none"/>
              </w:rPr>
              <w:t>车况一般为五年以上空调旅游车得1分，未提供方案的不得分。（需提供旅游大巴车辆行驶证）</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46A211D">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53DB61A">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31D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155705F">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E132B4B">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工作程序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协调方法</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477C2940">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工作程序和步骤、管理和协调方法、关键步骤合理可行，包括整体行程策划，与采购人的沟通协调，行程前、行程中、行程后的组织条理清晰，详细完整得5分，提供的工作程序和步骤、管理和协调方法、关键步骤较清晰、较合理可行得3分，提供的工作程序和步骤、管理和协调方法、关键步骤基本清晰、基本合理可行得</w:t>
            </w:r>
            <w:r>
              <w:rPr>
                <w:rFonts w:ascii="宋体" w:hAnsi="宋体" w:cs="宋体"/>
                <w:color w:val="auto"/>
                <w:sz w:val="24"/>
                <w:highlight w:val="none"/>
              </w:rPr>
              <w:t>2</w:t>
            </w:r>
            <w:r>
              <w:rPr>
                <w:rFonts w:hint="eastAsia" w:ascii="宋体" w:hAnsi="宋体" w:cs="宋体"/>
                <w:color w:val="auto"/>
                <w:sz w:val="24"/>
                <w:highlight w:val="none"/>
              </w:rPr>
              <w:t>分，提供的工作程序和步骤、管理和协调方法一般，还需进一步完善得得1分，未提供不得分。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61F0CD7">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006835CE">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23A8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43E89A6C">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F689CE">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批次人数</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7836B80A">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对人员出行批次（每批次的人数）的进度安排合理、科学，包括每个团的人数控制到位，不因出团人员过多或过少导致服务质量的下降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不对出团人数设置前提条件</w:t>
            </w:r>
            <w:r>
              <w:rPr>
                <w:rFonts w:hint="eastAsia" w:ascii="宋体" w:hAnsi="宋体" w:cs="宋体"/>
                <w:color w:val="auto"/>
                <w:sz w:val="24"/>
                <w:highlight w:val="none"/>
              </w:rPr>
              <w:t>得5分，对人员出行批次进度安排较为合理、科学，</w:t>
            </w:r>
            <w:r>
              <w:rPr>
                <w:rFonts w:hint="eastAsia" w:ascii="宋体" w:hAnsi="宋体" w:cs="宋体"/>
                <w:color w:val="auto"/>
                <w:sz w:val="24"/>
                <w:highlight w:val="none"/>
                <w:lang w:val="en-US" w:eastAsia="zh-CN"/>
              </w:rPr>
              <w:t>不对出团人数设置前提条件</w:t>
            </w:r>
            <w:r>
              <w:rPr>
                <w:rFonts w:hint="eastAsia" w:ascii="宋体" w:hAnsi="宋体" w:cs="宋体"/>
                <w:color w:val="auto"/>
                <w:sz w:val="24"/>
                <w:highlight w:val="none"/>
              </w:rPr>
              <w:t>得3分，对人员出行批次进度安排基本合理、科学，得</w:t>
            </w:r>
            <w:r>
              <w:rPr>
                <w:rFonts w:ascii="宋体" w:hAnsi="宋体" w:cs="宋体"/>
                <w:color w:val="auto"/>
                <w:sz w:val="24"/>
                <w:highlight w:val="none"/>
              </w:rPr>
              <w:t>2</w:t>
            </w:r>
            <w:r>
              <w:rPr>
                <w:rFonts w:hint="eastAsia" w:ascii="宋体" w:hAnsi="宋体" w:cs="宋体"/>
                <w:color w:val="auto"/>
                <w:sz w:val="24"/>
                <w:highlight w:val="none"/>
              </w:rPr>
              <w:t>分，对人员出行批次进度安排一般得1分，未提供方案不得分。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328857E">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59D8DA3">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67BC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3E47B883">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829F7A0">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安全管理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47D2BE82">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安全管理（应急预案应考虑医院与行程活动场地的距离）措施到位，充分考虑安全管理的各方面因素，如人员受伤、食物中毒、身体不适等因素得5分，安全管理方案较为周全、措施较到位得3分，安全管理方案基本周全、措施基本到位得</w:t>
            </w:r>
            <w:r>
              <w:rPr>
                <w:rFonts w:ascii="宋体" w:hAnsi="宋体" w:cs="宋体"/>
                <w:color w:val="auto"/>
                <w:sz w:val="24"/>
                <w:highlight w:val="none"/>
              </w:rPr>
              <w:t>2</w:t>
            </w:r>
            <w:r>
              <w:rPr>
                <w:rFonts w:hint="eastAsia" w:ascii="宋体" w:hAnsi="宋体" w:cs="宋体"/>
                <w:color w:val="auto"/>
                <w:sz w:val="24"/>
                <w:highlight w:val="none"/>
              </w:rPr>
              <w:t>分，安全管理方案不够周全、措施一般，需进一步完善得1分，未提供不得分。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8E9FCB1">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E6121FE">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29F5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3F5EEB4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41ABC22">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舒适度保障措施</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526C9AD3">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提供加强服务舒适度保障的相关措施，整体措施方案实用性强、考虑周全的得5分，有舒适度保障相关措施，整体措施方案实用性较强、考虑较周全得3分，有舒适度保障相关措施，整体措施方案有一定实用性、考虑基本周全得</w:t>
            </w:r>
            <w:r>
              <w:rPr>
                <w:rFonts w:ascii="宋体" w:hAnsi="宋体" w:cs="宋体"/>
                <w:color w:val="auto"/>
                <w:sz w:val="24"/>
                <w:highlight w:val="none"/>
              </w:rPr>
              <w:t>2</w:t>
            </w:r>
            <w:r>
              <w:rPr>
                <w:rFonts w:hint="eastAsia" w:ascii="宋体" w:hAnsi="宋体" w:cs="宋体"/>
                <w:color w:val="auto"/>
                <w:sz w:val="24"/>
                <w:highlight w:val="none"/>
              </w:rPr>
              <w:t>分，有舒适度保障相关措施，但整体措施方案实用性一般、考虑不够周全，需进一步完善得1分，未提供方案的不得分。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195EEEC">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F2110AB">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6084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6254E693">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8C91725">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管理制度</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54BA6FC2">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投标人的管理制度健全，能有效保障本次服务，对服务人员有效管控得5分，投标人管理制度较为健全，对服务人员管控较为有效得3分，投标人管理制度基本健全，对服务人员管控基本有效得</w:t>
            </w:r>
            <w:r>
              <w:rPr>
                <w:rFonts w:ascii="宋体" w:hAnsi="宋体" w:cs="宋体"/>
                <w:color w:val="auto"/>
                <w:sz w:val="24"/>
                <w:highlight w:val="none"/>
              </w:rPr>
              <w:t>2</w:t>
            </w:r>
            <w:r>
              <w:rPr>
                <w:rFonts w:hint="eastAsia" w:ascii="宋体" w:hAnsi="宋体" w:cs="宋体"/>
                <w:color w:val="auto"/>
                <w:sz w:val="24"/>
                <w:highlight w:val="none"/>
              </w:rPr>
              <w:t>分，投标人管理制度及对服务人员管控一般，但不够健全，需进一步完善得1分，未提供不得分。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8EB825A">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763F07DF">
            <w:pPr>
              <w:jc w:val="center"/>
              <w:rPr>
                <w:rFonts w:ascii="宋体" w:hAnsi="宋体" w:cs="宋体"/>
                <w:color w:val="auto"/>
                <w:sz w:val="24"/>
                <w:highlight w:val="none"/>
              </w:rPr>
            </w:pPr>
            <w:r>
              <w:rPr>
                <w:rFonts w:hint="eastAsia" w:ascii="宋体" w:hAnsi="宋体" w:cs="宋体"/>
                <w:bCs/>
                <w:color w:val="auto"/>
                <w:sz w:val="24"/>
                <w:highlight w:val="none"/>
              </w:rPr>
              <w:t>主观分</w:t>
            </w:r>
          </w:p>
        </w:tc>
      </w:tr>
      <w:tr w14:paraId="0F12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57ABF5E2">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CD3BC32">
            <w:pPr>
              <w:pStyle w:val="24"/>
              <w:spacing w:line="360" w:lineRule="auto"/>
              <w:jc w:val="center"/>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服务团队</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782EEEDB">
            <w:pPr>
              <w:spacing w:line="360" w:lineRule="auto"/>
              <w:jc w:val="left"/>
              <w:outlineLvl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（1）本项目服务导游不少于</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人（含项目总负责人一名）得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分，不满足人数要求不得分；（0-</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p>
          <w:p w14:paraId="4EC7E0F3">
            <w:pPr>
              <w:pStyle w:val="24"/>
              <w:spacing w:line="360"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（2）服务团队中导游均具有</w:t>
            </w: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年及以上工作经验得5分，一人未达到要求扣</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分，扣完为止；（0-5分）</w:t>
            </w:r>
          </w:p>
          <w:p w14:paraId="54141817">
            <w:pPr>
              <w:pStyle w:val="24"/>
              <w:spacing w:line="360" w:lineRule="auto"/>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（3）其中配备中级职称导游每个得</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lang w:val="en-US" w:eastAsia="zh-CN"/>
              </w:rPr>
              <w:t>高</w:t>
            </w:r>
            <w:r>
              <w:rPr>
                <w:rFonts w:hint="eastAsia" w:ascii="宋体" w:hAnsi="宋体" w:eastAsia="宋体" w:cs="宋体"/>
                <w:b w:val="0"/>
                <w:bCs w:val="0"/>
                <w:color w:val="auto"/>
                <w:highlight w:val="none"/>
              </w:rPr>
              <w:t>级职称导游每个得</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分最多得4分，不提供则不得分。（0-4分）</w:t>
            </w:r>
          </w:p>
          <w:p w14:paraId="3F18A81A">
            <w:pPr>
              <w:pStyle w:val="24"/>
              <w:spacing w:line="360" w:lineRule="auto"/>
              <w:jc w:val="left"/>
              <w:rPr>
                <w:rFonts w:hAnsi="宋体" w:cs="宋体"/>
                <w:b/>
                <w:bCs/>
                <w:color w:val="auto"/>
                <w:highlight w:val="none"/>
              </w:rPr>
            </w:pPr>
            <w:r>
              <w:rPr>
                <w:rFonts w:hint="eastAsia" w:ascii="宋体" w:hAnsi="宋体" w:eastAsia="宋体" w:cs="宋体"/>
                <w:b w:val="0"/>
                <w:bCs w:val="0"/>
                <w:color w:val="auto"/>
                <w:highlight w:val="none"/>
              </w:rPr>
              <w:t>注：</w:t>
            </w:r>
            <w:r>
              <w:rPr>
                <w:rFonts w:hint="eastAsia" w:ascii="宋体" w:hAnsi="宋体" w:cs="宋体"/>
                <w:color w:val="auto"/>
                <w:sz w:val="24"/>
                <w:highlight w:val="none"/>
              </w:rPr>
              <w:t>整体服务团队人员（含项目负责人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清单，</w:t>
            </w:r>
            <w:r>
              <w:rPr>
                <w:rFonts w:hint="eastAsia" w:ascii="宋体" w:hAnsi="宋体" w:cs="宋体"/>
                <w:color w:val="auto"/>
                <w:sz w:val="24"/>
                <w:highlight w:val="none"/>
              </w:rPr>
              <w:t>需提供</w:t>
            </w:r>
            <w:r>
              <w:rPr>
                <w:rFonts w:hint="eastAsia" w:ascii="宋体" w:hAnsi="宋体" w:eastAsia="宋体" w:cs="宋体"/>
                <w:b w:val="0"/>
                <w:bCs w:val="0"/>
                <w:color w:val="auto"/>
                <w:highlight w:val="none"/>
              </w:rPr>
              <w:t>电子导游证</w:t>
            </w:r>
            <w:r>
              <w:rPr>
                <w:rFonts w:hint="eastAsia" w:ascii="宋体" w:hAnsi="宋体" w:eastAsia="宋体" w:cs="宋体"/>
                <w:b w:val="0"/>
                <w:bCs w:val="0"/>
                <w:color w:val="auto"/>
                <w:highlight w:val="none"/>
                <w:lang w:eastAsia="zh-CN"/>
              </w:rPr>
              <w:t>、</w:t>
            </w:r>
            <w:r>
              <w:rPr>
                <w:rFonts w:hint="eastAsia" w:ascii="宋体" w:hAnsi="宋体" w:cs="宋体"/>
                <w:color w:val="auto"/>
                <w:sz w:val="24"/>
                <w:highlight w:val="none"/>
              </w:rPr>
              <w:t>从业年限投标人自行提供</w:t>
            </w:r>
            <w:r>
              <w:rPr>
                <w:rFonts w:hint="eastAsia" w:ascii="宋体" w:hAnsi="宋体" w:cs="宋体"/>
                <w:color w:val="auto"/>
                <w:sz w:val="24"/>
                <w:highlight w:val="none"/>
                <w:lang w:val="en-US" w:eastAsia="zh-CN"/>
              </w:rPr>
              <w:t>证明材料</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近三个月内任意一个月社保证明，</w:t>
            </w:r>
            <w:r>
              <w:rPr>
                <w:rFonts w:hint="eastAsia" w:ascii="宋体" w:hAnsi="宋体" w:cs="宋体"/>
                <w:color w:val="auto"/>
                <w:sz w:val="24"/>
                <w:highlight w:val="none"/>
              </w:rPr>
              <w:t>提供不全或不能证明则不得分。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A913CC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D6E4365">
            <w:pPr>
              <w:jc w:val="center"/>
              <w:rPr>
                <w:rFonts w:ascii="宋体" w:hAnsi="宋体" w:cs="宋体"/>
                <w:color w:val="auto"/>
                <w:sz w:val="24"/>
                <w:highlight w:val="none"/>
              </w:rPr>
            </w:pPr>
            <w:r>
              <w:rPr>
                <w:rFonts w:hint="eastAsia" w:ascii="宋体" w:hAnsi="宋体" w:cs="宋体"/>
                <w:bCs/>
                <w:color w:val="auto"/>
                <w:sz w:val="24"/>
                <w:highlight w:val="none"/>
              </w:rPr>
              <w:t>客观分</w:t>
            </w:r>
          </w:p>
        </w:tc>
      </w:tr>
      <w:tr w14:paraId="5409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7A315C24">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BA61E5E">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olor w:val="auto"/>
                <w:sz w:val="24"/>
                <w:szCs w:val="24"/>
                <w:highlight w:val="none"/>
              </w:rPr>
              <w:t>重难点分析及解决组织方案</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43D5277B">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根据实际情况，分析出本项目的服务重点、难点，且根据分析出的重点难点，具有针对性的提出解决方案，解决方案切合实际，能有效解决服务中的问题得4分；有重点、难点的分析，且提出了较为实用的解决方案得2分；重点、难点分析一般，但与实际情况有一定出入，解决方案也不能完全有效解决问题得1分；未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C777D19">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4</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5397F3E2">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主观分</w:t>
            </w:r>
          </w:p>
        </w:tc>
      </w:tr>
      <w:tr w14:paraId="1B89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82557BB">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238" w:type="dxa"/>
            <w:vMerge w:val="restart"/>
            <w:tcBorders>
              <w:top w:val="single" w:color="auto" w:sz="4" w:space="0"/>
              <w:left w:val="single" w:color="auto" w:sz="4" w:space="0"/>
              <w:right w:val="single" w:color="auto" w:sz="4" w:space="0"/>
            </w:tcBorders>
            <w:noWrap w:val="0"/>
            <w:vAlign w:val="center"/>
          </w:tcPr>
          <w:p w14:paraId="7C0123D0">
            <w:pPr>
              <w:spacing w:line="360" w:lineRule="auto"/>
              <w:jc w:val="center"/>
              <w:outlineLvl w:val="0"/>
              <w:rPr>
                <w:rFonts w:hint="eastAsia" w:ascii="宋体" w:hAnsi="宋体" w:cs="宋体"/>
                <w:color w:val="auto"/>
                <w:sz w:val="24"/>
                <w:highlight w:val="none"/>
              </w:rPr>
            </w:pPr>
            <w:r>
              <w:rPr>
                <w:rFonts w:hint="eastAsia" w:ascii="宋体" w:hAnsi="宋体" w:eastAsia="宋体" w:cs="Times New Roman"/>
                <w:color w:val="auto"/>
                <w:sz w:val="24"/>
                <w:szCs w:val="24"/>
                <w:highlight w:val="none"/>
              </w:rPr>
              <w:t>相关</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承诺</w:t>
            </w:r>
          </w:p>
        </w:tc>
        <w:tc>
          <w:tcPr>
            <w:tcW w:w="5657" w:type="dxa"/>
            <w:tcBorders>
              <w:top w:val="single" w:color="auto" w:sz="4" w:space="0"/>
              <w:left w:val="single" w:color="auto" w:sz="4" w:space="0"/>
              <w:bottom w:val="single" w:color="auto" w:sz="4" w:space="0"/>
              <w:right w:val="single" w:color="auto" w:sz="4" w:space="0"/>
            </w:tcBorders>
            <w:noWrap w:val="0"/>
            <w:vAlign w:val="top"/>
          </w:tcPr>
          <w:p w14:paraId="032D03BB">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供应商的企业责任保险保额达到</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000万及以上的得3分，</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万（含）-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000万（不含）的得1分，</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万（不含）以下的不得分（提供保单复印件加盖公章）；</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58241D6">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DE8C973">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64C8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2ED1682A">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238" w:type="dxa"/>
            <w:vMerge w:val="continue"/>
            <w:tcBorders>
              <w:left w:val="single" w:color="auto" w:sz="4" w:space="0"/>
              <w:right w:val="single" w:color="auto" w:sz="4" w:space="0"/>
            </w:tcBorders>
            <w:noWrap w:val="0"/>
            <w:vAlign w:val="top"/>
          </w:tcPr>
          <w:p w14:paraId="62B06A13">
            <w:pPr>
              <w:spacing w:line="360" w:lineRule="auto"/>
              <w:jc w:val="left"/>
              <w:outlineLvl w:val="0"/>
              <w:rPr>
                <w:rFonts w:hint="eastAsia" w:ascii="宋体" w:hAnsi="宋体" w:cs="宋体"/>
                <w:color w:val="auto"/>
                <w:sz w:val="24"/>
                <w:highlight w:val="none"/>
              </w:rPr>
            </w:pPr>
          </w:p>
        </w:tc>
        <w:tc>
          <w:tcPr>
            <w:tcW w:w="5657" w:type="dxa"/>
            <w:tcBorders>
              <w:top w:val="single" w:color="auto" w:sz="4" w:space="0"/>
              <w:left w:val="single" w:color="auto" w:sz="4" w:space="0"/>
              <w:bottom w:val="single" w:color="auto" w:sz="4" w:space="0"/>
              <w:right w:val="single" w:color="auto" w:sz="4" w:space="0"/>
            </w:tcBorders>
            <w:noWrap w:val="0"/>
            <w:vAlign w:val="top"/>
          </w:tcPr>
          <w:p w14:paraId="17BFE277">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个人旅游人身意外险（人身意外险包括意外伤害、突发性疾病、伤害医疗、突发性医疗等）保额达到</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万及以上的得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0万以下的不得分(提供承诺函，格式自拟)； </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F45CE66">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41FF287F">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4FA4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62336B1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238" w:type="dxa"/>
            <w:vMerge w:val="continue"/>
            <w:tcBorders>
              <w:left w:val="single" w:color="auto" w:sz="4" w:space="0"/>
              <w:right w:val="single" w:color="auto" w:sz="4" w:space="0"/>
            </w:tcBorders>
            <w:noWrap w:val="0"/>
            <w:vAlign w:val="top"/>
          </w:tcPr>
          <w:p w14:paraId="7C21C78A">
            <w:pPr>
              <w:spacing w:line="360" w:lineRule="auto"/>
              <w:jc w:val="left"/>
              <w:outlineLvl w:val="0"/>
              <w:rPr>
                <w:rFonts w:hint="eastAsia" w:ascii="宋体" w:hAnsi="宋体" w:cs="宋体"/>
                <w:color w:val="auto"/>
                <w:sz w:val="24"/>
                <w:highlight w:val="none"/>
              </w:rPr>
            </w:pPr>
          </w:p>
        </w:tc>
        <w:tc>
          <w:tcPr>
            <w:tcW w:w="5657" w:type="dxa"/>
            <w:tcBorders>
              <w:top w:val="single" w:color="auto" w:sz="4" w:space="0"/>
              <w:left w:val="single" w:color="auto" w:sz="4" w:space="0"/>
              <w:bottom w:val="single" w:color="auto" w:sz="4" w:space="0"/>
              <w:right w:val="single" w:color="auto" w:sz="4" w:space="0"/>
            </w:tcBorders>
            <w:noWrap w:val="0"/>
            <w:vAlign w:val="top"/>
          </w:tcPr>
          <w:p w14:paraId="52943C42">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投标人承诺提供小额赔款（5000元及以下）先行赔付的得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分，不提供则不得分(提供承诺函，格式自拟)；</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D3E737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41F4BDE1">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3747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1E58C2F4">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238" w:type="dxa"/>
            <w:vMerge w:val="continue"/>
            <w:tcBorders>
              <w:left w:val="single" w:color="auto" w:sz="4" w:space="0"/>
              <w:bottom w:val="single" w:color="auto" w:sz="4" w:space="0"/>
              <w:right w:val="single" w:color="auto" w:sz="4" w:space="0"/>
            </w:tcBorders>
            <w:noWrap w:val="0"/>
            <w:vAlign w:val="top"/>
          </w:tcPr>
          <w:p w14:paraId="4C78F653">
            <w:pPr>
              <w:spacing w:line="360" w:lineRule="auto"/>
              <w:jc w:val="left"/>
              <w:outlineLvl w:val="0"/>
              <w:rPr>
                <w:rFonts w:hint="eastAsia" w:ascii="宋体" w:hAnsi="宋体" w:cs="宋体"/>
                <w:color w:val="auto"/>
                <w:sz w:val="24"/>
                <w:highlight w:val="none"/>
              </w:rPr>
            </w:pPr>
          </w:p>
        </w:tc>
        <w:tc>
          <w:tcPr>
            <w:tcW w:w="5657" w:type="dxa"/>
            <w:tcBorders>
              <w:top w:val="single" w:color="auto" w:sz="4" w:space="0"/>
              <w:left w:val="single" w:color="auto" w:sz="4" w:space="0"/>
              <w:bottom w:val="single" w:color="auto" w:sz="4" w:space="0"/>
              <w:right w:val="single" w:color="auto" w:sz="4" w:space="0"/>
            </w:tcBorders>
            <w:noWrap w:val="0"/>
            <w:vAlign w:val="top"/>
          </w:tcPr>
          <w:p w14:paraId="16888AA4">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投标人承诺全程不进购物点、无商业广告及各类产品推销和介绍、无自费景点或活动得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分，不提供则不得分 (提供承诺函，格式自拟)；</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E46406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0B65FADD">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4416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3B126B52">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0197C2B">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回访服务</w:t>
            </w:r>
            <w:r>
              <w:rPr>
                <w:rFonts w:hint="eastAsia" w:ascii="宋体" w:hAnsi="宋体" w:cs="宋体"/>
                <w:color w:val="auto"/>
                <w:sz w:val="24"/>
                <w:highlight w:val="none"/>
                <w:lang w:val="en-US" w:eastAsia="zh-CN"/>
              </w:rPr>
              <w:t>方案</w:t>
            </w:r>
          </w:p>
        </w:tc>
        <w:tc>
          <w:tcPr>
            <w:tcW w:w="5657" w:type="dxa"/>
            <w:tcBorders>
              <w:top w:val="single" w:color="auto" w:sz="4" w:space="0"/>
              <w:left w:val="single" w:color="auto" w:sz="4" w:space="0"/>
              <w:bottom w:val="single" w:color="auto" w:sz="4" w:space="0"/>
              <w:right w:val="single" w:color="auto" w:sz="4" w:space="0"/>
            </w:tcBorders>
            <w:noWrap w:val="0"/>
            <w:vAlign w:val="top"/>
          </w:tcPr>
          <w:p w14:paraId="33112FD2">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回访服务及总结方案，方案考虑周全、实用性强的得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分，方案考虑较为周全、实用性较强的得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分，方案尚有不足的得</w:t>
            </w:r>
            <w:r>
              <w:rPr>
                <w:rFonts w:ascii="宋体" w:hAnsi="宋体" w:cs="宋体"/>
                <w:color w:val="auto"/>
                <w:sz w:val="24"/>
                <w:highlight w:val="none"/>
              </w:rPr>
              <w:t>1</w:t>
            </w:r>
            <w:r>
              <w:rPr>
                <w:rFonts w:hint="eastAsia" w:ascii="宋体" w:hAnsi="宋体" w:cs="宋体"/>
                <w:color w:val="auto"/>
                <w:sz w:val="24"/>
                <w:highlight w:val="none"/>
              </w:rPr>
              <w:t>分，未提供方案的不得分。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7C9B8B8">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4E0B8A40">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主观分</w:t>
            </w:r>
          </w:p>
        </w:tc>
      </w:tr>
      <w:tr w14:paraId="503D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2D571B57">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9DCCB12">
            <w:pPr>
              <w:spacing w:line="360" w:lineRule="auto"/>
              <w:jc w:val="center"/>
              <w:outlineLvl w:val="0"/>
              <w:rPr>
                <w:rFonts w:hint="eastAsia" w:ascii="宋体" w:hAnsi="宋体" w:cs="宋体"/>
                <w:color w:val="auto"/>
                <w:sz w:val="24"/>
                <w:highlight w:val="none"/>
              </w:rPr>
            </w:pPr>
            <w:r>
              <w:rPr>
                <w:rFonts w:hint="eastAsia" w:ascii="宋体" w:hAnsi="宋体"/>
                <w:color w:val="auto"/>
                <w:sz w:val="24"/>
                <w:szCs w:val="24"/>
                <w:highlight w:val="none"/>
              </w:rPr>
              <w:t>服务质量</w:t>
            </w:r>
            <w:r>
              <w:rPr>
                <w:rFonts w:hint="eastAsia" w:ascii="宋体" w:hAnsi="宋体" w:cs="宋体"/>
                <w:color w:val="auto"/>
                <w:sz w:val="24"/>
                <w:highlight w:val="none"/>
              </w:rPr>
              <w:t>标准</w:t>
            </w:r>
          </w:p>
        </w:tc>
        <w:tc>
          <w:tcPr>
            <w:tcW w:w="5657" w:type="dxa"/>
            <w:tcBorders>
              <w:top w:val="single" w:color="auto" w:sz="4" w:space="0"/>
              <w:left w:val="single" w:color="auto" w:sz="4" w:space="0"/>
              <w:bottom w:val="single" w:color="auto" w:sz="4" w:space="0"/>
              <w:right w:val="single" w:color="auto" w:sz="4" w:space="0"/>
            </w:tcBorders>
            <w:noWrap w:val="0"/>
            <w:vAlign w:val="top"/>
          </w:tcPr>
          <w:p w14:paraId="367E4676">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服务质量标准严谨、详细、操作性强得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分；服务质量标准较严谨、较详细、操作性较强得2分；服务质量标准内容完整度、操作性一般，需进一步完善得1分，未提供考核标准的不得分。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A280498">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32682DA8">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主观分</w:t>
            </w:r>
          </w:p>
        </w:tc>
      </w:tr>
      <w:tr w14:paraId="01D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40A3DA6D">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D13D9F4">
            <w:pPr>
              <w:spacing w:line="360" w:lineRule="auto"/>
              <w:jc w:val="center"/>
              <w:outlineLvl w:val="0"/>
              <w:rPr>
                <w:rFonts w:hint="eastAsia" w:ascii="宋体" w:hAnsi="宋体"/>
                <w:bCs/>
                <w:color w:val="auto"/>
                <w:sz w:val="24"/>
                <w:szCs w:val="24"/>
                <w:highlight w:val="none"/>
              </w:rPr>
            </w:pPr>
            <w:r>
              <w:rPr>
                <w:rFonts w:hint="eastAsia" w:ascii="宋体" w:hAnsi="宋体" w:eastAsia="宋体" w:cs="Times New Roman"/>
                <w:bCs w:val="0"/>
                <w:color w:val="auto"/>
                <w:sz w:val="24"/>
                <w:szCs w:val="24"/>
                <w:highlight w:val="none"/>
              </w:rPr>
              <w:t>增值（特色）服务方案</w:t>
            </w:r>
          </w:p>
        </w:tc>
        <w:tc>
          <w:tcPr>
            <w:tcW w:w="5657" w:type="dxa"/>
            <w:tcBorders>
              <w:top w:val="single" w:color="auto" w:sz="4" w:space="0"/>
              <w:left w:val="single" w:color="auto" w:sz="4" w:space="0"/>
              <w:bottom w:val="single" w:color="auto" w:sz="4" w:space="0"/>
              <w:right w:val="single" w:color="auto" w:sz="4" w:space="0"/>
            </w:tcBorders>
            <w:noWrap w:val="0"/>
            <w:vAlign w:val="top"/>
          </w:tcPr>
          <w:p w14:paraId="19B9EB2E">
            <w:pPr>
              <w:spacing w:line="360" w:lineRule="auto"/>
              <w:jc w:val="left"/>
              <w:outlineLvl w:val="0"/>
              <w:rPr>
                <w:rFonts w:ascii="宋体" w:hAnsi="宋体" w:cs="宋体"/>
                <w:color w:val="auto"/>
                <w:sz w:val="24"/>
                <w:highlight w:val="none"/>
              </w:rPr>
            </w:pPr>
            <w:r>
              <w:rPr>
                <w:rFonts w:hint="eastAsia" w:ascii="宋体" w:hAnsi="宋体"/>
                <w:bCs/>
                <w:color w:val="auto"/>
                <w:sz w:val="24"/>
                <w:szCs w:val="24"/>
                <w:highlight w:val="none"/>
              </w:rPr>
              <w:t>提供针对本项目切实可行的增值（特色）服务方案。增值（特色）服务方案详细、切实可行得</w:t>
            </w:r>
            <w:r>
              <w:rPr>
                <w:rFonts w:ascii="宋体" w:hAnsi="宋体"/>
                <w:bCs/>
                <w:color w:val="auto"/>
                <w:sz w:val="24"/>
                <w:szCs w:val="24"/>
                <w:highlight w:val="none"/>
              </w:rPr>
              <w:t>4</w:t>
            </w:r>
            <w:r>
              <w:rPr>
                <w:rFonts w:hint="eastAsia" w:ascii="宋体" w:hAnsi="宋体"/>
                <w:bCs/>
                <w:color w:val="auto"/>
                <w:sz w:val="24"/>
                <w:szCs w:val="24"/>
                <w:highlight w:val="none"/>
              </w:rPr>
              <w:t>分，增值（特色）服务方案较为详细、可行性较强得2分，增值（特色）服务方案内容及可行性一般得1分，不提供则不得分。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A574E92">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4</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65723EBC">
            <w:pPr>
              <w:spacing w:line="360" w:lineRule="auto"/>
              <w:jc w:val="center"/>
              <w:outlineLvl w:val="0"/>
              <w:rPr>
                <w:rFonts w:ascii="宋体" w:hAnsi="宋体" w:cs="宋体"/>
                <w:color w:val="auto"/>
                <w:sz w:val="24"/>
                <w:highlight w:val="none"/>
              </w:rPr>
            </w:pPr>
            <w:r>
              <w:rPr>
                <w:rFonts w:hint="eastAsia" w:ascii="宋体" w:hAnsi="宋体" w:cs="宋体"/>
                <w:bCs/>
                <w:color w:val="auto"/>
                <w:sz w:val="24"/>
                <w:highlight w:val="none"/>
              </w:rPr>
              <w:t>主观分</w:t>
            </w:r>
          </w:p>
        </w:tc>
      </w:tr>
      <w:tr w14:paraId="1ACD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0885572D">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956C36A">
            <w:pPr>
              <w:spacing w:line="360" w:lineRule="auto"/>
              <w:jc w:val="center"/>
              <w:outlineLvl w:val="0"/>
              <w:rPr>
                <w:rFonts w:hint="default" w:ascii="宋体" w:hAnsi="宋体" w:cs="宋体"/>
                <w:color w:val="auto"/>
                <w:sz w:val="24"/>
                <w:highlight w:val="none"/>
                <w:lang w:val="en-US" w:eastAsia="zh-CN"/>
              </w:rPr>
            </w:pPr>
            <w:r>
              <w:rPr>
                <w:rFonts w:hint="eastAsia" w:ascii="宋体" w:hAnsi="宋体" w:eastAsia="宋体" w:cs="Times New Roman"/>
                <w:bCs/>
                <w:color w:val="auto"/>
                <w:sz w:val="24"/>
                <w:szCs w:val="24"/>
                <w:highlight w:val="none"/>
                <w:lang w:val="en-US" w:eastAsia="zh-CN"/>
              </w:rPr>
              <w:t>业绩</w:t>
            </w:r>
          </w:p>
        </w:tc>
        <w:tc>
          <w:tcPr>
            <w:tcW w:w="5657" w:type="dxa"/>
            <w:tcBorders>
              <w:top w:val="single" w:color="auto" w:sz="4" w:space="0"/>
              <w:left w:val="single" w:color="auto" w:sz="4" w:space="0"/>
              <w:bottom w:val="single" w:color="auto" w:sz="4" w:space="0"/>
              <w:right w:val="single" w:color="auto" w:sz="4" w:space="0"/>
            </w:tcBorders>
            <w:noWrap w:val="0"/>
            <w:vAlign w:val="top"/>
          </w:tcPr>
          <w:p w14:paraId="51ECEABB">
            <w:pPr>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lang w:eastAsia="zh-CN"/>
              </w:rPr>
              <w:t>2021年</w:t>
            </w:r>
            <w:r>
              <w:rPr>
                <w:rFonts w:hint="eastAsia" w:ascii="宋体" w:hAnsi="宋体" w:cs="宋体"/>
                <w:color w:val="auto"/>
                <w:sz w:val="24"/>
                <w:highlight w:val="none"/>
              </w:rPr>
              <w:t>1月1日至今（以合同签订时间为准）投标人承担</w:t>
            </w:r>
            <w:r>
              <w:rPr>
                <w:rFonts w:hint="eastAsia" w:ascii="宋体" w:hAnsi="宋体" w:cs="宋体"/>
                <w:color w:val="auto"/>
                <w:sz w:val="24"/>
                <w:highlight w:val="none"/>
                <w:lang w:eastAsia="zh-CN"/>
              </w:rPr>
              <w:t>疗休养</w:t>
            </w:r>
            <w:r>
              <w:rPr>
                <w:rFonts w:hint="eastAsia" w:ascii="宋体" w:hAnsi="宋体" w:cs="宋体"/>
                <w:color w:val="auto"/>
                <w:sz w:val="24"/>
                <w:highlight w:val="none"/>
              </w:rPr>
              <w:t>项目情况：每提供一个合同复印件得0.5分，最高</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659C394">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70DA47E">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78BA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7911E78D">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DA45854">
            <w:pPr>
              <w:spacing w:line="360" w:lineRule="auto"/>
              <w:jc w:val="center"/>
              <w:outlineLvl w:val="0"/>
              <w:rPr>
                <w:rFonts w:hint="eastAsia" w:ascii="宋体" w:hAnsi="宋体" w:eastAsia="宋体" w:cs="Times New Roman"/>
                <w:bCs/>
                <w:color w:val="auto"/>
                <w:sz w:val="24"/>
                <w:szCs w:val="24"/>
                <w:highlight w:val="none"/>
                <w:lang w:val="en-US" w:eastAsia="zh-CN"/>
              </w:rPr>
            </w:pPr>
            <w:r>
              <w:rPr>
                <w:rFonts w:hint="eastAsia" w:ascii="宋体" w:hAnsi="宋体" w:eastAsia="宋体" w:cs="宋体"/>
                <w:color w:val="auto"/>
                <w:sz w:val="24"/>
                <w:highlight w:val="none"/>
                <w:lang w:val="en-US" w:eastAsia="zh-CN"/>
              </w:rPr>
              <w:t>报价分</w:t>
            </w:r>
          </w:p>
        </w:tc>
        <w:tc>
          <w:tcPr>
            <w:tcW w:w="5657" w:type="dxa"/>
            <w:tcBorders>
              <w:top w:val="single" w:color="auto" w:sz="4" w:space="0"/>
              <w:left w:val="single" w:color="auto" w:sz="4" w:space="0"/>
              <w:bottom w:val="single" w:color="auto" w:sz="4" w:space="0"/>
              <w:right w:val="single" w:color="auto" w:sz="4" w:space="0"/>
            </w:tcBorders>
            <w:noWrap w:val="0"/>
            <w:vAlign w:val="top"/>
          </w:tcPr>
          <w:p w14:paraId="3F8B67FE">
            <w:pPr>
              <w:pStyle w:val="37"/>
              <w:adjustRightInd w:val="0"/>
              <w:snapToGrid w:val="0"/>
              <w:spacing w:line="360" w:lineRule="auto"/>
              <w:ind w:left="0" w:leftChars="0" w:firstLine="0" w:firstLineChars="0"/>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满足招标文件要求且投标价格最低的投标报价为评标基准价，投标人的价格分统一按照下列公式计算：</w:t>
            </w:r>
          </w:p>
          <w:p w14:paraId="6820C7E4">
            <w:pPr>
              <w:pStyle w:val="37"/>
              <w:adjustRightInd w:val="0"/>
              <w:snapToGrid w:val="0"/>
              <w:spacing w:line="360" w:lineRule="auto"/>
              <w:ind w:left="0" w:leftChars="0" w:firstLine="0" w:firstLineChars="0"/>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价格分=（评标基准价/投标报价）×价格权值×100。</w:t>
            </w:r>
          </w:p>
          <w:p w14:paraId="4B06DC62">
            <w:pPr>
              <w:pStyle w:val="37"/>
              <w:adjustRightInd w:val="0"/>
              <w:snapToGrid w:val="0"/>
              <w:spacing w:line="360" w:lineRule="auto"/>
              <w:ind w:left="0" w:leftChars="0" w:firstLine="0" w:firstLineChars="0"/>
              <w:rPr>
                <w:rFonts w:hint="eastAsia" w:ascii="宋体" w:hAnsi="宋体" w:cs="宋体"/>
                <w:color w:val="auto"/>
                <w:sz w:val="24"/>
                <w:highlight w:val="none"/>
                <w:lang w:eastAsia="zh-CN"/>
              </w:rPr>
            </w:pPr>
            <w:r>
              <w:rPr>
                <w:rFonts w:hint="eastAsia" w:ascii="宋体" w:hAnsi="宋体" w:eastAsia="宋体" w:cs="Times New Roman"/>
                <w:b/>
                <w:bCs/>
                <w:color w:val="auto"/>
                <w:sz w:val="24"/>
                <w:szCs w:val="24"/>
                <w:highlight w:val="none"/>
              </w:rPr>
              <w:t>即：价格得分=（评标基准价/投标报价）×</w:t>
            </w:r>
            <w:r>
              <w:rPr>
                <w:rFonts w:hint="eastAsia" w:ascii="宋体" w:hAnsi="宋体" w:eastAsia="宋体" w:cs="Times New Roman"/>
                <w:b/>
                <w:bCs/>
                <w:color w:val="auto"/>
                <w:sz w:val="24"/>
                <w:szCs w:val="24"/>
                <w:highlight w:val="none"/>
                <w:lang w:val="en-US" w:eastAsia="zh-CN"/>
              </w:rPr>
              <w:t>10</w:t>
            </w:r>
            <w:r>
              <w:rPr>
                <w:rFonts w:hint="eastAsia" w:ascii="宋体" w:hAnsi="宋体" w:eastAsia="宋体" w:cs="Times New Roman"/>
                <w:b/>
                <w:bCs/>
                <w:color w:val="auto"/>
                <w:sz w:val="24"/>
                <w:szCs w:val="24"/>
                <w:highlight w:val="none"/>
              </w:rPr>
              <w:t xml:space="preserve">%×100 </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17DC323">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5D2F235C">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客观分</w:t>
            </w:r>
          </w:p>
        </w:tc>
      </w:tr>
    </w:tbl>
    <w:p w14:paraId="27B9B9C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p w14:paraId="414513D2">
      <w:pPr>
        <w:spacing w:line="360" w:lineRule="auto"/>
        <w:ind w:left="720" w:leftChars="343" w:firstLine="1084" w:firstLineChars="300"/>
        <w:outlineLvl w:val="0"/>
        <w:rPr>
          <w:rFonts w:ascii="宋体" w:hAnsi="宋体" w:cs="宋体"/>
          <w:b/>
          <w:color w:val="auto"/>
          <w:sz w:val="36"/>
          <w:szCs w:val="36"/>
          <w:highlight w:val="none"/>
        </w:rPr>
      </w:pPr>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A555940">
      <w:pPr>
        <w:spacing w:line="460" w:lineRule="exact"/>
        <w:rPr>
          <w:rFonts w:ascii="宋体" w:hAnsi="宋体" w:cs="宋体"/>
          <w:color w:val="auto"/>
          <w:sz w:val="24"/>
          <w:highlight w:val="none"/>
        </w:rPr>
      </w:pPr>
      <w:r>
        <w:rPr>
          <w:rFonts w:hint="eastAsia" w:ascii="宋体" w:hAnsi="宋体" w:cs="宋体"/>
          <w:color w:val="auto"/>
          <w:sz w:val="24"/>
          <w:highlight w:val="none"/>
        </w:rPr>
        <w:t>采购编号：</w:t>
      </w:r>
    </w:p>
    <w:p w14:paraId="103BFBE7">
      <w:pPr>
        <w:spacing w:line="460" w:lineRule="exact"/>
        <w:rPr>
          <w:rFonts w:ascii="宋体" w:hAnsi="宋体" w:cs="宋体"/>
          <w:color w:val="auto"/>
          <w:sz w:val="24"/>
          <w:highlight w:val="none"/>
        </w:rPr>
      </w:pPr>
      <w:r>
        <w:rPr>
          <w:rFonts w:hint="eastAsia" w:ascii="宋体" w:hAnsi="宋体" w:cs="宋体"/>
          <w:color w:val="auto"/>
          <w:sz w:val="24"/>
          <w:highlight w:val="none"/>
        </w:rPr>
        <w:t>合同编号：</w:t>
      </w:r>
    </w:p>
    <w:p w14:paraId="69F04122">
      <w:pPr>
        <w:spacing w:line="460" w:lineRule="exact"/>
        <w:rPr>
          <w:rFonts w:ascii="宋体" w:hAnsi="宋体" w:cs="宋体"/>
          <w:color w:val="auto"/>
          <w:sz w:val="24"/>
          <w:highlight w:val="none"/>
        </w:rPr>
      </w:pPr>
      <w:r>
        <w:rPr>
          <w:rFonts w:hint="eastAsia" w:ascii="宋体" w:hAnsi="宋体" w:cs="宋体"/>
          <w:color w:val="auto"/>
          <w:sz w:val="24"/>
          <w:highlight w:val="none"/>
        </w:rPr>
        <w:t>签订地点：杭州</w:t>
      </w:r>
    </w:p>
    <w:p w14:paraId="747424C6">
      <w:pPr>
        <w:spacing w:line="460" w:lineRule="exac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 xml:space="preserve">                    </w:t>
      </w:r>
    </w:p>
    <w:p w14:paraId="4052E18C">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乙方：                            </w:t>
      </w:r>
    </w:p>
    <w:p w14:paraId="5F122E7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甲方通过</w:t>
      </w:r>
      <w:r>
        <w:rPr>
          <w:rFonts w:hint="eastAsia" w:ascii="宋体" w:hAnsi="宋体" w:cs="宋体"/>
          <w:color w:val="auto"/>
          <w:sz w:val="24"/>
          <w:highlight w:val="none"/>
          <w:u w:val="single"/>
        </w:rPr>
        <w:t>公开招标采购</w:t>
      </w:r>
      <w:r>
        <w:rPr>
          <w:rFonts w:hint="eastAsia" w:ascii="宋体" w:hAnsi="宋体" w:cs="宋体"/>
          <w:color w:val="auto"/>
          <w:sz w:val="24"/>
          <w:highlight w:val="none"/>
        </w:rPr>
        <w:t>方式，向乙方采购关于</w:t>
      </w:r>
      <w:r>
        <w:rPr>
          <w:rFonts w:hint="eastAsia" w:ascii="宋体" w:hAnsi="宋体" w:cs="宋体"/>
          <w:color w:val="auto"/>
          <w:sz w:val="24"/>
          <w:highlight w:val="none"/>
          <w:u w:val="single"/>
          <w:lang w:val="zh-CN"/>
        </w:rPr>
        <w:t xml:space="preserve"> 笕桥街道机关工会疗休养项目</w:t>
      </w:r>
      <w:r>
        <w:rPr>
          <w:rFonts w:hint="eastAsia" w:ascii="宋体" w:hAnsi="宋体" w:cs="宋体"/>
          <w:color w:val="auto"/>
          <w:sz w:val="24"/>
          <w:highlight w:val="none"/>
        </w:rPr>
        <w:t>，为明确双方权利义务，依据《中华人民共和国民法典》等有关法律规定，经甲、乙双方友好协商，签订本合同并遵照执行。</w:t>
      </w:r>
    </w:p>
    <w:p w14:paraId="3EC901CD">
      <w:pPr>
        <w:spacing w:line="460" w:lineRule="exact"/>
        <w:rPr>
          <w:rFonts w:ascii="宋体" w:hAnsi="宋体" w:cs="宋体"/>
          <w:b/>
          <w:color w:val="auto"/>
          <w:sz w:val="24"/>
          <w:highlight w:val="none"/>
        </w:rPr>
      </w:pPr>
      <w:r>
        <w:rPr>
          <w:rFonts w:hint="eastAsia" w:ascii="宋体" w:hAnsi="宋体" w:cs="宋体"/>
          <w:b/>
          <w:color w:val="auto"/>
          <w:sz w:val="24"/>
          <w:highlight w:val="none"/>
        </w:rPr>
        <w:t>1、定义</w:t>
      </w:r>
    </w:p>
    <w:p w14:paraId="5A8C0153">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在本合同中，除非上下文另有说明，下列词语分别具有本条所指含义：</w:t>
      </w:r>
    </w:p>
    <w:p w14:paraId="7DAEF048">
      <w:pPr>
        <w:numPr>
          <w:ilvl w:val="1"/>
          <w:numId w:val="1"/>
        </w:numPr>
        <w:adjustRightInd/>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“工作日”，指中国法定节假日之外的日期。</w:t>
      </w:r>
    </w:p>
    <w:p w14:paraId="5B11F37B">
      <w:pPr>
        <w:numPr>
          <w:ilvl w:val="1"/>
          <w:numId w:val="1"/>
        </w:numPr>
        <w:adjustRightInd/>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“年”，指日历年；一年按365天计算。</w:t>
      </w:r>
    </w:p>
    <w:p w14:paraId="5FCED89B">
      <w:pPr>
        <w:numPr>
          <w:ilvl w:val="1"/>
          <w:numId w:val="1"/>
        </w:numPr>
        <w:adjustRightInd/>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“元”，指中国法定货币人民币元。</w:t>
      </w:r>
    </w:p>
    <w:p w14:paraId="7E24BE11">
      <w:pPr>
        <w:spacing w:line="460" w:lineRule="exact"/>
        <w:rPr>
          <w:rFonts w:ascii="宋体" w:hAnsi="宋体" w:cs="宋体"/>
          <w:b/>
          <w:color w:val="auto"/>
          <w:sz w:val="24"/>
          <w:highlight w:val="none"/>
        </w:rPr>
      </w:pPr>
      <w:r>
        <w:rPr>
          <w:rFonts w:hint="eastAsia" w:ascii="宋体" w:hAnsi="宋体" w:cs="宋体"/>
          <w:b/>
          <w:color w:val="auto"/>
          <w:sz w:val="24"/>
          <w:highlight w:val="none"/>
        </w:rPr>
        <w:t>2、服务内容与期限</w:t>
      </w:r>
    </w:p>
    <w:p w14:paraId="45135B3F">
      <w:pPr>
        <w:spacing w:line="460" w:lineRule="exact"/>
        <w:ind w:left="420" w:leftChars="200"/>
        <w:rPr>
          <w:rFonts w:ascii="宋体" w:hAnsi="宋体" w:cs="宋体"/>
          <w:bCs/>
          <w:color w:val="auto"/>
          <w:sz w:val="24"/>
          <w:highlight w:val="none"/>
        </w:rPr>
      </w:pPr>
      <w:r>
        <w:rPr>
          <w:rFonts w:hint="eastAsia" w:ascii="宋体" w:hAnsi="宋体" w:cs="宋体"/>
          <w:bCs/>
          <w:color w:val="auto"/>
          <w:sz w:val="24"/>
          <w:highlight w:val="none"/>
        </w:rPr>
        <w:t>2.1服务内容</w:t>
      </w:r>
    </w:p>
    <w:p w14:paraId="58FCFC19">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1、总人数</w:t>
      </w:r>
      <w:r>
        <w:rPr>
          <w:rFonts w:hint="eastAsia" w:ascii="宋体" w:hAnsi="宋体" w:eastAsia="宋体" w:cs="宋体"/>
          <w:color w:val="auto"/>
          <w:kern w:val="0"/>
          <w:sz w:val="24"/>
          <w:szCs w:val="24"/>
          <w:highlight w:val="none"/>
          <w:lang w:val="zh-CN"/>
        </w:rPr>
        <w:t>约</w:t>
      </w:r>
      <w:r>
        <w:rPr>
          <w:rFonts w:hint="eastAsia" w:hAnsi="宋体" w:cs="宋体"/>
          <w:color w:val="auto"/>
          <w:kern w:val="0"/>
          <w:sz w:val="24"/>
          <w:szCs w:val="24"/>
          <w:highlight w:val="none"/>
          <w:lang w:val="en-US" w:eastAsia="zh-CN"/>
        </w:rPr>
        <w:t>330</w:t>
      </w:r>
      <w:r>
        <w:rPr>
          <w:rFonts w:hint="eastAsia" w:ascii="宋体" w:hAnsi="宋体" w:eastAsia="宋体" w:cs="宋体"/>
          <w:color w:val="auto"/>
          <w:kern w:val="0"/>
          <w:sz w:val="24"/>
          <w:szCs w:val="24"/>
          <w:highlight w:val="none"/>
          <w:lang w:val="zh-CN"/>
        </w:rPr>
        <w:t>人，结算时按实际出游人数计算，出行天数</w:t>
      </w:r>
      <w:r>
        <w:rPr>
          <w:rFonts w:hint="eastAsia" w:ascii="宋体" w:hAnsi="宋体" w:eastAsia="宋体" w:cs="宋体"/>
          <w:color w:val="auto"/>
          <w:kern w:val="0"/>
          <w:sz w:val="24"/>
          <w:szCs w:val="24"/>
          <w:highlight w:val="none"/>
          <w:lang w:val="en-US" w:eastAsia="zh-CN"/>
        </w:rPr>
        <w:t>5天，</w:t>
      </w:r>
      <w:r>
        <w:rPr>
          <w:rFonts w:hint="eastAsia" w:ascii="宋体" w:hAnsi="宋体" w:eastAsia="宋体" w:cs="宋体"/>
          <w:color w:val="auto"/>
          <w:kern w:val="0"/>
          <w:sz w:val="24"/>
          <w:szCs w:val="24"/>
          <w:highlight w:val="none"/>
          <w:lang w:val="zh-CN"/>
        </w:rPr>
        <w:t>供应商需按</w:t>
      </w:r>
      <w:r>
        <w:rPr>
          <w:rFonts w:hint="eastAsia" w:ascii="宋体" w:hAnsi="宋体" w:eastAsia="宋体" w:cs="宋体"/>
          <w:bCs/>
          <w:color w:val="auto"/>
          <w:sz w:val="24"/>
          <w:szCs w:val="24"/>
          <w:highlight w:val="none"/>
          <w:lang w:eastAsia="zh-CN"/>
        </w:rPr>
        <w:t>人民币</w:t>
      </w:r>
      <w:r>
        <w:rPr>
          <w:rFonts w:hint="eastAsia" w:ascii="宋体" w:hAnsi="宋体" w:eastAsia="宋体" w:cs="宋体"/>
          <w:bCs/>
          <w:color w:val="auto"/>
          <w:sz w:val="24"/>
          <w:szCs w:val="24"/>
          <w:highlight w:val="none"/>
          <w:lang w:val="en-US" w:eastAsia="zh-CN"/>
        </w:rPr>
        <w:t>3000元/人的标准制定计划</w:t>
      </w:r>
      <w:r>
        <w:rPr>
          <w:rFonts w:hint="eastAsia" w:hAnsi="宋体" w:cs="宋体"/>
          <w:bCs/>
          <w:color w:val="auto"/>
          <w:sz w:val="24"/>
          <w:szCs w:val="24"/>
          <w:highlight w:val="none"/>
          <w:lang w:val="en-US" w:eastAsia="zh-CN"/>
        </w:rPr>
        <w:t>，如根据社工需求产生亲子游批次，每名人员可带一名孩童，随行人员经费由社工自行支付（具体费用标准经甲、乙双方协商而定）。</w:t>
      </w:r>
    </w:p>
    <w:p w14:paraId="53350099">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2、交通：（1）</w:t>
      </w:r>
      <w:r>
        <w:rPr>
          <w:rFonts w:hint="eastAsia" w:ascii="宋体" w:hAnsi="宋体" w:eastAsia="宋体" w:cs="宋体"/>
          <w:color w:val="auto"/>
          <w:sz w:val="24"/>
          <w:highlight w:val="none"/>
        </w:rPr>
        <w:t>全程空调旅游车，车况好，座位充足，空调效果好，司机服务态度好、技术好，确保行程安全，要求</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年内设施好的空调大巴车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本项目出行采购人不再另行支付大交通费用。</w:t>
      </w:r>
    </w:p>
    <w:p w14:paraId="77EE8AF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3、费用：</w:t>
      </w:r>
      <w:r>
        <w:rPr>
          <w:rFonts w:hint="eastAsia" w:ascii="宋体" w:hAnsi="宋体" w:eastAsia="宋体" w:cs="宋体"/>
          <w:color w:val="auto"/>
          <w:sz w:val="24"/>
          <w:highlight w:val="none"/>
        </w:rPr>
        <w:t>必须包括游线景点门票、上下索道、交通费、人身意外保险费等费用，并明确标示每项的具体价格</w:t>
      </w:r>
      <w:r>
        <w:rPr>
          <w:rFonts w:hint="eastAsia" w:ascii="宋体" w:hAnsi="宋体" w:eastAsia="宋体" w:cs="宋体"/>
          <w:color w:val="auto"/>
          <w:kern w:val="0"/>
          <w:sz w:val="24"/>
          <w:szCs w:val="24"/>
          <w:highlight w:val="none"/>
          <w:lang w:val="en-US" w:eastAsia="zh-CN"/>
        </w:rPr>
        <w:t>。</w:t>
      </w:r>
    </w:p>
    <w:p w14:paraId="5BC62269">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highlight w:val="none"/>
        </w:rPr>
        <w:t>住宿标准为标准间（双人间），</w:t>
      </w:r>
      <w:r>
        <w:rPr>
          <w:rFonts w:hint="eastAsia" w:hAnsi="宋体" w:cs="宋体"/>
          <w:color w:val="auto"/>
          <w:sz w:val="24"/>
          <w:highlight w:val="none"/>
          <w:lang w:val="en-US" w:eastAsia="zh-CN"/>
        </w:rPr>
        <w:t>须为不低于</w:t>
      </w:r>
      <w:r>
        <w:rPr>
          <w:rFonts w:hint="eastAsia" w:ascii="宋体" w:hAnsi="宋体" w:eastAsia="宋体" w:cs="宋体"/>
          <w:color w:val="auto"/>
          <w:sz w:val="24"/>
          <w:highlight w:val="none"/>
          <w:lang w:val="en-US" w:eastAsia="zh-CN"/>
        </w:rPr>
        <w:t>五星</w:t>
      </w:r>
      <w:r>
        <w:rPr>
          <w:rFonts w:hint="eastAsia" w:hAnsi="宋体" w:cs="宋体"/>
          <w:color w:val="auto"/>
          <w:sz w:val="24"/>
          <w:highlight w:val="none"/>
          <w:lang w:val="en-US" w:eastAsia="zh-CN"/>
        </w:rPr>
        <w:t>级或同等价位房型</w:t>
      </w:r>
      <w:r>
        <w:rPr>
          <w:rFonts w:hint="eastAsia" w:ascii="宋体" w:hAnsi="宋体" w:eastAsia="宋体" w:cs="宋体"/>
          <w:color w:val="auto"/>
          <w:sz w:val="24"/>
          <w:highlight w:val="none"/>
        </w:rPr>
        <w:t>及以上标准</w:t>
      </w:r>
      <w:r>
        <w:rPr>
          <w:rFonts w:hint="eastAsia" w:hAnsi="宋体" w:cs="宋体"/>
          <w:color w:val="auto"/>
          <w:sz w:val="24"/>
          <w:highlight w:val="none"/>
          <w:lang w:eastAsia="zh-CN"/>
        </w:rPr>
        <w:t>，</w:t>
      </w:r>
      <w:r>
        <w:rPr>
          <w:rFonts w:hint="eastAsia" w:ascii="宋体" w:hAnsi="宋体" w:eastAsia="宋体" w:cs="宋体"/>
          <w:color w:val="auto"/>
          <w:sz w:val="24"/>
          <w:highlight w:val="none"/>
        </w:rPr>
        <w:t>具体要求交通便利、环境较好、干净卫生、服务优质，有较强接待能力，同时配套设施齐全、使用方便安全。</w:t>
      </w:r>
    </w:p>
    <w:p w14:paraId="146B959E">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5、用餐：省内线路</w:t>
      </w:r>
      <w:r>
        <w:rPr>
          <w:rFonts w:hint="eastAsia" w:ascii="宋体" w:hAnsi="宋体" w:eastAsia="宋体" w:cs="宋体"/>
          <w:color w:val="auto"/>
          <w:sz w:val="24"/>
          <w:highlight w:val="none"/>
        </w:rPr>
        <w:t>中餐</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0元/人/餐，晚餐</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元/人/餐。（早餐酒店内，午餐、晚餐为中式桌餐：10人一桌至少8菜一汤）</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省外线路</w:t>
      </w:r>
      <w:r>
        <w:rPr>
          <w:rFonts w:hint="eastAsia" w:ascii="宋体" w:hAnsi="宋体" w:eastAsia="宋体" w:cs="宋体"/>
          <w:color w:val="auto"/>
          <w:sz w:val="24"/>
          <w:highlight w:val="none"/>
        </w:rPr>
        <w:t>中餐</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0元/人/餐，晚餐</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元/人/餐。（早餐酒店内，午餐、晚餐为中式桌餐：10人一桌至少8菜一汤）</w:t>
      </w:r>
    </w:p>
    <w:p w14:paraId="64D4054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6、导游：有导游资格的专业导游全程陪同，讲解服务（不送小费）</w:t>
      </w:r>
    </w:p>
    <w:p w14:paraId="4BAF3760">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7、保险：</w:t>
      </w:r>
      <w:r>
        <w:rPr>
          <w:rFonts w:hint="eastAsia" w:ascii="宋体" w:hAnsi="宋体" w:eastAsia="宋体" w:cs="宋体"/>
          <w:color w:val="auto"/>
          <w:sz w:val="24"/>
          <w:highlight w:val="none"/>
        </w:rPr>
        <w:t>旅行社责任险，个人意外险（意外伤害最高</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万元/人附加医疗4万元/人）</w:t>
      </w:r>
    </w:p>
    <w:p w14:paraId="000B6B90">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8、购物：</w:t>
      </w:r>
      <w:r>
        <w:rPr>
          <w:rFonts w:hint="eastAsia" w:ascii="宋体" w:hAnsi="宋体" w:eastAsia="宋体" w:cs="宋体"/>
          <w:color w:val="auto"/>
          <w:sz w:val="24"/>
          <w:highlight w:val="none"/>
        </w:rPr>
        <w:t>不得强行推销自费项目、零购物</w:t>
      </w:r>
    </w:p>
    <w:p w14:paraId="0FE9868D">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9、无需自费的景点或活动</w:t>
      </w:r>
    </w:p>
    <w:p w14:paraId="18E35E56">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10、出行要求配备常用药品，供实际事故发生应急使用。</w:t>
      </w:r>
    </w:p>
    <w:p w14:paraId="0FC7511E">
      <w:pPr>
        <w:pStyle w:val="33"/>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11、出行前需要制定应急预案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疫情防控措施齐全、</w:t>
      </w:r>
      <w:r>
        <w:rPr>
          <w:rFonts w:hint="eastAsia" w:ascii="宋体" w:hAnsi="宋体" w:eastAsia="宋体" w:cs="宋体"/>
          <w:color w:val="auto"/>
          <w:sz w:val="24"/>
          <w:szCs w:val="24"/>
          <w:highlight w:val="none"/>
          <w:lang w:eastAsia="zh-CN"/>
        </w:rPr>
        <w:t>服务实施计划、交通工具选择情况（包括车型等）、用餐服务计划（包括餐厅选择，菜品选择等）、</w:t>
      </w:r>
      <w:r>
        <w:rPr>
          <w:rFonts w:hint="eastAsia" w:ascii="宋体" w:hAnsi="宋体" w:eastAsia="宋体" w:cs="宋体"/>
          <w:color w:val="auto"/>
          <w:kern w:val="0"/>
          <w:sz w:val="24"/>
          <w:szCs w:val="24"/>
          <w:highlight w:val="none"/>
          <w:lang w:val="en-US" w:eastAsia="zh-CN"/>
        </w:rPr>
        <w:t>行程安排明细单。供采购人审核通过后方可实施。</w:t>
      </w:r>
    </w:p>
    <w:p w14:paraId="319EDB1B">
      <w:pPr>
        <w:spacing w:line="460" w:lineRule="exact"/>
        <w:rPr>
          <w:rFonts w:ascii="宋体" w:hAnsi="宋体" w:cs="宋体"/>
          <w:b/>
          <w:color w:val="auto"/>
          <w:sz w:val="24"/>
          <w:highlight w:val="none"/>
        </w:rPr>
      </w:pPr>
      <w:r>
        <w:rPr>
          <w:rFonts w:hint="eastAsia" w:ascii="宋体" w:hAnsi="宋体" w:cs="宋体"/>
          <w:b/>
          <w:color w:val="auto"/>
          <w:sz w:val="24"/>
          <w:highlight w:val="none"/>
        </w:rPr>
        <w:t>3、合同金额：（以最终成交供应商成交价格为准）</w:t>
      </w:r>
    </w:p>
    <w:p w14:paraId="58DC63E6">
      <w:pPr>
        <w:spacing w:line="460" w:lineRule="exact"/>
        <w:ind w:left="420" w:leftChars="200"/>
        <w:rPr>
          <w:rFonts w:ascii="宋体" w:hAnsi="宋体" w:cs="宋体"/>
          <w:bCs/>
          <w:color w:val="auto"/>
          <w:sz w:val="24"/>
          <w:highlight w:val="none"/>
        </w:rPr>
      </w:pPr>
      <w:r>
        <w:rPr>
          <w:rFonts w:hint="eastAsia" w:ascii="宋体" w:hAnsi="宋体" w:cs="宋体"/>
          <w:bCs/>
          <w:color w:val="auto"/>
          <w:sz w:val="24"/>
          <w:highlight w:val="none"/>
        </w:rPr>
        <w:t>3.1 合同总金额（大写）:       　　      　　元（￥          元）人民币。</w:t>
      </w:r>
    </w:p>
    <w:p w14:paraId="50BF7F46">
      <w:pPr>
        <w:spacing w:line="460" w:lineRule="exact"/>
        <w:ind w:left="420" w:leftChars="200"/>
        <w:rPr>
          <w:rFonts w:ascii="宋体" w:hAnsi="宋体" w:cs="宋体"/>
          <w:bCs/>
          <w:color w:val="auto"/>
          <w:sz w:val="24"/>
          <w:highlight w:val="none"/>
        </w:rPr>
      </w:pPr>
      <w:r>
        <w:rPr>
          <w:rFonts w:hint="eastAsia" w:ascii="宋体" w:hAnsi="宋体" w:cs="宋体"/>
          <w:bCs/>
          <w:color w:val="auto"/>
          <w:sz w:val="24"/>
          <w:highlight w:val="none"/>
        </w:rPr>
        <w:t>3.2 本合同项下的费用为固定总价，除另有约定，甲方不再向乙方支付其他任何费用。</w:t>
      </w:r>
    </w:p>
    <w:p w14:paraId="61BD83F5">
      <w:pPr>
        <w:spacing w:line="460" w:lineRule="exact"/>
        <w:rPr>
          <w:rFonts w:ascii="宋体" w:hAnsi="宋体" w:cs="宋体"/>
          <w:b/>
          <w:color w:val="auto"/>
          <w:sz w:val="24"/>
          <w:highlight w:val="none"/>
        </w:rPr>
      </w:pPr>
      <w:r>
        <w:rPr>
          <w:rFonts w:hint="eastAsia" w:ascii="宋体" w:hAnsi="宋体" w:cs="宋体"/>
          <w:b/>
          <w:color w:val="auto"/>
          <w:sz w:val="24"/>
          <w:highlight w:val="none"/>
        </w:rPr>
        <w:t>4、税费：</w:t>
      </w:r>
    </w:p>
    <w:p w14:paraId="74DEF08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本合同执行中相关的一切税费均由乙方承担。</w:t>
      </w:r>
    </w:p>
    <w:p w14:paraId="7F939A6E">
      <w:pPr>
        <w:spacing w:line="460" w:lineRule="exact"/>
        <w:rPr>
          <w:rFonts w:ascii="宋体" w:hAnsi="宋体" w:cs="宋体"/>
          <w:b/>
          <w:color w:val="auto"/>
          <w:sz w:val="24"/>
          <w:highlight w:val="none"/>
        </w:rPr>
      </w:pPr>
      <w:r>
        <w:rPr>
          <w:rFonts w:hint="eastAsia" w:ascii="宋体" w:hAnsi="宋体" w:cs="宋体"/>
          <w:b/>
          <w:color w:val="auto"/>
          <w:sz w:val="24"/>
          <w:highlight w:val="none"/>
        </w:rPr>
        <w:t>5、乙方的责任与义务</w:t>
      </w:r>
    </w:p>
    <w:p w14:paraId="3ABEDB2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 根据响应文件的承诺，乙方向甲方委派项目组人员，人员应当固定。乙方更换人员必须经甲方书面同意，否则甲方有权解除本合同。</w:t>
      </w:r>
    </w:p>
    <w:p w14:paraId="1C551BF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 在履行本合同期间，应运用合理的技能，认真、勤奋的工作。</w:t>
      </w:r>
    </w:p>
    <w:p w14:paraId="6E1CDA1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5.3乙方针对该项目出具的工作方案，均须事先经甲方书面确认后方可实施。乙方应当负责本项目的所有外部关系联系与协调。</w:t>
      </w:r>
    </w:p>
    <w:p w14:paraId="6770C07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 乙方应指派一名授权项目代表，负责与甲方的联络。代表更换应至少提前两天通知甲方。</w:t>
      </w:r>
    </w:p>
    <w:p w14:paraId="50F3EE3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5.5其他：            。</w:t>
      </w:r>
    </w:p>
    <w:p w14:paraId="09B7F2A1">
      <w:pPr>
        <w:spacing w:line="460" w:lineRule="exact"/>
        <w:rPr>
          <w:rFonts w:ascii="宋体" w:hAnsi="宋体" w:cs="宋体"/>
          <w:b/>
          <w:color w:val="auto"/>
          <w:sz w:val="24"/>
          <w:highlight w:val="none"/>
        </w:rPr>
      </w:pPr>
      <w:r>
        <w:rPr>
          <w:rFonts w:hint="eastAsia" w:ascii="宋体" w:hAnsi="宋体" w:cs="宋体"/>
          <w:b/>
          <w:color w:val="auto"/>
          <w:sz w:val="24"/>
          <w:highlight w:val="none"/>
        </w:rPr>
        <w:t>6、甲方的责任与义务</w:t>
      </w:r>
    </w:p>
    <w:p w14:paraId="0160B1E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6.1为乙方工作提供良好的外部条件，并按照合同约定支付款项。</w:t>
      </w:r>
    </w:p>
    <w:p w14:paraId="48BE275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 甲方按双方约定的内容和时间，向乙方提供与项目有关的可以提供的资料。</w:t>
      </w:r>
    </w:p>
    <w:p w14:paraId="5B3EE20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 甲方授权一名熟悉本项目情况的代表，负责与乙方联系，更换代表前将提前通知乙方。</w:t>
      </w:r>
    </w:p>
    <w:p w14:paraId="5F78828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 甲方对乙方提供的项目工作方案具有审定权、修改权，并有权要求乙方按甲方的要求修改方案,乙方不得以此为由要求增加任何费用。</w:t>
      </w:r>
    </w:p>
    <w:p w14:paraId="2E67BFC0">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6.5 根据实际情况，甲方有权要求乙方对已经确认的方案进行修改、变通，乙方应当配合执行，以保证项目顺利进行。</w:t>
      </w:r>
    </w:p>
    <w:p w14:paraId="651895E0">
      <w:pPr>
        <w:spacing w:line="460" w:lineRule="exact"/>
        <w:rPr>
          <w:rFonts w:ascii="宋体" w:hAnsi="宋体" w:cs="宋体"/>
          <w:b/>
          <w:color w:val="auto"/>
          <w:sz w:val="24"/>
          <w:highlight w:val="none"/>
        </w:rPr>
      </w:pPr>
      <w:r>
        <w:rPr>
          <w:rFonts w:hint="eastAsia" w:ascii="宋体" w:hAnsi="宋体" w:cs="宋体"/>
          <w:b/>
          <w:color w:val="auto"/>
          <w:sz w:val="24"/>
          <w:highlight w:val="none"/>
        </w:rPr>
        <w:t>7、验收</w:t>
      </w:r>
    </w:p>
    <w:p w14:paraId="3383C557">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7.1 验收方式：甲乙双方各指派2名人员共同参与验收。</w:t>
      </w:r>
    </w:p>
    <w:p w14:paraId="77696694">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7.2甲方在乙方提供服务的过程中，有权不定期对服务内容和质量进行考核。乙方应当配合进行。</w:t>
      </w:r>
    </w:p>
    <w:p w14:paraId="3CA3F58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7.3 乙方在项目完成后，应当及时向甲方发出验收申请，内容包括书面验收申请、相关说明、报告等，甲方收到乙方申请后，组织进行验收考核，乙方应当协助进行。经验收通过后的验收报告作为甲方付款的依据。</w:t>
      </w:r>
    </w:p>
    <w:p w14:paraId="41E792A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7.4乙方在提供服务过程中如存在违反合同相关约定情况的，甲方有权要求乙方立即整改，乙方未按甲方要求整改或逾期整改或整改后仍不符合甲方要求的，甲方有权拒绝验收，并有权要求乙方支付本合同总价款20%的违约金，乙方应退回甲方所有已经支付的款项，并有权书面通知乙方解除本合同；无论甲方是否解除合同，乙方仍然承担向甲方支付违约金以及款项退还的责任。。</w:t>
      </w:r>
    </w:p>
    <w:p w14:paraId="42FFB4F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7.5 经验收后，乙方服务成果不合格的（或未通过评审的），甲方有权要求乙方进行整改，相关费用由乙方承担；如整改后仍不合格或未按甲方要求整改或拒绝整改的，甲方有权解除合同，并有权要求乙方支付本合同总价款20%的违约金，甲方可以拒绝支付未支付的款项，乙方已经收取的款项应退还给甲方。无论甲方是否解除合同，乙方仍然承担向甲方支付违约金以及款项退还的责任。</w:t>
      </w:r>
    </w:p>
    <w:p w14:paraId="247540D5">
      <w:pPr>
        <w:spacing w:line="460" w:lineRule="exact"/>
        <w:rPr>
          <w:rFonts w:ascii="宋体" w:hAnsi="宋体" w:cs="宋体"/>
          <w:b/>
          <w:color w:val="auto"/>
          <w:sz w:val="24"/>
          <w:highlight w:val="none"/>
        </w:rPr>
      </w:pPr>
      <w:r>
        <w:rPr>
          <w:rFonts w:hint="eastAsia" w:ascii="宋体" w:hAnsi="宋体" w:cs="宋体"/>
          <w:b/>
          <w:color w:val="auto"/>
          <w:sz w:val="24"/>
          <w:highlight w:val="none"/>
        </w:rPr>
        <w:t>8、结算原则</w:t>
      </w:r>
    </w:p>
    <w:p w14:paraId="10C52F5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磋商文件及其补充文件、响应文件、成交通知书、采购合同等作为结算依据；</w:t>
      </w:r>
    </w:p>
    <w:p w14:paraId="2E5C6FDE">
      <w:pPr>
        <w:spacing w:line="460" w:lineRule="exact"/>
        <w:rPr>
          <w:rFonts w:ascii="宋体" w:hAnsi="宋体" w:cs="宋体"/>
          <w:b/>
          <w:color w:val="auto"/>
          <w:sz w:val="24"/>
          <w:highlight w:val="none"/>
        </w:rPr>
      </w:pPr>
      <w:r>
        <w:rPr>
          <w:rFonts w:hint="eastAsia" w:ascii="宋体" w:hAnsi="宋体" w:cs="宋体"/>
          <w:b/>
          <w:color w:val="auto"/>
          <w:sz w:val="24"/>
          <w:highlight w:val="none"/>
        </w:rPr>
        <w:t>9、付款方式</w:t>
      </w:r>
    </w:p>
    <w:p w14:paraId="35C45549">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9.1本合同项下的合同价款总金额分【</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】期支付：</w:t>
      </w:r>
    </w:p>
    <w:p w14:paraId="664FD8FC">
      <w:pPr>
        <w:spacing w:line="360" w:lineRule="auto"/>
        <w:rPr>
          <w:rFonts w:hint="eastAsia" w:ascii="宋体" w:hAnsi="宋体" w:eastAsia="宋体" w:cs="宋体"/>
          <w:b w:val="0"/>
          <w:bCs/>
          <w:color w:val="auto"/>
          <w:sz w:val="24"/>
          <w:highlight w:val="none"/>
          <w:lang w:val="en-GB"/>
        </w:rPr>
      </w:pPr>
      <w:r>
        <w:rPr>
          <w:rFonts w:hint="eastAsia" w:ascii="宋体" w:hAnsi="宋体" w:eastAsia="宋体" w:cs="宋体"/>
          <w:b w:val="0"/>
          <w:bCs/>
          <w:color w:val="auto"/>
          <w:sz w:val="24"/>
          <w:highlight w:val="none"/>
          <w:lang w:val="en-US" w:eastAsia="zh-CN"/>
        </w:rPr>
        <w:t>项目完成按</w:t>
      </w:r>
      <w:r>
        <w:rPr>
          <w:rFonts w:hint="eastAsia" w:ascii="宋体" w:hAnsi="宋体" w:eastAsia="宋体" w:cs="宋体"/>
          <w:b w:val="0"/>
          <w:bCs/>
          <w:color w:val="auto"/>
          <w:sz w:val="24"/>
          <w:highlight w:val="none"/>
          <w:lang w:val="en-GB" w:eastAsia="zh-CN"/>
        </w:rPr>
        <w:t>实际疗休养人数一次性支付</w:t>
      </w:r>
      <w:r>
        <w:rPr>
          <w:rFonts w:hint="eastAsia" w:ascii="宋体" w:hAnsi="宋体" w:eastAsia="宋体" w:cs="宋体"/>
          <w:b w:val="0"/>
          <w:bCs/>
          <w:color w:val="auto"/>
          <w:sz w:val="24"/>
          <w:highlight w:val="none"/>
          <w:lang w:val="en-GB"/>
        </w:rPr>
        <w:t>，中标人（承包人）必须出具符合财政要求的票据。每次款项支付7个工作日前，中标人需提供相应金额的财政部门认可的正规发票，提示采购人付款，否则采购人有权拒绝付款并不视为违约。</w:t>
      </w:r>
    </w:p>
    <w:p w14:paraId="08FD8DAA">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9.2付款方式为【银行转账】，乙方银行账户信息：</w:t>
      </w:r>
    </w:p>
    <w:p w14:paraId="4BCEE156">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开户银行：</w:t>
      </w:r>
    </w:p>
    <w:p w14:paraId="1EF3C3B6">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开 户 名：</w:t>
      </w:r>
    </w:p>
    <w:p w14:paraId="57DB0E13">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账    号：</w:t>
      </w:r>
    </w:p>
    <w:p w14:paraId="27BB5D56">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9.3财政政策：</w:t>
      </w:r>
    </w:p>
    <w:p w14:paraId="768425D0">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付款按财政政策执行，因乙方迟延履行以及不符合财政资金支付时间要求等原因造成不能及时支付款的，甲方不承担责任。</w:t>
      </w:r>
    </w:p>
    <w:p w14:paraId="0A7B8CF1">
      <w:pPr>
        <w:spacing w:line="460" w:lineRule="exact"/>
        <w:rPr>
          <w:rFonts w:ascii="宋体" w:hAnsi="宋体" w:cs="宋体"/>
          <w:b/>
          <w:color w:val="auto"/>
          <w:sz w:val="24"/>
          <w:highlight w:val="none"/>
        </w:rPr>
      </w:pPr>
      <w:r>
        <w:rPr>
          <w:rFonts w:hint="eastAsia" w:ascii="宋体" w:hAnsi="宋体" w:cs="宋体"/>
          <w:b/>
          <w:color w:val="auto"/>
          <w:sz w:val="24"/>
          <w:highlight w:val="none"/>
        </w:rPr>
        <w:t>10、保密义务</w:t>
      </w:r>
    </w:p>
    <w:p w14:paraId="7D44704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10.1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796341BF">
      <w:pPr>
        <w:spacing w:line="4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10.2 乙方可仅为本合同目的向其确有知悉必要的员工披露甲方提供的保密资料，但同时须指示其员工遵守本条规定的保密及不披露义务。乙方应仅为本合同目的而复制和使用保密资料。</w:t>
      </w:r>
    </w:p>
    <w:p w14:paraId="700FB4B7">
      <w:pPr>
        <w:spacing w:line="460" w:lineRule="exact"/>
        <w:rPr>
          <w:rFonts w:ascii="宋体" w:hAnsi="宋体" w:cs="宋体"/>
          <w:b/>
          <w:color w:val="auto"/>
          <w:sz w:val="24"/>
          <w:highlight w:val="none"/>
        </w:rPr>
      </w:pPr>
      <w:r>
        <w:rPr>
          <w:rFonts w:hint="eastAsia" w:ascii="宋体" w:hAnsi="宋体" w:cs="宋体"/>
          <w:b/>
          <w:color w:val="auto"/>
          <w:sz w:val="24"/>
          <w:highlight w:val="none"/>
        </w:rPr>
        <w:t>11、知识产权</w:t>
      </w:r>
    </w:p>
    <w:p w14:paraId="1B608607">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49121C16">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53261CF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712774D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11.4 如乙方发现任何交付成果的知识产权可能有瑕疵，应立即书面通知甲方，并立即采取一切必要措施使交付成果合法化。</w:t>
      </w:r>
    </w:p>
    <w:p w14:paraId="69B5FD21">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11.5 本条规定自本合同生效之日起即应履行，长期有效，并且不受本合同届满、提前终止或本合同中其他条款的无效或履行完毕等情形的影响。</w:t>
      </w:r>
    </w:p>
    <w:p w14:paraId="22630744">
      <w:pPr>
        <w:spacing w:line="460" w:lineRule="exact"/>
        <w:rPr>
          <w:rFonts w:ascii="宋体" w:hAnsi="宋体" w:cs="宋体"/>
          <w:b/>
          <w:color w:val="auto"/>
          <w:sz w:val="24"/>
          <w:highlight w:val="none"/>
        </w:rPr>
      </w:pPr>
      <w:r>
        <w:rPr>
          <w:rFonts w:hint="eastAsia" w:ascii="宋体" w:hAnsi="宋体" w:cs="宋体"/>
          <w:b/>
          <w:color w:val="auto"/>
          <w:sz w:val="24"/>
          <w:highlight w:val="none"/>
        </w:rPr>
        <w:t>12、合同的转让、变更及解除</w:t>
      </w:r>
    </w:p>
    <w:p w14:paraId="4C8F52FA">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12.1 未经甲方事先书面同意，乙方不得将本合同的权利或义务全部或部分转移给第三人。</w:t>
      </w:r>
    </w:p>
    <w:p w14:paraId="7ADEBC30">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12.2 经审批，且双方协商一致，可以变更、解除本合同。任何一方欲变更、解除本合同，必须提前15日以书面形式提出，双方协商一致后签署补充合同。</w:t>
      </w:r>
    </w:p>
    <w:p w14:paraId="7D6E25C8">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12.3 一方有下列情形之一的，另一方可以解除本合同：</w:t>
      </w:r>
    </w:p>
    <w:p w14:paraId="0F1C9028">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12.3.1因不可抗力致使不能实现本合同的目的。</w:t>
      </w:r>
    </w:p>
    <w:p w14:paraId="0DA4FC81">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12.3.2在履行期限届满之前，一方明确表示或者以自己的行为表明不履行主要义务。</w:t>
      </w:r>
    </w:p>
    <w:p w14:paraId="58ECE29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12.3.3一方迟延履行主要义务，经催告后在合理期限内【15日】仍未履行。</w:t>
      </w:r>
    </w:p>
    <w:p w14:paraId="484ED381">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12.3.4一方迟延履行义务或者有其他违约行为致使不能实现合同目的。</w:t>
      </w:r>
    </w:p>
    <w:p w14:paraId="6E86A95E">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12.3.5法律规定或本合同约定的其他情形。</w:t>
      </w:r>
    </w:p>
    <w:p w14:paraId="5BB6995F">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12.4 采购合同履行中，甲方需追加与合同标的相同的货物或者服务的，在不改变合同其他条款的前提下，可以与乙方协商签订补充合同，但所有补充合同的采购金额不得超过原合同采购金额的百分之十。</w:t>
      </w:r>
    </w:p>
    <w:p w14:paraId="1AC9276E">
      <w:pPr>
        <w:spacing w:line="460" w:lineRule="exact"/>
        <w:rPr>
          <w:rFonts w:ascii="宋体" w:hAnsi="宋体" w:cs="宋体"/>
          <w:b/>
          <w:color w:val="auto"/>
          <w:sz w:val="24"/>
          <w:highlight w:val="none"/>
        </w:rPr>
      </w:pPr>
      <w:r>
        <w:rPr>
          <w:rFonts w:hint="eastAsia" w:ascii="宋体" w:hAnsi="宋体" w:cs="宋体"/>
          <w:b/>
          <w:color w:val="auto"/>
          <w:sz w:val="24"/>
          <w:highlight w:val="none"/>
        </w:rPr>
        <w:t>13、违约责任</w:t>
      </w:r>
    </w:p>
    <w:p w14:paraId="480037DF">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13.1 本合同签订后，任何一方不履行或不完全履行本合同约定条款的，即构成违约。任何一方违约时，守约方有权要求违约方继续履行本合同，同时有权要求违约方支付违约金。</w:t>
      </w:r>
    </w:p>
    <w:p w14:paraId="6692B1CA">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13.2 如果甲方未按照合同约定支付价款，则每延期一日，乙方有权要求其承担应付未付金额万分之五的违约金。</w:t>
      </w:r>
    </w:p>
    <w:p w14:paraId="0C26F864">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13.3 如因乙方原因造成项目不能如期实施，则每延迟一日，乙方应向甲方支付合同总额万分之五的违约金，同时应将延迟期间的费用退还甲方，延期超过【十】日，甲方有权选择解除本合同或要求延长项目实施期限。甲方选择解除本合同的，则应向乙方支付本合同总金额的20%的违约金，违约金不足以弥补甲方损失的，乙方还应补足。甲方选择延长项目实施期限的，则乙方应支付延迟期间的违约金。</w:t>
      </w:r>
    </w:p>
    <w:p w14:paraId="28D842A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13.4 若乙方工作成果未通过甲方验收的，甲方有权拒绝支付该工作成果的服务费用，乙方应向甲方支付【百分之二十】的违约金，甲方有权解除本合同,乙方应退回甲方所有已经支付的款项；无论甲方是否解除合同，乙方仍然承担向甲方支付违约金以及款项退还的责任。</w:t>
      </w:r>
    </w:p>
    <w:p w14:paraId="14B8B95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13.5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0A8D798E">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13.6 乙方应当根据合同约定的履约时间以支票、汇票、本票或者金融机构、担保机构出具的保函（见索即付保函）等非现金形式提交履约保证金，数额为合同总金额的【1%】。若乙方违约，且其提交的履约担保为支票、汇票或本票的，甲方有权在该票据的付款期限届满前以提示付款、背书等方式使用或处置该票据，无须向乙方返还票据或该票据项下款项；若乙方违约，且其提交的履约担保为保函的，则甲方有权凭该保函原件直接向保函出具机构请求支付保函项下全部担保金额的款项。</w:t>
      </w:r>
    </w:p>
    <w:p w14:paraId="4A165C78">
      <w:pPr>
        <w:spacing w:line="460" w:lineRule="exact"/>
        <w:rPr>
          <w:rFonts w:ascii="宋体" w:hAnsi="宋体" w:cs="宋体"/>
          <w:b/>
          <w:color w:val="auto"/>
          <w:sz w:val="24"/>
          <w:highlight w:val="none"/>
        </w:rPr>
      </w:pPr>
      <w:r>
        <w:rPr>
          <w:rFonts w:hint="eastAsia" w:ascii="宋体" w:hAnsi="宋体" w:cs="宋体"/>
          <w:b/>
          <w:color w:val="auto"/>
          <w:sz w:val="24"/>
          <w:highlight w:val="none"/>
        </w:rPr>
        <w:t>14、争议解决</w:t>
      </w:r>
    </w:p>
    <w:p w14:paraId="0BAF343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14.1 本合同应适用中国法律并应根据中国法律解释。</w:t>
      </w:r>
    </w:p>
    <w:p w14:paraId="4711FEB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14.2 因本合同引起的或与本合同有关的任何争议，双方应当协商解决。经双方协商不能解决的，均提请甲方所在地人民法院诉讼解决。</w:t>
      </w:r>
    </w:p>
    <w:p w14:paraId="655791B6">
      <w:pPr>
        <w:spacing w:line="460" w:lineRule="exact"/>
        <w:rPr>
          <w:rFonts w:ascii="宋体" w:hAnsi="宋体" w:cs="宋体"/>
          <w:b/>
          <w:color w:val="auto"/>
          <w:sz w:val="24"/>
          <w:highlight w:val="none"/>
        </w:rPr>
      </w:pPr>
      <w:r>
        <w:rPr>
          <w:rFonts w:hint="eastAsia" w:ascii="宋体" w:hAnsi="宋体" w:cs="宋体"/>
          <w:b/>
          <w:color w:val="auto"/>
          <w:sz w:val="24"/>
          <w:highlight w:val="none"/>
        </w:rPr>
        <w:t>15、不可抗力</w:t>
      </w:r>
    </w:p>
    <w:p w14:paraId="07C7F60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15.1 不可抗力是指因无法预见、无法避免且无法克服之原因发生的事项，包括但不限于地震、台风、海啸、瘟疫、火灾、洪水、重大疫情、政府行为、战争、恐怖袭击、蓄意破坏等客观情况。</w:t>
      </w:r>
    </w:p>
    <w:p w14:paraId="648E3DE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15.2 本合同项下任何一方对于因不可抗力致使本合同不能履行或不能全部履行而给对方造成的任何损失不承担违约责任。</w:t>
      </w:r>
    </w:p>
    <w:p w14:paraId="62C1498C">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15.3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39D5133C">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15.4 不可抗力影响因素消失以后，双方应协商是否继续履行合同。如果不可抗力因素对合同一方的义务产生实质性、无法补救的影响，导致合同已无法履行，双方应通过书面形式终止本合同。</w:t>
      </w:r>
    </w:p>
    <w:p w14:paraId="54BF24BD">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15.5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3BE6990E">
      <w:pPr>
        <w:spacing w:line="460" w:lineRule="exact"/>
        <w:rPr>
          <w:rFonts w:ascii="宋体" w:hAnsi="宋体" w:cs="宋体"/>
          <w:b/>
          <w:color w:val="auto"/>
          <w:sz w:val="24"/>
          <w:highlight w:val="none"/>
        </w:rPr>
      </w:pPr>
      <w:r>
        <w:rPr>
          <w:rFonts w:hint="eastAsia" w:ascii="宋体" w:hAnsi="宋体" w:cs="宋体"/>
          <w:b/>
          <w:color w:val="auto"/>
          <w:sz w:val="24"/>
          <w:highlight w:val="none"/>
        </w:rPr>
        <w:t>16、售后服务要求</w:t>
      </w:r>
    </w:p>
    <w:p w14:paraId="79BBB1F5">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16.1一年内，对本批次数据上报可能产生的修改、核实、反馈等进行处理。验收合格后质保期一年。</w:t>
      </w:r>
    </w:p>
    <w:p w14:paraId="2B71D6F4">
      <w:pPr>
        <w:spacing w:line="460" w:lineRule="exact"/>
        <w:rPr>
          <w:rFonts w:ascii="宋体" w:hAnsi="宋体" w:cs="宋体"/>
          <w:b/>
          <w:color w:val="auto"/>
          <w:sz w:val="24"/>
          <w:highlight w:val="none"/>
        </w:rPr>
      </w:pPr>
      <w:r>
        <w:rPr>
          <w:rFonts w:hint="eastAsia" w:ascii="宋体" w:hAnsi="宋体" w:cs="宋体"/>
          <w:b/>
          <w:color w:val="auto"/>
          <w:sz w:val="24"/>
          <w:highlight w:val="none"/>
        </w:rPr>
        <w:t>17、其他</w:t>
      </w:r>
    </w:p>
    <w:p w14:paraId="4280F328">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17.1 本合同由甲乙双方签署之日起生效。</w:t>
      </w:r>
    </w:p>
    <w:p w14:paraId="673C3A3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17.2 对本合同的任何修改和补充均应以补充合同的形式作出，由双方签署后生效。本合同的附件、补充合同与本合同具有同等法律效力。</w:t>
      </w:r>
    </w:p>
    <w:p w14:paraId="030D8C3A">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17.3 本合同一式陆份，甲方执肆份，乙方执贰份，各份具有同等法律效力。</w:t>
      </w:r>
    </w:p>
    <w:p w14:paraId="624C9D92">
      <w:pPr>
        <w:spacing w:line="460" w:lineRule="exact"/>
        <w:ind w:firstLine="480" w:firstLineChars="200"/>
        <w:rPr>
          <w:rFonts w:hint="eastAsia" w:ascii="宋体" w:hAnsi="宋体" w:cs="宋体"/>
          <w:b w:val="0"/>
          <w:bCs w:val="0"/>
          <w:color w:val="auto"/>
          <w:sz w:val="24"/>
          <w:szCs w:val="24"/>
          <w:highlight w:val="none"/>
        </w:rPr>
      </w:pPr>
      <w:r>
        <w:rPr>
          <w:rFonts w:hint="eastAsia" w:ascii="宋体" w:hAnsi="宋体" w:cs="宋体"/>
          <w:bCs/>
          <w:color w:val="auto"/>
          <w:sz w:val="24"/>
          <w:highlight w:val="none"/>
        </w:rPr>
        <w:t>17.4 本合同的组成部分以及解释顺序如下：本合同文件、合同补充条款或说明（如有）、成交通知书、技术标准和要求、磋商文件及其补充文件、响应文件。</w:t>
      </w:r>
      <w:r>
        <w:rPr>
          <w:rFonts w:hint="eastAsia" w:ascii="宋体" w:hAnsi="宋体" w:cs="宋体"/>
          <w:b w:val="0"/>
          <w:bCs w:val="0"/>
          <w:color w:val="auto"/>
          <w:sz w:val="24"/>
          <w:szCs w:val="24"/>
          <w:highlight w:val="none"/>
        </w:rPr>
        <w:t>（以下无正文）</w:t>
      </w:r>
    </w:p>
    <w:p w14:paraId="1D0F3215">
      <w:pPr>
        <w:spacing w:line="460" w:lineRule="exact"/>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甲方（盖章）：</w:t>
      </w:r>
      <w:r>
        <w:rPr>
          <w:rFonts w:hint="eastAsia" w:ascii="宋体" w:hAnsi="宋体" w:cs="宋体"/>
          <w:b w:val="0"/>
          <w:bCs w:val="0"/>
          <w:color w:val="auto"/>
          <w:sz w:val="24"/>
          <w:szCs w:val="24"/>
          <w:highlight w:val="none"/>
          <w:lang w:eastAsia="zh-CN"/>
        </w:rPr>
        <w:t>杭州市上城区人民政府笕桥街道办事处</w:t>
      </w:r>
    </w:p>
    <w:p w14:paraId="287469F8">
      <w:pPr>
        <w:spacing w:line="460" w:lineRule="exac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法定代表人或受委托人（签字）：       </w:t>
      </w:r>
    </w:p>
    <w:p w14:paraId="657061D6">
      <w:pPr>
        <w:pStyle w:val="3"/>
        <w:spacing w:before="0" w:after="0" w:line="460" w:lineRule="exact"/>
        <w:ind w:left="0" w:leftChars="0" w:firstLine="0" w:firstLineChars="0"/>
        <w:rPr>
          <w:rFonts w:hint="eastAsia" w:ascii="宋体" w:hAnsi="宋体" w:cs="宋体"/>
          <w:b w:val="0"/>
          <w:bCs w:val="0"/>
          <w:color w:val="auto"/>
          <w:sz w:val="24"/>
          <w:szCs w:val="24"/>
          <w:highlight w:val="none"/>
        </w:rPr>
      </w:pPr>
    </w:p>
    <w:p w14:paraId="46425B3F">
      <w:pPr>
        <w:pStyle w:val="3"/>
        <w:spacing w:before="0" w:after="0" w:line="460" w:lineRule="exact"/>
        <w:ind w:left="0" w:leftChars="0" w:firstLine="0" w:firstLineChars="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乙方（盖章）：        </w:t>
      </w:r>
    </w:p>
    <w:p w14:paraId="263CBDCD">
      <w:pPr>
        <w:pStyle w:val="3"/>
        <w:spacing w:before="0" w:after="0" w:line="360" w:lineRule="auto"/>
        <w:ind w:left="431" w:hanging="43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法定代表人或受委托人（签字）：   </w:t>
      </w:r>
    </w:p>
    <w:p w14:paraId="04432C94">
      <w:pPr>
        <w:pStyle w:val="3"/>
        <w:spacing w:before="0" w:after="0" w:line="360" w:lineRule="auto"/>
        <w:ind w:left="431" w:hanging="431"/>
        <w:rPr>
          <w:rFonts w:hint="eastAsia" w:ascii="宋体" w:hAnsi="宋体" w:cs="宋体"/>
          <w:b w:val="0"/>
          <w:bCs w:val="0"/>
          <w:color w:val="auto"/>
          <w:sz w:val="24"/>
          <w:szCs w:val="24"/>
          <w:highlight w:val="none"/>
        </w:rPr>
      </w:pPr>
    </w:p>
    <w:p w14:paraId="110D4949">
      <w:pPr>
        <w:pStyle w:val="3"/>
        <w:spacing w:before="0" w:after="0" w:line="360" w:lineRule="auto"/>
        <w:ind w:left="431" w:hanging="43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合同鉴证方（盖章）：</w:t>
      </w:r>
      <w:r>
        <w:rPr>
          <w:rFonts w:hint="eastAsia" w:ascii="宋体" w:hAnsi="宋体" w:cs="宋体"/>
          <w:b w:val="0"/>
          <w:bCs w:val="0"/>
          <w:color w:val="auto"/>
          <w:sz w:val="24"/>
          <w:szCs w:val="24"/>
          <w:highlight w:val="none"/>
          <w:lang w:val="en-US" w:eastAsia="zh-CN"/>
        </w:rPr>
        <w:t>杭州广厦建筑咨询有限公司</w:t>
      </w:r>
    </w:p>
    <w:p w14:paraId="2FFD3F42">
      <w:pPr>
        <w:pStyle w:val="3"/>
        <w:spacing w:before="0" w:after="0" w:line="360" w:lineRule="auto"/>
        <w:ind w:left="431" w:hanging="43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经办人（签字）：</w:t>
      </w:r>
    </w:p>
    <w:p w14:paraId="17D654A7"/>
    <w:p w14:paraId="22A4DD47">
      <w:pPr>
        <w:pStyle w:val="3"/>
        <w:spacing w:before="0" w:after="0" w:line="360" w:lineRule="auto"/>
        <w:ind w:left="431" w:hanging="431"/>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 约 地：杭州市</w:t>
      </w:r>
    </w:p>
    <w:p w14:paraId="1AACD9A8">
      <w:pPr>
        <w:pStyle w:val="3"/>
        <w:spacing w:before="0" w:after="0" w:line="360" w:lineRule="auto"/>
        <w:ind w:left="431" w:hanging="431"/>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签约日期：      年   月    日</w:t>
      </w:r>
    </w:p>
    <w:p w14:paraId="7B33D62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（如果有)</w:t>
      </w:r>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09EA2B9B">
      <w:pPr>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183EAC5A">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AA9871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3C79970">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CC1280D">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日期：  年  月   日</w:t>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br w:type="column"/>
      </w: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835C731">
      <w:pPr>
        <w:spacing w:line="360" w:lineRule="auto"/>
        <w:ind w:right="420"/>
        <w:rPr>
          <w:rFonts w:ascii="宋体" w:hAnsi="宋体" w:cs="宋体"/>
          <w:b/>
          <w:color w:val="auto"/>
          <w:kern w:val="0"/>
          <w:sz w:val="32"/>
          <w:szCs w:val="32"/>
          <w:highlight w:val="none"/>
        </w:rPr>
      </w:pPr>
      <w:r>
        <w:rPr>
          <w:rFonts w:hint="eastAsia" w:ascii="宋体" w:hAnsi="宋体" w:eastAsia="宋体" w:cs="宋体"/>
          <w:color w:val="auto"/>
          <w:sz w:val="24"/>
          <w:highlight w:val="none"/>
        </w:rPr>
        <w:t>2、招标文件中实质性要求必须明确响应。</w:t>
      </w: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679698A4">
      <w:pPr>
        <w:jc w:val="both"/>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500B40A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1"/>
        <w:gridCol w:w="2265"/>
        <w:gridCol w:w="2407"/>
        <w:gridCol w:w="2265"/>
        <w:gridCol w:w="2124"/>
        <w:gridCol w:w="2125"/>
        <w:gridCol w:w="2124"/>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16"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1"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5"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07"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5"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4"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5"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4"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6"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1"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5" w:type="dxa"/>
            <w:vAlign w:val="center"/>
          </w:tcPr>
          <w:p w14:paraId="7E6B6B80">
            <w:pPr>
              <w:snapToGrid w:val="0"/>
              <w:spacing w:line="360" w:lineRule="auto"/>
              <w:jc w:val="center"/>
              <w:rPr>
                <w:rFonts w:ascii="宋体" w:hAnsi="宋体" w:cs="宋体"/>
                <w:color w:val="auto"/>
                <w:sz w:val="24"/>
                <w:highlight w:val="none"/>
              </w:rPr>
            </w:pPr>
          </w:p>
        </w:tc>
        <w:tc>
          <w:tcPr>
            <w:tcW w:w="2407" w:type="dxa"/>
            <w:vAlign w:val="center"/>
          </w:tcPr>
          <w:p w14:paraId="49011045">
            <w:pPr>
              <w:snapToGrid w:val="0"/>
              <w:spacing w:line="360" w:lineRule="auto"/>
              <w:jc w:val="center"/>
              <w:rPr>
                <w:rFonts w:ascii="宋体" w:hAnsi="宋体" w:cs="宋体"/>
                <w:color w:val="auto"/>
                <w:sz w:val="24"/>
                <w:highlight w:val="none"/>
              </w:rPr>
            </w:pPr>
          </w:p>
        </w:tc>
        <w:tc>
          <w:tcPr>
            <w:tcW w:w="2265" w:type="dxa"/>
            <w:vAlign w:val="center"/>
          </w:tcPr>
          <w:p w14:paraId="07DD5525">
            <w:pPr>
              <w:snapToGrid w:val="0"/>
              <w:spacing w:line="360" w:lineRule="auto"/>
              <w:jc w:val="center"/>
              <w:rPr>
                <w:rFonts w:ascii="宋体" w:hAnsi="宋体" w:cs="宋体"/>
                <w:color w:val="auto"/>
                <w:sz w:val="24"/>
                <w:highlight w:val="none"/>
              </w:rPr>
            </w:pPr>
          </w:p>
        </w:tc>
        <w:tc>
          <w:tcPr>
            <w:tcW w:w="2124" w:type="dxa"/>
            <w:vAlign w:val="center"/>
          </w:tcPr>
          <w:p w14:paraId="60BB9C9F">
            <w:pPr>
              <w:spacing w:line="360" w:lineRule="auto"/>
              <w:jc w:val="center"/>
              <w:rPr>
                <w:rFonts w:ascii="宋体" w:hAnsi="宋体" w:cs="宋体"/>
                <w:color w:val="auto"/>
                <w:sz w:val="24"/>
                <w:highlight w:val="none"/>
              </w:rPr>
            </w:pPr>
          </w:p>
        </w:tc>
        <w:tc>
          <w:tcPr>
            <w:tcW w:w="2125" w:type="dxa"/>
          </w:tcPr>
          <w:p w14:paraId="30C10E6C">
            <w:pPr>
              <w:spacing w:line="360" w:lineRule="auto"/>
              <w:jc w:val="center"/>
              <w:rPr>
                <w:rFonts w:ascii="宋体" w:hAnsi="宋体" w:cs="宋体"/>
                <w:color w:val="auto"/>
                <w:sz w:val="24"/>
                <w:highlight w:val="none"/>
              </w:rPr>
            </w:pPr>
          </w:p>
        </w:tc>
        <w:tc>
          <w:tcPr>
            <w:tcW w:w="2124"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6"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1"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5" w:type="dxa"/>
            <w:vAlign w:val="center"/>
          </w:tcPr>
          <w:p w14:paraId="76DA92F8">
            <w:pPr>
              <w:snapToGrid w:val="0"/>
              <w:spacing w:line="360" w:lineRule="auto"/>
              <w:jc w:val="center"/>
              <w:rPr>
                <w:rFonts w:ascii="宋体" w:hAnsi="宋体" w:cs="宋体"/>
                <w:color w:val="auto"/>
                <w:sz w:val="24"/>
                <w:highlight w:val="none"/>
              </w:rPr>
            </w:pPr>
          </w:p>
        </w:tc>
        <w:tc>
          <w:tcPr>
            <w:tcW w:w="2407" w:type="dxa"/>
            <w:vAlign w:val="center"/>
          </w:tcPr>
          <w:p w14:paraId="7715326D">
            <w:pPr>
              <w:snapToGrid w:val="0"/>
              <w:spacing w:line="360" w:lineRule="auto"/>
              <w:jc w:val="center"/>
              <w:rPr>
                <w:rFonts w:ascii="宋体" w:hAnsi="宋体" w:cs="宋体"/>
                <w:color w:val="auto"/>
                <w:sz w:val="24"/>
                <w:highlight w:val="none"/>
              </w:rPr>
            </w:pPr>
          </w:p>
        </w:tc>
        <w:tc>
          <w:tcPr>
            <w:tcW w:w="2265" w:type="dxa"/>
            <w:vAlign w:val="center"/>
          </w:tcPr>
          <w:p w14:paraId="29502B17">
            <w:pPr>
              <w:snapToGrid w:val="0"/>
              <w:spacing w:line="360" w:lineRule="auto"/>
              <w:jc w:val="center"/>
              <w:rPr>
                <w:rFonts w:ascii="宋体" w:hAnsi="宋体" w:cs="宋体"/>
                <w:color w:val="auto"/>
                <w:sz w:val="24"/>
                <w:highlight w:val="none"/>
              </w:rPr>
            </w:pPr>
          </w:p>
        </w:tc>
        <w:tc>
          <w:tcPr>
            <w:tcW w:w="2124" w:type="dxa"/>
            <w:vAlign w:val="center"/>
          </w:tcPr>
          <w:p w14:paraId="645CF258">
            <w:pPr>
              <w:spacing w:line="360" w:lineRule="auto"/>
              <w:jc w:val="center"/>
              <w:rPr>
                <w:rFonts w:ascii="宋体" w:hAnsi="宋体" w:cs="宋体"/>
                <w:color w:val="auto"/>
                <w:sz w:val="24"/>
                <w:highlight w:val="none"/>
              </w:rPr>
            </w:pPr>
          </w:p>
        </w:tc>
        <w:tc>
          <w:tcPr>
            <w:tcW w:w="2125" w:type="dxa"/>
          </w:tcPr>
          <w:p w14:paraId="48B749E5">
            <w:pPr>
              <w:spacing w:line="360" w:lineRule="auto"/>
              <w:jc w:val="center"/>
              <w:rPr>
                <w:rFonts w:ascii="宋体" w:hAnsi="宋体" w:cs="宋体"/>
                <w:color w:val="auto"/>
                <w:sz w:val="24"/>
                <w:highlight w:val="none"/>
              </w:rPr>
            </w:pPr>
          </w:p>
        </w:tc>
        <w:tc>
          <w:tcPr>
            <w:tcW w:w="2124"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6"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1" w:type="dxa"/>
            <w:vAlign w:val="center"/>
          </w:tcPr>
          <w:p w14:paraId="5DE29410">
            <w:pPr>
              <w:snapToGrid w:val="0"/>
              <w:spacing w:line="360" w:lineRule="auto"/>
              <w:jc w:val="center"/>
              <w:rPr>
                <w:rFonts w:ascii="宋体" w:hAnsi="宋体" w:cs="宋体"/>
                <w:color w:val="auto"/>
                <w:sz w:val="24"/>
                <w:highlight w:val="none"/>
              </w:rPr>
            </w:pPr>
          </w:p>
        </w:tc>
        <w:tc>
          <w:tcPr>
            <w:tcW w:w="2265" w:type="dxa"/>
            <w:vAlign w:val="center"/>
          </w:tcPr>
          <w:p w14:paraId="4A4855F7">
            <w:pPr>
              <w:snapToGrid w:val="0"/>
              <w:spacing w:line="360" w:lineRule="auto"/>
              <w:jc w:val="center"/>
              <w:rPr>
                <w:rFonts w:ascii="宋体" w:hAnsi="宋体" w:cs="宋体"/>
                <w:color w:val="auto"/>
                <w:sz w:val="24"/>
                <w:highlight w:val="none"/>
              </w:rPr>
            </w:pPr>
          </w:p>
        </w:tc>
        <w:tc>
          <w:tcPr>
            <w:tcW w:w="2407" w:type="dxa"/>
            <w:vAlign w:val="center"/>
          </w:tcPr>
          <w:p w14:paraId="5F6A4004">
            <w:pPr>
              <w:snapToGrid w:val="0"/>
              <w:spacing w:line="360" w:lineRule="auto"/>
              <w:jc w:val="center"/>
              <w:rPr>
                <w:rFonts w:ascii="宋体" w:hAnsi="宋体" w:cs="宋体"/>
                <w:color w:val="auto"/>
                <w:sz w:val="24"/>
                <w:highlight w:val="none"/>
              </w:rPr>
            </w:pPr>
          </w:p>
        </w:tc>
        <w:tc>
          <w:tcPr>
            <w:tcW w:w="2265" w:type="dxa"/>
            <w:vAlign w:val="center"/>
          </w:tcPr>
          <w:p w14:paraId="091382D4">
            <w:pPr>
              <w:snapToGrid w:val="0"/>
              <w:spacing w:line="360" w:lineRule="auto"/>
              <w:jc w:val="center"/>
              <w:rPr>
                <w:rFonts w:ascii="宋体" w:hAnsi="宋体" w:cs="宋体"/>
                <w:color w:val="auto"/>
                <w:sz w:val="24"/>
                <w:highlight w:val="none"/>
              </w:rPr>
            </w:pPr>
          </w:p>
        </w:tc>
        <w:tc>
          <w:tcPr>
            <w:tcW w:w="2124" w:type="dxa"/>
            <w:vAlign w:val="center"/>
          </w:tcPr>
          <w:p w14:paraId="468CB7AF">
            <w:pPr>
              <w:spacing w:line="360" w:lineRule="auto"/>
              <w:jc w:val="center"/>
              <w:rPr>
                <w:rFonts w:ascii="宋体" w:hAnsi="宋体" w:cs="宋体"/>
                <w:color w:val="auto"/>
                <w:sz w:val="24"/>
                <w:highlight w:val="none"/>
              </w:rPr>
            </w:pPr>
          </w:p>
        </w:tc>
        <w:tc>
          <w:tcPr>
            <w:tcW w:w="2125" w:type="dxa"/>
          </w:tcPr>
          <w:p w14:paraId="6FD9540F">
            <w:pPr>
              <w:spacing w:line="360" w:lineRule="auto"/>
              <w:jc w:val="center"/>
              <w:rPr>
                <w:rFonts w:ascii="宋体" w:hAnsi="宋体" w:cs="宋体"/>
                <w:color w:val="auto"/>
                <w:sz w:val="24"/>
                <w:highlight w:val="none"/>
              </w:rPr>
            </w:pPr>
          </w:p>
        </w:tc>
        <w:tc>
          <w:tcPr>
            <w:tcW w:w="2124" w:type="dxa"/>
            <w:vAlign w:val="center"/>
          </w:tcPr>
          <w:p w14:paraId="04869F1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479"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38"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79"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38"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rPr>
          <w:rFonts w:ascii="宋体" w:hAnsi="宋体" w:cs="宋体"/>
          <w:b/>
          <w:color w:val="auto"/>
          <w:sz w:val="24"/>
          <w:highlight w:val="none"/>
        </w:rPr>
      </w:pPr>
      <w:r>
        <w:rPr>
          <w:rFonts w:ascii="宋体" w:hAnsi="宋体" w:cs="宋体"/>
          <w:b/>
          <w:color w:val="auto"/>
          <w:sz w:val="24"/>
          <w:highlight w:val="none"/>
        </w:rPr>
        <w:br w:type="page"/>
      </w:r>
    </w:p>
    <w:p w14:paraId="4503B599">
      <w:pPr>
        <w:pStyle w:val="2"/>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5DD05D4">
      <w:pPr>
        <w:pStyle w:val="2"/>
        <w:rPr>
          <w:rFonts w:hint="eastAsia"/>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5984ED7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9A37FD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4B59CC">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73B7674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A2F7648">
      <w:pPr>
        <w:pStyle w:val="2"/>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85A2DEC">
      <w:pPr>
        <w:pStyle w:val="2"/>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49BD0"/>
    <w:multiLevelType w:val="multilevel"/>
    <w:tmpl w:val="1FC49BD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50C18"/>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93150C"/>
    <w:rsid w:val="16A8729C"/>
    <w:rsid w:val="16B33777"/>
    <w:rsid w:val="16BC70A7"/>
    <w:rsid w:val="16C6339E"/>
    <w:rsid w:val="172F2D79"/>
    <w:rsid w:val="17557BEF"/>
    <w:rsid w:val="17D349C1"/>
    <w:rsid w:val="1830729E"/>
    <w:rsid w:val="1870062C"/>
    <w:rsid w:val="18817102"/>
    <w:rsid w:val="18830A15"/>
    <w:rsid w:val="18852B28"/>
    <w:rsid w:val="188B5321"/>
    <w:rsid w:val="18B25740"/>
    <w:rsid w:val="18BD611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072EB"/>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D394E"/>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F68E2"/>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C11AB"/>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E158F"/>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AC424B"/>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C1CC9"/>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90E6E"/>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14021</Words>
  <Characters>15139</Characters>
  <Lines>281</Lines>
  <Paragraphs>79</Paragraphs>
  <TotalTime>20</TotalTime>
  <ScaleCrop>false</ScaleCrop>
  <LinksUpToDate>false</LinksUpToDate>
  <CharactersWithSpaces>15497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比你酷一点儿</cp:lastModifiedBy>
  <cp:lastPrinted>2025-04-22T03:51:00Z</cp:lastPrinted>
  <dcterms:modified xsi:type="dcterms:W3CDTF">2025-07-10T00:50:20Z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eyJoZGlkIjoiZDk4MjY5ODUzZGU3YjFhNGQ2ZjliOGYwMDE1MGFhZjMiLCJ1c2VySWQiOiI0Mzc5ODY0MTkifQ==</vt:lpwstr>
  </property>
</Properties>
</file>