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4BFC0">
      <w:pPr>
        <w:spacing w:line="360" w:lineRule="auto"/>
        <w:jc w:val="center"/>
        <w:rPr>
          <w:rFonts w:hint="eastAsia" w:ascii="宋体" w:hAnsi="宋体" w:eastAsia="宋体" w:cs="宋体"/>
          <w:b/>
          <w:color w:val="auto"/>
          <w:sz w:val="44"/>
          <w:szCs w:val="44"/>
          <w:highlight w:val="none"/>
        </w:rPr>
      </w:pPr>
    </w:p>
    <w:p w14:paraId="44C82020">
      <w:pPr>
        <w:adjustRightInd/>
        <w:spacing w:line="360" w:lineRule="auto"/>
        <w:jc w:val="center"/>
        <w:rPr>
          <w:rFonts w:hint="eastAsia" w:ascii="宋体" w:hAnsi="宋体" w:eastAsia="宋体" w:cs="宋体"/>
          <w:b/>
          <w:color w:val="auto"/>
          <w:sz w:val="48"/>
          <w:szCs w:val="48"/>
          <w:highlight w:val="none"/>
        </w:rPr>
      </w:pPr>
    </w:p>
    <w:p w14:paraId="79389ABC">
      <w:pPr>
        <w:adjustRightInd/>
        <w:spacing w:line="360" w:lineRule="auto"/>
        <w:jc w:val="center"/>
        <w:rPr>
          <w:rFonts w:hint="eastAsia" w:ascii="宋体" w:hAnsi="宋体" w:cs="宋体"/>
          <w:color w:val="auto"/>
          <w:sz w:val="48"/>
          <w:szCs w:val="48"/>
          <w:highlight w:val="none"/>
          <w:lang w:val="en-US" w:eastAsia="zh-CN"/>
        </w:rPr>
      </w:pPr>
      <w:r>
        <w:rPr>
          <w:rFonts w:hint="eastAsia" w:ascii="宋体" w:hAnsi="宋体" w:cs="宋体"/>
          <w:color w:val="auto"/>
          <w:sz w:val="48"/>
          <w:szCs w:val="48"/>
          <w:highlight w:val="none"/>
          <w:lang w:val="en-US" w:eastAsia="zh-CN"/>
        </w:rPr>
        <w:t>杭州萧山技师学院工业4.0训练设备</w:t>
      </w:r>
    </w:p>
    <w:p w14:paraId="2883E081">
      <w:pPr>
        <w:adjustRightInd/>
        <w:spacing w:line="360" w:lineRule="auto"/>
        <w:jc w:val="center"/>
        <w:rPr>
          <w:rFonts w:hint="eastAsia" w:ascii="宋体" w:hAnsi="宋体" w:eastAsia="宋体" w:cs="宋体"/>
          <w:color w:val="auto"/>
          <w:sz w:val="48"/>
          <w:szCs w:val="48"/>
          <w:highlight w:val="none"/>
        </w:rPr>
      </w:pPr>
      <w:r>
        <w:rPr>
          <w:rFonts w:hint="eastAsia" w:ascii="宋体" w:hAnsi="宋体" w:cs="宋体"/>
          <w:color w:val="auto"/>
          <w:sz w:val="48"/>
          <w:szCs w:val="48"/>
          <w:highlight w:val="none"/>
          <w:lang w:val="en-US" w:eastAsia="zh-CN"/>
        </w:rPr>
        <w:t xml:space="preserve">采购项目 </w:t>
      </w:r>
    </w:p>
    <w:p w14:paraId="1A4446E0">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eastAsia="宋体" w:cs="宋体"/>
          <w:color w:val="auto"/>
          <w:sz w:val="48"/>
          <w:szCs w:val="48"/>
          <w:highlight w:val="none"/>
        </w:rPr>
        <w:t>招标文件</w:t>
      </w:r>
    </w:p>
    <w:p w14:paraId="42D68D47">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（电子招投标）</w:t>
      </w:r>
    </w:p>
    <w:p w14:paraId="21968A3B">
      <w:pPr>
        <w:adjustRightInd/>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HZXSJS2025HZGX-HC-008</w:t>
      </w:r>
    </w:p>
    <w:p w14:paraId="03D0D182">
      <w:pPr>
        <w:adjustRightInd/>
        <w:spacing w:line="360" w:lineRule="auto"/>
        <w:rPr>
          <w:rFonts w:hint="eastAsia" w:ascii="宋体" w:hAnsi="宋体" w:eastAsia="宋体" w:cs="宋体"/>
          <w:color w:val="auto"/>
          <w:sz w:val="28"/>
          <w:szCs w:val="20"/>
          <w:highlight w:val="none"/>
        </w:rPr>
      </w:pPr>
    </w:p>
    <w:p w14:paraId="05F78E04">
      <w:pPr>
        <w:spacing w:line="360" w:lineRule="auto"/>
        <w:jc w:val="center"/>
        <w:rPr>
          <w:rFonts w:hint="eastAsia" w:ascii="宋体" w:hAnsi="宋体" w:eastAsia="宋体" w:cs="宋体"/>
          <w:b/>
          <w:color w:val="auto"/>
          <w:sz w:val="44"/>
          <w:szCs w:val="44"/>
          <w:highlight w:val="none"/>
          <w:lang w:eastAsia="zh-CN"/>
        </w:rPr>
      </w:pPr>
    </w:p>
    <w:p w14:paraId="24581A2B">
      <w:pPr>
        <w:spacing w:line="360" w:lineRule="auto"/>
        <w:jc w:val="center"/>
        <w:rPr>
          <w:rFonts w:hint="eastAsia" w:ascii="宋体" w:hAnsi="宋体" w:eastAsia="宋体" w:cs="宋体"/>
          <w:b/>
          <w:color w:val="auto"/>
          <w:sz w:val="44"/>
          <w:szCs w:val="44"/>
          <w:highlight w:val="none"/>
        </w:rPr>
      </w:pPr>
    </w:p>
    <w:p w14:paraId="534301D9">
      <w:pPr>
        <w:spacing w:line="360" w:lineRule="auto"/>
        <w:rPr>
          <w:rFonts w:hint="eastAsia" w:ascii="宋体" w:hAnsi="宋体" w:eastAsia="宋体" w:cs="宋体"/>
          <w:color w:val="auto"/>
          <w:sz w:val="32"/>
          <w:szCs w:val="32"/>
          <w:highlight w:val="none"/>
          <w:lang w:val="en-US" w:eastAsia="zh-CN"/>
        </w:rPr>
      </w:pPr>
    </w:p>
    <w:p w14:paraId="176706D2">
      <w:pPr>
        <w:pStyle w:val="3"/>
        <w:rPr>
          <w:rFonts w:hint="eastAsia" w:ascii="宋体" w:hAnsi="宋体" w:eastAsia="宋体" w:cs="宋体"/>
          <w:color w:val="auto"/>
          <w:sz w:val="32"/>
          <w:szCs w:val="32"/>
          <w:highlight w:val="none"/>
          <w:lang w:val="en-US" w:eastAsia="zh-CN"/>
        </w:rPr>
      </w:pPr>
    </w:p>
    <w:p w14:paraId="5B5AE456">
      <w:pPr>
        <w:rPr>
          <w:rFonts w:hint="eastAsia" w:ascii="宋体" w:hAnsi="宋体" w:eastAsia="宋体" w:cs="宋体"/>
          <w:color w:val="auto"/>
          <w:sz w:val="32"/>
          <w:szCs w:val="32"/>
          <w:highlight w:val="none"/>
          <w:lang w:val="en-US" w:eastAsia="zh-CN"/>
        </w:rPr>
      </w:pPr>
    </w:p>
    <w:p w14:paraId="1AA43E01">
      <w:pPr>
        <w:pStyle w:val="3"/>
        <w:rPr>
          <w:rFonts w:hint="eastAsia"/>
          <w:color w:val="auto"/>
          <w:highlight w:val="none"/>
          <w:lang w:val="en-US" w:eastAsia="zh-CN"/>
        </w:rPr>
      </w:pPr>
    </w:p>
    <w:p w14:paraId="05643640">
      <w:pPr>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杭州萧山技师学院</w:t>
      </w:r>
    </w:p>
    <w:p w14:paraId="71C7088F">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杭州广厦建筑咨询有限公司</w:t>
      </w:r>
    </w:p>
    <w:p w14:paraId="39C347BD">
      <w:pPr>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val="en-US" w:eastAsia="zh-CN"/>
        </w:rPr>
        <w:t>2025</w:t>
      </w:r>
      <w:r>
        <w:rPr>
          <w:rFonts w:hint="eastAsia" w:ascii="宋体" w:hAnsi="宋体" w:eastAsia="宋体" w:cs="宋体"/>
          <w:bCs/>
          <w:color w:val="auto"/>
          <w:sz w:val="32"/>
          <w:szCs w:val="32"/>
          <w:highlight w:val="none"/>
        </w:rPr>
        <w:t>年</w:t>
      </w:r>
      <w:r>
        <w:rPr>
          <w:rFonts w:hint="eastAsia" w:ascii="宋体" w:hAnsi="宋体" w:eastAsia="宋体" w:cs="宋体"/>
          <w:bCs/>
          <w:color w:val="auto"/>
          <w:sz w:val="32"/>
          <w:szCs w:val="32"/>
          <w:highlight w:val="none"/>
          <w:lang w:val="en-US" w:eastAsia="zh-CN"/>
        </w:rPr>
        <w:t>0</w:t>
      </w:r>
      <w:r>
        <w:rPr>
          <w:rFonts w:hint="eastAsia" w:ascii="宋体" w:hAnsi="宋体" w:cs="宋体"/>
          <w:bCs/>
          <w:color w:val="auto"/>
          <w:sz w:val="32"/>
          <w:szCs w:val="32"/>
          <w:highlight w:val="none"/>
          <w:lang w:val="en-US" w:eastAsia="zh-CN"/>
        </w:rPr>
        <w:t>6</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26</w:t>
      </w:r>
      <w:r>
        <w:rPr>
          <w:rFonts w:hint="eastAsia" w:ascii="宋体" w:hAnsi="宋体" w:eastAsia="宋体" w:cs="宋体"/>
          <w:bCs/>
          <w:color w:val="auto"/>
          <w:sz w:val="32"/>
          <w:szCs w:val="32"/>
          <w:highlight w:val="none"/>
        </w:rPr>
        <w:t>日</w:t>
      </w:r>
    </w:p>
    <w:p w14:paraId="41041055">
      <w:pPr>
        <w:rPr>
          <w:rFonts w:hint="eastAsia" w:ascii="宋体" w:hAnsi="宋体" w:cs="宋体"/>
          <w:b/>
          <w:color w:val="auto"/>
          <w:sz w:val="48"/>
          <w:szCs w:val="48"/>
          <w:highlight w:val="none"/>
        </w:rPr>
      </w:pPr>
      <w:r>
        <w:rPr>
          <w:rFonts w:hint="eastAsia" w:ascii="宋体" w:hAnsi="宋体" w:cs="宋体"/>
          <w:b/>
          <w:color w:val="auto"/>
          <w:sz w:val="48"/>
          <w:szCs w:val="48"/>
          <w:highlight w:val="none"/>
        </w:rPr>
        <w:br w:type="page"/>
      </w:r>
    </w:p>
    <w:p w14:paraId="4E9FDC7A">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B78AA38">
      <w:pPr>
        <w:spacing w:line="360" w:lineRule="auto"/>
        <w:rPr>
          <w:rFonts w:ascii="宋体" w:hAnsi="宋体" w:cs="宋体"/>
          <w:color w:val="auto"/>
          <w:sz w:val="32"/>
          <w:szCs w:val="32"/>
          <w:highlight w:val="none"/>
        </w:rPr>
      </w:pPr>
    </w:p>
    <w:p w14:paraId="16E0E0ED">
      <w:pPr>
        <w:spacing w:line="360" w:lineRule="auto"/>
        <w:rPr>
          <w:rFonts w:ascii="宋体" w:hAnsi="宋体" w:cs="宋体"/>
          <w:color w:val="auto"/>
          <w:sz w:val="32"/>
          <w:szCs w:val="32"/>
          <w:highlight w:val="none"/>
        </w:rPr>
      </w:pPr>
    </w:p>
    <w:p w14:paraId="7012C94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8358D1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9B181C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5BB7FA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2DBD72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1B9F63D">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31CDAB0">
      <w:pP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14:paraId="4BBDD5E7">
      <w:pPr>
        <w:adjustRightInd/>
        <w:spacing w:line="360" w:lineRule="auto"/>
        <w:jc w:val="center"/>
        <w:outlineLvl w:val="0"/>
        <w:rPr>
          <w:rFonts w:ascii="宋体" w:hAnsi="宋体" w:cs="宋体"/>
          <w:b/>
          <w:color w:val="auto"/>
          <w:sz w:val="36"/>
          <w:szCs w:val="20"/>
          <w:highlight w:val="none"/>
        </w:rPr>
      </w:pPr>
      <w:bookmarkStart w:id="0" w:name="_Hlt74728647"/>
      <w:bookmarkEnd w:id="0"/>
      <w:bookmarkStart w:id="1" w:name="_Hlt74649545"/>
      <w:bookmarkEnd w:id="1"/>
      <w:bookmarkStart w:id="2" w:name="_Hlt74707423"/>
      <w:bookmarkEnd w:id="2"/>
      <w:bookmarkStart w:id="3" w:name="_Hlt74729822"/>
      <w:bookmarkEnd w:id="3"/>
      <w:bookmarkStart w:id="4" w:name="第二部分"/>
      <w:bookmarkStart w:id="5" w:name="_Toc91899870"/>
      <w:bookmarkStart w:id="6" w:name="_Toc91899871"/>
      <w:r>
        <w:rPr>
          <w:rFonts w:hint="eastAsia" w:ascii="宋体" w:hAnsi="宋体" w:cs="宋体"/>
          <w:b/>
          <w:color w:val="auto"/>
          <w:sz w:val="36"/>
          <w:szCs w:val="20"/>
          <w:highlight w:val="none"/>
        </w:rPr>
        <w:t>第一部分 招标公告</w:t>
      </w:r>
    </w:p>
    <w:p w14:paraId="5D46A3E5">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3D759D6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val="en-US" w:eastAsia="zh-CN"/>
        </w:rPr>
        <w:t>杭州萧山技师学院工业4.0训练设备采购项目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u w:val="single"/>
        </w:rPr>
        <w:t>202</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5</w:t>
      </w:r>
      <w:r>
        <w:rPr>
          <w:rStyle w:val="76"/>
          <w:rFonts w:cs="Times New Roman" w:asciiTheme="minorEastAsia" w:hAnsiTheme="minorEastAsia" w:eastAsiaTheme="minorEastAsia"/>
          <w:snapToGrid/>
          <w:color w:val="auto"/>
          <w:kern w:val="2"/>
          <w:sz w:val="24"/>
          <w:szCs w:val="24"/>
          <w:highlight w:val="none"/>
          <w:u w:val="single"/>
        </w:rPr>
        <w:t>年</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7</w:t>
      </w:r>
      <w:r>
        <w:rPr>
          <w:rStyle w:val="76"/>
          <w:rFonts w:hint="eastAsia" w:cs="Times New Roman" w:asciiTheme="minorEastAsia" w:hAnsiTheme="minorEastAsia" w:eastAsiaTheme="minorEastAsia"/>
          <w:snapToGrid/>
          <w:color w:val="auto"/>
          <w:kern w:val="2"/>
          <w:sz w:val="24"/>
          <w:szCs w:val="24"/>
          <w:highlight w:val="none"/>
          <w:u w:val="single"/>
        </w:rPr>
        <w:t>月</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16</w:t>
      </w:r>
      <w:r>
        <w:rPr>
          <w:rStyle w:val="76"/>
          <w:rFonts w:hint="eastAsia" w:cs="Times New Roman" w:asciiTheme="minorEastAsia" w:hAnsiTheme="minorEastAsia" w:eastAsiaTheme="minorEastAsia"/>
          <w:snapToGrid/>
          <w:color w:val="auto"/>
          <w:kern w:val="2"/>
          <w:sz w:val="24"/>
          <w:szCs w:val="24"/>
          <w:highlight w:val="none"/>
          <w:u w:val="single"/>
        </w:rPr>
        <w:t>日</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14</w:t>
      </w:r>
      <w:r>
        <w:rPr>
          <w:rStyle w:val="76"/>
          <w:rFonts w:hint="eastAsia" w:cs="Times New Roman" w:asciiTheme="minorEastAsia" w:hAnsiTheme="minorEastAsia" w:eastAsiaTheme="minorEastAsia"/>
          <w:snapToGrid/>
          <w:color w:val="auto"/>
          <w:kern w:val="2"/>
          <w:sz w:val="24"/>
          <w:szCs w:val="24"/>
          <w:highlight w:val="none"/>
          <w:u w:val="single"/>
        </w:rPr>
        <w:t>点</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30</w:t>
      </w:r>
      <w:r>
        <w:rPr>
          <w:rStyle w:val="76"/>
          <w:rFonts w:hint="eastAsia" w:cs="Times New Roman" w:asciiTheme="minorEastAsia" w:hAnsiTheme="minorEastAsia" w:eastAsiaTheme="minorEastAsia"/>
          <w:snapToGrid/>
          <w:color w:val="auto"/>
          <w:kern w:val="2"/>
          <w:sz w:val="24"/>
          <w:szCs w:val="24"/>
          <w:highlight w:val="none"/>
          <w:u w:val="single"/>
        </w:rPr>
        <w:t>分</w:t>
      </w:r>
      <w:r>
        <w:rPr>
          <w:rStyle w:val="76"/>
          <w:rFonts w:hint="eastAsia" w:cs="Times New Roman" w:asciiTheme="minorEastAsia" w:hAnsiTheme="minorEastAsia" w:eastAsiaTheme="minorEastAsia"/>
          <w:bCs/>
          <w:snapToGrid/>
          <w:color w:val="auto"/>
          <w:kern w:val="2"/>
          <w:sz w:val="24"/>
          <w:szCs w:val="24"/>
          <w:highlight w:val="none"/>
          <w:u w:val="singl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25216A28">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9DB9EC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lang w:val="en-US" w:eastAsia="zh-CN"/>
        </w:rPr>
        <w:t>HZXSJS2025HZGX-HC-008</w:t>
      </w:r>
    </w:p>
    <w:p w14:paraId="3D3F65E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val="en-US" w:eastAsia="zh-CN"/>
        </w:rPr>
        <w:t xml:space="preserve">杭州萧山技师学院工业4.0训练设备采购项目 </w:t>
      </w:r>
    </w:p>
    <w:p w14:paraId="2ECAB8A4">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2400000</w:t>
      </w:r>
    </w:p>
    <w:p w14:paraId="0BA5A25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2400000</w:t>
      </w:r>
    </w:p>
    <w:p w14:paraId="47E10BB9">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Theme="minorEastAsia" w:hAnsiTheme="minorEastAsia" w:eastAsiaTheme="minorEastAsia"/>
          <w:color w:val="auto"/>
          <w:sz w:val="24"/>
          <w:highlight w:val="none"/>
          <w:lang w:val="en-US" w:eastAsia="zh-CN"/>
        </w:rPr>
        <w:t>杭州萧山技师学院工业4.0训练设备采购项目，</w:t>
      </w:r>
      <w:r>
        <w:rPr>
          <w:rFonts w:hint="eastAsia" w:hAnsi="宋体" w:cs="宋体"/>
          <w:bCs/>
          <w:snapToGrid/>
          <w:color w:val="auto"/>
          <w:kern w:val="2"/>
          <w:sz w:val="24"/>
          <w:szCs w:val="24"/>
          <w:highlight w:val="none"/>
        </w:rPr>
        <w:t>主要内容：</w:t>
      </w:r>
      <w:r>
        <w:rPr>
          <w:rFonts w:hint="eastAsia" w:asciiTheme="minorEastAsia" w:hAnsiTheme="minorEastAsia" w:eastAsiaTheme="minorEastAsia"/>
          <w:color w:val="auto"/>
          <w:sz w:val="24"/>
          <w:highlight w:val="none"/>
          <w:lang w:val="en-US" w:eastAsia="zh-CN"/>
        </w:rPr>
        <w:t>杭州萧山技师学院工业4.0训练设备采购项目</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13CF9161">
      <w:pPr>
        <w:pStyle w:val="129"/>
        <w:ind w:firstLine="482"/>
        <w:outlineLvl w:val="2"/>
        <w:rPr>
          <w:rFonts w:hint="eastAsia" w:ascii="宋体" w:hAnsi="宋体" w:eastAsia="宋体" w:cs="宋体"/>
          <w:color w:val="auto"/>
          <w:highlight w:val="none"/>
          <w:lang w:eastAsia="zh-CN"/>
        </w:rPr>
      </w:pPr>
      <w:r>
        <w:rPr>
          <w:rFonts w:hint="eastAsia" w:ascii="宋体" w:hAnsi="宋体" w:cs="宋体"/>
          <w:b/>
          <w:color w:val="auto"/>
          <w:highlight w:val="none"/>
        </w:rPr>
        <w:t>合同履约期限：</w:t>
      </w:r>
      <w:r>
        <w:rPr>
          <w:rFonts w:hint="eastAsia" w:ascii="宋体" w:hAnsi="宋体" w:cs="宋体"/>
          <w:b w:val="0"/>
          <w:bCs/>
          <w:color w:val="auto"/>
          <w:highlight w:val="none"/>
          <w:lang w:eastAsia="zh-CN"/>
        </w:rPr>
        <w:t>详见招标文件</w:t>
      </w:r>
    </w:p>
    <w:p w14:paraId="6C0A6379">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ascii="宋体" w:hAnsi="宋体" w:cs="宋体"/>
            <w:color w:val="auto"/>
            <w:kern w:val="0"/>
            <w:sz w:val="24"/>
            <w:highlight w:val="none"/>
          </w:rPr>
          <w:id w:val="4648"/>
          <w14:checkbox>
            <w14:checked w14:val="1"/>
            <w14:checkedState w14:val="00FE" w14:font="Wingdings"/>
            <w14:uncheckedState w14:val="2610" w14:font="MS Gothic"/>
          </w14:checkbox>
        </w:sdtPr>
        <w:sdtEndPr>
          <w:rPr>
            <w:rFonts w:hint="eastAsia" w:ascii="宋体" w:hAnsi="宋体" w:cs="宋体"/>
            <w:snapToGrid/>
            <w:color w:val="auto"/>
            <w:kern w:val="2"/>
            <w:sz w:val="24"/>
            <w:szCs w:val="24"/>
            <w:highlight w:val="none"/>
          </w:rPr>
        </w:sdtEndPr>
        <w:sdtContent>
          <w:r>
            <w:rPr>
              <w:rFonts w:hint="eastAsia" w:ascii="Wingdings" w:hAnsi="Wingdings" w:eastAsia="宋体" w:cs="宋体"/>
              <w:snapToGrid/>
              <w:color w:val="auto"/>
              <w:kern w:val="2"/>
              <w:sz w:val="24"/>
              <w:szCs w:val="24"/>
              <w:highlight w:val="none"/>
              <w:lang w:val="en-US" w:eastAsia="zh-CN" w:bidi="ar-SA"/>
            </w:rPr>
            <w:t>þ</w:t>
          </w:r>
        </w:sdtContent>
      </w:sdt>
      <w:r>
        <w:rPr>
          <w:rFonts w:hint="eastAsia" w:ascii="宋体" w:hAnsi="宋体" w:cs="宋体"/>
          <w:snapToGrid/>
          <w:color w:val="auto"/>
          <w:kern w:val="2"/>
          <w:sz w:val="24"/>
          <w:szCs w:val="24"/>
          <w:highlight w:val="none"/>
        </w:rPr>
        <w:t xml:space="preserve"> </w:t>
      </w:r>
      <w:r>
        <w:rPr>
          <w:rFonts w:hint="eastAsia" w:hAnsi="宋体" w:cs="宋体"/>
          <w:b w:val="0"/>
          <w:snapToGrid/>
          <w:color w:val="auto"/>
          <w:kern w:val="2"/>
          <w:sz w:val="24"/>
          <w:szCs w:val="24"/>
          <w:highlight w:val="none"/>
          <w:lang w:val="en-US" w:eastAsia="zh-CN"/>
        </w:rPr>
        <w:t>是；</w:t>
      </w:r>
      <w:sdt>
        <w:sdtPr>
          <w:rPr>
            <w:rFonts w:hint="eastAsia" w:ascii="宋体" w:hAnsi="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宋体" w:hAnsi="宋体" w:cs="宋体"/>
            <w:snapToGrid/>
            <w:color w:val="auto"/>
            <w:kern w:val="2"/>
            <w:sz w:val="24"/>
            <w:szCs w:val="24"/>
            <w:highlight w:val="none"/>
          </w:rPr>
        </w:sdtEndPr>
        <w:sdtContent>
          <w:r>
            <w:rPr>
              <w:rFonts w:hint="eastAsia" w:ascii="MS Gothic" w:hAnsi="MS Gothic" w:eastAsia="宋体" w:cs="宋体"/>
              <w:snapToGrid/>
              <w:color w:val="auto"/>
              <w:kern w:val="2"/>
              <w:sz w:val="24"/>
              <w:szCs w:val="24"/>
              <w:highlight w:val="none"/>
              <w:lang w:val="en-US" w:eastAsia="zh-CN" w:bidi="ar-SA"/>
            </w:rPr>
            <w:t>☐</w:t>
          </w:r>
        </w:sdtContent>
      </w:sdt>
      <w:r>
        <w:rPr>
          <w:rFonts w:hint="eastAsia" w:ascii="宋体" w:hAnsi="宋体" w:cs="宋体"/>
          <w:snapToGrid/>
          <w:color w:val="auto"/>
          <w:kern w:val="2"/>
          <w:sz w:val="24"/>
          <w:szCs w:val="24"/>
          <w:highlight w:val="none"/>
        </w:rPr>
        <w:t xml:space="preserve"> </w:t>
      </w:r>
      <w:r>
        <w:rPr>
          <w:rFonts w:hint="eastAsia" w:hAnsi="宋体" w:cs="宋体"/>
          <w:b w:val="0"/>
          <w:snapToGrid/>
          <w:color w:val="auto"/>
          <w:kern w:val="2"/>
          <w:sz w:val="24"/>
          <w:szCs w:val="24"/>
          <w:highlight w:val="none"/>
          <w:lang w:val="en-US" w:eastAsia="zh-CN"/>
        </w:rPr>
        <w:t>否</w:t>
      </w:r>
    </w:p>
    <w:p w14:paraId="443DAE7E">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7" w:name="_Hlk101132948"/>
      <w:r>
        <w:rPr>
          <w:rFonts w:hint="eastAsia" w:ascii="宋体" w:hAnsi="宋体" w:cs="宋体"/>
          <w:b/>
          <w:color w:val="auto"/>
          <w:sz w:val="24"/>
          <w:highlight w:val="none"/>
        </w:rPr>
        <w:t>申请人的资格要求</w:t>
      </w:r>
      <w:bookmarkEnd w:id="7"/>
      <w:r>
        <w:rPr>
          <w:rFonts w:hint="eastAsia" w:ascii="宋体" w:hAnsi="宋体" w:cs="宋体"/>
          <w:b/>
          <w:color w:val="auto"/>
          <w:sz w:val="24"/>
          <w:highlight w:val="none"/>
        </w:rPr>
        <w:t>：</w:t>
      </w:r>
    </w:p>
    <w:p w14:paraId="3274096C">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A91D92B">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350A04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D60CC2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0BE4075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D1803B2">
      <w:pPr>
        <w:spacing w:line="360" w:lineRule="auto"/>
        <w:ind w:firstLine="897" w:firstLineChars="374"/>
        <w:rPr>
          <w:rFonts w:ascii="宋体" w:hAnsi="宋体" w:cs="宋体"/>
          <w:color w:val="auto"/>
          <w:sz w:val="24"/>
          <w:szCs w:val="24"/>
          <w:highlight w:val="none"/>
          <w:u w:val="single"/>
        </w:rPr>
      </w:pPr>
      <w:sdt>
        <w:sdtPr>
          <w:rPr>
            <w:rFonts w:hint="eastAsia" w:ascii="宋体" w:hAnsi="宋体" w:cs="宋体"/>
            <w:color w:val="auto"/>
            <w:kern w:val="0"/>
            <w:sz w:val="24"/>
            <w:highlight w:val="none"/>
          </w:rPr>
          <w:id w:val="147471822"/>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szCs w:val="24"/>
          <w:highlight w:val="none"/>
        </w:rPr>
        <w:t>货物全部由符合政策要求的中小微企业制造，</w:t>
      </w:r>
      <w:r>
        <w:rPr>
          <w:rFonts w:hint="eastAsia" w:ascii="宋体" w:hAnsi="宋体" w:cs="宋体"/>
          <w:color w:val="auto"/>
          <w:sz w:val="24"/>
          <w:szCs w:val="24"/>
          <w:highlight w:val="none"/>
          <w:lang w:val="en-US" w:eastAsia="zh-CN"/>
        </w:rPr>
        <w:t>按要求</w:t>
      </w:r>
      <w:r>
        <w:rPr>
          <w:rFonts w:hint="eastAsia" w:ascii="宋体" w:hAnsi="宋体" w:cs="宋体"/>
          <w:color w:val="auto"/>
          <w:sz w:val="24"/>
          <w:szCs w:val="24"/>
          <w:highlight w:val="none"/>
        </w:rPr>
        <w:t>提供中小企业声明函；</w:t>
      </w:r>
    </w:p>
    <w:p w14:paraId="741FFBC7">
      <w:pPr>
        <w:spacing w:line="360" w:lineRule="auto"/>
        <w:ind w:firstLine="897" w:firstLineChars="374"/>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47457759"/>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sz w:val="24"/>
          <w:szCs w:val="24"/>
          <w:highlight w:val="none"/>
        </w:rPr>
        <w:t>货物全部由符合政策要求的小微企业制造，</w:t>
      </w:r>
      <w:r>
        <w:rPr>
          <w:rFonts w:hint="eastAsia" w:ascii="宋体" w:hAnsi="宋体" w:cs="宋体"/>
          <w:color w:val="auto"/>
          <w:sz w:val="24"/>
          <w:szCs w:val="24"/>
          <w:highlight w:val="none"/>
          <w:lang w:val="en-US" w:eastAsia="zh-CN"/>
        </w:rPr>
        <w:t>按要求</w:t>
      </w:r>
      <w:r>
        <w:rPr>
          <w:rFonts w:hint="eastAsia" w:ascii="宋体" w:hAnsi="宋体" w:cs="宋体"/>
          <w:color w:val="auto"/>
          <w:sz w:val="24"/>
          <w:szCs w:val="24"/>
          <w:highlight w:val="none"/>
        </w:rPr>
        <w:t>提供中小企业声明函；</w:t>
      </w:r>
    </w:p>
    <w:p w14:paraId="00CB142A">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47451587"/>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bookmarkStart w:id="8" w:name="_Hlk101132524"/>
        </w:sdtContent>
      </w:sdt>
      <w:r>
        <w:rPr>
          <w:rFonts w:hint="eastAsia" w:ascii="宋体" w:hAnsi="宋体" w:cs="宋体"/>
          <w:color w:val="auto"/>
          <w:kern w:val="2"/>
          <w:sz w:val="24"/>
          <w:szCs w:val="24"/>
          <w:highlight w:val="none"/>
        </w:rPr>
        <w:t>供应商应</w:t>
      </w:r>
      <w:r>
        <w:rPr>
          <w:rFonts w:hint="eastAsia" w:ascii="宋体" w:hAnsi="宋体" w:cs="宋体"/>
          <w:color w:val="auto"/>
          <w:sz w:val="24"/>
          <w:szCs w:val="24"/>
          <w:highlight w:val="none"/>
        </w:rPr>
        <w:t>以联合体形式参加，并按要求提供联合协议和中小企业声明函，联合协议中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bookmarkEnd w:id="8"/>
    <w:p w14:paraId="3DC3F15E">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2"/>
          <w:sz w:val="24"/>
          <w:szCs w:val="24"/>
          <w:highlight w:val="none"/>
        </w:rPr>
        <w:t>供应商应</w:t>
      </w:r>
      <w:r>
        <w:rPr>
          <w:rFonts w:hint="eastAsia" w:ascii="宋体" w:hAnsi="宋体" w:cs="宋体"/>
          <w:color w:val="auto"/>
          <w:kern w:val="2"/>
          <w:sz w:val="24"/>
          <w:szCs w:val="24"/>
          <w:highlight w:val="none"/>
          <w:lang w:val="en-US" w:eastAsia="zh-CN"/>
        </w:rPr>
        <w:t>以</w:t>
      </w:r>
      <w:r>
        <w:rPr>
          <w:rFonts w:hint="eastAsia" w:ascii="宋体" w:hAnsi="宋体" w:cs="宋体"/>
          <w:color w:val="auto"/>
          <w:sz w:val="24"/>
          <w:szCs w:val="24"/>
          <w:highlight w:val="none"/>
        </w:rPr>
        <w:t>合同分包形式参加，并按要求提供分包意向协议和中小企业声明函，分包意向协议中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所有标的均由中小企业制造、承建或承接，并相应达到了前述比例要求，无需再向中小企业分包，</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p w14:paraId="01B09F7E">
      <w:pPr>
        <w:numPr>
          <w:ilvl w:val="0"/>
          <w:numId w:val="1"/>
        </w:numPr>
        <w:snapToGrid w:val="0"/>
        <w:spacing w:line="360" w:lineRule="auto"/>
        <w:ind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w:t>
      </w:r>
    </w:p>
    <w:p w14:paraId="7B45D27B">
      <w:pPr>
        <w:spacing w:line="360" w:lineRule="auto"/>
        <w:rPr>
          <w:rFonts w:hint="eastAsia" w:ascii="宋体" w:hAnsi="宋体" w:eastAsia="宋体" w:cs="宋体"/>
          <w:color w:val="auto"/>
          <w:sz w:val="24"/>
          <w:szCs w:val="24"/>
          <w:highlight w:val="none"/>
          <w:lang w:val="en-US" w:eastAsia="zh-CN"/>
        </w:rPr>
      </w:pPr>
      <w:sdt>
        <w:sdtPr>
          <w:rPr>
            <w:rFonts w:hint="eastAsia" w:ascii="宋体" w:hAnsi="宋体" w:eastAsia="宋体" w:cs="宋体"/>
            <w:color w:val="auto"/>
            <w:sz w:val="24"/>
            <w:szCs w:val="24"/>
            <w:highlight w:val="none"/>
          </w:rPr>
          <w:id w:val="465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lang w:val="en-US" w:eastAsia="zh-CN"/>
        </w:rPr>
        <w:t>无。</w:t>
      </w:r>
    </w:p>
    <w:p w14:paraId="194E124F">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4657"/>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lang w:val="en-US" w:eastAsia="zh-CN"/>
            </w:rPr>
            <w:t>☐</w:t>
          </w:r>
        </w:sdtContent>
      </w:sdt>
      <w:r>
        <w:rPr>
          <w:rFonts w:hint="eastAsia" w:ascii="宋体" w:hAnsi="宋体" w:eastAsia="宋体" w:cs="宋体"/>
          <w:color w:val="auto"/>
          <w:sz w:val="24"/>
          <w:szCs w:val="24"/>
          <w:highlight w:val="none"/>
        </w:rPr>
        <w:t>有特定资格要求：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，该特定条件的法律法规据：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33F3DD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3A5140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206C66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16</w:t>
      </w:r>
      <w:r>
        <w:rPr>
          <w:rFonts w:hint="eastAsia" w:ascii="宋体" w:hAnsi="宋体" w:eastAsia="宋体" w:cs="宋体"/>
          <w:color w:val="auto"/>
          <w:sz w:val="24"/>
          <w:szCs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19D7F9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8E49C3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53B6A54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50E219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7A7BE6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1F18A2E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4DE5D1E4">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57314E9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6616629">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C19B9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2B7C0D86">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5015C9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66DC28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604E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F43FB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cs="宋体"/>
          <w:color w:val="auto"/>
          <w:sz w:val="24"/>
          <w:highlight w:val="none"/>
          <w:lang w:val="en-US" w:eastAsia="zh-CN"/>
        </w:rPr>
        <w:t>项目是否接收备份文件，以前附表说明为准。</w:t>
      </w:r>
      <w:r>
        <w:rPr>
          <w:rFonts w:hint="eastAsia" w:ascii="宋体" w:hAnsi="宋体" w:cs="宋体"/>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B5B6D9">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9831C6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11C5C11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杭州萧山技师学院</w:t>
      </w:r>
      <w:r>
        <w:rPr>
          <w:rFonts w:hint="eastAsia" w:ascii="宋体" w:hAnsi="宋体" w:cs="宋体"/>
          <w:color w:val="auto"/>
          <w:sz w:val="24"/>
          <w:highlight w:val="none"/>
        </w:rPr>
        <w:t xml:space="preserve"> </w:t>
      </w:r>
    </w:p>
    <w:p w14:paraId="388A2FA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址：杭州市萧山区通惠南路448号       </w:t>
      </w:r>
    </w:p>
    <w:p w14:paraId="13C357E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0295BA3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eastAsia="宋体" w:cs="宋体"/>
          <w:color w:val="auto"/>
          <w:sz w:val="24"/>
          <w:highlight w:val="none"/>
          <w:lang w:val="en-US" w:eastAsia="zh-CN"/>
        </w:rPr>
        <w:t xml:space="preserve">魏老师 </w:t>
      </w:r>
      <w:r>
        <w:rPr>
          <w:rFonts w:hint="eastAsia" w:ascii="宋体" w:hAnsi="宋体" w:cs="宋体"/>
          <w:color w:val="auto"/>
          <w:sz w:val="24"/>
          <w:highlight w:val="none"/>
        </w:rPr>
        <w:t xml:space="preserve">  </w:t>
      </w:r>
    </w:p>
    <w:p w14:paraId="4E7537D7">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 xml:space="preserve">    项目联系方式（询</w:t>
      </w:r>
      <w:r>
        <w:rPr>
          <w:rFonts w:hint="eastAsia" w:ascii="宋体" w:hAnsi="宋体" w:eastAsia="宋体" w:cs="宋体"/>
          <w:color w:val="auto"/>
          <w:sz w:val="24"/>
          <w:highlight w:val="none"/>
        </w:rPr>
        <w:t>问）：0571-82672697</w:t>
      </w:r>
    </w:p>
    <w:p w14:paraId="4C748AB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质疑联系人：张老师 </w:t>
      </w:r>
    </w:p>
    <w:p w14:paraId="5B590254">
      <w:pPr>
        <w:spacing w:line="360" w:lineRule="auto"/>
        <w:rPr>
          <w:rFonts w:ascii="宋体" w:hAnsi="宋体" w:cs="宋体"/>
          <w:color w:val="auto"/>
          <w:sz w:val="24"/>
          <w:highlight w:val="none"/>
        </w:rPr>
      </w:pPr>
      <w:r>
        <w:rPr>
          <w:rFonts w:hint="eastAsia" w:ascii="宋体" w:hAnsi="宋体" w:eastAsia="宋体" w:cs="宋体"/>
          <w:color w:val="auto"/>
          <w:sz w:val="24"/>
          <w:highlight w:val="none"/>
        </w:rPr>
        <w:t xml:space="preserve">    质疑联系方式：</w:t>
      </w:r>
      <w:r>
        <w:rPr>
          <w:rFonts w:hint="eastAsia" w:ascii="宋体" w:hAnsi="宋体" w:eastAsia="宋体" w:cs="宋体"/>
          <w:color w:val="auto"/>
          <w:sz w:val="24"/>
          <w:highlight w:val="none"/>
          <w:lang w:eastAsia="zh-CN"/>
        </w:rPr>
        <w:t>0571-82672697</w:t>
      </w:r>
      <w:r>
        <w:rPr>
          <w:rFonts w:hint="eastAsia" w:ascii="宋体" w:hAnsi="宋体" w:eastAsia="宋体" w:cs="宋体"/>
          <w:color w:val="auto"/>
          <w:sz w:val="24"/>
          <w:highlight w:val="none"/>
          <w:lang w:val="en-US" w:eastAsia="zh-CN"/>
        </w:rPr>
        <w:t>（请</w:t>
      </w:r>
      <w:r>
        <w:rPr>
          <w:rFonts w:hint="eastAsia" w:ascii="宋体" w:hAnsi="宋体" w:cs="宋体"/>
          <w:color w:val="auto"/>
          <w:sz w:val="24"/>
          <w:highlight w:val="none"/>
          <w:lang w:val="en-US" w:eastAsia="zh-CN"/>
        </w:rPr>
        <w:t>通过以下路径在线提起质疑：政采云-项目采购-询问质疑投诉-质疑列表）</w:t>
      </w:r>
    </w:p>
    <w:p w14:paraId="04A93BC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CF129F1">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Arial"/>
          <w:kern w:val="0"/>
          <w:sz w:val="24"/>
          <w:highlight w:val="none"/>
          <w:lang w:eastAsia="zh-CN"/>
        </w:rPr>
        <w:t>杭州广厦建筑咨询有限公司</w:t>
      </w:r>
    </w:p>
    <w:p w14:paraId="0EBB7EEC">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sz w:val="24"/>
          <w:szCs w:val="28"/>
          <w:highlight w:val="none"/>
        </w:rPr>
        <w:t>杭州市上城区范家路241号佰富时代中心2幢10楼</w:t>
      </w:r>
    </w:p>
    <w:p w14:paraId="58EE210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34DE9302">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项目联系人（询问）：</w:t>
      </w:r>
      <w:r>
        <w:rPr>
          <w:rFonts w:hint="eastAsia" w:ascii="宋体" w:hAnsi="宋体" w:cs="Arial"/>
          <w:kern w:val="0"/>
          <w:sz w:val="24"/>
          <w:highlight w:val="none"/>
        </w:rPr>
        <w:t>孔工</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/高工</w:t>
      </w:r>
    </w:p>
    <w:p w14:paraId="7E7EF66C">
      <w:pPr>
        <w:spacing w:line="360" w:lineRule="auto"/>
        <w:ind w:firstLine="480"/>
        <w:rPr>
          <w:rFonts w:hint="eastAsia" w:ascii="宋体" w:hAnsi="宋体" w:cs="Arial"/>
          <w:kern w:val="0"/>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Arial"/>
          <w:kern w:val="0"/>
          <w:sz w:val="24"/>
          <w:highlight w:val="none"/>
        </w:rPr>
        <w:t>18072622034</w:t>
      </w:r>
      <w:r>
        <w:rPr>
          <w:rFonts w:hint="eastAsia" w:ascii="宋体" w:hAnsi="宋体" w:cs="Arial"/>
          <w:kern w:val="0"/>
          <w:sz w:val="24"/>
          <w:highlight w:val="none"/>
          <w:lang w:val="en-US" w:eastAsia="zh-CN"/>
        </w:rPr>
        <w:t>/15968847224</w:t>
      </w:r>
    </w:p>
    <w:p w14:paraId="60D8680F">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Arial"/>
          <w:kern w:val="0"/>
          <w:sz w:val="24"/>
          <w:highlight w:val="none"/>
        </w:rPr>
        <w:t>袁工</w:t>
      </w:r>
      <w:r>
        <w:rPr>
          <w:rFonts w:hint="eastAsia" w:ascii="宋体" w:hAnsi="宋体" w:cs="宋体"/>
          <w:color w:val="auto"/>
          <w:sz w:val="24"/>
          <w:highlight w:val="none"/>
        </w:rPr>
        <w:t xml:space="preserve"> </w:t>
      </w:r>
    </w:p>
    <w:p w14:paraId="14817AA2">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Arial"/>
          <w:kern w:val="0"/>
          <w:sz w:val="24"/>
          <w:highlight w:val="none"/>
        </w:rPr>
        <w:t>0571-85093236</w:t>
      </w:r>
      <w:r>
        <w:rPr>
          <w:rFonts w:hint="eastAsia" w:ascii="宋体" w:hAnsi="宋体" w:cs="宋体"/>
          <w:color w:val="auto"/>
          <w:sz w:val="24"/>
          <w:highlight w:val="none"/>
          <w:lang w:val="en-US" w:eastAsia="zh-CN"/>
        </w:rPr>
        <w:t>（请通过以下路径在线提起质疑：政采云-项目采购-询问质疑投诉-质疑列表）</w:t>
      </w:r>
    </w:p>
    <w:p w14:paraId="058EA1C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3E18926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称：萧山区财政局</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浙江省政府采购行政裁决服务中心（杭州）</w:t>
      </w:r>
    </w:p>
    <w:p w14:paraId="3EEEC6EA">
      <w:pPr>
        <w:spacing w:line="360" w:lineRule="auto"/>
        <w:ind w:left="237" w:leftChars="113" w:firstLine="180" w:firstLineChars="75"/>
        <w:rPr>
          <w:rFonts w:hint="eastAsia" w:ascii="宋体" w:hAnsi="宋体" w:eastAsia="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lang w:eastAsia="zh-CN"/>
        </w:rPr>
        <w:t>杭州市上城区清泰街549号城建综合大楼11楼</w:t>
      </w:r>
      <w:r>
        <w:rPr>
          <w:rFonts w:hint="eastAsia" w:ascii="宋体" w:hAnsi="宋体" w:eastAsia="宋体" w:cs="宋体"/>
          <w:color w:val="auto"/>
          <w:sz w:val="24"/>
          <w:highlight w:val="none"/>
        </w:rPr>
        <w:t>（快递仅限ems或顺丰）</w:t>
      </w:r>
    </w:p>
    <w:p w14:paraId="29B87704">
      <w:pPr>
        <w:spacing w:line="360" w:lineRule="auto"/>
        <w:ind w:left="237" w:leftChars="113" w:firstLine="180" w:firstLineChars="75"/>
        <w:rPr>
          <w:rFonts w:hint="eastAsia" w:ascii="宋体" w:hAnsi="宋体" w:eastAsia="宋体" w:cs="宋体"/>
          <w:color w:val="auto"/>
          <w:sz w:val="24"/>
          <w:highlight w:val="none"/>
          <w:lang w:eastAsia="zh-CN"/>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p>
    <w:p w14:paraId="5CFABEA8">
      <w:pPr>
        <w:spacing w:line="360" w:lineRule="auto"/>
        <w:ind w:left="237" w:leftChars="113" w:firstLine="180" w:firstLineChars="75"/>
        <w:rPr>
          <w:rFonts w:hint="eastAsia" w:ascii="宋体" w:hAnsi="宋体" w:cs="宋体"/>
          <w:color w:val="auto"/>
          <w:sz w:val="24"/>
          <w:highlight w:val="none"/>
        </w:rPr>
      </w:pPr>
      <w:r>
        <w:rPr>
          <w:rFonts w:hint="eastAsia" w:ascii="宋体" w:hAnsi="宋体" w:cs="宋体"/>
          <w:color w:val="auto"/>
          <w:sz w:val="24"/>
          <w:highlight w:val="none"/>
        </w:rPr>
        <w:t>联系人 ：</w:t>
      </w:r>
      <w:r>
        <w:rPr>
          <w:rFonts w:hint="eastAsia" w:ascii="宋体" w:hAnsi="宋体" w:cs="宋体"/>
          <w:color w:val="auto"/>
          <w:sz w:val="24"/>
          <w:highlight w:val="none"/>
          <w:lang w:val="en-US" w:eastAsia="zh-CN"/>
        </w:rPr>
        <w:t>朱女士、王女士</w:t>
      </w:r>
    </w:p>
    <w:p w14:paraId="51154054">
      <w:pPr>
        <w:spacing w:line="360" w:lineRule="auto"/>
        <w:ind w:left="237" w:leftChars="113" w:firstLine="180" w:firstLineChars="75"/>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监督投诉电话：0571-8</w:t>
      </w:r>
      <w:r>
        <w:rPr>
          <w:rFonts w:hint="eastAsia" w:ascii="宋体" w:hAnsi="宋体" w:cs="宋体"/>
          <w:color w:val="auto"/>
          <w:sz w:val="24"/>
          <w:highlight w:val="none"/>
          <w:lang w:val="en-US" w:eastAsia="zh-CN"/>
        </w:rPr>
        <w:t>7227671,0571-87800218</w:t>
      </w:r>
      <w:r>
        <w:rPr>
          <w:rFonts w:hint="eastAsia" w:ascii="宋体" w:hAnsi="宋体" w:cs="宋体"/>
          <w:color w:val="auto"/>
          <w:sz w:val="24"/>
          <w:highlight w:val="none"/>
        </w:rPr>
        <w:t xml:space="preserve"> </w:t>
      </w:r>
    </w:p>
    <w:p w14:paraId="27A0C412">
      <w:pPr>
        <w:spacing w:line="360" w:lineRule="auto"/>
        <w:ind w:firstLine="420" w:firstLineChars="0"/>
        <w:rPr>
          <w:rFonts w:ascii="宋体" w:hAnsi="宋体" w:cs="宋体"/>
          <w:color w:val="auto"/>
          <w:sz w:val="24"/>
          <w:highlight w:val="none"/>
        </w:rPr>
      </w:pPr>
      <w:r>
        <w:rPr>
          <w:rFonts w:hint="eastAsia" w:ascii="宋体" w:hAnsi="宋体" w:cs="宋体"/>
          <w:color w:val="auto"/>
          <w:sz w:val="24"/>
          <w:highlight w:val="none"/>
          <w:lang w:eastAsia="zh-CN"/>
        </w:rPr>
        <w:t>政策咨询电话：</w:t>
      </w:r>
      <w:r>
        <w:rPr>
          <w:rFonts w:hint="eastAsia" w:ascii="宋体" w:hAnsi="宋体" w:cs="宋体"/>
          <w:color w:val="auto"/>
          <w:sz w:val="24"/>
          <w:highlight w:val="none"/>
        </w:rPr>
        <w:t>0571-82756122</w:t>
      </w:r>
      <w:r>
        <w:rPr>
          <w:rFonts w:hint="eastAsia" w:ascii="宋体" w:hAnsi="宋体" w:eastAsia="宋体" w:cs="宋体"/>
          <w:color w:val="auto"/>
          <w:sz w:val="24"/>
          <w:highlight w:val="none"/>
          <w:lang w:eastAsia="zh-CN"/>
        </w:rPr>
        <w:t>（汤先生）</w:t>
      </w:r>
    </w:p>
    <w:p w14:paraId="372F6CD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B89D78D">
      <w:pPr>
        <w:pStyle w:val="3"/>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7F4A2527">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0191212B">
      <w:pPr>
        <w:jc w:val="center"/>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4"/>
      <w:r>
        <w:rPr>
          <w:rFonts w:hint="eastAsia" w:ascii="宋体" w:hAnsi="宋体" w:cs="宋体"/>
          <w:b/>
          <w:color w:val="auto"/>
          <w:sz w:val="36"/>
          <w:szCs w:val="20"/>
          <w:highlight w:val="none"/>
        </w:rPr>
        <w:t xml:space="preserve"> 投标人须知</w:t>
      </w:r>
      <w:bookmarkEnd w:id="5"/>
    </w:p>
    <w:p w14:paraId="07B58EC1">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CA93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D6BB3B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6F2FE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F89732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87B4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87F92A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941A90C">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5BBBB92">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货物类</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单一产品或</w:t>
            </w:r>
            <w:r>
              <w:rPr>
                <w:rFonts w:hint="eastAsia" w:ascii="宋体" w:hAnsi="宋体" w:cs="宋体"/>
                <w:color w:val="auto"/>
                <w:kern w:val="0"/>
                <w:sz w:val="24"/>
                <w:szCs w:val="24"/>
                <w:highlight w:val="none"/>
              </w:rPr>
              <w:t>核心产品为：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Hans"/>
              </w:rPr>
              <w:t>工业</w:t>
            </w:r>
            <w:r>
              <w:rPr>
                <w:rFonts w:hint="eastAsia" w:ascii="宋体" w:hAnsi="宋体" w:cs="宋体"/>
                <w:color w:val="auto"/>
                <w:sz w:val="24"/>
                <w:szCs w:val="24"/>
                <w:highlight w:val="none"/>
                <w:u w:val="single"/>
              </w:rPr>
              <w:t xml:space="preserve">4.0竞赛平台 </w:t>
            </w:r>
            <w:r>
              <w:rPr>
                <w:rFonts w:hint="eastAsia" w:ascii="宋体" w:hAnsi="宋体" w:cs="宋体"/>
                <w:color w:val="auto"/>
                <w:sz w:val="24"/>
                <w:szCs w:val="24"/>
                <w:highlight w:val="none"/>
              </w:rPr>
              <w:t>。</w:t>
            </w:r>
          </w:p>
        </w:tc>
      </w:tr>
      <w:tr w14:paraId="4D38B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E10A5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69B6A11">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59CC341">
            <w:pPr>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（1）标的：</w:t>
            </w:r>
            <w:r>
              <w:rPr>
                <w:rFonts w:hint="eastAsia" w:ascii="宋体" w:hAnsi="宋体" w:eastAsia="宋体" w:cs="宋体"/>
                <w:color w:val="auto"/>
                <w:sz w:val="24"/>
                <w:szCs w:val="24"/>
                <w:highlight w:val="none"/>
                <w:u w:val="single"/>
              </w:rPr>
              <w:t>杭州萧山技师学院工业4.0训练设备采购</w:t>
            </w:r>
          </w:p>
          <w:p w14:paraId="1CBD0E1D">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项目 ，</w:t>
            </w:r>
            <w:r>
              <w:rPr>
                <w:rFonts w:hint="eastAsia" w:ascii="宋体" w:hAnsi="宋体" w:eastAsia="宋体" w:cs="宋体"/>
                <w:color w:val="auto"/>
                <w:sz w:val="24"/>
                <w:szCs w:val="24"/>
                <w:highlight w:val="none"/>
              </w:rPr>
              <w:t>属于</w:t>
            </w:r>
            <w:r>
              <w:rPr>
                <w:rFonts w:hint="eastAsia" w:ascii="宋体" w:hAnsi="宋体" w:eastAsia="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u w:val="single"/>
                <w:lang w:val="en-US" w:eastAsia="zh-CN"/>
              </w:rPr>
              <w:t>工业</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color w:val="auto"/>
                <w:sz w:val="24"/>
                <w:szCs w:val="24"/>
                <w:highlight w:val="none"/>
              </w:rPr>
              <w:t>行业；</w:t>
            </w:r>
          </w:p>
          <w:p w14:paraId="5CFB59D7">
            <w:pPr>
              <w:rPr>
                <w:color w:val="auto"/>
                <w:sz w:val="24"/>
                <w:szCs w:val="24"/>
                <w:highlight w:val="none"/>
                <w:lang w:val="en-US"/>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8。</w:t>
            </w:r>
          </w:p>
        </w:tc>
      </w:tr>
      <w:tr w14:paraId="48AF95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68F723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55B0FEA">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36E9ADA">
            <w:pPr>
              <w:bidi w:val="0"/>
              <w:rPr>
                <w:rFonts w:hint="eastAsia"/>
                <w:color w:val="auto"/>
                <w:sz w:val="24"/>
                <w:szCs w:val="24"/>
                <w:highlight w:val="none"/>
              </w:rPr>
            </w:pPr>
            <w:sdt>
              <w:sdtPr>
                <w:rPr>
                  <w:rFonts w:hint="eastAsia"/>
                  <w:color w:val="auto"/>
                  <w:sz w:val="24"/>
                  <w:szCs w:val="24"/>
                  <w:highlight w:val="none"/>
                </w:rPr>
                <w:id w:val="4658"/>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sym w:font="Wingdings" w:char="F0FE"/>
                </w:r>
              </w:sdtContent>
            </w:sdt>
            <w:r>
              <w:rPr>
                <w:rFonts w:hint="eastAsia"/>
                <w:color w:val="auto"/>
                <w:sz w:val="24"/>
                <w:szCs w:val="24"/>
                <w:highlight w:val="none"/>
              </w:rPr>
              <w:t>本项目不允许采购进口产品。</w:t>
            </w:r>
          </w:p>
          <w:p w14:paraId="240C1FA8">
            <w:pPr>
              <w:bidi w:val="0"/>
              <w:rPr>
                <w:color w:val="auto"/>
                <w:sz w:val="24"/>
                <w:szCs w:val="24"/>
                <w:highlight w:val="none"/>
              </w:rPr>
            </w:pPr>
            <w:sdt>
              <w:sdtPr>
                <w:rPr>
                  <w:rFonts w:hint="eastAsia"/>
                  <w:color w:val="auto"/>
                  <w:sz w:val="24"/>
                  <w:szCs w:val="24"/>
                  <w:highlight w:val="none"/>
                </w:rPr>
                <w:id w:val="4659"/>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可以就</w:t>
            </w:r>
            <w:r>
              <w:rPr>
                <w:rFonts w:hint="eastAsia"/>
                <w:color w:val="auto"/>
                <w:sz w:val="24"/>
                <w:szCs w:val="24"/>
                <w:highlight w:val="none"/>
                <w:u w:val="single"/>
              </w:rPr>
              <w:t xml:space="preserve">    </w:t>
            </w:r>
            <w:r>
              <w:rPr>
                <w:rFonts w:hint="eastAsia"/>
                <w:color w:val="auto"/>
                <w:sz w:val="24"/>
                <w:szCs w:val="24"/>
                <w:highlight w:val="none"/>
              </w:rPr>
              <w:t>采购进口产品。</w:t>
            </w:r>
            <w:r>
              <w:rPr>
                <w:rFonts w:hint="eastAsia" w:ascii="宋体" w:hAnsi="宋体" w:cs="宋体"/>
                <w:color w:val="auto"/>
                <w:kern w:val="0"/>
                <w:sz w:val="24"/>
                <w:szCs w:val="24"/>
                <w:highlight w:val="none"/>
              </w:rPr>
              <w:t>优先采购向我国企业转让技术、与我国企业签订消化吸收再创新方案的供应商的进口产品，详见</w:t>
            </w:r>
            <w:r>
              <w:rPr>
                <w:rFonts w:hint="eastAsia" w:ascii="宋体" w:hAnsi="宋体" w:cs="宋体"/>
                <w:color w:val="auto"/>
                <w:kern w:val="0"/>
                <w:sz w:val="24"/>
                <w:szCs w:val="24"/>
                <w:highlight w:val="none"/>
                <w:u w:val="single"/>
              </w:rPr>
              <w:t>评分标准</w:t>
            </w:r>
            <w:r>
              <w:rPr>
                <w:rFonts w:hint="eastAsia" w:ascii="宋体" w:hAnsi="宋体" w:cs="宋体"/>
                <w:color w:val="auto"/>
                <w:kern w:val="0"/>
                <w:sz w:val="24"/>
                <w:szCs w:val="24"/>
                <w:highlight w:val="none"/>
              </w:rPr>
              <w:t>。</w:t>
            </w:r>
          </w:p>
        </w:tc>
      </w:tr>
      <w:tr w14:paraId="33702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2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662E76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CC57230">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A7052D4">
            <w:pPr>
              <w:spacing w:line="360" w:lineRule="auto"/>
              <w:rPr>
                <w:rFonts w:hint="eastAsia" w:ascii="宋体" w:hAnsi="宋体" w:eastAsia="宋体" w:cs="宋体"/>
                <w:color w:val="auto"/>
                <w:sz w:val="24"/>
                <w:szCs w:val="24"/>
                <w:highlight w:val="none"/>
                <w:lang w:eastAsia="zh-CN"/>
              </w:rPr>
            </w:pPr>
            <w:sdt>
              <w:sdtPr>
                <w:rPr>
                  <w:rFonts w:hint="eastAsia" w:ascii="宋体" w:hAnsi="宋体" w:cs="宋体"/>
                  <w:color w:val="auto"/>
                  <w:kern w:val="0"/>
                  <w:sz w:val="24"/>
                  <w:szCs w:val="24"/>
                  <w:highlight w:val="none"/>
                </w:rPr>
                <w:id w:val="466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ascii="Wingdings" w:hAnsi="Wingdings" w:cs="宋体"/>
                    <w:color w:val="auto"/>
                    <w:kern w:val="0"/>
                    <w:sz w:val="24"/>
                    <w:szCs w:val="24"/>
                    <w:highlight w:val="none"/>
                  </w:rPr>
                  <w:t></w:t>
                </w:r>
              </w:sdtContent>
            </w:sdt>
            <w:r>
              <w:rPr>
                <w:rFonts w:hint="eastAsia" w:ascii="宋体" w:hAnsi="宋体" w:cs="宋体"/>
                <w:color w:val="auto"/>
                <w:kern w:val="0"/>
                <w:sz w:val="24"/>
                <w:szCs w:val="24"/>
                <w:highlight w:val="none"/>
              </w:rPr>
              <w:t xml:space="preserve"> A</w:t>
            </w:r>
            <w:r>
              <w:rPr>
                <w:rFonts w:hint="eastAsia" w:ascii="宋体" w:hAnsi="宋体" w:cs="宋体"/>
                <w:color w:val="auto"/>
                <w:sz w:val="24"/>
                <w:szCs w:val="24"/>
                <w:highlight w:val="none"/>
              </w:rPr>
              <w:t>同意将非主体、非关键性的工作分包</w:t>
            </w:r>
            <w:r>
              <w:rPr>
                <w:rFonts w:hint="eastAsia" w:ascii="宋体" w:hAnsi="宋体" w:cs="宋体"/>
                <w:color w:val="auto"/>
                <w:sz w:val="24"/>
                <w:szCs w:val="24"/>
                <w:highlight w:val="none"/>
                <w:lang w:eastAsia="zh-CN"/>
              </w:rPr>
              <w:t>。</w:t>
            </w:r>
          </w:p>
          <w:p w14:paraId="6DE2EB0D">
            <w:pPr>
              <w:spacing w:line="360" w:lineRule="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61"/>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MS Gothic" w:hAnsi="MS Gothic" w:cs="宋体"/>
                    <w:color w:val="auto"/>
                    <w:kern w:val="0"/>
                    <w:sz w:val="24"/>
                    <w:szCs w:val="24"/>
                    <w:highlight w:val="none"/>
                  </w:rPr>
                  <w:t>☐</w:t>
                </w:r>
              </w:sdtContent>
            </w:sdt>
            <w:r>
              <w:rPr>
                <w:rFonts w:hint="eastAsia" w:ascii="宋体" w:hAnsi="宋体" w:cs="宋体"/>
                <w:color w:val="auto"/>
                <w:kern w:val="0"/>
                <w:sz w:val="24"/>
                <w:szCs w:val="24"/>
                <w:highlight w:val="none"/>
              </w:rPr>
              <w:t xml:space="preserve"> B</w:t>
            </w:r>
            <w:r>
              <w:rPr>
                <w:rFonts w:hint="eastAsia" w:ascii="宋体" w:hAnsi="宋体" w:cs="宋体"/>
                <w:color w:val="auto"/>
                <w:sz w:val="24"/>
                <w:szCs w:val="24"/>
                <w:highlight w:val="none"/>
              </w:rPr>
              <w:t>不同意分包。</w:t>
            </w:r>
          </w:p>
          <w:p w14:paraId="724273D2">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注：不得限制大中型企业向小微企业合理分包。</w:t>
            </w:r>
          </w:p>
        </w:tc>
      </w:tr>
      <w:tr w14:paraId="52085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46C71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32EC78A">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869C4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6991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6AAF31F">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14747445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0BB7ADE8">
            <w:pPr>
              <w:spacing w:line="360" w:lineRule="auto"/>
              <w:rPr>
                <w:rFonts w:ascii="宋体" w:hAnsi="宋体" w:cs="宋体"/>
                <w:color w:val="auto"/>
                <w:sz w:val="24"/>
                <w:szCs w:val="24"/>
                <w:highlight w:val="none"/>
              </w:rPr>
            </w:pPr>
            <w:sdt>
              <w:sdtPr>
                <w:rPr>
                  <w:rFonts w:hint="eastAsia" w:ascii="宋体" w:hAnsi="宋体" w:cs="宋体"/>
                  <w:color w:val="auto"/>
                  <w:kern w:val="0"/>
                  <w:sz w:val="24"/>
                  <w:highlight w:val="none"/>
                </w:rPr>
                <w:id w:val="1474604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eastAsia="宋体" w:cs="宋体"/>
                <w:color w:val="auto"/>
                <w:kern w:val="2"/>
                <w:sz w:val="24"/>
                <w:szCs w:val="24"/>
                <w:highlight w:val="none"/>
                <w:lang w:val="en-US" w:eastAsia="zh-CN" w:bidi="ar-SA"/>
              </w:rPr>
              <w:t>C不统一组织，供应商在获取采购文件后，自行至项目现场考察。</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eastAsia="宋体" w:cs="宋体"/>
                <w:color w:val="auto"/>
                <w:kern w:val="2"/>
                <w:sz w:val="24"/>
                <w:szCs w:val="24"/>
                <w:highlight w:val="none"/>
                <w:lang w:val="en-US" w:eastAsia="zh-CN" w:bidi="ar-SA"/>
              </w:rPr>
              <w:t>。</w:t>
            </w:r>
          </w:p>
        </w:tc>
      </w:tr>
      <w:tr w14:paraId="2630FA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88F0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64DD4F7">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FDB9C58">
            <w:pPr>
              <w:spacing w:line="360" w:lineRule="auto"/>
              <w:rPr>
                <w:color w:val="auto"/>
                <w:sz w:val="24"/>
                <w:szCs w:val="24"/>
                <w:highlight w:val="none"/>
              </w:rPr>
            </w:pPr>
            <w:sdt>
              <w:sdtPr>
                <w:rPr>
                  <w:rFonts w:hint="eastAsia"/>
                  <w:color w:val="auto"/>
                  <w:sz w:val="24"/>
                  <w:szCs w:val="24"/>
                  <w:highlight w:val="none"/>
                </w:rPr>
                <w:id w:val="4664"/>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ascii="Wingdings" w:hAnsi="Wingdings" w:eastAsia="宋体" w:cs="Times New Roman"/>
                    <w:color w:val="auto"/>
                    <w:kern w:val="2"/>
                    <w:sz w:val="24"/>
                    <w:szCs w:val="24"/>
                    <w:highlight w:val="none"/>
                    <w:lang w:val="en-US" w:eastAsia="zh-CN" w:bidi="ar-SA"/>
                  </w:rPr>
                  <w:t>þ</w:t>
                </w:r>
              </w:sdtContent>
            </w:sdt>
            <w:r>
              <w:rPr>
                <w:rFonts w:hint="eastAsia"/>
                <w:color w:val="auto"/>
                <w:sz w:val="24"/>
                <w:szCs w:val="24"/>
                <w:highlight w:val="none"/>
              </w:rPr>
              <w:t>A不要求提供。</w:t>
            </w:r>
          </w:p>
          <w:p w14:paraId="73019EC4">
            <w:pPr>
              <w:spacing w:line="360" w:lineRule="auto"/>
              <w:rPr>
                <w:color w:val="auto"/>
                <w:sz w:val="24"/>
                <w:szCs w:val="24"/>
                <w:highlight w:val="none"/>
              </w:rPr>
            </w:pPr>
            <w:sdt>
              <w:sdtPr>
                <w:rPr>
                  <w:rFonts w:hint="eastAsia"/>
                  <w:color w:val="auto"/>
                  <w:sz w:val="24"/>
                  <w:szCs w:val="24"/>
                  <w:highlight w:val="none"/>
                </w:rPr>
                <w:id w:val="1026831988"/>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B要求提供</w:t>
            </w:r>
            <w:r>
              <w:rPr>
                <w:rFonts w:hint="eastAsia" w:ascii="宋体" w:hAnsi="宋体" w:eastAsia="宋体" w:cs="宋体"/>
                <w:color w:val="auto"/>
                <w:kern w:val="0"/>
                <w:sz w:val="24"/>
                <w:szCs w:val="24"/>
                <w:highlight w:val="none"/>
              </w:rPr>
              <w:t>（未提供样品或提供样品不满足采购需求实质性条件的供应商，投标无效）</w:t>
            </w:r>
          </w:p>
          <w:p w14:paraId="1338FCFC">
            <w:pPr>
              <w:spacing w:line="360" w:lineRule="auto"/>
              <w:rPr>
                <w:color w:val="auto"/>
                <w:sz w:val="24"/>
                <w:szCs w:val="24"/>
                <w:highlight w:val="none"/>
              </w:rPr>
            </w:pPr>
            <w:r>
              <w:rPr>
                <w:rFonts w:hint="eastAsia"/>
                <w:color w:val="auto"/>
                <w:sz w:val="24"/>
                <w:szCs w:val="24"/>
                <w:highlight w:val="none"/>
              </w:rPr>
              <w:t>（1）样品：</w:t>
            </w:r>
            <w:r>
              <w:rPr>
                <w:rFonts w:hint="eastAsia"/>
                <w:color w:val="auto"/>
                <w:sz w:val="24"/>
                <w:szCs w:val="24"/>
                <w:highlight w:val="none"/>
                <w:u w:val="single"/>
              </w:rPr>
              <w:t xml:space="preserve">    </w:t>
            </w:r>
            <w:r>
              <w:rPr>
                <w:rFonts w:hint="eastAsia"/>
                <w:color w:val="auto"/>
                <w:sz w:val="24"/>
                <w:szCs w:val="24"/>
                <w:highlight w:val="none"/>
              </w:rPr>
              <w:t>；</w:t>
            </w:r>
          </w:p>
          <w:p w14:paraId="44DECBD4">
            <w:pPr>
              <w:spacing w:line="360" w:lineRule="auto"/>
              <w:rPr>
                <w:color w:val="auto"/>
                <w:sz w:val="24"/>
                <w:szCs w:val="24"/>
                <w:highlight w:val="none"/>
              </w:rPr>
            </w:pPr>
            <w:r>
              <w:rPr>
                <w:rFonts w:hint="eastAsia"/>
                <w:color w:val="auto"/>
                <w:sz w:val="24"/>
                <w:szCs w:val="24"/>
                <w:highlight w:val="none"/>
              </w:rPr>
              <w:t>（2）样品制作的标准和要求：</w:t>
            </w:r>
            <w:r>
              <w:rPr>
                <w:rFonts w:hint="eastAsia"/>
                <w:color w:val="auto"/>
                <w:sz w:val="24"/>
                <w:szCs w:val="24"/>
                <w:highlight w:val="none"/>
                <w:u w:val="single"/>
              </w:rPr>
              <w:t xml:space="preserve">    </w:t>
            </w:r>
            <w:r>
              <w:rPr>
                <w:rFonts w:hint="eastAsia"/>
                <w:color w:val="auto"/>
                <w:sz w:val="24"/>
                <w:szCs w:val="24"/>
                <w:highlight w:val="none"/>
              </w:rPr>
              <w:t>；</w:t>
            </w:r>
          </w:p>
          <w:p w14:paraId="2A1DE89A">
            <w:pPr>
              <w:spacing w:line="360" w:lineRule="auto"/>
              <w:rPr>
                <w:rFonts w:hint="eastAsia"/>
                <w:color w:val="auto"/>
                <w:sz w:val="24"/>
                <w:szCs w:val="24"/>
                <w:highlight w:val="none"/>
              </w:rPr>
            </w:pPr>
            <w:r>
              <w:rPr>
                <w:rFonts w:hint="eastAsia"/>
                <w:color w:val="auto"/>
                <w:sz w:val="24"/>
                <w:szCs w:val="24"/>
                <w:highlight w:val="none"/>
              </w:rPr>
              <w:t>（3）样品的评审方法以及评审标准：</w:t>
            </w:r>
            <w:r>
              <w:rPr>
                <w:rFonts w:hint="eastAsia"/>
                <w:color w:val="auto"/>
                <w:sz w:val="24"/>
                <w:szCs w:val="24"/>
                <w:highlight w:val="none"/>
              </w:rPr>
              <w:br w:type="textWrapping"/>
            </w:r>
            <w:sdt>
              <w:sdtPr>
                <w:rPr>
                  <w:rFonts w:hint="eastAsia" w:ascii="宋体" w:hAnsi="宋体" w:cs="宋体"/>
                  <w:color w:val="auto"/>
                  <w:kern w:val="0"/>
                  <w:sz w:val="24"/>
                  <w:szCs w:val="24"/>
                  <w:highlight w:val="none"/>
                </w:rPr>
                <w:id w:val="4666"/>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样品分未超过价格分的50%；</w:t>
            </w:r>
          </w:p>
          <w:p w14:paraId="19CE9E00">
            <w:pPr>
              <w:spacing w:line="360" w:lineRule="auto"/>
              <w:rPr>
                <w:rFonts w:hint="eastAsia"/>
                <w:color w:val="auto"/>
                <w:sz w:val="24"/>
                <w:szCs w:val="24"/>
                <w:highlight w:val="none"/>
              </w:rPr>
            </w:pPr>
            <w:sdt>
              <w:sdtPr>
                <w:rPr>
                  <w:rFonts w:hint="eastAsia"/>
                  <w:color w:val="auto"/>
                  <w:sz w:val="24"/>
                  <w:szCs w:val="24"/>
                  <w:highlight w:val="none"/>
                </w:rPr>
                <w:id w:val="4667"/>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样品分超过价格分的50%，理由</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color w:val="auto"/>
                <w:sz w:val="24"/>
                <w:szCs w:val="24"/>
                <w:highlight w:val="none"/>
              </w:rPr>
              <w:t>；</w:t>
            </w:r>
          </w:p>
          <w:p w14:paraId="008B8334">
            <w:pPr>
              <w:spacing w:line="360" w:lineRule="auto"/>
              <w:rPr>
                <w:rFonts w:hint="eastAsia"/>
                <w:color w:val="auto"/>
                <w:sz w:val="24"/>
                <w:szCs w:val="24"/>
                <w:highlight w:val="none"/>
              </w:rPr>
            </w:pPr>
            <w:r>
              <w:rPr>
                <w:rFonts w:hint="eastAsia"/>
                <w:color w:val="auto"/>
                <w:sz w:val="24"/>
                <w:szCs w:val="24"/>
                <w:highlight w:val="none"/>
              </w:rPr>
              <w:t xml:space="preserve">详见招标文件第四部分评标办法。 </w:t>
            </w:r>
          </w:p>
          <w:p w14:paraId="2B4823EC">
            <w:pPr>
              <w:spacing w:line="360" w:lineRule="auto"/>
              <w:rPr>
                <w:color w:val="auto"/>
                <w:sz w:val="24"/>
                <w:szCs w:val="24"/>
                <w:highlight w:val="none"/>
              </w:rPr>
            </w:pPr>
            <w:r>
              <w:rPr>
                <w:rFonts w:hint="eastAsia"/>
                <w:color w:val="auto"/>
                <w:sz w:val="24"/>
                <w:szCs w:val="24"/>
                <w:highlight w:val="none"/>
              </w:rPr>
              <w:t>（4）是否需要随样品提交检测报告：</w:t>
            </w:r>
            <w:sdt>
              <w:sdtPr>
                <w:rPr>
                  <w:rFonts w:hint="eastAsia"/>
                  <w:color w:val="auto"/>
                  <w:sz w:val="24"/>
                  <w:szCs w:val="24"/>
                  <w:highlight w:val="none"/>
                </w:rPr>
                <w:id w:val="1303421454"/>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ascii="Wingdings" w:hAnsi="Wingdings" w:eastAsia="宋体" w:cs="Times New Roman"/>
                    <w:color w:val="auto"/>
                    <w:kern w:val="2"/>
                    <w:sz w:val="24"/>
                    <w:szCs w:val="24"/>
                    <w:highlight w:val="none"/>
                    <w:lang w:val="en-US" w:eastAsia="zh-CN" w:bidi="ar-SA"/>
                  </w:rPr>
                  <w:t>þ</w:t>
                </w:r>
              </w:sdtContent>
            </w:sdt>
            <w:r>
              <w:rPr>
                <w:rFonts w:hint="eastAsia"/>
                <w:color w:val="auto"/>
                <w:sz w:val="24"/>
                <w:szCs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2041C7B">
            <w:pPr>
              <w:spacing w:line="360" w:lineRule="auto"/>
              <w:rPr>
                <w:rFonts w:hint="eastAsia" w:ascii="宋体" w:hAnsi="宋体" w:eastAsia="宋体" w:cs="宋体"/>
                <w:color w:val="auto"/>
                <w:sz w:val="24"/>
                <w:szCs w:val="24"/>
                <w:highlight w:val="none"/>
              </w:rPr>
            </w:pPr>
            <w:r>
              <w:rPr>
                <w:rFonts w:hint="eastAsia"/>
                <w:color w:val="auto"/>
                <w:sz w:val="24"/>
                <w:szCs w:val="24"/>
                <w:highlight w:val="none"/>
              </w:rPr>
              <w:t>（5）提供样品的时间：</w:t>
            </w:r>
            <w:r>
              <w:rPr>
                <w:rFonts w:hint="eastAsia" w:ascii="宋体" w:hAnsi="宋体" w:cs="宋体"/>
                <w:color w:val="auto"/>
                <w:sz w:val="24"/>
                <w:szCs w:val="24"/>
                <w:highlight w:val="none"/>
                <w:u w:val="single"/>
                <w:lang w:val="en-US" w:eastAsia="zh-CN"/>
              </w:rPr>
              <w:t>开标当天8:30-9:00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；地点：</w:t>
            </w:r>
            <w:r>
              <w:rPr>
                <w:rFonts w:hint="eastAsia" w:ascii="宋体" w:hAnsi="宋体" w:cs="宋体"/>
                <w:color w:val="auto"/>
                <w:kern w:val="0"/>
                <w:sz w:val="24"/>
                <w:szCs w:val="24"/>
                <w:highlight w:val="none"/>
                <w:lang w:val="en-US" w:eastAsia="zh-CN"/>
              </w:rPr>
              <w:t>萧山区政务服务中心4楼样品间（3#电梯进入4楼），由工作人员引导放至样品间（</w:t>
            </w:r>
            <w:r>
              <w:rPr>
                <w:rFonts w:hint="eastAsia" w:ascii="宋体" w:hAnsi="宋体" w:cs="宋体"/>
                <w:color w:val="auto"/>
                <w:kern w:val="0"/>
                <w:sz w:val="24"/>
                <w:szCs w:val="24"/>
                <w:highlight w:val="none"/>
                <w:u w:val="single"/>
                <w:lang w:val="en-US" w:eastAsia="zh-CN"/>
              </w:rPr>
              <w:t xml:space="preserve">接收样品联系人：   ，联系电话：    </w:t>
            </w:r>
            <w:r>
              <w:rPr>
                <w:rFonts w:hint="eastAsia" w:ascii="宋体" w:hAnsi="宋体" w:cs="宋体"/>
                <w:color w:val="auto"/>
                <w:kern w:val="0"/>
                <w:sz w:val="24"/>
                <w:szCs w:val="24"/>
                <w:highlight w:val="none"/>
                <w:lang w:val="en-US" w:eastAsia="zh-CN"/>
              </w:rPr>
              <w:t>）。样品递交人须提供投标人的授权书（见附件格式，法人代表请携带身份证复印件及营业执照复印件）、身份证。</w:t>
            </w:r>
            <w:r>
              <w:rPr>
                <w:rFonts w:hint="eastAsia" w:ascii="宋体" w:hAnsi="宋体" w:eastAsia="宋体" w:cs="宋体"/>
                <w:color w:val="auto"/>
                <w:sz w:val="24"/>
                <w:szCs w:val="24"/>
                <w:highlight w:val="none"/>
              </w:rPr>
              <w:t>请投标人在上述时间内提供样品并按规定位置安装完毕。超过截止时间的，采购人或采购代理机构将不予接收，并将清场并封闭样品现场。</w:t>
            </w:r>
          </w:p>
          <w:p w14:paraId="3FF6F48A">
            <w:pPr>
              <w:spacing w:line="360" w:lineRule="auto"/>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rPr>
              <w:t>采购活动结束后，对于未中标人提供的样品，采购人、</w:t>
            </w:r>
            <w:r>
              <w:rPr>
                <w:rFonts w:hint="eastAsia"/>
                <w:color w:val="auto"/>
                <w:sz w:val="24"/>
                <w:szCs w:val="24"/>
                <w:highlight w:val="none"/>
                <w:lang w:eastAsia="zh-CN"/>
              </w:rPr>
              <w:t>采购代理机构</w:t>
            </w:r>
            <w:r>
              <w:rPr>
                <w:rFonts w:hint="eastAsia"/>
                <w:color w:val="auto"/>
                <w:sz w:val="24"/>
                <w:szCs w:val="24"/>
                <w:highlight w:val="none"/>
              </w:rPr>
              <w:t>将通知未中标人在规定的时间内取回，逾期未取回的，采购人、</w:t>
            </w:r>
            <w:r>
              <w:rPr>
                <w:rFonts w:hint="eastAsia"/>
                <w:color w:val="auto"/>
                <w:sz w:val="24"/>
                <w:szCs w:val="24"/>
                <w:highlight w:val="none"/>
                <w:lang w:eastAsia="zh-CN"/>
              </w:rPr>
              <w:t>采购代理机构</w:t>
            </w:r>
            <w:r>
              <w:rPr>
                <w:rFonts w:hint="eastAsia"/>
                <w:color w:val="auto"/>
                <w:sz w:val="24"/>
                <w:szCs w:val="24"/>
                <w:highlight w:val="none"/>
              </w:rPr>
              <w:t>不负保管义务；对于中标人提供的样品，采购人将进行保管、封存，并作为履约验收的参考。</w:t>
            </w:r>
          </w:p>
          <w:p w14:paraId="6B1CD826">
            <w:pPr>
              <w:rPr>
                <w:color w:val="auto"/>
                <w:sz w:val="24"/>
                <w:szCs w:val="24"/>
                <w:highlight w:val="none"/>
              </w:rPr>
            </w:pPr>
            <w:r>
              <w:rPr>
                <w:rFonts w:hint="eastAsia"/>
                <w:color w:val="auto"/>
                <w:sz w:val="24"/>
                <w:szCs w:val="24"/>
                <w:highlight w:val="none"/>
              </w:rPr>
              <w:t>（7）制作、运输、安装和保管样品所发生的一切费用由投标人自理。</w:t>
            </w:r>
          </w:p>
        </w:tc>
      </w:tr>
      <w:tr w14:paraId="2B6A0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2FEB58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1C30D65">
            <w:pPr>
              <w:snapToGrid w:val="0"/>
              <w:spacing w:line="360" w:lineRule="auto"/>
              <w:jc w:val="center"/>
              <w:rPr>
                <w:rFonts w:ascii="宋体" w:hAnsi="宋体" w:cs="宋体"/>
                <w:bCs/>
                <w:color w:val="auto"/>
                <w:sz w:val="24"/>
                <w:szCs w:val="24"/>
                <w:highlight w:val="none"/>
              </w:rPr>
            </w:pPr>
            <w:r>
              <w:rPr>
                <w:rFonts w:hint="eastAsia" w:ascii="宋体" w:hAnsi="宋体" w:cs="宋体"/>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3377199">
            <w:pPr>
              <w:spacing w:line="360" w:lineRule="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70"/>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MS Gothic" w:hAnsi="MS Gothic" w:eastAsia="MS Gothic" w:cs="宋体"/>
                    <w:color w:val="auto"/>
                    <w:kern w:val="0"/>
                    <w:sz w:val="24"/>
                    <w:szCs w:val="24"/>
                    <w:highlight w:val="none"/>
                  </w:rPr>
                  <w:t>☐</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p w14:paraId="0374E90A">
            <w:pPr>
              <w:spacing w:line="360" w:lineRule="auto"/>
              <w:rPr>
                <w:rFonts w:ascii="宋体" w:hAnsi="宋体" w:cs="宋体"/>
                <w:color w:val="auto"/>
                <w:kern w:val="0"/>
                <w:sz w:val="24"/>
                <w:szCs w:val="24"/>
                <w:highlight w:val="none"/>
              </w:rPr>
            </w:pPr>
            <w:sdt>
              <w:sdtPr>
                <w:rPr>
                  <w:rFonts w:hint="eastAsia" w:ascii="宋体" w:hAnsi="宋体" w:cs="宋体"/>
                  <w:color w:val="auto"/>
                  <w:kern w:val="0"/>
                  <w:sz w:val="24"/>
                  <w:szCs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szCs w:val="24"/>
                <w:highlight w:val="none"/>
              </w:rPr>
              <w:t>B组织。</w:t>
            </w:r>
          </w:p>
          <w:p w14:paraId="25E8981F">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（1）在评标时安排每个投标人进行方案讲解演示。每个投标人时间不超过</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0分钟，讲解次序以投标文件解密时间先后次序为准，讲解演示人员不超过</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人</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讲解演示结束后按要求解答评标委员会提问。</w:t>
            </w:r>
          </w:p>
          <w:p w14:paraId="3A0F8F22">
            <w:pPr>
              <w:snapToGrid w:val="0"/>
              <w:spacing w:line="360" w:lineRule="auto"/>
              <w:rPr>
                <w:rFonts w:ascii="宋体" w:hAnsi="宋体" w:cs="宋体"/>
                <w:color w:val="auto"/>
                <w:kern w:val="0"/>
                <w:sz w:val="24"/>
                <w:highlight w:val="none"/>
              </w:rPr>
            </w:pPr>
            <w:r>
              <w:rPr>
                <w:rFonts w:hint="eastAsia" w:ascii="宋体" w:hAnsi="宋体" w:eastAsia="宋体" w:cs="宋体"/>
                <w:color w:val="auto"/>
                <w:kern w:val="0"/>
                <w:sz w:val="24"/>
                <w:szCs w:val="24"/>
                <w:highlight w:val="none"/>
              </w:rPr>
              <w:t>（2）</w:t>
            </w:r>
            <w:r>
              <w:rPr>
                <w:rFonts w:hint="eastAsia" w:ascii="宋体" w:hAnsi="宋体" w:cs="宋体"/>
                <w:color w:val="auto"/>
                <w:kern w:val="0"/>
                <w:sz w:val="24"/>
                <w:highlight w:val="none"/>
              </w:rPr>
              <w:t>方案讲解演示可选择以下其中一种方式：</w:t>
            </w:r>
            <w:r>
              <w:rPr>
                <w:rFonts w:hint="eastAsia" w:ascii="宋体" w:hAnsi="宋体" w:cs="宋体"/>
                <w:color w:val="auto"/>
                <w:kern w:val="0"/>
                <w:sz w:val="24"/>
                <w:highlight w:val="none"/>
                <w:u w:val="single"/>
              </w:rPr>
              <w:t>方式二</w:t>
            </w:r>
          </w:p>
          <w:p w14:paraId="4CC484B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711B92E">
            <w:pPr>
              <w:snapToGrid w:val="0"/>
              <w:spacing w:line="360"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rPr>
              <w:t>方式二：</w:t>
            </w:r>
            <w:r>
              <w:rPr>
                <w:rFonts w:hint="eastAsia" w:ascii="宋体" w:hAnsi="宋体" w:cs="宋体"/>
                <w:color w:val="auto"/>
                <w:kern w:val="0"/>
                <w:sz w:val="24"/>
                <w:highlight w:val="none"/>
                <w:lang w:val="en-US" w:eastAsia="zh-CN"/>
              </w:rPr>
              <w:t>投标人应按</w:t>
            </w:r>
            <w:r>
              <w:rPr>
                <w:rFonts w:hint="eastAsia" w:ascii="宋体" w:hAnsi="宋体" w:cs="宋体"/>
                <w:color w:val="auto"/>
                <w:kern w:val="0"/>
                <w:sz w:val="24"/>
                <w:highlight w:val="none"/>
                <w:lang w:val="en-US"/>
              </w:rPr>
              <w:t>第四部分 评标办法-评标标办法前附表</w:t>
            </w:r>
            <w:r>
              <w:rPr>
                <w:rFonts w:hint="eastAsia" w:ascii="宋体" w:hAnsi="宋体" w:cs="宋体"/>
                <w:color w:val="auto"/>
                <w:kern w:val="0"/>
                <w:sz w:val="24"/>
                <w:highlight w:val="none"/>
                <w:lang w:val="en-US" w:eastAsia="zh-CN"/>
              </w:rPr>
              <w:t>对所投产品提前录制视频，评标现场进行演示播放（视频演示文件格式须为主流媒体格式，评标现场可直接播放，自带演示所用的笔记本电脑。）演示视频所录制的操作环境要求：虚拟模型必须是真实的工程软件运行环境；实物演示必须是真实的物理环境。不允许PPT、静态页面等不成熟环境演示。投标人须将演示内容存于U盘内，演示结束后交给采购人，否则不予认定（注：演示功能需保证与本次项目交付产品一致）。演示</w:t>
            </w:r>
            <w:r>
              <w:rPr>
                <w:rFonts w:hint="eastAsia" w:ascii="宋体" w:hAnsi="宋体" w:cs="宋体"/>
                <w:color w:val="auto"/>
                <w:kern w:val="0"/>
                <w:sz w:val="24"/>
                <w:highlight w:val="none"/>
                <w:lang w:val="en-US"/>
              </w:rPr>
              <w:t>地址</w:t>
            </w:r>
            <w:r>
              <w:rPr>
                <w:rFonts w:hint="eastAsia" w:ascii="宋体" w:hAnsi="宋体" w:cs="宋体"/>
                <w:color w:val="auto"/>
                <w:kern w:val="0"/>
                <w:sz w:val="24"/>
                <w:highlight w:val="none"/>
                <w:u w:val="single"/>
                <w:lang w:val="en-US"/>
              </w:rPr>
              <w:t>：</w:t>
            </w:r>
            <w:r>
              <w:rPr>
                <w:rFonts w:hint="eastAsia" w:ascii="宋体" w:hAnsi="宋体" w:cs="宋体"/>
                <w:bCs w:val="0"/>
                <w:color w:val="auto"/>
                <w:kern w:val="0"/>
                <w:sz w:val="24"/>
                <w:highlight w:val="none"/>
                <w:u w:val="single"/>
                <w:lang w:val="en-US"/>
              </w:rPr>
              <w:t>杭州市萧山区金城路185号商会大厦B座27层0</w:t>
            </w:r>
            <w:r>
              <w:rPr>
                <w:rFonts w:hint="eastAsia" w:ascii="宋体" w:hAnsi="宋体" w:cs="宋体"/>
                <w:bCs w:val="0"/>
                <w:color w:val="auto"/>
                <w:kern w:val="0"/>
                <w:sz w:val="24"/>
                <w:highlight w:val="none"/>
                <w:u w:val="single"/>
                <w:lang w:val="en-US" w:eastAsia="zh-CN"/>
              </w:rPr>
              <w:t>5</w:t>
            </w:r>
            <w:r>
              <w:rPr>
                <w:rFonts w:hint="eastAsia" w:ascii="宋体" w:hAnsi="宋体" w:cs="宋体"/>
                <w:bCs w:val="0"/>
                <w:color w:val="auto"/>
                <w:kern w:val="0"/>
                <w:sz w:val="24"/>
                <w:highlight w:val="none"/>
                <w:u w:val="single"/>
                <w:lang w:val="en-US"/>
              </w:rPr>
              <w:t>室</w:t>
            </w:r>
            <w:r>
              <w:rPr>
                <w:rFonts w:hint="eastAsia" w:ascii="宋体" w:hAnsi="宋体" w:cs="宋体"/>
                <w:color w:val="auto"/>
                <w:kern w:val="0"/>
                <w:sz w:val="24"/>
                <w:highlight w:val="none"/>
                <w:u w:val="single"/>
                <w:lang w:val="en-US"/>
              </w:rPr>
              <w:t>，</w:t>
            </w:r>
            <w:r>
              <w:rPr>
                <w:rFonts w:hint="eastAsia" w:ascii="宋体" w:hAnsi="宋体" w:cs="宋体"/>
                <w:color w:val="auto"/>
                <w:kern w:val="0"/>
                <w:sz w:val="24"/>
                <w:highlight w:val="none"/>
                <w:u w:val="none"/>
                <w:lang w:val="en-US"/>
              </w:rPr>
              <w:t>联系方式：</w:t>
            </w:r>
            <w:r>
              <w:rPr>
                <w:rFonts w:hint="eastAsia" w:ascii="宋体" w:hAnsi="宋体" w:cs="宋体"/>
                <w:color w:val="auto"/>
                <w:kern w:val="0"/>
                <w:sz w:val="24"/>
                <w:highlight w:val="none"/>
                <w:u w:val="single"/>
                <w:lang w:val="en-US" w:eastAsia="zh-CN"/>
              </w:rPr>
              <w:t>高女士、15968847224</w:t>
            </w:r>
            <w:r>
              <w:rPr>
                <w:rFonts w:hint="eastAsia" w:ascii="宋体" w:hAnsi="宋体" w:cs="宋体"/>
                <w:color w:val="auto"/>
                <w:kern w:val="0"/>
                <w:sz w:val="24"/>
                <w:highlight w:val="none"/>
                <w:u w:val="none"/>
                <w:lang w:val="en-US"/>
              </w:rPr>
              <w:t>，</w:t>
            </w:r>
            <w:r>
              <w:rPr>
                <w:rFonts w:hint="eastAsia" w:ascii="宋体" w:hAnsi="宋体" w:cs="宋体"/>
                <w:color w:val="auto"/>
                <w:kern w:val="0"/>
                <w:sz w:val="24"/>
                <w:highlight w:val="none"/>
                <w:u w:val="none"/>
                <w:lang w:val="en-US" w:eastAsia="zh-CN"/>
              </w:rPr>
              <w:t>演示签到时间：</w:t>
            </w:r>
            <w:r>
              <w:rPr>
                <w:rFonts w:hint="eastAsia" w:ascii="宋体" w:hAnsi="宋体" w:cs="宋体"/>
                <w:color w:val="auto"/>
                <w:kern w:val="0"/>
                <w:sz w:val="24"/>
                <w:highlight w:val="none"/>
                <w:u w:val="single"/>
                <w:lang w:val="en-US" w:eastAsia="zh-CN"/>
              </w:rPr>
              <w:t>2025年7月16日14：00-14:30。</w:t>
            </w:r>
          </w:p>
          <w:p w14:paraId="44BF2ADA">
            <w:pPr>
              <w:snapToGrid w:val="0"/>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注：</w:t>
            </w:r>
            <w:r>
              <w:rPr>
                <w:rFonts w:hint="eastAsia" w:ascii="宋体" w:hAnsi="宋体" w:cs="宋体"/>
                <w:b/>
                <w:bCs/>
                <w:color w:val="auto"/>
                <w:kern w:val="0"/>
                <w:sz w:val="24"/>
                <w:szCs w:val="24"/>
                <w:highlight w:val="none"/>
                <w:lang w:val="en-US" w:eastAsia="zh-CN"/>
              </w:rPr>
              <w:t>1、</w:t>
            </w:r>
            <w:r>
              <w:rPr>
                <w:rFonts w:hint="eastAsia" w:ascii="宋体" w:hAnsi="宋体" w:eastAsia="宋体" w:cs="宋体"/>
                <w:b/>
                <w:bCs/>
                <w:color w:val="auto"/>
                <w:kern w:val="0"/>
                <w:sz w:val="24"/>
                <w:szCs w:val="24"/>
                <w:highlight w:val="none"/>
              </w:rPr>
              <w:t>因投标人自身原因导致无法演示或者演示效果不理想的，责任自负。因平台原因导致本项目方案讲解演示环节无法顺利开展，按照《浙江省政府采购项目电子交易管理暂行办法》相关规定执行。</w:t>
            </w:r>
          </w:p>
          <w:p w14:paraId="6981E5AC">
            <w:pPr>
              <w:snapToGrid w:val="0"/>
              <w:spacing w:line="360" w:lineRule="auto"/>
              <w:rPr>
                <w:rFonts w:hint="eastAsia" w:ascii="宋体" w:hAnsi="宋体" w:eastAsia="宋体" w:cs="宋体"/>
                <w:b/>
                <w:bCs/>
                <w:color w:val="auto"/>
                <w:kern w:val="0"/>
                <w:sz w:val="24"/>
                <w:szCs w:val="24"/>
                <w:highlight w:val="none"/>
                <w:lang w:val="zh-CN"/>
              </w:rPr>
            </w:pPr>
            <w:r>
              <w:rPr>
                <w:rFonts w:hint="eastAsia" w:ascii="宋体" w:hAnsi="宋体"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lang w:val="zh-CN" w:eastAsia="zh-CN"/>
              </w:rPr>
              <w:t>讲解演示人员进场须携带附件9证明材料，否则不予演示</w:t>
            </w:r>
            <w:r>
              <w:rPr>
                <w:rFonts w:hint="eastAsia" w:ascii="宋体" w:hAnsi="宋体" w:cs="宋体"/>
                <w:b/>
                <w:bCs/>
                <w:color w:val="auto"/>
                <w:kern w:val="0"/>
                <w:sz w:val="24"/>
                <w:szCs w:val="24"/>
                <w:highlight w:val="none"/>
                <w:lang w:val="zh-CN" w:eastAsia="zh-CN"/>
              </w:rPr>
              <w:t>。</w:t>
            </w:r>
          </w:p>
        </w:tc>
      </w:tr>
      <w:tr w14:paraId="6BB8B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978F17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15070AE">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67D5FAA">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（1）资格证明文件：见招标文件第二部分11.1。</w:t>
            </w:r>
          </w:p>
          <w:p w14:paraId="1A3AF6FC">
            <w:pPr>
              <w:spacing w:line="360" w:lineRule="auto"/>
              <w:rPr>
                <w:rFonts w:ascii="宋体" w:hAnsi="宋体" w:cs="宋体"/>
                <w:snapToGrid w:val="0"/>
                <w:color w:val="auto"/>
                <w:kern w:val="0"/>
                <w:sz w:val="24"/>
                <w:szCs w:val="24"/>
                <w:highlight w:val="none"/>
              </w:rPr>
            </w:pPr>
            <w:r>
              <w:rPr>
                <w:rFonts w:hint="eastAsia" w:ascii="宋体" w:hAnsi="宋体" w:cs="宋体"/>
                <w:color w:val="auto"/>
                <w:kern w:val="0"/>
                <w:sz w:val="24"/>
                <w:szCs w:val="24"/>
                <w:highlight w:val="none"/>
                <w:lang w:val="zh-CN"/>
              </w:rPr>
              <w:t>投标人未提供有效的资格证明文件的，视为投标人不具备招标文件中规定的资格要求，投标无效。</w:t>
            </w:r>
          </w:p>
        </w:tc>
      </w:tr>
      <w:tr w14:paraId="2C6644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76A5AAEB">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7CF7E57">
            <w:pPr>
              <w:snapToGrid w:val="0"/>
              <w:spacing w:line="360" w:lineRule="auto"/>
              <w:jc w:val="center"/>
              <w:rPr>
                <w:rFonts w:ascii="宋体" w:hAnsi="宋体" w:cs="宋体"/>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104549C">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（2）资信证明文件：根据招标文件第四部分评标标准提供</w:t>
            </w:r>
            <w:r>
              <w:rPr>
                <w:rFonts w:hint="eastAsia" w:ascii="宋体" w:hAnsi="宋体" w:cs="宋体"/>
                <w:color w:val="auto"/>
                <w:sz w:val="24"/>
                <w:highlight w:val="none"/>
                <w:u w:val="single"/>
                <w:lang w:val="en-US" w:eastAsia="zh-CN"/>
              </w:rPr>
              <w:t>有效的</w:t>
            </w:r>
            <w:r>
              <w:rPr>
                <w:rFonts w:hint="eastAsia" w:ascii="宋体" w:hAnsi="宋体" w:cs="宋体"/>
                <w:color w:val="auto"/>
                <w:sz w:val="24"/>
                <w:highlight w:val="none"/>
                <w:u w:val="single"/>
              </w:rPr>
              <w:t>资信证明文件</w:t>
            </w:r>
            <w:r>
              <w:rPr>
                <w:rFonts w:hint="eastAsia" w:ascii="宋体" w:hAnsi="宋体" w:cs="宋体"/>
                <w:color w:val="auto"/>
                <w:sz w:val="24"/>
                <w:szCs w:val="24"/>
                <w:highlight w:val="none"/>
                <w:u w:val="single"/>
              </w:rPr>
              <w:t>。</w:t>
            </w:r>
          </w:p>
        </w:tc>
      </w:tr>
      <w:tr w14:paraId="60F82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C6284B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E959323">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988FB03">
            <w:pPr>
              <w:snapToGrid/>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13B68446">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对实施政府强制采购，</w:t>
            </w:r>
            <w:r>
              <w:rPr>
                <w:rFonts w:hint="eastAsia" w:ascii="宋体" w:hAnsi="宋体" w:eastAsia="宋体" w:cs="宋体"/>
                <w:b/>
                <w:bCs/>
                <w:color w:val="auto"/>
                <w:kern w:val="0"/>
                <w:sz w:val="24"/>
                <w:highlight w:val="none"/>
                <w:lang w:val="zh-CN"/>
              </w:rPr>
              <w:t>投标人</w:t>
            </w:r>
            <w:r>
              <w:rPr>
                <w:rFonts w:hint="eastAsia" w:ascii="宋体" w:hAnsi="宋体" w:eastAsia="宋体" w:cs="宋体"/>
                <w:b/>
                <w:bCs/>
                <w:color w:val="auto"/>
                <w:kern w:val="0"/>
                <w:sz w:val="24"/>
                <w:highlight w:val="none"/>
              </w:rPr>
              <w:t>就</w:t>
            </w:r>
            <w:r>
              <w:rPr>
                <w:rFonts w:hint="eastAsia" w:ascii="宋体" w:hAnsi="宋体" w:eastAsia="宋体" w:cs="宋体"/>
                <w:b/>
                <w:bCs/>
                <w:color w:val="auto"/>
                <w:kern w:val="0"/>
                <w:sz w:val="24"/>
                <w:highlight w:val="none"/>
                <w:lang w:val="zh-CN"/>
              </w:rPr>
              <w:t>相应的投标产品未</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国家确定的认证机构出具的、处于有效期之内的节能产品认证证书的，投标无效</w:t>
            </w:r>
            <w:r>
              <w:rPr>
                <w:rFonts w:hint="eastAsia" w:ascii="宋体" w:hAnsi="宋体" w:eastAsia="宋体" w:cs="宋体"/>
                <w:color w:val="auto"/>
                <w:kern w:val="0"/>
                <w:sz w:val="24"/>
                <w:highlight w:val="none"/>
                <w:lang w:val="zh-CN"/>
              </w:rPr>
              <w:t>。</w:t>
            </w:r>
          </w:p>
          <w:p w14:paraId="5AD20B36">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5DF3E853">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0BA87916">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14:paraId="2715E1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4E8C1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4FFE691">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D0B8FD4">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宋体" w:hAnsi="宋体" w:cs="宋体"/>
                <w:b/>
                <w:color w:val="auto"/>
                <w:kern w:val="0"/>
                <w:sz w:val="24"/>
                <w:szCs w:val="24"/>
                <w:highlight w:val="none"/>
                <w:lang w:val="zh-CN"/>
              </w:rPr>
            </w:pPr>
            <w:r>
              <w:rPr>
                <w:rFonts w:hint="eastAsia" w:ascii="宋体" w:hAnsi="宋体" w:cs="宋体"/>
                <w:color w:val="auto"/>
                <w:kern w:val="0"/>
                <w:sz w:val="24"/>
                <w:szCs w:val="24"/>
                <w:highlight w:val="none"/>
                <w:lang w:val="zh-CN"/>
              </w:rPr>
              <w:t>有关本项目实施所需的所有费用（含税费）均计入报价。</w:t>
            </w:r>
            <w:r>
              <w:rPr>
                <w:rFonts w:hint="eastAsia" w:ascii="宋体" w:hAnsi="宋体" w:cs="宋体"/>
                <w:b/>
                <w:bCs/>
                <w:color w:val="auto"/>
                <w:kern w:val="0"/>
                <w:sz w:val="24"/>
                <w:szCs w:val="24"/>
                <w:highlight w:val="none"/>
                <w:lang w:val="zh-CN"/>
              </w:rPr>
              <w:t>投标文件</w:t>
            </w:r>
            <w:r>
              <w:rPr>
                <w:rFonts w:hint="eastAsia" w:ascii="宋体" w:hAnsi="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szCs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szCs w:val="24"/>
                <w:highlight w:val="none"/>
                <w:lang w:val="zh-CN"/>
              </w:rPr>
              <w:t>提醒：验收时检测费用由采购人承担，不包含在投标总价中。</w:t>
            </w:r>
          </w:p>
          <w:p w14:paraId="450CAC48">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投标报价出现下列情形的，投标无效：</w:t>
            </w:r>
          </w:p>
          <w:p w14:paraId="529884C9">
            <w:pPr>
              <w:keepNext w:val="0"/>
              <w:keepLines w:val="0"/>
              <w:pageBreakBefore w:val="0"/>
              <w:widowControl w:val="0"/>
              <w:kinsoku/>
              <w:wordWrap/>
              <w:overflowPunct/>
              <w:topLinePunct w:val="0"/>
              <w:autoSpaceDE/>
              <w:autoSpaceDN/>
              <w:bidi w:val="0"/>
              <w:adjustRightInd w:val="0"/>
              <w:snapToGrid w:val="0"/>
              <w:spacing w:line="360" w:lineRule="exact"/>
              <w:ind w:firstLine="241" w:firstLineChars="100"/>
              <w:jc w:val="left"/>
              <w:textAlignment w:val="auto"/>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投标文件出现不是唯一的、有选择性投标报价的；</w:t>
            </w:r>
          </w:p>
          <w:p w14:paraId="25099AEB">
            <w:pPr>
              <w:keepNext w:val="0"/>
              <w:keepLines w:val="0"/>
              <w:pageBreakBefore w:val="0"/>
              <w:widowControl w:val="0"/>
              <w:kinsoku/>
              <w:wordWrap/>
              <w:overflowPunct/>
              <w:topLinePunct w:val="0"/>
              <w:autoSpaceDE/>
              <w:autoSpaceDN/>
              <w:bidi w:val="0"/>
              <w:adjustRightInd w:val="0"/>
              <w:snapToGrid w:val="0"/>
              <w:spacing w:line="360" w:lineRule="exact"/>
              <w:ind w:firstLine="241" w:firstLineChars="100"/>
              <w:jc w:val="left"/>
              <w:textAlignment w:val="auto"/>
              <w:rPr>
                <w:rFonts w:ascii="宋体" w:hAnsi="宋体" w:cs="宋体"/>
                <w:color w:val="auto"/>
                <w:kern w:val="0"/>
                <w:sz w:val="24"/>
                <w:szCs w:val="24"/>
                <w:highlight w:val="none"/>
                <w:lang w:val="zh-CN"/>
              </w:rPr>
            </w:pPr>
            <w:r>
              <w:rPr>
                <w:rFonts w:hint="eastAsia" w:ascii="宋体" w:hAnsi="宋体" w:cs="宋体"/>
                <w:b/>
                <w:color w:val="auto"/>
                <w:kern w:val="0"/>
                <w:sz w:val="24"/>
                <w:szCs w:val="24"/>
                <w:highlight w:val="none"/>
                <w:lang w:val="zh-CN"/>
              </w:rPr>
              <w:t>投标报价超过招标文件中规定的预算金额或者最高限价的;</w:t>
            </w:r>
          </w:p>
          <w:p w14:paraId="73D4BEC1">
            <w:pPr>
              <w:keepNext w:val="0"/>
              <w:keepLines w:val="0"/>
              <w:pageBreakBefore w:val="0"/>
              <w:widowControl w:val="0"/>
              <w:kinsoku/>
              <w:wordWrap/>
              <w:overflowPunct/>
              <w:topLinePunct w:val="0"/>
              <w:autoSpaceDE/>
              <w:autoSpaceDN/>
              <w:bidi w:val="0"/>
              <w:adjustRightInd w:val="0"/>
              <w:spacing w:line="360" w:lineRule="exact"/>
              <w:ind w:firstLine="241" w:firstLineChars="100"/>
              <w:textAlignment w:val="auto"/>
              <w:rPr>
                <w:rFonts w:ascii="宋体" w:hAnsi="宋体" w:cs="宋体"/>
                <w:b/>
                <w:color w:val="auto"/>
                <w:sz w:val="24"/>
                <w:szCs w:val="24"/>
                <w:highlight w:val="none"/>
              </w:rPr>
            </w:pPr>
            <w:r>
              <w:rPr>
                <w:rFonts w:hint="eastAsia" w:ascii="宋体" w:hAnsi="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4"/>
                <w:highlight w:val="none"/>
              </w:rPr>
              <w:t>;</w:t>
            </w:r>
          </w:p>
          <w:p w14:paraId="6F18EFFC">
            <w:pPr>
              <w:keepNext w:val="0"/>
              <w:keepLines w:val="0"/>
              <w:pageBreakBefore w:val="0"/>
              <w:widowControl w:val="0"/>
              <w:kinsoku/>
              <w:wordWrap/>
              <w:overflowPunct/>
              <w:topLinePunct w:val="0"/>
              <w:autoSpaceDE/>
              <w:autoSpaceDN/>
              <w:bidi w:val="0"/>
              <w:adjustRightInd w:val="0"/>
              <w:spacing w:line="360" w:lineRule="exact"/>
              <w:ind w:firstLine="241" w:firstLineChars="100"/>
              <w:textAlignment w:val="auto"/>
              <w:rPr>
                <w:rFonts w:ascii="宋体" w:hAnsi="宋体" w:cs="宋体"/>
                <w:color w:val="auto"/>
                <w:sz w:val="24"/>
                <w:szCs w:val="24"/>
                <w:highlight w:val="none"/>
              </w:rPr>
            </w:pPr>
            <w:r>
              <w:rPr>
                <w:rFonts w:hint="eastAsia" w:ascii="宋体" w:hAnsi="宋体" w:cs="宋体"/>
                <w:b/>
                <w:color w:val="auto"/>
                <w:kern w:val="0"/>
                <w:sz w:val="24"/>
                <w:szCs w:val="24"/>
                <w:highlight w:val="none"/>
              </w:rPr>
              <w:t>投标人对根据修正原则修正后的报价不确认的</w:t>
            </w:r>
            <w:r>
              <w:rPr>
                <w:rFonts w:hint="eastAsia" w:ascii="宋体" w:hAnsi="宋体" w:cs="宋体"/>
                <w:b/>
                <w:color w:val="auto"/>
                <w:sz w:val="24"/>
                <w:szCs w:val="24"/>
                <w:highlight w:val="none"/>
              </w:rPr>
              <w:t>。</w:t>
            </w:r>
          </w:p>
        </w:tc>
      </w:tr>
      <w:tr w14:paraId="0E5B16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19" w:hRule="atLeast"/>
          <w:tblHeader/>
        </w:trPr>
        <w:tc>
          <w:tcPr>
            <w:tcW w:w="629" w:type="dxa"/>
            <w:tcBorders>
              <w:top w:val="single" w:color="auto" w:sz="4" w:space="0"/>
              <w:left w:val="single" w:color="000000" w:sz="8" w:space="0"/>
              <w:right w:val="single" w:color="000000" w:sz="2" w:space="0"/>
            </w:tcBorders>
            <w:vAlign w:val="center"/>
          </w:tcPr>
          <w:p w14:paraId="0EA54FA2">
            <w:pPr>
              <w:snapToGrid w:val="0"/>
              <w:spacing w:line="360" w:lineRule="auto"/>
              <w:jc w:val="center"/>
              <w:rPr>
                <w:rFonts w:ascii="宋体" w:hAnsi="宋体" w:cs="宋体"/>
                <w:color w:val="auto"/>
                <w:sz w:val="24"/>
                <w:highlight w:val="none"/>
              </w:rPr>
            </w:pPr>
          </w:p>
          <w:p w14:paraId="12F6195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7021D1C">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9F4E9D7">
            <w:pPr>
              <w:spacing w:line="360" w:lineRule="auto"/>
              <w:ind w:firstLine="480" w:firstLineChars="200"/>
              <w:rPr>
                <w:rFonts w:hint="eastAsia"/>
                <w:color w:val="auto"/>
                <w:sz w:val="24"/>
                <w:szCs w:val="24"/>
                <w:highlight w:val="none"/>
              </w:rPr>
            </w:pPr>
            <w:r>
              <w:rPr>
                <w:rFonts w:hint="eastAsia"/>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7BC2D9DE">
            <w:pPr>
              <w:snapToGrid w:val="0"/>
              <w:spacing w:after="0" w:line="360" w:lineRule="auto"/>
              <w:rPr>
                <w:color w:val="auto"/>
                <w:sz w:val="24"/>
                <w:szCs w:val="24"/>
                <w:highlight w:val="none"/>
              </w:rPr>
            </w:pPr>
            <w:r>
              <w:rPr>
                <w:rFonts w:hint="eastAsia"/>
                <w:color w:val="auto"/>
                <w:sz w:val="24"/>
                <w:szCs w:val="24"/>
                <w:highlight w:val="none"/>
              </w:rPr>
              <w:t>本项目</w:t>
            </w:r>
            <w:r>
              <w:rPr>
                <w:color w:val="auto"/>
                <w:sz w:val="24"/>
                <w:szCs w:val="24"/>
                <w:highlight w:val="none"/>
              </w:rPr>
              <w:t>支持</w:t>
            </w:r>
            <w:r>
              <w:rPr>
                <w:rFonts w:hint="eastAsia"/>
                <w:color w:val="auto"/>
                <w:sz w:val="24"/>
                <w:szCs w:val="24"/>
                <w:highlight w:val="none"/>
              </w:rPr>
              <w:t>《杭州市萧山区政府采购支持中小企业信用融资暂行办法》。</w:t>
            </w:r>
          </w:p>
          <w:p w14:paraId="40C4F05F">
            <w:pPr>
              <w:spacing w:after="0"/>
              <w:rPr>
                <w:color w:val="auto"/>
                <w:sz w:val="24"/>
                <w:szCs w:val="24"/>
                <w:highlight w:val="none"/>
              </w:rPr>
            </w:pPr>
            <w:r>
              <w:rPr>
                <w:rFonts w:hint="eastAsia"/>
                <w:color w:val="auto"/>
                <w:sz w:val="24"/>
                <w:szCs w:val="24"/>
                <w:highlight w:val="none"/>
              </w:rPr>
              <w:t>有</w:t>
            </w:r>
            <w:r>
              <w:rPr>
                <w:color w:val="auto"/>
                <w:sz w:val="24"/>
                <w:szCs w:val="24"/>
                <w:highlight w:val="none"/>
              </w:rPr>
              <w:t>融资需求的中标供应商可参照相关规定及银行方案</w:t>
            </w:r>
            <w:r>
              <w:rPr>
                <w:rFonts w:hint="eastAsia"/>
                <w:color w:val="auto"/>
                <w:sz w:val="24"/>
                <w:szCs w:val="24"/>
                <w:highlight w:val="none"/>
              </w:rPr>
              <w:t>凭政府采购合同向相关合作银行提出信用融资（贷款）申请。详见</w:t>
            </w:r>
            <w:r>
              <w:rPr>
                <w:color w:val="auto"/>
                <w:sz w:val="24"/>
                <w:szCs w:val="24"/>
                <w:highlight w:val="none"/>
              </w:rPr>
              <w:fldChar w:fldCharType="begin"/>
            </w:r>
            <w:r>
              <w:rPr>
                <w:color w:val="auto"/>
                <w:sz w:val="24"/>
                <w:szCs w:val="24"/>
                <w:highlight w:val="none"/>
              </w:rPr>
              <w:instrText xml:space="preserve"> HYPERLINK "http://www.xiaoshan.gov.cn/art/2018/12/20/art_1229293109_1559514.html" </w:instrText>
            </w:r>
            <w:r>
              <w:rPr>
                <w:color w:val="auto"/>
                <w:sz w:val="24"/>
                <w:szCs w:val="24"/>
                <w:highlight w:val="none"/>
              </w:rPr>
              <w:fldChar w:fldCharType="separate"/>
            </w:r>
            <w:r>
              <w:rPr>
                <w:rStyle w:val="76"/>
                <w:rFonts w:ascii="仿宋" w:hAnsi="仿宋" w:eastAsia="仿宋" w:cstheme="majorBidi"/>
                <w:snapToGrid/>
                <w:color w:val="auto"/>
                <w:sz w:val="24"/>
                <w:szCs w:val="24"/>
                <w:highlight w:val="none"/>
              </w:rPr>
              <w:t>http://www.xiaoshan.gov.cn/art/2018/12/20/art_1229293109_1559514.html</w:t>
            </w:r>
            <w:r>
              <w:rPr>
                <w:rStyle w:val="76"/>
                <w:rFonts w:ascii="仿宋" w:hAnsi="仿宋" w:eastAsia="仿宋" w:cstheme="majorBidi"/>
                <w:snapToGrid/>
                <w:color w:val="auto"/>
                <w:sz w:val="24"/>
                <w:szCs w:val="24"/>
                <w:highlight w:val="none"/>
              </w:rPr>
              <w:fldChar w:fldCharType="end"/>
            </w:r>
          </w:p>
        </w:tc>
      </w:tr>
      <w:tr w14:paraId="523119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3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C9EC58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D3FCFC0">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3B5AE03">
            <w:pPr>
              <w:pStyle w:val="32"/>
              <w:spacing w:line="360" w:lineRule="auto"/>
              <w:rPr>
                <w:rFonts w:ascii="宋体" w:hAnsi="宋体" w:eastAsia="宋体" w:cs="宋体"/>
                <w:snapToGrid w:val="0"/>
                <w:color w:val="auto"/>
                <w:kern w:val="28"/>
                <w:sz w:val="24"/>
                <w:szCs w:val="21"/>
                <w:highlight w:val="none"/>
                <w:lang w:val="en-US" w:eastAsia="zh-CN" w:bidi="ar-SA"/>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lang w:val="en-US" w:eastAsia="zh-CN"/>
              </w:rPr>
              <w:t>杭州市萧山区金城路185号商会大厦B座27层05室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 xml:space="preserve"> 高女士、15968847224 </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062EF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BDA15C9">
            <w:pPr>
              <w:spacing w:after="0"/>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376B526">
            <w:pPr>
              <w:spacing w:after="0"/>
              <w:jc w:val="center"/>
              <w:rPr>
                <w:rFonts w:hint="eastAsia" w:ascii="Times New Roman" w:hAnsi="Times New Roman" w:eastAsia="宋体" w:cs="Times New Roman"/>
                <w:color w:val="auto"/>
                <w:kern w:val="2"/>
                <w:sz w:val="24"/>
                <w:szCs w:val="24"/>
                <w:highlight w:val="none"/>
                <w:lang w:val="en-US" w:eastAsia="zh-CN" w:bidi="ar-SA"/>
              </w:rPr>
            </w:pPr>
            <w:r>
              <w:rPr>
                <w:rFonts w:hint="eastAsia"/>
                <w:b/>
                <w:color w:val="auto"/>
                <w:sz w:val="24"/>
                <w:szCs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01ADA98B">
            <w:pPr>
              <w:spacing w:line="360" w:lineRule="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本次代理服务费由中标供应商支付。代理服务费计费标准：以中标金额为计算基数，按照国家发改委“计价格【2002】1980号”等相关文件的60%向中标人收取代理服务费，不足2000元按2000元收取。</w:t>
            </w:r>
          </w:p>
          <w:p w14:paraId="26D843AE">
            <w:pPr>
              <w:spacing w:line="360" w:lineRule="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服务费缴纳账号：</w:t>
            </w:r>
          </w:p>
          <w:p w14:paraId="0024C640">
            <w:pPr>
              <w:spacing w:line="360" w:lineRule="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开户名称：杭州广厦建筑咨询有限公司</w:t>
            </w:r>
          </w:p>
          <w:p w14:paraId="4AAF859C">
            <w:pPr>
              <w:spacing w:line="360" w:lineRule="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开户银行：中国银行杭州城北支行</w:t>
            </w:r>
          </w:p>
          <w:p w14:paraId="19778D23">
            <w:pPr>
              <w:spacing w:line="360" w:lineRule="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银行账户：377958326822</w:t>
            </w:r>
          </w:p>
        </w:tc>
      </w:tr>
      <w:tr w14:paraId="2FFED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6297465">
            <w:pPr>
              <w:spacing w:after="0"/>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33593797">
            <w:pPr>
              <w:spacing w:after="0"/>
              <w:jc w:val="center"/>
              <w:rPr>
                <w:rFonts w:hint="eastAsia" w:ascii="Times New Roman" w:hAnsi="Times New Roman" w:eastAsia="宋体" w:cs="Times New Roman"/>
                <w:color w:val="auto"/>
                <w:kern w:val="2"/>
                <w:sz w:val="24"/>
                <w:szCs w:val="24"/>
                <w:highlight w:val="none"/>
                <w:lang w:val="en-US" w:eastAsia="zh-CN" w:bidi="ar-SA"/>
              </w:rPr>
            </w:pPr>
            <w:r>
              <w:rPr>
                <w:rFonts w:hint="eastAsia" w:cs="仿宋"/>
                <w:b/>
                <w:color w:val="auto"/>
                <w:sz w:val="24"/>
                <w:szCs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39AF06BF">
            <w:pPr>
              <w:spacing w:after="0"/>
              <w:rPr>
                <w:rFonts w:hint="eastAsia" w:ascii="Times New Roman" w:hAnsi="Times New Roman" w:eastAsia="宋体" w:cs="Times New Roman"/>
                <w:color w:val="auto"/>
                <w:kern w:val="2"/>
                <w:sz w:val="24"/>
                <w:szCs w:val="24"/>
                <w:highlight w:val="none"/>
                <w:lang w:val="en-US" w:eastAsia="zh-CN" w:bidi="ar-SA"/>
              </w:rPr>
            </w:pPr>
            <w:r>
              <w:rPr>
                <w:rFonts w:hint="eastAsia" w:cs="仿宋_GB2312"/>
                <w:color w:val="auto"/>
                <w:sz w:val="24"/>
                <w:szCs w:val="24"/>
                <w:highlight w:val="none"/>
              </w:rPr>
              <w:t>本项目</w:t>
            </w:r>
            <w:r>
              <w:rPr>
                <w:rFonts w:cs="仿宋_GB2312"/>
                <w:color w:val="auto"/>
                <w:sz w:val="24"/>
                <w:szCs w:val="24"/>
                <w:highlight w:val="none"/>
              </w:rPr>
              <w:t>由采购人</w:t>
            </w:r>
            <w:r>
              <w:rPr>
                <w:rFonts w:hint="eastAsia" w:cs="仿宋_GB2312"/>
                <w:color w:val="auto"/>
                <w:sz w:val="24"/>
                <w:szCs w:val="24"/>
                <w:highlight w:val="none"/>
              </w:rPr>
              <w:t>进行</w:t>
            </w:r>
            <w:r>
              <w:rPr>
                <w:rFonts w:cs="仿宋_GB2312"/>
                <w:color w:val="auto"/>
                <w:sz w:val="24"/>
                <w:szCs w:val="24"/>
                <w:highlight w:val="none"/>
              </w:rPr>
              <w:t>资格文件</w:t>
            </w:r>
            <w:r>
              <w:rPr>
                <w:rFonts w:hint="eastAsia" w:cs="仿宋_GB2312"/>
                <w:color w:val="auto"/>
                <w:sz w:val="24"/>
                <w:szCs w:val="24"/>
                <w:highlight w:val="none"/>
              </w:rPr>
              <w:t>及</w:t>
            </w:r>
            <w:r>
              <w:rPr>
                <w:rFonts w:cs="仿宋_GB2312"/>
                <w:color w:val="auto"/>
                <w:sz w:val="24"/>
                <w:szCs w:val="24"/>
                <w:highlight w:val="none"/>
              </w:rPr>
              <w:t>信用信息</w:t>
            </w:r>
            <w:r>
              <w:rPr>
                <w:rFonts w:hint="eastAsia" w:cs="仿宋_GB2312"/>
                <w:color w:val="auto"/>
                <w:sz w:val="24"/>
                <w:szCs w:val="24"/>
                <w:highlight w:val="none"/>
              </w:rPr>
              <w:t>查询</w:t>
            </w:r>
            <w:r>
              <w:rPr>
                <w:rFonts w:cs="仿宋_GB2312"/>
                <w:color w:val="auto"/>
                <w:sz w:val="24"/>
                <w:szCs w:val="24"/>
                <w:highlight w:val="none"/>
              </w:rPr>
              <w:t>。</w:t>
            </w:r>
          </w:p>
        </w:tc>
      </w:tr>
      <w:tr w14:paraId="313A7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D7124F6">
            <w:pPr>
              <w:spacing w:after="0"/>
              <w:jc w:val="center"/>
              <w:rPr>
                <w:rFonts w:hint="eastAsia" w:eastAsia="宋体"/>
                <w:color w:val="auto"/>
                <w:highlight w:val="none"/>
                <w:lang w:eastAsia="zh-CN"/>
              </w:rPr>
            </w:pPr>
            <w:r>
              <w:rPr>
                <w:rFonts w:hint="eastAsia"/>
                <w:color w:val="auto"/>
                <w:highlight w:val="none"/>
              </w:rPr>
              <w:t>1</w:t>
            </w:r>
            <w:r>
              <w:rPr>
                <w:rFonts w:hint="eastAsia"/>
                <w:color w:val="auto"/>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44278EE3">
            <w:pPr>
              <w:spacing w:after="0"/>
              <w:jc w:val="center"/>
              <w:rPr>
                <w:rFonts w:hint="eastAsia" w:cs="仿宋"/>
                <w:b/>
                <w:color w:val="auto"/>
                <w:sz w:val="24"/>
                <w:szCs w:val="24"/>
                <w:highlight w:val="none"/>
              </w:rPr>
            </w:pPr>
            <w:r>
              <w:rPr>
                <w:rFonts w:hint="eastAsia" w:cs="仿宋"/>
                <w:b/>
                <w:color w:val="auto"/>
                <w:sz w:val="24"/>
                <w:szCs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65D7ECEA">
            <w:pPr>
              <w:snapToGrid w:val="0"/>
              <w:spacing w:after="0" w:line="360" w:lineRule="auto"/>
              <w:rPr>
                <w:color w:val="auto"/>
                <w:sz w:val="24"/>
                <w:szCs w:val="24"/>
                <w:highlight w:val="none"/>
                <w:u w:val="single"/>
              </w:rPr>
            </w:pPr>
            <w:r>
              <w:rPr>
                <w:rFonts w:hint="eastAsia"/>
                <w:color w:val="auto"/>
                <w:sz w:val="24"/>
                <w:szCs w:val="24"/>
                <w:highlight w:val="none"/>
              </w:rPr>
              <w:t>采购</w:t>
            </w:r>
            <w:r>
              <w:rPr>
                <w:color w:val="auto"/>
                <w:sz w:val="24"/>
                <w:szCs w:val="24"/>
                <w:highlight w:val="none"/>
              </w:rPr>
              <w:t>人、</w:t>
            </w:r>
            <w:r>
              <w:rPr>
                <w:rFonts w:hint="eastAsia"/>
                <w:color w:val="auto"/>
                <w:sz w:val="24"/>
                <w:szCs w:val="24"/>
                <w:highlight w:val="none"/>
              </w:rPr>
              <w:t>采购</w:t>
            </w:r>
            <w:r>
              <w:rPr>
                <w:color w:val="auto"/>
                <w:sz w:val="24"/>
                <w:szCs w:val="24"/>
                <w:highlight w:val="none"/>
              </w:rPr>
              <w:t>机构质疑接收人</w:t>
            </w:r>
            <w:r>
              <w:rPr>
                <w:rFonts w:hint="eastAsia"/>
                <w:color w:val="auto"/>
                <w:sz w:val="24"/>
                <w:szCs w:val="24"/>
                <w:highlight w:val="none"/>
              </w:rPr>
              <w:t>、联系方式</w:t>
            </w:r>
            <w:r>
              <w:rPr>
                <w:color w:val="auto"/>
                <w:sz w:val="24"/>
                <w:szCs w:val="24"/>
                <w:highlight w:val="none"/>
              </w:rPr>
              <w:t>：</w:t>
            </w:r>
            <w:r>
              <w:rPr>
                <w:rFonts w:hint="eastAsia"/>
                <w:color w:val="auto"/>
                <w:sz w:val="24"/>
                <w:szCs w:val="24"/>
                <w:highlight w:val="none"/>
              </w:rPr>
              <w:t>详见公告</w:t>
            </w:r>
          </w:p>
          <w:p w14:paraId="49EDC026">
            <w:pPr>
              <w:snapToGrid w:val="0"/>
              <w:spacing w:after="0" w:line="360" w:lineRule="auto"/>
              <w:rPr>
                <w:b/>
                <w:color w:val="auto"/>
                <w:sz w:val="24"/>
                <w:szCs w:val="24"/>
                <w:highlight w:val="none"/>
              </w:rPr>
            </w:pPr>
            <w:r>
              <w:rPr>
                <w:rFonts w:hint="eastAsia"/>
                <w:b/>
                <w:color w:val="auto"/>
                <w:sz w:val="24"/>
                <w:szCs w:val="24"/>
                <w:highlight w:val="none"/>
              </w:rPr>
              <w:t>线上提交质疑方式：政采云线上质疑路径：项目采购-询问质疑投诉-质疑列表。请使用ca签章在每一页质疑文件中加盖电子公章，上传完整附件。</w:t>
            </w:r>
          </w:p>
          <w:p w14:paraId="0C7D1973">
            <w:pPr>
              <w:snapToGrid w:val="0"/>
              <w:spacing w:after="0" w:line="360" w:lineRule="auto"/>
              <w:rPr>
                <w:color w:val="auto"/>
                <w:sz w:val="24"/>
                <w:szCs w:val="24"/>
                <w:highlight w:val="none"/>
              </w:rPr>
            </w:pPr>
            <w:r>
              <w:rPr>
                <w:rFonts w:hint="eastAsia"/>
                <w:color w:val="auto"/>
                <w:sz w:val="24"/>
                <w:szCs w:val="24"/>
                <w:highlight w:val="none"/>
              </w:rPr>
              <w:t>本项目涉及资格条件、采购需求、评分办法及采购过程中有关现场考察或开标前答疑会等事项由</w:t>
            </w:r>
            <w:r>
              <w:rPr>
                <w:b/>
                <w:bCs/>
                <w:color w:val="auto"/>
                <w:sz w:val="24"/>
                <w:szCs w:val="24"/>
                <w:highlight w:val="none"/>
              </w:rPr>
              <w:t>采购人</w:t>
            </w:r>
            <w:r>
              <w:rPr>
                <w:color w:val="auto"/>
                <w:sz w:val="24"/>
                <w:szCs w:val="24"/>
                <w:highlight w:val="none"/>
              </w:rPr>
              <w:t>进行答复。</w:t>
            </w:r>
          </w:p>
          <w:p w14:paraId="12B44EDF">
            <w:pPr>
              <w:spacing w:after="0"/>
              <w:rPr>
                <w:rFonts w:hint="eastAsia" w:cs="仿宋_GB2312"/>
                <w:color w:val="auto"/>
                <w:sz w:val="24"/>
                <w:szCs w:val="24"/>
                <w:highlight w:val="none"/>
              </w:rPr>
            </w:pPr>
            <w:r>
              <w:rPr>
                <w:rFonts w:hint="eastAsia"/>
                <w:color w:val="auto"/>
                <w:sz w:val="24"/>
                <w:szCs w:val="24"/>
                <w:highlight w:val="none"/>
              </w:rPr>
              <w:t>涉及</w:t>
            </w:r>
            <w:r>
              <w:rPr>
                <w:color w:val="auto"/>
                <w:sz w:val="24"/>
                <w:szCs w:val="24"/>
                <w:highlight w:val="none"/>
              </w:rPr>
              <w:t>流程规范性、组织程序等</w:t>
            </w:r>
            <w:r>
              <w:rPr>
                <w:rFonts w:hint="eastAsia"/>
                <w:color w:val="auto"/>
                <w:sz w:val="24"/>
                <w:szCs w:val="24"/>
                <w:highlight w:val="none"/>
              </w:rPr>
              <w:t>相关</w:t>
            </w:r>
            <w:r>
              <w:rPr>
                <w:color w:val="auto"/>
                <w:sz w:val="24"/>
                <w:szCs w:val="24"/>
                <w:highlight w:val="none"/>
              </w:rPr>
              <w:t>事项，由</w:t>
            </w:r>
            <w:r>
              <w:rPr>
                <w:rFonts w:hint="eastAsia"/>
                <w:b/>
                <w:bCs/>
                <w:color w:val="auto"/>
                <w:sz w:val="24"/>
                <w:szCs w:val="24"/>
                <w:highlight w:val="none"/>
              </w:rPr>
              <w:t>采购</w:t>
            </w:r>
            <w:r>
              <w:rPr>
                <w:rFonts w:hint="eastAsia"/>
                <w:b/>
                <w:bCs/>
                <w:color w:val="auto"/>
                <w:sz w:val="24"/>
                <w:szCs w:val="24"/>
                <w:highlight w:val="none"/>
                <w:lang w:eastAsia="zh-CN"/>
              </w:rPr>
              <w:t>代理</w:t>
            </w:r>
            <w:r>
              <w:rPr>
                <w:b/>
                <w:bCs/>
                <w:color w:val="auto"/>
                <w:sz w:val="24"/>
                <w:szCs w:val="24"/>
                <w:highlight w:val="none"/>
              </w:rPr>
              <w:t>机构</w:t>
            </w:r>
            <w:r>
              <w:rPr>
                <w:color w:val="auto"/>
                <w:sz w:val="24"/>
                <w:szCs w:val="24"/>
                <w:highlight w:val="none"/>
              </w:rPr>
              <w:t>进行答复。</w:t>
            </w:r>
          </w:p>
        </w:tc>
      </w:tr>
      <w:tr w14:paraId="6444B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4F79373">
            <w:pPr>
              <w:spacing w:after="0"/>
              <w:jc w:val="center"/>
              <w:rPr>
                <w:rFonts w:hint="default" w:eastAsia="宋体"/>
                <w:color w:val="auto"/>
                <w:highlight w:val="none"/>
                <w:lang w:val="en-US" w:eastAsia="zh-CN"/>
              </w:rPr>
            </w:pPr>
            <w:r>
              <w:rPr>
                <w:rFonts w:hint="eastAsia"/>
                <w:color w:val="auto"/>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6606BF59">
            <w:pPr>
              <w:spacing w:after="0"/>
              <w:jc w:val="center"/>
              <w:rPr>
                <w:rFonts w:hint="default" w:eastAsia="宋体" w:cs="仿宋"/>
                <w:b/>
                <w:color w:val="auto"/>
                <w:sz w:val="24"/>
                <w:szCs w:val="24"/>
                <w:highlight w:val="none"/>
                <w:lang w:val="en-US" w:eastAsia="zh-CN"/>
              </w:rPr>
            </w:pPr>
            <w:r>
              <w:rPr>
                <w:rFonts w:hint="eastAsia" w:cs="仿宋"/>
                <w:b/>
                <w:color w:val="auto"/>
                <w:sz w:val="24"/>
                <w:szCs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5FA778CC">
            <w:pPr>
              <w:rPr>
                <w:rFonts w:hint="eastAsia"/>
                <w:color w:val="auto"/>
                <w:sz w:val="24"/>
                <w:szCs w:val="24"/>
                <w:highlight w:val="none"/>
              </w:rPr>
            </w:pPr>
            <w:r>
              <w:rPr>
                <w:rFonts w:hint="eastAsia"/>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szCs w:val="24"/>
                <w:highlight w:val="none"/>
                <w:lang w:val="en-US" w:eastAsia="zh-CN"/>
              </w:rPr>
              <w:br w:type="textWrapping"/>
            </w:r>
            <w:r>
              <w:rPr>
                <w:rFonts w:hint="eastAsia"/>
                <w:color w:val="auto"/>
                <w:sz w:val="24"/>
                <w:szCs w:val="24"/>
                <w:highlight w:val="none"/>
                <w:lang w:val="en-US" w:eastAsia="zh-CN"/>
              </w:rPr>
              <w:t>联系电话: 0571-83587785/0571-82816012 联系地址: 萧山区通惠北路2-1号304室</w:t>
            </w:r>
          </w:p>
        </w:tc>
      </w:tr>
      <w:tr w14:paraId="1FF762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033F0D0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14:paraId="3DE68A3B">
            <w:pPr>
              <w:snapToGrid w:val="0"/>
              <w:spacing w:line="360" w:lineRule="auto"/>
              <w:jc w:val="left"/>
              <w:rPr>
                <w:rFonts w:ascii="宋体" w:hAnsi="宋体" w:cs="宋体"/>
                <w:b/>
                <w:color w:val="auto"/>
                <w:sz w:val="24"/>
                <w:szCs w:val="24"/>
                <w:highlight w:val="none"/>
              </w:rPr>
            </w:pPr>
            <w:r>
              <w:rPr>
                <w:rFonts w:hint="eastAsia" w:cs="仿宋_GB2312" w:asciiTheme="minorEastAsia" w:hAnsiTheme="minorEastAsia" w:eastAsiaTheme="minorEastAsia"/>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FC2015D">
            <w:pPr>
              <w:pStyle w:val="3"/>
              <w:ind w:left="0" w:leftChars="0" w:firstLine="0" w:firstLineChars="0"/>
              <w:rPr>
                <w:color w:val="auto"/>
                <w:highlight w:val="none"/>
              </w:rPr>
            </w:pPr>
            <w:r>
              <w:rPr>
                <w:rFonts w:hint="eastAsia" w:ascii="Times New Roman" w:hAnsi="Times New Roman" w:eastAsia="宋体" w:cs="Times New Roman"/>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3F68C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2C0C74F8">
            <w:pPr>
              <w:snapToGrid w:val="0"/>
              <w:spacing w:line="360" w:lineRule="auto"/>
              <w:jc w:val="center"/>
              <w:rPr>
                <w:rFonts w:hint="eastAsia" w:ascii="宋体" w:hAnsi="宋体" w:cs="宋体"/>
                <w:color w:val="auto"/>
                <w:sz w:val="24"/>
                <w:highlight w:val="none"/>
                <w:lang w:val="en-US" w:eastAsia="zh-CN"/>
              </w:rPr>
            </w:pPr>
          </w:p>
        </w:tc>
        <w:tc>
          <w:tcPr>
            <w:tcW w:w="1843" w:type="dxa"/>
            <w:vMerge w:val="continue"/>
            <w:tcBorders>
              <w:left w:val="single" w:color="000000" w:sz="2" w:space="0"/>
              <w:right w:val="single" w:color="000000" w:sz="8" w:space="0"/>
            </w:tcBorders>
            <w:vAlign w:val="center"/>
          </w:tcPr>
          <w:p w14:paraId="0ABE3C13">
            <w:pPr>
              <w:snapToGrid w:val="0"/>
              <w:spacing w:line="360" w:lineRule="auto"/>
              <w:jc w:val="left"/>
              <w:rPr>
                <w:rFonts w:hint="eastAsia" w:cs="仿宋_GB2312" w:asciiTheme="minorEastAsia" w:hAnsiTheme="minorEastAsia" w:eastAsiaTheme="minorEastAsia"/>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1056CEE">
            <w:pPr>
              <w:spacing w:line="360" w:lineRule="auto"/>
              <w:rPr>
                <w:color w:val="auto"/>
                <w:sz w:val="24"/>
                <w:szCs w:val="24"/>
                <w:highlight w:val="none"/>
              </w:rPr>
            </w:pPr>
            <w:sdt>
              <w:sdtPr>
                <w:rPr>
                  <w:rFonts w:hint="eastAsia"/>
                  <w:color w:val="auto"/>
                  <w:sz w:val="24"/>
                  <w:szCs w:val="24"/>
                  <w:highlight w:val="none"/>
                </w:rPr>
                <w:id w:val="4672"/>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联合体投标的，联合体各方均需按招标文件第四部分评标标准要求提供资信证明文件，否则视为不符合相关要求。</w:t>
            </w:r>
          </w:p>
          <w:p w14:paraId="57AEE83D">
            <w:pPr>
              <w:pStyle w:val="3"/>
              <w:ind w:left="0" w:leftChars="0" w:firstLine="0" w:firstLineChars="0"/>
              <w:rPr>
                <w:rFonts w:hint="eastAsia" w:ascii="宋体" w:hAnsi="宋体" w:cs="宋体"/>
                <w:snapToGrid w:val="0"/>
                <w:color w:val="auto"/>
                <w:kern w:val="28"/>
                <w:sz w:val="24"/>
                <w:szCs w:val="24"/>
                <w:highlight w:val="none"/>
              </w:rPr>
            </w:pPr>
            <w:sdt>
              <w:sdtPr>
                <w:rPr>
                  <w:rFonts w:hint="eastAsia"/>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highlight w:val="none"/>
                  <w:lang w:val="en-US" w:eastAsia="zh-CN" w:bidi="ar-SA"/>
                </w:rPr>
              </w:sdtEndPr>
              <w:sdtContent>
                <w:r>
                  <w:rPr>
                    <w:rFonts w:hint="eastAsia"/>
                    <w:color w:val="auto"/>
                    <w:sz w:val="24"/>
                    <w:szCs w:val="24"/>
                    <w:highlight w:val="none"/>
                  </w:rPr>
                  <w:sym w:font="Wingdings" w:char="F0FE"/>
                </w:r>
              </w:sdtContent>
            </w:sdt>
            <w:r>
              <w:rPr>
                <w:rFonts w:hint="eastAsia" w:ascii="宋体" w:hAnsi="宋体" w:eastAsia="宋体" w:cs="宋体"/>
                <w:b w:val="0"/>
                <w:b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5072B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45ABA1ED">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6C0C5AA1">
            <w:pPr>
              <w:snapToGrid w:val="0"/>
              <w:spacing w:line="360" w:lineRule="auto"/>
              <w:jc w:val="center"/>
              <w:rPr>
                <w:rFonts w:ascii="宋体" w:hAnsi="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7154C6D">
            <w:pPr>
              <w:spacing w:line="360" w:lineRule="auto"/>
              <w:rPr>
                <w:color w:val="auto"/>
                <w:sz w:val="24"/>
                <w:szCs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64C96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3202C636">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5216574A">
            <w:pPr>
              <w:snapToGrid w:val="0"/>
              <w:spacing w:line="360" w:lineRule="auto"/>
              <w:jc w:val="center"/>
              <w:rPr>
                <w:rFonts w:ascii="宋体" w:hAnsi="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171E5E9">
            <w:pPr>
              <w:spacing w:line="360" w:lineRule="auto"/>
              <w:rPr>
                <w:rFonts w:hint="default" w:eastAsia="宋体"/>
                <w:b/>
                <w:bCs/>
                <w:color w:val="auto"/>
                <w:sz w:val="24"/>
                <w:szCs w:val="24"/>
                <w:highlight w:val="none"/>
                <w:lang w:val="en-US" w:eastAsia="zh-CN"/>
              </w:rPr>
            </w:pPr>
            <w:r>
              <w:rPr>
                <w:rFonts w:hint="eastAsia"/>
                <w:b w:val="0"/>
                <w:bCs w:val="0"/>
                <w:color w:val="auto"/>
                <w:sz w:val="24"/>
                <w:szCs w:val="24"/>
                <w:highlight w:val="none"/>
                <w:lang w:eastAsia="zh-CN"/>
              </w:rPr>
              <w:t>本项目每个标项推荐中标候选人数量：</w:t>
            </w:r>
            <w:r>
              <w:rPr>
                <w:rFonts w:hint="eastAsia"/>
                <w:b w:val="0"/>
                <w:bCs w:val="0"/>
                <w:color w:val="auto"/>
                <w:sz w:val="24"/>
                <w:szCs w:val="24"/>
                <w:highlight w:val="none"/>
                <w:lang w:val="en-US" w:eastAsia="zh-CN"/>
              </w:rPr>
              <w:t>1</w:t>
            </w:r>
          </w:p>
        </w:tc>
      </w:tr>
      <w:bookmarkEnd w:id="6"/>
    </w:tbl>
    <w:p w14:paraId="0E39062E">
      <w:pPr>
        <w:rPr>
          <w:rFonts w:hint="eastAsia" w:ascii="宋体" w:hAnsi="宋体" w:cs="宋体"/>
          <w:b/>
          <w:color w:val="auto"/>
          <w:sz w:val="32"/>
          <w:szCs w:val="20"/>
          <w:highlight w:val="none"/>
        </w:rPr>
      </w:pPr>
      <w:bookmarkStart w:id="9" w:name="_Toc164416483"/>
      <w:bookmarkStart w:id="10" w:name="第三部分"/>
      <w:r>
        <w:rPr>
          <w:rFonts w:hint="eastAsia" w:ascii="宋体" w:hAnsi="宋体" w:cs="宋体"/>
          <w:b/>
          <w:color w:val="auto"/>
          <w:sz w:val="32"/>
          <w:szCs w:val="20"/>
          <w:highlight w:val="none"/>
        </w:rPr>
        <w:br w:type="page"/>
      </w:r>
    </w:p>
    <w:p w14:paraId="07A37E22">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44BB7FF6">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5E5026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6E09AF2">
      <w:pPr>
        <w:numPr>
          <w:ilvl w:val="0"/>
          <w:numId w:val="2"/>
        </w:num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定义</w:t>
      </w:r>
    </w:p>
    <w:p w14:paraId="19E77A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13111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39E667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B11C6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40697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A0923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7878AD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 系指不适用本项目的要求。</w:t>
      </w:r>
    </w:p>
    <w:p w14:paraId="0554EFE2">
      <w:pPr>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F7D035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D6286C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669A1CF7">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AF3F9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D7907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1F603A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13B0D19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A1E28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74165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D9DDAB3">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0CA735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B9B51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2</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highlight w:val="none"/>
        </w:rPr>
        <w:t>联合协议或者分包意向协议约定小微企业的合同份额占到合同总金额30%以上的</w:t>
      </w:r>
      <w:bookmarkEnd w:id="12"/>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%的扣除）的扣除，用扣除后的价格参加评审。组成联合体或者接受分包的小微企业与联合体内其他企业、分包企业之间存在直接控股、管理关系的，不享受价格扣除优惠政策。</w:t>
      </w:r>
    </w:p>
    <w:p w14:paraId="7F8716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3604F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3188E5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355D45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0ED5EE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color w:val="auto"/>
          <w:sz w:val="24"/>
          <w:highlight w:val="none"/>
          <w:lang w:val="en-US" w:eastAsia="zh-CN"/>
        </w:rPr>
        <w:t xml:space="preserve"> </w:t>
      </w:r>
      <w:r>
        <w:rPr>
          <w:rFonts w:hint="eastAsia" w:ascii="宋体" w:hAnsi="宋体" w:cs="宋体"/>
          <w:bCs/>
          <w:color w:val="auto"/>
          <w:sz w:val="24"/>
          <w:highlight w:val="none"/>
        </w:rPr>
        <w:t>支持创新发展</w:t>
      </w:r>
    </w:p>
    <w:p w14:paraId="705A03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2A5F7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6ACD949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C912FD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7B5C80DF">
      <w:pPr>
        <w:spacing w:line="360" w:lineRule="auto"/>
        <w:rPr>
          <w:b/>
          <w:color w:val="auto"/>
          <w:highlight w:val="none"/>
        </w:rPr>
      </w:pPr>
      <w:r>
        <w:rPr>
          <w:rFonts w:hint="eastAsia" w:ascii="宋体" w:hAnsi="宋体" w:eastAsia="宋体" w:cs="宋体"/>
          <w:b/>
          <w:color w:val="auto"/>
          <w:sz w:val="24"/>
          <w:highlight w:val="none"/>
        </w:rPr>
        <w:t>4. 询问、质疑、投诉</w:t>
      </w:r>
    </w:p>
    <w:p w14:paraId="73E9C1EC">
      <w:pPr>
        <w:spacing w:line="360" w:lineRule="auto"/>
        <w:ind w:firstLine="240" w:firstLineChars="1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在线询问、质疑、投诉</w:t>
      </w:r>
    </w:p>
    <w:p w14:paraId="1B7A8C51">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4EE6C5B">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供应商询问</w:t>
      </w:r>
    </w:p>
    <w:p w14:paraId="0B1FDC2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CEBA2E8">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供应商质疑</w:t>
      </w:r>
    </w:p>
    <w:p w14:paraId="19C1BB6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65FBC70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728FA89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4.3.2.1对招标文件提出质疑的，质疑期限为供应商获得招标文件之日或者招标文件公告期限届满之日起计算。</w:t>
      </w:r>
    </w:p>
    <w:p w14:paraId="65418AA9">
      <w:pPr>
        <w:spacing w:line="360" w:lineRule="auto"/>
        <w:ind w:left="479" w:leftChars="228"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23F994DD">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61AEB395">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4.3.3.1供应商的姓名或者名称、地址、邮编、联系人及联系电话；</w:t>
      </w:r>
    </w:p>
    <w:p w14:paraId="234B8FBE">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4.3.3.2质疑项目的名称、编号；</w:t>
      </w:r>
    </w:p>
    <w:p w14:paraId="57F153BF">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4.3.3.3具体、明确的质疑事项和与质疑事项相关的请求；</w:t>
      </w:r>
    </w:p>
    <w:p w14:paraId="5958C99A">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4.3.3.4事实依据；</w:t>
      </w:r>
    </w:p>
    <w:p w14:paraId="737884FE">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4.3.3.5必要的法律依据；</w:t>
      </w:r>
    </w:p>
    <w:p w14:paraId="61F3202D">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4.3.3.6提出质疑的日期。</w:t>
      </w:r>
    </w:p>
    <w:p w14:paraId="1A6AF146">
      <w:pPr>
        <w:spacing w:line="360" w:lineRule="auto"/>
        <w:ind w:left="479" w:leftChars="228" w:firstLine="0" w:firstLineChars="0"/>
        <w:rPr>
          <w:color w:val="auto"/>
          <w:highlight w:val="none"/>
        </w:rPr>
      </w:pPr>
      <w:r>
        <w:rPr>
          <w:rFonts w:hint="eastAsia"/>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6ACF394F">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4.3.4对同一采购程序环节的质疑，供应商须在法定质疑期内一次性提出。</w:t>
      </w:r>
    </w:p>
    <w:p w14:paraId="5A2DD966">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4.3.5采购人或者</w:t>
      </w:r>
      <w:r>
        <w:rPr>
          <w:rFonts w:hint="eastAsia" w:ascii="宋体" w:hAnsi="宋体" w:eastAsia="宋体" w:cs="宋体"/>
          <w:color w:val="auto"/>
          <w:sz w:val="24"/>
          <w:highlight w:val="none"/>
          <w:lang w:val="zh-CN" w:eastAsia="zh-CN"/>
        </w:rPr>
        <w:t>采购代理机构</w:t>
      </w:r>
      <w:r>
        <w:rPr>
          <w:rFonts w:hint="eastAsia" w:ascii="宋体" w:hAnsi="宋体" w:eastAsia="宋体" w:cs="宋体"/>
          <w:color w:val="auto"/>
          <w:sz w:val="24"/>
          <w:highlight w:val="none"/>
          <w:lang w:val="zh-CN"/>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4"/>
          <w:highlight w:val="none"/>
          <w:lang w:val="zh-CN" w:eastAsia="zh-CN"/>
        </w:rPr>
        <w:t>采购代理机构</w:t>
      </w:r>
      <w:r>
        <w:rPr>
          <w:rFonts w:hint="eastAsia" w:ascii="宋体" w:hAnsi="宋体" w:eastAsia="宋体" w:cs="宋体"/>
          <w:color w:val="auto"/>
          <w:sz w:val="24"/>
          <w:highlight w:val="none"/>
          <w:lang w:val="zh-CN"/>
        </w:rPr>
        <w:t>在质疑回复后5个工作日内，在浙江政府采购网的“其他公告”栏目公开质疑答复，答复内容应当完整。质疑函作为附件上传。</w:t>
      </w:r>
    </w:p>
    <w:p w14:paraId="056BE4A5">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4.3.6询问或者质疑事项可能影响采购结果的，采购人应当暂停签订合同，已经签订合同的，应当中止履行合同。</w:t>
      </w:r>
    </w:p>
    <w:p w14:paraId="24C63FCF">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4.4供应商投诉</w:t>
      </w:r>
    </w:p>
    <w:p w14:paraId="623CB2DB">
      <w:pPr>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4.4.1质疑供应商对采购人、采购代理机构的答复不满意或者采购人、采购代理机构未在规定的时间内作出答复的，可以在答复期满后十五个工作日内向同级政府采购监督管理部门提出投诉。</w:t>
      </w:r>
    </w:p>
    <w:p w14:paraId="683DA7C5">
      <w:pPr>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4.4.2供应商投诉的事项不得超出已质疑事项的范围，基于质疑答复内容提出的投诉事项除外。</w:t>
      </w:r>
    </w:p>
    <w:p w14:paraId="123F3853">
      <w:pPr>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4.4.3供应商投诉应当有明确的请求和必要的证明材料。</w:t>
      </w:r>
    </w:p>
    <w:p w14:paraId="0B45F6AF">
      <w:pPr>
        <w:pStyle w:val="886"/>
        <w:shd w:val="clear" w:color="auto" w:fill="FFFFFF"/>
        <w:snapToGrid w:val="0"/>
        <w:spacing w:after="240" w:afterAutospacing="0" w:line="360" w:lineRule="auto"/>
        <w:ind w:firstLine="400"/>
        <w:contextualSpacing/>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4.4.4 以联合体形式参加政府采购活动的，其投诉应当由组成联合体的所有供应商共同提出。</w:t>
      </w:r>
    </w:p>
    <w:p w14:paraId="726545F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19752C4A">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7FA7CBA0">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1ADF2A47">
      <w:pPr>
        <w:pStyle w:val="886"/>
        <w:shd w:val="clear" w:color="auto" w:fill="FFFFFF"/>
        <w:snapToGrid w:val="0"/>
        <w:spacing w:after="240" w:afterAutospacing="0" w:line="360" w:lineRule="auto"/>
        <w:ind w:firstLine="400"/>
        <w:contextualSpacing/>
        <w:rPr>
          <w:rFonts w:hint="eastAsia" w:ascii="宋体" w:hAnsi="宋体" w:eastAsia="宋体" w:cs="宋体"/>
          <w:color w:val="auto"/>
          <w:sz w:val="24"/>
          <w:highlight w:val="none"/>
          <w:lang w:val="zh-CN" w:eastAsia="zh-CN"/>
        </w:rPr>
      </w:pPr>
      <w:r>
        <w:rPr>
          <w:rFonts w:hint="eastAsia"/>
          <w:color w:val="auto"/>
          <w:highlight w:val="none"/>
        </w:rPr>
        <w:t>投诉书范本及制作说明详见附件3。</w:t>
      </w:r>
    </w:p>
    <w:p w14:paraId="45914EFD">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3A424316">
      <w:pPr>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5．招标文件的构成</w:t>
      </w:r>
    </w:p>
    <w:p w14:paraId="0982161C">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5.1 招标文件包括下列文件及附件：</w:t>
      </w:r>
    </w:p>
    <w:p w14:paraId="7D2206D5">
      <w:pPr>
        <w:pStyle w:val="32"/>
        <w:tabs>
          <w:tab w:val="left" w:pos="840"/>
        </w:tabs>
        <w:spacing w:line="360" w:lineRule="auto"/>
        <w:ind w:firstLine="960" w:firstLineChars="400"/>
        <w:rPr>
          <w:rFonts w:hint="eastAsia" w:ascii="宋体" w:hAnsi="宋体" w:eastAsia="宋体" w:cs="宋体"/>
          <w:snapToGrid/>
          <w:color w:val="auto"/>
          <w:kern w:val="2"/>
          <w:sz w:val="24"/>
          <w:szCs w:val="24"/>
          <w:highlight w:val="none"/>
          <w:lang w:val="zh-CN" w:eastAsia="zh-CN" w:bidi="ar-SA"/>
        </w:rPr>
      </w:pPr>
      <w:r>
        <w:rPr>
          <w:rFonts w:hint="eastAsia" w:ascii="宋体" w:hAnsi="宋体" w:eastAsia="宋体" w:cs="宋体"/>
          <w:snapToGrid/>
          <w:color w:val="auto"/>
          <w:kern w:val="2"/>
          <w:sz w:val="24"/>
          <w:szCs w:val="24"/>
          <w:highlight w:val="none"/>
          <w:lang w:val="zh-CN" w:eastAsia="zh-CN" w:bidi="ar-SA"/>
        </w:rPr>
        <w:t>5.1.1招标公告；</w:t>
      </w:r>
    </w:p>
    <w:p w14:paraId="767655E9">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w:t>
      </w:r>
      <w:r>
        <w:rPr>
          <w:rFonts w:hint="eastAsia" w:ascii="宋体" w:hAnsi="宋体" w:eastAsia="宋体" w:cs="宋体"/>
          <w:snapToGrid/>
          <w:color w:val="auto"/>
          <w:kern w:val="2"/>
          <w:sz w:val="24"/>
          <w:szCs w:val="24"/>
          <w:highlight w:val="none"/>
          <w:lang w:val="zh-CN" w:eastAsia="zh-CN" w:bidi="ar-SA"/>
        </w:rPr>
        <w:t>.1.2投标人须知</w:t>
      </w:r>
      <w:r>
        <w:rPr>
          <w:rFonts w:hint="eastAsia" w:hAnsi="宋体" w:cs="宋体"/>
          <w:color w:val="auto"/>
          <w:sz w:val="24"/>
          <w:szCs w:val="24"/>
          <w:highlight w:val="none"/>
        </w:rPr>
        <w:t>；</w:t>
      </w:r>
    </w:p>
    <w:p w14:paraId="06661F2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9E7E01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3CFDEBFE">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D630230">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F4002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1BC2652">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48C8622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27E05123">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9D9C8B7">
      <w:pPr>
        <w:adjustRightInd/>
        <w:spacing w:line="360" w:lineRule="auto"/>
        <w:jc w:val="center"/>
        <w:outlineLvl w:val="0"/>
        <w:rPr>
          <w:rFonts w:ascii="宋体" w:hAnsi="宋体" w:cs="宋体"/>
          <w:b/>
          <w:color w:val="auto"/>
          <w:sz w:val="32"/>
          <w:szCs w:val="21"/>
          <w:highlight w:val="none"/>
        </w:rPr>
      </w:pPr>
      <w:r>
        <w:rPr>
          <w:rFonts w:hint="eastAsia" w:ascii="宋体" w:hAnsi="宋体" w:cs="宋体"/>
          <w:b/>
          <w:color w:val="auto"/>
          <w:sz w:val="32"/>
          <w:szCs w:val="21"/>
          <w:highlight w:val="none"/>
        </w:rPr>
        <w:t>三、投标</w:t>
      </w:r>
    </w:p>
    <w:p w14:paraId="7736531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C24C3CC">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6020BD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18CD83CA">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6469555">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9.投标保证金</w:t>
      </w:r>
    </w:p>
    <w:p w14:paraId="189B0F37">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504FA860">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7C5A8EE">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316396CA">
      <w:pPr>
        <w:pStyle w:val="32"/>
        <w:numPr>
          <w:ilvl w:val="0"/>
          <w:numId w:val="3"/>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投标文件的组成</w:t>
      </w:r>
    </w:p>
    <w:p w14:paraId="60B043A7">
      <w:pPr>
        <w:snapToGrid w:val="0"/>
        <w:spacing w:line="360" w:lineRule="auto"/>
        <w:ind w:firstLine="482" w:firstLineChars="200"/>
        <w:rPr>
          <w:rFonts w:hint="eastAsia" w:hAnsi="宋体" w:cs="宋体"/>
          <w:b/>
          <w:color w:val="auto"/>
          <w:sz w:val="24"/>
          <w:szCs w:val="24"/>
          <w:highlight w:val="none"/>
        </w:rPr>
      </w:pPr>
      <w:r>
        <w:rPr>
          <w:rFonts w:hint="eastAsia" w:ascii="宋体" w:hAnsi="宋体" w:cs="宋体"/>
          <w:b/>
          <w:snapToGrid w:val="0"/>
          <w:color w:val="auto"/>
          <w:sz w:val="24"/>
          <w:highlight w:val="none"/>
        </w:rPr>
        <w:t>▲投标文件至少应包括以下文件。</w:t>
      </w:r>
    </w:p>
    <w:p w14:paraId="2B7E1CA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0F4B01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122B9A0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3" w:name="_Hlk101259339"/>
      <w:r>
        <w:rPr>
          <w:rFonts w:hint="eastAsia" w:ascii="宋体" w:hAnsi="宋体" w:cs="宋体"/>
          <w:snapToGrid w:val="0"/>
          <w:color w:val="auto"/>
          <w:kern w:val="28"/>
          <w:sz w:val="24"/>
          <w:szCs w:val="20"/>
          <w:highlight w:val="none"/>
        </w:rPr>
        <w:t>联合协议</w:t>
      </w:r>
      <w:bookmarkEnd w:id="13"/>
      <w:r>
        <w:rPr>
          <w:rFonts w:hint="eastAsia" w:ascii="宋体" w:hAnsi="宋体" w:cs="宋体"/>
          <w:snapToGrid w:val="0"/>
          <w:color w:val="auto"/>
          <w:kern w:val="28"/>
          <w:sz w:val="24"/>
          <w:szCs w:val="20"/>
          <w:highlight w:val="none"/>
        </w:rPr>
        <w:t>（如果有)；</w:t>
      </w:r>
    </w:p>
    <w:p w14:paraId="5CAC9F4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75452B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17BD252">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B9E87F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B3D531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37554F2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089B71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350EC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73CC67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7953B0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D0370A3">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AB3F3B0">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D36D1F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EDF6021">
      <w:pPr>
        <w:pStyle w:val="964"/>
        <w:adjustRightInd w:val="0"/>
        <w:spacing w:line="360" w:lineRule="auto"/>
        <w:ind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59F77F2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552A41E8">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5A2061D8">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6A1D74E4">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4C57D4A8">
      <w:pPr>
        <w:pStyle w:val="129"/>
        <w:snapToGrid w:val="0"/>
        <w:spacing w:before="0"/>
        <w:ind w:left="0" w:leftChars="0"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464CDB5D">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0EA67EC3">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39133C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560B93F">
      <w:pPr>
        <w:numPr>
          <w:ilvl w:val="0"/>
          <w:numId w:val="4"/>
        </w:num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投标文件的签署、盖章</w:t>
      </w:r>
    </w:p>
    <w:p w14:paraId="7A4498B6">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17D2B52F">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B6FFE18">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FC52E97">
      <w:pPr>
        <w:pStyle w:val="129"/>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1B53C8E">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21047F7E">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1A9054F">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23908A9D">
      <w:pPr>
        <w:pStyle w:val="32"/>
        <w:numPr>
          <w:ilvl w:val="0"/>
          <w:numId w:val="5"/>
        </w:numPr>
        <w:spacing w:line="360" w:lineRule="auto"/>
        <w:rPr>
          <w:rFonts w:hAnsi="宋体" w:cs="宋体"/>
          <w:b/>
          <w:color w:val="auto"/>
          <w:sz w:val="24"/>
          <w:szCs w:val="24"/>
          <w:highlight w:val="none"/>
        </w:rPr>
      </w:pPr>
      <w:r>
        <w:rPr>
          <w:rFonts w:hint="eastAsia" w:hAnsi="宋体" w:cs="宋体"/>
          <w:b/>
          <w:color w:val="auto"/>
          <w:sz w:val="24"/>
          <w:szCs w:val="24"/>
          <w:highlight w:val="none"/>
        </w:rPr>
        <w:t>备份投标文件</w:t>
      </w:r>
    </w:p>
    <w:p w14:paraId="113860C3">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23EA1CEA">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5E8D2EAB">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4DA825D4">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686C1924">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3F7E6F7">
      <w:pPr>
        <w:pStyle w:val="129"/>
        <w:numPr>
          <w:ilvl w:val="0"/>
          <w:numId w:val="6"/>
        </w:numPr>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投标文件的无效处理</w:t>
      </w:r>
    </w:p>
    <w:p w14:paraId="248EAE63">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4FB0761C">
      <w:pPr>
        <w:pStyle w:val="129"/>
        <w:numPr>
          <w:ilvl w:val="0"/>
          <w:numId w:val="6"/>
        </w:numPr>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投标有效期</w:t>
      </w:r>
    </w:p>
    <w:p w14:paraId="17F5178A">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3B286EB3">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CAFC248">
      <w:pPr>
        <w:pStyle w:val="129"/>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4D7EFB5C">
      <w:pPr>
        <w:pStyle w:val="129"/>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38B92D1A">
      <w:pPr>
        <w:pStyle w:val="129"/>
        <w:spacing w:before="0"/>
        <w:ind w:left="0" w:leftChars="0"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四、开标</w:t>
      </w:r>
    </w:p>
    <w:p w14:paraId="2DB29FBB">
      <w:pPr>
        <w:pStyle w:val="554"/>
        <w:spacing w:before="0" w:line="360" w:lineRule="auto"/>
        <w:ind w:left="0" w:leftChars="0" w:firstLine="0" w:firstLineChars="0"/>
        <w:contextualSpacing/>
        <w:rPr>
          <w:rFonts w:ascii="宋体" w:hAnsi="宋体" w:cs="宋体"/>
          <w:color w:val="auto"/>
          <w:sz w:val="24"/>
          <w:highlight w:val="none"/>
        </w:rPr>
      </w:pPr>
      <w:r>
        <w:rPr>
          <w:rFonts w:hint="eastAsia" w:ascii="宋体" w:hAnsi="宋体" w:cs="宋体"/>
          <w:b/>
          <w:color w:val="auto"/>
          <w:sz w:val="24"/>
          <w:szCs w:val="24"/>
          <w:highlight w:val="none"/>
        </w:rPr>
        <w:t>18.</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14:paraId="26C0AB80">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657CCC00">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628E870C">
      <w:pPr>
        <w:pStyle w:val="554"/>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A35312B">
      <w:pPr>
        <w:pStyle w:val="129"/>
        <w:spacing w:before="0"/>
        <w:ind w:left="0" w:leftChars="0" w:firstLine="0" w:firstLineChars="0"/>
        <w:jc w:val="center"/>
        <w:rPr>
          <w:rFonts w:hint="eastAsia" w:ascii="宋体" w:hAnsi="宋体" w:cs="宋体"/>
          <w:b/>
          <w:color w:val="auto"/>
          <w:sz w:val="24"/>
          <w:highlight w:val="none"/>
        </w:rPr>
      </w:pPr>
      <w:r>
        <w:rPr>
          <w:rFonts w:hint="eastAsia" w:ascii="宋体" w:hAnsi="宋体" w:cs="宋体"/>
          <w:b/>
          <w:color w:val="auto"/>
          <w:sz w:val="32"/>
          <w:highlight w:val="none"/>
          <w:lang w:eastAsia="zh-CN"/>
        </w:rPr>
        <w:t>五</w:t>
      </w:r>
      <w:r>
        <w:rPr>
          <w:rFonts w:hint="eastAsia" w:ascii="宋体" w:hAnsi="宋体" w:cs="宋体"/>
          <w:b/>
          <w:color w:val="auto"/>
          <w:sz w:val="32"/>
          <w:highlight w:val="none"/>
        </w:rPr>
        <w:t>、</w:t>
      </w:r>
      <w:r>
        <w:rPr>
          <w:rFonts w:hint="eastAsia" w:ascii="宋体" w:hAnsi="宋体" w:cs="宋体"/>
          <w:b/>
          <w:color w:val="auto"/>
          <w:sz w:val="32"/>
          <w:highlight w:val="none"/>
          <w:lang w:eastAsia="zh-CN"/>
        </w:rPr>
        <w:t>资格审查</w:t>
      </w:r>
    </w:p>
    <w:p w14:paraId="17EC0637">
      <w:pPr>
        <w:widowControl/>
        <w:numPr>
          <w:ilvl w:val="0"/>
          <w:numId w:val="7"/>
        </w:numPr>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资格审查</w:t>
      </w:r>
    </w:p>
    <w:p w14:paraId="61B7B65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4E4CA1A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C7A6DBC">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61C8FCF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1A3AD069">
      <w:pPr>
        <w:pStyle w:val="129"/>
        <w:numPr>
          <w:ilvl w:val="0"/>
          <w:numId w:val="7"/>
        </w:numPr>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信用信息查询</w:t>
      </w:r>
    </w:p>
    <w:p w14:paraId="574262A2">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val="en-US" w:eastAsia="zh-CN"/>
        </w:rPr>
        <w:t>采购人或采购代理机构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147F69D8">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0C630C12">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FA02CB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7E83DCC6">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lang w:eastAsia="zh-CN"/>
        </w:rPr>
        <w:t>六</w:t>
      </w:r>
      <w:r>
        <w:rPr>
          <w:rFonts w:hint="eastAsia" w:ascii="宋体" w:hAnsi="宋体" w:cs="宋体"/>
          <w:b/>
          <w:color w:val="auto"/>
          <w:sz w:val="32"/>
          <w:szCs w:val="32"/>
          <w:highlight w:val="none"/>
        </w:rPr>
        <w:t>、评标</w:t>
      </w:r>
    </w:p>
    <w:p w14:paraId="404BD947">
      <w:pPr>
        <w:spacing w:line="360" w:lineRule="auto"/>
        <w:rPr>
          <w:rFonts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3EC9EF8">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lang w:eastAsia="zh-CN"/>
        </w:rPr>
        <w:t>七</w:t>
      </w:r>
      <w:r>
        <w:rPr>
          <w:rFonts w:hint="eastAsia" w:ascii="宋体" w:hAnsi="宋体" w:cs="宋体"/>
          <w:b/>
          <w:color w:val="auto"/>
          <w:sz w:val="32"/>
          <w:szCs w:val="32"/>
          <w:highlight w:val="none"/>
        </w:rPr>
        <w:t>、定标</w:t>
      </w:r>
    </w:p>
    <w:p w14:paraId="12837409">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4B721896">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highlight w:val="none"/>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7F7CDE84">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640CB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22DAA9E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2D2A7E8">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6735CF5C">
      <w:pPr>
        <w:pStyle w:val="3"/>
        <w:tabs>
          <w:tab w:val="clear" w:pos="432"/>
        </w:tabs>
        <w:ind w:left="12" w:hanging="12"/>
        <w:rPr>
          <w:color w:val="auto"/>
          <w:highlight w:val="none"/>
        </w:rPr>
      </w:pPr>
      <w:r>
        <w:rPr>
          <w:rFonts w:hint="default" w:cs="仿宋_GB2312" w:asciiTheme="minorEastAsia" w:hAnsiTheme="minorEastAsia" w:eastAsiaTheme="minorEastAsia"/>
          <w:b/>
          <w:bCs/>
          <w:color w:val="auto"/>
          <w:kern w:val="2"/>
          <w:sz w:val="24"/>
          <w:szCs w:val="24"/>
          <w:highlight w:val="none"/>
          <w:lang w:val="zh-CN" w:eastAsia="zh-CN" w:bidi="ar-SA"/>
        </w:rPr>
        <w:t>24.</w:t>
      </w:r>
      <w:r>
        <w:rPr>
          <w:rFonts w:hint="default" w:cs="仿宋_GB2312" w:asciiTheme="minorEastAsia" w:hAnsiTheme="minorEastAsia" w:eastAsiaTheme="minorEastAsia"/>
          <w:b/>
          <w:bCs/>
          <w:color w:val="auto"/>
          <w:kern w:val="2"/>
          <w:sz w:val="24"/>
          <w:szCs w:val="24"/>
          <w:highlight w:val="none"/>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1E60889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lang w:eastAsia="zh-CN"/>
        </w:rPr>
        <w:t>八</w:t>
      </w:r>
      <w:r>
        <w:rPr>
          <w:rFonts w:hint="eastAsia" w:ascii="宋体" w:hAnsi="宋体" w:cs="宋体"/>
          <w:b/>
          <w:color w:val="auto"/>
          <w:sz w:val="32"/>
          <w:highlight w:val="none"/>
        </w:rPr>
        <w:t>、合同授予</w:t>
      </w:r>
    </w:p>
    <w:p w14:paraId="1CB1A016">
      <w:pPr>
        <w:pStyle w:val="24"/>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5</w:t>
      </w:r>
      <w:r>
        <w:rPr>
          <w:rFonts w:hint="eastAsia" w:cs="宋体"/>
          <w:b/>
          <w:color w:val="auto"/>
          <w:highlight w:val="none"/>
        </w:rPr>
        <w:t xml:space="preserve">. </w:t>
      </w:r>
      <w:r>
        <w:rPr>
          <w:rFonts w:hint="eastAsia" w:cs="宋体"/>
          <w:color w:val="auto"/>
          <w:highlight w:val="none"/>
        </w:rPr>
        <w:t>合同主要条款详见第五部分拟签订的合同文本。</w:t>
      </w:r>
    </w:p>
    <w:p w14:paraId="4BF6E67F">
      <w:pPr>
        <w:pStyle w:val="24"/>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6</w:t>
      </w:r>
      <w:r>
        <w:rPr>
          <w:rFonts w:hint="eastAsia" w:cs="宋体"/>
          <w:b/>
          <w:color w:val="auto"/>
          <w:highlight w:val="none"/>
        </w:rPr>
        <w:t>. 合同的签订</w:t>
      </w:r>
    </w:p>
    <w:p w14:paraId="5E054296">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1FCFE">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6</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500CEF16">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.3如签订合同并生效后，供应商无故拒绝或延期，除按照合同条款处理外，列入不良行为记录一次，并给予通报。</w:t>
      </w:r>
    </w:p>
    <w:p w14:paraId="335B6899">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14:paraId="3B3FD296">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.5采购合同由采购人与中标供应商根据招标文件、投标文件等内容通过政府采购电子交易平台在线签订，自动备案。</w:t>
      </w:r>
    </w:p>
    <w:p w14:paraId="4602862A">
      <w:pPr>
        <w:pStyle w:val="24"/>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7</w:t>
      </w:r>
      <w:r>
        <w:rPr>
          <w:rFonts w:hint="eastAsia" w:cs="宋体"/>
          <w:b/>
          <w:color w:val="auto"/>
          <w:highlight w:val="none"/>
        </w:rPr>
        <w:t>. 履约保证金</w:t>
      </w:r>
    </w:p>
    <w:p w14:paraId="4BC344C9">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4A0365B">
      <w:pPr>
        <w:tabs>
          <w:tab w:val="left" w:pos="0"/>
        </w:tabs>
        <w:spacing w:line="360" w:lineRule="auto"/>
        <w:ind w:firstLine="482"/>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1AEEEFB6">
      <w:pPr>
        <w:pStyle w:val="3"/>
        <w:numPr>
          <w:ilvl w:val="0"/>
          <w:numId w:val="0"/>
        </w:numPr>
        <w:ind w:leftChars="0"/>
        <w:rPr>
          <w:color w:val="auto"/>
          <w:highlight w:val="none"/>
        </w:rPr>
      </w:pPr>
      <w:r>
        <w:rPr>
          <w:rFonts w:hint="eastAsia" w:ascii="宋体" w:hAnsi="宋体" w:eastAsia="宋体" w:cs="Times New Roman"/>
          <w:b/>
          <w:bCs/>
          <w:color w:val="auto"/>
          <w:kern w:val="2"/>
          <w:sz w:val="24"/>
          <w:szCs w:val="32"/>
          <w:highlight w:val="none"/>
          <w:lang w:val="en-US" w:eastAsia="zh-CN"/>
        </w:rPr>
        <w:t>28.</w:t>
      </w:r>
      <w:r>
        <w:rPr>
          <w:rFonts w:ascii="宋体" w:hAnsi="宋体" w:eastAsia="宋体" w:cs="Times New Roman"/>
          <w:b/>
          <w:bCs/>
          <w:color w:val="auto"/>
          <w:kern w:val="2"/>
          <w:sz w:val="24"/>
          <w:szCs w:val="32"/>
          <w:highlight w:val="none"/>
          <w:lang w:val="en-US"/>
        </w:rPr>
        <w:t>预付款</w:t>
      </w:r>
    </w:p>
    <w:p w14:paraId="7E141402">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45914BBE">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lang w:eastAsia="zh-CN"/>
        </w:rPr>
        <w:t>九</w:t>
      </w:r>
      <w:r>
        <w:rPr>
          <w:rFonts w:hint="eastAsia" w:ascii="宋体" w:hAnsi="宋体" w:cs="宋体"/>
          <w:b/>
          <w:color w:val="auto"/>
          <w:sz w:val="32"/>
          <w:highlight w:val="none"/>
        </w:rPr>
        <w:t>、电子交易活动的中止</w:t>
      </w:r>
    </w:p>
    <w:p w14:paraId="0EA046FC">
      <w:pPr>
        <w:pStyle w:val="129"/>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hint="eastAsia" w:ascii="宋体" w:hAnsi="宋体" w:cs="宋体"/>
          <w:b/>
          <w:bCs/>
          <w:color w:val="auto"/>
          <w:kern w:val="2"/>
          <w:sz w:val="24"/>
          <w:szCs w:val="24"/>
          <w:highlight w:val="none"/>
          <w:lang w:val="en-US" w:eastAsia="zh-CN"/>
        </w:rPr>
        <w:t>9</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5CD93339">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.1电子交易平台发生故障而无法登录访问的； </w:t>
      </w:r>
    </w:p>
    <w:p w14:paraId="721BC61E">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.2电子交易平台应用或数据库出现错误，不能进行正常操作的；</w:t>
      </w:r>
    </w:p>
    <w:p w14:paraId="38B95C6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.3电子交易平台发现严重安全漏洞，有潜在泄密危险的；</w:t>
      </w:r>
    </w:p>
    <w:p w14:paraId="57CDF94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.4病毒发作导致不能进行正常操作的； </w:t>
      </w:r>
    </w:p>
    <w:p w14:paraId="199C409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.5其他无法保证电子交易的公平、公正和安全的情况。</w:t>
      </w:r>
    </w:p>
    <w:p w14:paraId="38F227C1">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lang w:val="en-US" w:eastAsia="zh-CN"/>
        </w:rPr>
        <w:t>30</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743E66E1">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lang w:eastAsia="zh-CN"/>
        </w:rPr>
        <w:t>十</w:t>
      </w:r>
      <w:r>
        <w:rPr>
          <w:rFonts w:hint="eastAsia" w:ascii="宋体" w:hAnsi="宋体" w:cs="宋体"/>
          <w:b/>
          <w:color w:val="auto"/>
          <w:sz w:val="32"/>
          <w:highlight w:val="none"/>
        </w:rPr>
        <w:t>、验收</w:t>
      </w:r>
    </w:p>
    <w:p w14:paraId="45171C6F">
      <w:pPr>
        <w:pStyle w:val="24"/>
        <w:spacing w:line="360" w:lineRule="auto"/>
        <w:ind w:firstLine="0" w:firstLineChars="0"/>
        <w:rPr>
          <w:rFonts w:cs="宋体"/>
          <w:b/>
          <w:color w:val="auto"/>
          <w:highlight w:val="none"/>
        </w:rPr>
      </w:pPr>
      <w:r>
        <w:rPr>
          <w:rFonts w:hint="eastAsia" w:cs="宋体"/>
          <w:b/>
          <w:color w:val="auto"/>
          <w:highlight w:val="none"/>
        </w:rPr>
        <w:t>3</w:t>
      </w:r>
      <w:r>
        <w:rPr>
          <w:rFonts w:hint="eastAsia" w:cs="宋体"/>
          <w:b/>
          <w:color w:val="auto"/>
          <w:highlight w:val="none"/>
          <w:lang w:val="en-US" w:eastAsia="zh-CN"/>
        </w:rPr>
        <w:t>1</w:t>
      </w:r>
      <w:r>
        <w:rPr>
          <w:rFonts w:hint="eastAsia" w:cs="宋体"/>
          <w:b/>
          <w:color w:val="auto"/>
          <w:highlight w:val="none"/>
        </w:rPr>
        <w:t>.</w:t>
      </w:r>
      <w:r>
        <w:rPr>
          <w:rFonts w:hint="eastAsia" w:cs="宋体"/>
          <w:b/>
          <w:color w:val="auto"/>
          <w:highlight w:val="none"/>
          <w:lang w:val="en-US" w:eastAsia="zh-CN"/>
        </w:rPr>
        <w:t xml:space="preserve"> </w:t>
      </w:r>
      <w:r>
        <w:rPr>
          <w:rFonts w:hint="eastAsia" w:cs="宋体"/>
          <w:b/>
          <w:color w:val="auto"/>
          <w:highlight w:val="none"/>
        </w:rPr>
        <w:t>验收</w:t>
      </w:r>
    </w:p>
    <w:p w14:paraId="347F87A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519CEC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1B4E4B6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344E4AC">
      <w:pPr>
        <w:tabs>
          <w:tab w:val="left" w:pos="0"/>
        </w:tabs>
        <w:spacing w:line="360" w:lineRule="auto"/>
        <w:ind w:firstLine="48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74714665"/>
      <w:bookmarkEnd w:id="15"/>
      <w:bookmarkStart w:id="16" w:name="_Hlt75236101"/>
      <w:bookmarkEnd w:id="16"/>
      <w:bookmarkStart w:id="17" w:name="_Hlt74730295"/>
      <w:bookmarkEnd w:id="17"/>
      <w:bookmarkStart w:id="18" w:name="_Hlt68072990"/>
      <w:bookmarkEnd w:id="18"/>
      <w:bookmarkStart w:id="19" w:name="_Hlt68073093"/>
      <w:bookmarkEnd w:id="19"/>
      <w:bookmarkStart w:id="20" w:name="_Hlt68057669"/>
      <w:bookmarkEnd w:id="20"/>
      <w:bookmarkStart w:id="21" w:name="_Hlt74729768"/>
      <w:bookmarkEnd w:id="21"/>
      <w:bookmarkStart w:id="22" w:name="_Hlt68072998"/>
      <w:bookmarkEnd w:id="22"/>
      <w:bookmarkStart w:id="23" w:name="_Hlt74707468"/>
      <w:bookmarkEnd w:id="23"/>
      <w:bookmarkStart w:id="24" w:name="_Hlt68403820"/>
      <w:bookmarkEnd w:id="24"/>
      <w:bookmarkStart w:id="25" w:name="_Hlt75236290"/>
      <w:bookmarkEnd w:id="25"/>
      <w:bookmarkStart w:id="26" w:name="_Hlt75236011"/>
      <w:bookmarkEnd w:id="26"/>
      <w:r>
        <w:rPr>
          <w:rFonts w:hint="eastAsia" w:ascii="宋体" w:hAnsi="宋体" w:cs="宋体"/>
          <w:color w:val="auto"/>
          <w:kern w:val="0"/>
          <w:sz w:val="24"/>
          <w:highlight w:val="none"/>
          <w:lang w:eastAsia="zh-CN"/>
        </w:rPr>
        <w:t>。</w:t>
      </w:r>
    </w:p>
    <w:p w14:paraId="3E141005">
      <w:pPr>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br w:type="page"/>
      </w:r>
    </w:p>
    <w:p w14:paraId="13A0CA7D">
      <w:pPr>
        <w:pStyle w:val="3"/>
        <w:rPr>
          <w:rFonts w:hint="eastAsia"/>
          <w:color w:val="auto"/>
          <w:highlight w:val="none"/>
          <w:lang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9"/>
    <w:bookmarkEnd w:id="10"/>
    <w:p w14:paraId="42587E18">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574C3B1C">
      <w:pPr>
        <w:snapToGrid w:val="0"/>
        <w:rPr>
          <w:rStyle w:val="962"/>
          <w:rFonts w:hint="eastAsia"/>
          <w:i w:val="0"/>
          <w:iCs w:val="0"/>
          <w:color w:val="auto"/>
          <w:highlight w:val="none"/>
        </w:rPr>
      </w:pPr>
      <w:r>
        <w:rPr>
          <w:rStyle w:val="962"/>
          <w:rFonts w:hint="eastAsia"/>
          <w:i w:val="0"/>
          <w:iCs w:val="0"/>
          <w:color w:val="auto"/>
          <w:highlight w:val="none"/>
        </w:rPr>
        <w:t>属于实质性要求条款的，请用符号“▲”标明，否则属于非实质性要求。“★”系产品采购项目中单一产品或核心产品。</w:t>
      </w:r>
    </w:p>
    <w:p w14:paraId="025165C1">
      <w:pPr>
        <w:pStyle w:val="3"/>
        <w:numPr>
          <w:ilvl w:val="0"/>
          <w:numId w:val="0"/>
        </w:numPr>
        <w:ind w:left="630" w:leftChars="0" w:hanging="630" w:firstLineChars="0"/>
        <w:jc w:val="center"/>
        <w:rPr>
          <w:rFonts w:hint="eastAsia" w:ascii="宋体" w:hAnsi="宋体" w:eastAsia="宋体" w:cs="宋体"/>
          <w:color w:val="auto"/>
          <w:highlight w:val="none"/>
        </w:rPr>
      </w:pPr>
      <w:r>
        <w:rPr>
          <w:rFonts w:hint="eastAsia" w:ascii="宋体" w:hAnsi="宋体" w:eastAsia="宋体" w:cs="宋体"/>
          <w:b/>
          <w:bCs/>
          <w:color w:val="auto"/>
          <w:kern w:val="2"/>
          <w:sz w:val="32"/>
          <w:szCs w:val="32"/>
          <w:highlight w:val="none"/>
          <w:lang w:val="zh-CN" w:eastAsia="zh-CN" w:bidi="ar-SA"/>
        </w:rPr>
        <w:t>一、</w:t>
      </w:r>
      <w:r>
        <w:rPr>
          <w:rFonts w:hint="eastAsia" w:ascii="宋体" w:hAnsi="宋体" w:eastAsia="宋体" w:cs="宋体"/>
          <w:color w:val="auto"/>
          <w:highlight w:val="none"/>
        </w:rPr>
        <w:t>招标一览表</w:t>
      </w:r>
    </w:p>
    <w:p w14:paraId="5B4E7D75">
      <w:pPr>
        <w:pStyle w:val="6"/>
        <w:jc w:val="left"/>
        <w:rPr>
          <w:rFonts w:hint="eastAsia" w:ascii="宋体" w:hAnsi="宋体" w:eastAsia="宋体" w:cs="宋体"/>
          <w:color w:val="auto"/>
          <w:highlight w:val="none"/>
        </w:rPr>
      </w:pPr>
      <w:r>
        <w:rPr>
          <w:rFonts w:hint="eastAsia" w:ascii="宋体" w:hAnsi="宋体" w:eastAsia="宋体" w:cs="宋体"/>
          <w:color w:val="auto"/>
          <w:highlight w:val="none"/>
        </w:rPr>
        <w:t>标项一：</w:t>
      </w:r>
      <w:r>
        <w:rPr>
          <w:rFonts w:hint="eastAsia" w:ascii="宋体" w:hAnsi="宋体" w:eastAsia="宋体" w:cs="宋体"/>
          <w:color w:val="auto"/>
          <w:highlight w:val="none"/>
          <w:lang w:val="en-US" w:eastAsia="zh-CN"/>
        </w:rPr>
        <w:t>杭州萧山技师学院工业4.0训练设备采购项目</w:t>
      </w:r>
      <w:r>
        <w:rPr>
          <w:rFonts w:hint="eastAsia" w:ascii="宋体" w:hAnsi="宋体" w:eastAsia="宋体" w:cs="宋体"/>
          <w:color w:val="auto"/>
          <w:highlight w:val="none"/>
        </w:rPr>
        <w:t xml:space="preserve"> </w:t>
      </w:r>
    </w:p>
    <w:tbl>
      <w:tblPr>
        <w:tblStyle w:val="62"/>
        <w:tblpPr w:leftFromText="180" w:rightFromText="180" w:vertAnchor="text" w:horzAnchor="margin" w:tblpX="-704" w:tblpY="63"/>
        <w:tblOverlap w:val="never"/>
        <w:tblW w:w="9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1716"/>
        <w:gridCol w:w="508"/>
        <w:gridCol w:w="565"/>
        <w:gridCol w:w="991"/>
        <w:gridCol w:w="2993"/>
        <w:gridCol w:w="2317"/>
      </w:tblGrid>
      <w:tr w14:paraId="2FBF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trPr>
        <w:tc>
          <w:tcPr>
            <w:tcW w:w="615" w:type="dxa"/>
            <w:tcMar>
              <w:top w:w="15" w:type="dxa"/>
              <w:left w:w="15" w:type="dxa"/>
              <w:bottom w:w="0" w:type="dxa"/>
              <w:right w:w="15" w:type="dxa"/>
            </w:tcMar>
            <w:vAlign w:val="center"/>
          </w:tcPr>
          <w:p w14:paraId="3EABC8BF">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716" w:type="dxa"/>
            <w:tcMar>
              <w:top w:w="15" w:type="dxa"/>
              <w:left w:w="15" w:type="dxa"/>
              <w:bottom w:w="0" w:type="dxa"/>
              <w:right w:w="15" w:type="dxa"/>
            </w:tcMar>
            <w:vAlign w:val="center"/>
          </w:tcPr>
          <w:p w14:paraId="1C690777">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508" w:type="dxa"/>
            <w:tcMar>
              <w:top w:w="15" w:type="dxa"/>
              <w:left w:w="15" w:type="dxa"/>
              <w:bottom w:w="0" w:type="dxa"/>
              <w:right w:w="15" w:type="dxa"/>
            </w:tcMar>
            <w:vAlign w:val="center"/>
          </w:tcPr>
          <w:p w14:paraId="60DA0319">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565" w:type="dxa"/>
            <w:tcMar>
              <w:top w:w="15" w:type="dxa"/>
              <w:left w:w="15" w:type="dxa"/>
              <w:bottom w:w="0" w:type="dxa"/>
              <w:right w:w="15" w:type="dxa"/>
            </w:tcMar>
            <w:vAlign w:val="center"/>
          </w:tcPr>
          <w:p w14:paraId="0A0018DC">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991" w:type="dxa"/>
            <w:vAlign w:val="center"/>
          </w:tcPr>
          <w:p w14:paraId="146B5EA6">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预算（元）</w:t>
            </w:r>
          </w:p>
        </w:tc>
        <w:tc>
          <w:tcPr>
            <w:tcW w:w="2993" w:type="dxa"/>
            <w:vAlign w:val="center"/>
          </w:tcPr>
          <w:p w14:paraId="2CFD8699">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简要规格描述或基本情况介绍</w:t>
            </w:r>
          </w:p>
        </w:tc>
        <w:tc>
          <w:tcPr>
            <w:tcW w:w="2317" w:type="dxa"/>
            <w:vAlign w:val="center"/>
          </w:tcPr>
          <w:p w14:paraId="261D4568">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最高限价（元）</w:t>
            </w:r>
          </w:p>
        </w:tc>
      </w:tr>
      <w:tr w14:paraId="2A942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615" w:type="dxa"/>
            <w:tcMar>
              <w:top w:w="15" w:type="dxa"/>
              <w:left w:w="15" w:type="dxa"/>
              <w:bottom w:w="0" w:type="dxa"/>
              <w:right w:w="15" w:type="dxa"/>
            </w:tcMar>
            <w:vAlign w:val="center"/>
          </w:tcPr>
          <w:p w14:paraId="1D59D3DB">
            <w:pPr>
              <w:tabs>
                <w:tab w:val="left" w:pos="0"/>
              </w:tabs>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716" w:type="dxa"/>
            <w:tcMar>
              <w:top w:w="15" w:type="dxa"/>
              <w:left w:w="15" w:type="dxa"/>
              <w:bottom w:w="0" w:type="dxa"/>
              <w:right w:w="15" w:type="dxa"/>
            </w:tcMar>
            <w:vAlign w:val="center"/>
          </w:tcPr>
          <w:p w14:paraId="4D7A15EE">
            <w:pPr>
              <w:jc w:val="center"/>
              <w:textAlignment w:val="center"/>
              <w:rPr>
                <w:rFonts w:hint="eastAsia" w:ascii="宋体" w:hAnsi="宋体" w:eastAsia="宋体" w:cs="宋体"/>
                <w:color w:val="auto"/>
                <w:highlight w:val="none"/>
              </w:rPr>
            </w:pPr>
            <w:r>
              <w:rPr>
                <w:rFonts w:hint="eastAsia" w:ascii="宋体" w:hAnsi="宋体" w:cs="宋体"/>
                <w:color w:val="auto"/>
                <w:highlight w:val="none"/>
                <w:lang w:val="en-US" w:eastAsia="zh-CN"/>
              </w:rPr>
              <w:t>杭州萧山技师学院工业4.0训练设备采购项目</w:t>
            </w:r>
          </w:p>
        </w:tc>
        <w:tc>
          <w:tcPr>
            <w:tcW w:w="508" w:type="dxa"/>
            <w:tcMar>
              <w:top w:w="15" w:type="dxa"/>
              <w:left w:w="15" w:type="dxa"/>
              <w:bottom w:w="0" w:type="dxa"/>
              <w:right w:w="15" w:type="dxa"/>
            </w:tcMar>
            <w:vAlign w:val="center"/>
          </w:tcPr>
          <w:p w14:paraId="5AB0B8F4">
            <w:pPr>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565" w:type="dxa"/>
            <w:tcMar>
              <w:top w:w="15" w:type="dxa"/>
              <w:left w:w="15" w:type="dxa"/>
              <w:bottom w:w="0" w:type="dxa"/>
              <w:right w:w="15" w:type="dxa"/>
            </w:tcMar>
            <w:vAlign w:val="center"/>
          </w:tcPr>
          <w:p w14:paraId="52369794">
            <w:pPr>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批</w:t>
            </w:r>
          </w:p>
        </w:tc>
        <w:tc>
          <w:tcPr>
            <w:tcW w:w="991" w:type="dxa"/>
            <w:vAlign w:val="center"/>
          </w:tcPr>
          <w:p w14:paraId="533DBF6B">
            <w:pPr>
              <w:jc w:val="center"/>
              <w:textAlignment w:val="center"/>
              <w:rPr>
                <w:rFonts w:hint="eastAsia" w:ascii="宋体" w:hAnsi="宋体" w:eastAsia="宋体" w:cs="宋体"/>
                <w:color w:val="auto"/>
                <w:highlight w:val="none"/>
              </w:rPr>
            </w:pPr>
            <w:r>
              <w:rPr>
                <w:rFonts w:hint="eastAsia" w:ascii="宋体" w:hAnsi="宋体" w:cs="宋体"/>
                <w:color w:val="auto"/>
                <w:highlight w:val="none"/>
                <w:lang w:val="en-US" w:eastAsia="zh-CN"/>
              </w:rPr>
              <w:t>2400000</w:t>
            </w:r>
          </w:p>
        </w:tc>
        <w:tc>
          <w:tcPr>
            <w:tcW w:w="2993" w:type="dxa"/>
            <w:vAlign w:val="center"/>
          </w:tcPr>
          <w:p w14:paraId="133F2C6B">
            <w:pPr>
              <w:tabs>
                <w:tab w:val="left" w:pos="0"/>
              </w:tabs>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详见二、采购需求</w:t>
            </w:r>
          </w:p>
        </w:tc>
        <w:tc>
          <w:tcPr>
            <w:tcW w:w="2317" w:type="dxa"/>
            <w:vAlign w:val="center"/>
          </w:tcPr>
          <w:p w14:paraId="4CF2C8ED">
            <w:pPr>
              <w:jc w:val="center"/>
              <w:textAlignment w:val="center"/>
              <w:rPr>
                <w:rFonts w:hint="eastAsia" w:ascii="宋体" w:hAnsi="宋体" w:eastAsia="宋体" w:cs="宋体"/>
                <w:color w:val="auto"/>
                <w:highlight w:val="none"/>
              </w:rPr>
            </w:pPr>
            <w:r>
              <w:rPr>
                <w:rFonts w:hint="eastAsia" w:ascii="宋体" w:hAnsi="宋体" w:cs="宋体"/>
                <w:color w:val="auto"/>
                <w:highlight w:val="none"/>
                <w:lang w:val="en-US" w:eastAsia="zh-CN"/>
              </w:rPr>
              <w:t>2400000</w:t>
            </w:r>
          </w:p>
        </w:tc>
      </w:tr>
    </w:tbl>
    <w:p w14:paraId="566CFC42">
      <w:pPr>
        <w:pStyle w:val="3"/>
        <w:numPr>
          <w:ilvl w:val="0"/>
          <w:numId w:val="0"/>
        </w:numPr>
        <w:ind w:leftChars="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 w:val="22"/>
          <w:szCs w:val="22"/>
          <w:highlight w:val="none"/>
        </w:rPr>
        <w:t>注：</w:t>
      </w:r>
      <w:r>
        <w:rPr>
          <w:rFonts w:hint="eastAsia" w:ascii="宋体" w:hAnsi="宋体" w:eastAsia="宋体" w:cs="宋体"/>
          <w:b/>
          <w:bCs/>
          <w:color w:val="auto"/>
          <w:sz w:val="21"/>
          <w:szCs w:val="21"/>
          <w:highlight w:val="none"/>
        </w:rPr>
        <w:t>▲投标人需在投标（开标）一览表中明确投标报价（总价）及以上各分项小计报价，各分项小计报价不得超过上表各最高限价。</w:t>
      </w:r>
      <w:r>
        <w:rPr>
          <w:rFonts w:hint="eastAsia" w:ascii="宋体" w:hAnsi="宋体" w:eastAsia="宋体" w:cs="宋体"/>
          <w:b/>
          <w:bCs/>
          <w:color w:val="auto"/>
          <w:kern w:val="2"/>
          <w:sz w:val="21"/>
          <w:szCs w:val="21"/>
          <w:highlight w:val="none"/>
          <w:lang w:val="en-US" w:eastAsia="zh-CN" w:bidi="ar-SA"/>
        </w:rPr>
        <w:t>严格执行预算限价，项目如涉及办公用房装修、通用办公设备家具的不得超限额标准。（萧财国资【2019】389号）</w:t>
      </w:r>
    </w:p>
    <w:p w14:paraId="6C81C168">
      <w:pPr>
        <w:rPr>
          <w:rFonts w:hint="eastAsia"/>
        </w:rPr>
      </w:pPr>
    </w:p>
    <w:p w14:paraId="28FC76C0">
      <w:pPr>
        <w:pStyle w:val="3"/>
        <w:numPr>
          <w:ilvl w:val="0"/>
          <w:numId w:val="0"/>
        </w:numPr>
        <w:ind w:left="630" w:leftChars="0" w:hanging="630" w:firstLineChars="0"/>
        <w:jc w:val="center"/>
        <w:rPr>
          <w:rFonts w:hint="eastAsia" w:ascii="宋体" w:hAnsi="宋体" w:eastAsia="宋体" w:cs="宋体"/>
          <w:b/>
          <w:bCs/>
          <w:color w:val="auto"/>
          <w:kern w:val="2"/>
          <w:sz w:val="32"/>
          <w:szCs w:val="32"/>
          <w:highlight w:val="none"/>
          <w:lang w:val="zh-CN" w:eastAsia="zh-CN" w:bidi="ar-SA"/>
        </w:rPr>
      </w:pPr>
      <w:r>
        <w:rPr>
          <w:rFonts w:hint="eastAsia" w:ascii="宋体" w:hAnsi="宋体" w:eastAsia="宋体" w:cs="宋体"/>
          <w:b/>
          <w:bCs/>
          <w:color w:val="auto"/>
          <w:kern w:val="2"/>
          <w:sz w:val="32"/>
          <w:szCs w:val="32"/>
          <w:highlight w:val="none"/>
          <w:lang w:val="zh-CN" w:eastAsia="zh-CN" w:bidi="ar-SA"/>
        </w:rPr>
        <w:t>二、采购需求</w:t>
      </w:r>
    </w:p>
    <w:p w14:paraId="5577017B">
      <w:pPr>
        <w:tabs>
          <w:tab w:val="left" w:pos="0"/>
        </w:tabs>
        <w:spacing w:line="360" w:lineRule="auto"/>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1、</w:t>
      </w:r>
      <w:r>
        <w:rPr>
          <w:rFonts w:hint="eastAsia" w:ascii="宋体" w:hAnsi="宋体" w:cs="宋体"/>
          <w:b/>
          <w:bCs/>
          <w:color w:val="auto"/>
          <w:kern w:val="0"/>
          <w:sz w:val="24"/>
          <w:highlight w:val="none"/>
        </w:rPr>
        <w:t>技术需求：</w:t>
      </w:r>
    </w:p>
    <w:p w14:paraId="0F3147D9">
      <w:pPr>
        <w:tabs>
          <w:tab w:val="left" w:pos="0"/>
        </w:tabs>
        <w:spacing w:line="360" w:lineRule="auto"/>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（一）技术参数及配置需求</w:t>
      </w:r>
    </w:p>
    <w:tbl>
      <w:tblPr>
        <w:tblStyle w:val="63"/>
        <w:tblW w:w="9055" w:type="dxa"/>
        <w:tblInd w:w="-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788"/>
        <w:gridCol w:w="6262"/>
        <w:gridCol w:w="655"/>
        <w:gridCol w:w="709"/>
      </w:tblGrid>
      <w:tr w14:paraId="65B58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14:paraId="53DE38CD">
            <w:pPr>
              <w:snapToGrid w:val="0"/>
              <w:jc w:val="center"/>
              <w:rPr>
                <w:rFonts w:hint="eastAsia" w:ascii="宋体" w:hAnsi="宋体" w:eastAsia="宋体" w:cs="宋体"/>
                <w:b/>
                <w:bCs/>
                <w:kern w:val="0"/>
                <w:sz w:val="18"/>
                <w:szCs w:val="18"/>
                <w:highlight w:val="none"/>
                <w:lang w:eastAsia="zh-Hans"/>
              </w:rPr>
            </w:pPr>
            <w:r>
              <w:rPr>
                <w:rFonts w:hint="eastAsia" w:ascii="宋体" w:hAnsi="宋体" w:eastAsia="宋体" w:cs="宋体"/>
                <w:b/>
                <w:bCs/>
                <w:kern w:val="0"/>
                <w:sz w:val="18"/>
                <w:szCs w:val="18"/>
                <w:highlight w:val="none"/>
                <w:lang w:eastAsia="zh-Hans"/>
              </w:rPr>
              <w:t>序号</w:t>
            </w:r>
          </w:p>
        </w:tc>
        <w:tc>
          <w:tcPr>
            <w:tcW w:w="788" w:type="dxa"/>
            <w:vAlign w:val="center"/>
          </w:tcPr>
          <w:p w14:paraId="0F35E97E">
            <w:pPr>
              <w:snapToGrid w:val="0"/>
              <w:jc w:val="center"/>
              <w:rPr>
                <w:rFonts w:hint="eastAsia" w:ascii="宋体" w:hAnsi="宋体" w:eastAsia="宋体" w:cs="宋体"/>
                <w:b/>
                <w:bCs/>
                <w:kern w:val="0"/>
                <w:sz w:val="18"/>
                <w:szCs w:val="18"/>
                <w:highlight w:val="none"/>
                <w:lang w:eastAsia="zh-Hans"/>
              </w:rPr>
            </w:pPr>
            <w:r>
              <w:rPr>
                <w:rFonts w:hint="eastAsia" w:ascii="宋体" w:hAnsi="宋体" w:eastAsia="宋体" w:cs="宋体"/>
                <w:b/>
                <w:bCs/>
                <w:kern w:val="0"/>
                <w:sz w:val="18"/>
                <w:szCs w:val="18"/>
                <w:highlight w:val="none"/>
                <w:lang w:eastAsia="zh-Hans"/>
              </w:rPr>
              <w:t>名称</w:t>
            </w:r>
          </w:p>
        </w:tc>
        <w:tc>
          <w:tcPr>
            <w:tcW w:w="6262" w:type="dxa"/>
            <w:vAlign w:val="center"/>
          </w:tcPr>
          <w:p w14:paraId="224B3229">
            <w:pPr>
              <w:snapToGrid w:val="0"/>
              <w:jc w:val="center"/>
              <w:rPr>
                <w:rFonts w:hint="eastAsia" w:ascii="宋体" w:hAnsi="宋体" w:eastAsia="宋体" w:cs="宋体"/>
                <w:b/>
                <w:bCs/>
                <w:kern w:val="0"/>
                <w:sz w:val="18"/>
                <w:szCs w:val="18"/>
                <w:highlight w:val="none"/>
                <w:lang w:eastAsia="zh-Hans"/>
              </w:rPr>
            </w:pPr>
            <w:r>
              <w:rPr>
                <w:rFonts w:hint="eastAsia" w:ascii="宋体" w:hAnsi="宋体" w:eastAsia="宋体" w:cs="宋体"/>
                <w:b/>
                <w:bCs/>
                <w:kern w:val="0"/>
                <w:sz w:val="18"/>
                <w:szCs w:val="18"/>
                <w:highlight w:val="none"/>
                <w:lang w:eastAsia="zh-Hans"/>
              </w:rPr>
              <w:t>技术参数要求</w:t>
            </w:r>
          </w:p>
        </w:tc>
        <w:tc>
          <w:tcPr>
            <w:tcW w:w="655" w:type="dxa"/>
            <w:vAlign w:val="center"/>
          </w:tcPr>
          <w:p w14:paraId="39D008E4">
            <w:pPr>
              <w:snapToGrid w:val="0"/>
              <w:jc w:val="center"/>
              <w:rPr>
                <w:rFonts w:hint="eastAsia" w:ascii="宋体" w:hAnsi="宋体" w:eastAsia="宋体" w:cs="宋体"/>
                <w:b/>
                <w:bCs/>
                <w:kern w:val="0"/>
                <w:sz w:val="18"/>
                <w:szCs w:val="18"/>
                <w:highlight w:val="none"/>
                <w:lang w:eastAsia="zh-Hans"/>
              </w:rPr>
            </w:pPr>
            <w:r>
              <w:rPr>
                <w:rFonts w:hint="eastAsia" w:ascii="宋体" w:hAnsi="宋体" w:eastAsia="宋体" w:cs="宋体"/>
                <w:b/>
                <w:bCs/>
                <w:kern w:val="0"/>
                <w:sz w:val="18"/>
                <w:szCs w:val="18"/>
                <w:highlight w:val="none"/>
                <w:lang w:eastAsia="zh-Hans"/>
              </w:rPr>
              <w:t>数量</w:t>
            </w:r>
          </w:p>
        </w:tc>
        <w:tc>
          <w:tcPr>
            <w:tcW w:w="709" w:type="dxa"/>
            <w:shd w:val="clear" w:color="auto" w:fill="auto"/>
            <w:vAlign w:val="center"/>
          </w:tcPr>
          <w:p w14:paraId="7CF1DCEE">
            <w:pPr>
              <w:snapToGrid w:val="0"/>
              <w:jc w:val="center"/>
              <w:rPr>
                <w:rFonts w:hint="eastAsia" w:ascii="宋体" w:hAnsi="宋体" w:eastAsia="宋体" w:cs="宋体"/>
                <w:b/>
                <w:bCs/>
                <w:kern w:val="0"/>
                <w:sz w:val="18"/>
                <w:szCs w:val="18"/>
                <w:highlight w:val="none"/>
                <w:lang w:eastAsia="zh-Hans"/>
              </w:rPr>
            </w:pPr>
            <w:r>
              <w:rPr>
                <w:rFonts w:hint="eastAsia" w:ascii="宋体" w:hAnsi="宋体" w:eastAsia="宋体" w:cs="宋体"/>
                <w:b/>
                <w:bCs/>
                <w:kern w:val="0"/>
                <w:sz w:val="18"/>
                <w:szCs w:val="18"/>
                <w:highlight w:val="none"/>
                <w:lang w:eastAsia="zh-Hans"/>
              </w:rPr>
              <w:t>单位</w:t>
            </w:r>
          </w:p>
        </w:tc>
      </w:tr>
      <w:tr w14:paraId="203B4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14:paraId="0053C11A">
            <w:pPr>
              <w:snapToGrid w:val="0"/>
              <w:jc w:val="center"/>
              <w:rPr>
                <w:rFonts w:hint="eastAsia" w:ascii="宋体" w:hAnsi="宋体" w:eastAsia="宋体" w:cs="宋体"/>
                <w:kern w:val="0"/>
                <w:sz w:val="18"/>
                <w:szCs w:val="18"/>
                <w:highlight w:val="none"/>
                <w:lang w:eastAsia="zh-Hans"/>
              </w:rPr>
            </w:pPr>
            <w:r>
              <w:rPr>
                <w:rFonts w:hint="eastAsia" w:ascii="宋体" w:hAnsi="宋体" w:eastAsia="宋体" w:cs="宋体"/>
                <w:kern w:val="0"/>
                <w:sz w:val="18"/>
                <w:szCs w:val="18"/>
                <w:highlight w:val="none"/>
                <w:lang w:eastAsia="zh-Hans"/>
              </w:rPr>
              <w:t>1</w:t>
            </w:r>
          </w:p>
        </w:tc>
        <w:tc>
          <w:tcPr>
            <w:tcW w:w="788" w:type="dxa"/>
            <w:vAlign w:val="center"/>
          </w:tcPr>
          <w:p w14:paraId="2823A85C">
            <w:pPr>
              <w:snapToGrid w:val="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Hans"/>
              </w:rPr>
              <w:t>★</w:t>
            </w:r>
            <w:r>
              <w:rPr>
                <w:rFonts w:hint="eastAsia" w:ascii="宋体" w:hAnsi="宋体" w:eastAsia="宋体" w:cs="宋体"/>
                <w:kern w:val="0"/>
                <w:sz w:val="18"/>
                <w:szCs w:val="18"/>
                <w:highlight w:val="none"/>
                <w:lang w:eastAsia="zh-Hans"/>
              </w:rPr>
              <w:t>工业</w:t>
            </w:r>
            <w:r>
              <w:rPr>
                <w:rFonts w:hint="eastAsia" w:ascii="宋体" w:hAnsi="宋体" w:eastAsia="宋体" w:cs="宋体"/>
                <w:kern w:val="0"/>
                <w:sz w:val="18"/>
                <w:szCs w:val="18"/>
                <w:highlight w:val="none"/>
              </w:rPr>
              <w:t>4.0竞赛平台</w:t>
            </w:r>
          </w:p>
        </w:tc>
        <w:tc>
          <w:tcPr>
            <w:tcW w:w="6262" w:type="dxa"/>
            <w:vAlign w:val="center"/>
          </w:tcPr>
          <w:p w14:paraId="06AA89FC">
            <w:pPr>
              <w:autoSpaceDE w:val="0"/>
              <w:autoSpaceDN w:val="0"/>
              <w:adjustRightInd w:val="0"/>
              <w:snapToGrid w:val="0"/>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一、平台技术组成要求</w:t>
            </w:r>
          </w:p>
          <w:p w14:paraId="2472A7EA">
            <w:pPr>
              <w:autoSpaceDE w:val="0"/>
              <w:autoSpaceDN w:val="0"/>
              <w:adjustRightInd w:val="0"/>
              <w:snapToGrid w:val="0"/>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（一）钻孔应用单元</w:t>
            </w:r>
          </w:p>
          <w:p w14:paraId="3AE16791">
            <w:pPr>
              <w:autoSpaceDE w:val="0"/>
              <w:autoSpaceDN w:val="0"/>
              <w:adjustRightInd w:val="0"/>
              <w:snapToGrid w:val="0"/>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应含PLC、触摸屏、远程I/O、RFID（带IO-Link）、IO-LINK master、托盘传送系统、变频器、伺服系统、压紧子模块、钻孔子模块、检测与喷码系统、工作底车、控制屏、操作面板。</w:t>
            </w:r>
          </w:p>
          <w:p w14:paraId="23890221">
            <w:pPr>
              <w:autoSpaceDE w:val="0"/>
              <w:autoSpaceDN w:val="0"/>
              <w:adjustRightInd w:val="0"/>
              <w:snapToGrid w:val="0"/>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◆投标人提供设备整体三维设计图，不少于四个方向的设计图，应可清晰展现设备钻孔应用单元，并在图片中对各组成模块进行名称标记。</w:t>
            </w:r>
          </w:p>
          <w:p w14:paraId="1678CF5A">
            <w:pPr>
              <w:autoSpaceDE w:val="0"/>
              <w:autoSpaceDN w:val="0"/>
              <w:adjustRightInd w:val="0"/>
              <w:snapToGrid w:val="0"/>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单元具体参数要求如下：</w:t>
            </w:r>
          </w:p>
          <w:p w14:paraId="33B75BAE">
            <w:pPr>
              <w:autoSpaceDE w:val="0"/>
              <w:autoSpaceDN w:val="0"/>
              <w:adjustRightInd w:val="0"/>
              <w:snapToGrid w:val="0"/>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1、PLC</w:t>
            </w:r>
          </w:p>
          <w:p w14:paraId="1B5B895B">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应满足下列参数要求：</w:t>
            </w:r>
          </w:p>
          <w:p w14:paraId="21B1372F">
            <w:pPr>
              <w:autoSpaceDE w:val="0"/>
              <w:autoSpaceDN w:val="0"/>
              <w:adjustRightInd w:val="0"/>
              <w:snapToGrid w:val="0"/>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（1）1个24V/8A稳定电源模块，输入≥120/230V AC输出≥24V/8A DC；</w:t>
            </w:r>
          </w:p>
          <w:p w14:paraId="269ED8B9">
            <w:pPr>
              <w:autoSpaceDE w:val="0"/>
              <w:autoSpaceDN w:val="0"/>
              <w:adjustRightInd w:val="0"/>
              <w:snapToGrid w:val="0"/>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（2）1个CPU模块，工作存储器：≥1MB用于存储程序，≥5MB用于存储数据；接口1：应支持PROFINET IRT 2端口交换机；接口2：应为以太网接口；接口3：应支持PROFIBUS；10 NS位性能，支持配备存储卡24MB。CPU自带显示屏，能直观显示故障信息。通过此显示屏，用户可方便地分析中央模块以及分布式模块的状态，或者无需编程器而设置和更改IP地址等；自带控制按钮，无需编程器，通过按钮及显示屏能简单处理设定参数修改；一个机架最多可带32个模块。无需扩展连接。</w:t>
            </w:r>
          </w:p>
          <w:p w14:paraId="36ECF219">
            <w:pPr>
              <w:autoSpaceDE w:val="0"/>
              <w:autoSpaceDN w:val="0"/>
              <w:adjustRightInd w:val="0"/>
              <w:snapToGrid w:val="0"/>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（3）1个数字量输入模块DI32×DC24V，≥32通道，每16通道为一组；</w:t>
            </w:r>
          </w:p>
          <w:p w14:paraId="3B106819">
            <w:pPr>
              <w:autoSpaceDE w:val="0"/>
              <w:autoSpaceDN w:val="0"/>
              <w:adjustRightInd w:val="0"/>
              <w:snapToGrid w:val="0"/>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（4）1个数字量输出模块DO32×24VDC/0.5A，≥32通道；</w:t>
            </w:r>
          </w:p>
          <w:p w14:paraId="7F7657B4">
            <w:pPr>
              <w:autoSpaceDE w:val="0"/>
              <w:autoSpaceDN w:val="0"/>
              <w:adjustRightInd w:val="0"/>
              <w:snapToGrid w:val="0"/>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（5）1个模拟量输入模块，</w:t>
            </w:r>
            <w:r>
              <w:rPr>
                <w:rFonts w:hint="eastAsia" w:ascii="宋体" w:hAnsi="宋体" w:eastAsia="宋体" w:cs="宋体"/>
                <w:sz w:val="18"/>
                <w:szCs w:val="18"/>
                <w:highlight w:val="none"/>
              </w:rPr>
              <w:t>AI8 × U/I/RTD/TC，</w:t>
            </w:r>
            <w:r>
              <w:rPr>
                <w:rFonts w:hint="eastAsia" w:ascii="宋体" w:hAnsi="宋体" w:eastAsia="宋体" w:cs="宋体"/>
                <w:kern w:val="0"/>
                <w:sz w:val="18"/>
                <w:szCs w:val="18"/>
                <w:highlight w:val="none"/>
              </w:rPr>
              <w:t>≥16位分辨率，精度0.3%，≥8通道；</w:t>
            </w:r>
          </w:p>
          <w:p w14:paraId="7A0F7F4F">
            <w:pPr>
              <w:autoSpaceDE w:val="0"/>
              <w:autoSpaceDN w:val="0"/>
              <w:adjustRightInd w:val="0"/>
              <w:snapToGrid w:val="0"/>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（6）1个模拟量输出模块，</w:t>
            </w:r>
            <w:r>
              <w:rPr>
                <w:rFonts w:hint="eastAsia" w:ascii="宋体" w:hAnsi="宋体" w:eastAsia="宋体" w:cs="宋体"/>
                <w:sz w:val="18"/>
                <w:szCs w:val="18"/>
                <w:highlight w:val="none"/>
              </w:rPr>
              <w:t>AQ4 × U/I ST，</w:t>
            </w:r>
            <w:r>
              <w:rPr>
                <w:rFonts w:hint="eastAsia" w:ascii="宋体" w:hAnsi="宋体" w:eastAsia="宋体" w:cs="宋体"/>
                <w:kern w:val="0"/>
                <w:sz w:val="18"/>
                <w:szCs w:val="18"/>
                <w:highlight w:val="none"/>
              </w:rPr>
              <w:t>≥16位分辨率，精度0.3%，≥4通道，每4通道为一组；</w:t>
            </w:r>
          </w:p>
          <w:p w14:paraId="3F9401B2">
            <w:pPr>
              <w:autoSpaceDE w:val="0"/>
              <w:autoSpaceDN w:val="0"/>
              <w:adjustRightInd w:val="0"/>
              <w:snapToGrid w:val="0"/>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（7）1个安装导轨，应包括接地元件，用于安装电缆夹、熔断器或继电器等小型元件的集成DIN导轨；</w:t>
            </w:r>
          </w:p>
          <w:p w14:paraId="2C11D737">
            <w:pPr>
              <w:autoSpaceDE w:val="0"/>
              <w:autoSpaceDN w:val="0"/>
              <w:adjustRightInd w:val="0"/>
              <w:snapToGrid w:val="0"/>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（8）1个用于CPU的存储卡，3.3V闪存，≥24MB；</w:t>
            </w:r>
          </w:p>
          <w:p w14:paraId="437A32BF">
            <w:pPr>
              <w:autoSpaceDE w:val="0"/>
              <w:autoSpaceDN w:val="0"/>
              <w:adjustRightInd w:val="0"/>
              <w:snapToGrid w:val="0"/>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（9）≥4个螺钉型前连接器，40针，用于35mm宽模块。</w:t>
            </w:r>
          </w:p>
          <w:p w14:paraId="41F99417">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（10）应配套专业版编程软件。</w:t>
            </w:r>
          </w:p>
          <w:p w14:paraId="1EB313DE">
            <w:pPr>
              <w:snapToGrid w:val="0"/>
              <w:jc w:val="left"/>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2、触摸屏</w:t>
            </w:r>
          </w:p>
          <w:p w14:paraId="668F23AB">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应满足下列参数要求：</w:t>
            </w:r>
          </w:p>
          <w:p w14:paraId="5011DE99">
            <w:pPr>
              <w:autoSpaceDE w:val="0"/>
              <w:autoSpaceDN w:val="0"/>
              <w:adjustRightInd w:val="0"/>
              <w:snapToGrid w:val="0"/>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≥7寸</w:t>
            </w:r>
            <w:r>
              <w:rPr>
                <w:rFonts w:hint="eastAsia" w:ascii="宋体" w:hAnsi="宋体" w:eastAsia="宋体" w:cs="宋体"/>
                <w:sz w:val="18"/>
                <w:szCs w:val="18"/>
                <w:highlight w:val="none"/>
              </w:rPr>
              <w:t>精智面板</w:t>
            </w:r>
            <w:r>
              <w:rPr>
                <w:rFonts w:hint="eastAsia" w:ascii="宋体" w:hAnsi="宋体" w:eastAsia="宋体" w:cs="宋体"/>
                <w:kern w:val="0"/>
                <w:sz w:val="18"/>
                <w:szCs w:val="18"/>
                <w:highlight w:val="none"/>
              </w:rPr>
              <w:t>，应带PN、MPI、DP接口（面板集成至少2个RJ45端口的交换机）。</w:t>
            </w:r>
          </w:p>
          <w:p w14:paraId="796B04B2">
            <w:pPr>
              <w:snapToGrid w:val="0"/>
              <w:jc w:val="left"/>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3、远程I/O</w:t>
            </w:r>
          </w:p>
          <w:p w14:paraId="2B7C200A">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该模块应由总线适配器、输入模块、输出模块三部分组成。</w:t>
            </w:r>
          </w:p>
          <w:p w14:paraId="321A2E0A">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应满足下列参数要求：</w:t>
            </w:r>
          </w:p>
          <w:p w14:paraId="373ED889">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各模块应采用带通讯模块。</w:t>
            </w:r>
          </w:p>
          <w:p w14:paraId="0105E155">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（1）1个总线适配器模块；</w:t>
            </w:r>
          </w:p>
          <w:p w14:paraId="59A21A06">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（2）≥2个数字量输入模块DI模块，DI16×24VDC PNP/NPN；</w:t>
            </w:r>
          </w:p>
          <w:p w14:paraId="3ACD2F19">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（3）≥2个数字量输出模块DQ模块，DO16×24VDC 0.5A PNP；</w:t>
            </w:r>
          </w:p>
          <w:p w14:paraId="6C94ABFE">
            <w:pPr>
              <w:snapToGrid w:val="0"/>
              <w:jc w:val="left"/>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4、RFID（带IO-Link）带IO-Link接口</w:t>
            </w:r>
          </w:p>
          <w:p w14:paraId="4C3257AA">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应满足下列参数要求：</w:t>
            </w:r>
          </w:p>
          <w:p w14:paraId="28D72F23">
            <w:pPr>
              <w:autoSpaceDE w:val="0"/>
              <w:autoSpaceDN w:val="0"/>
              <w:adjustRightInd w:val="0"/>
              <w:snapToGrid w:val="0"/>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（1）≥1个带IO-Link接口的阅读器，IP67；接口≥M18mm；应带集成天线；</w:t>
            </w:r>
          </w:p>
          <w:p w14:paraId="62382748">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（2）≥1根RF IO-Link插接电缆，预制，应适合在IO-Link主站和阅读器之间使用；</w:t>
            </w:r>
          </w:p>
          <w:p w14:paraId="1F47DFA2">
            <w:pPr>
              <w:snapToGrid w:val="0"/>
              <w:jc w:val="left"/>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5、非网管型工业以太网交换机</w:t>
            </w:r>
          </w:p>
          <w:p w14:paraId="22083AA3">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应满足下列参数要求：</w:t>
            </w:r>
          </w:p>
          <w:p w14:paraId="78A60B97">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针对10/100 Mbit/s；应可用于架设小型星状和线状结构；应具有LED诊断功能，防护等级≥IP20，供电应为24V AC/DC电源，带至少8个10/100 Mbit/s双绞线端口及RJ45插座；手册应可供下载。</w:t>
            </w:r>
          </w:p>
          <w:p w14:paraId="1517A9F4">
            <w:pPr>
              <w:snapToGrid w:val="0"/>
              <w:jc w:val="left"/>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6、IO-LINK master</w:t>
            </w:r>
          </w:p>
          <w:p w14:paraId="3E53D939">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应满足下列参数要求：</w:t>
            </w:r>
          </w:p>
          <w:p w14:paraId="76ABD88C">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（1）PROFINET IO IO-Link主设备，至少带8路输入/输出，应具有短路保护功能。</w:t>
            </w:r>
          </w:p>
          <w:p w14:paraId="399F60DB">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（2）工业以太网接口，应采用媒体冗余协议（MRP）+Modbus TCP+OPC UA+MQTT的PROFINET IO。Modbus最大PDI：33次/秒；OPC UA最大PDI更新率：20次/秒；MQTT最大PDI更新率：10次/秒</w:t>
            </w:r>
          </w:p>
          <w:p w14:paraId="32537DE9">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（3）防护等级≥IP67</w:t>
            </w:r>
          </w:p>
          <w:p w14:paraId="48123101">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（4）1根电源电缆</w:t>
            </w:r>
          </w:p>
          <w:p w14:paraId="72204017">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（5）1根通讯电缆</w:t>
            </w:r>
          </w:p>
          <w:p w14:paraId="5A47B88D">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（6）1根IO-LINK IO通讯电缆</w:t>
            </w:r>
          </w:p>
          <w:p w14:paraId="0C7FDF5A">
            <w:pPr>
              <w:snapToGrid w:val="0"/>
              <w:jc w:val="left"/>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7、托盘传送系统</w:t>
            </w:r>
          </w:p>
          <w:p w14:paraId="0146BDEE">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应满足下列参数要求：</w:t>
            </w:r>
          </w:p>
          <w:p w14:paraId="043A054C">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应含有托盘顶升机构、编码定位机构、阻隔机构、传感器检测机构、交流电机、变频调速机构、双皮带传输机构、托盘移载机构、高精度丝杠、终端集线模块等。</w:t>
            </w:r>
          </w:p>
          <w:p w14:paraId="7A2D6877">
            <w:pPr>
              <w:snapToGrid w:val="0"/>
              <w:jc w:val="left"/>
              <w:rPr>
                <w:rFonts w:hint="eastAsia" w:ascii="宋体" w:hAnsi="宋体" w:eastAsia="宋体" w:cs="宋体"/>
                <w:b w:val="0"/>
                <w:bCs w:val="0"/>
                <w:kern w:val="0"/>
                <w:sz w:val="18"/>
                <w:szCs w:val="18"/>
                <w:highlight w:val="none"/>
              </w:rPr>
            </w:pPr>
            <w:r>
              <w:rPr>
                <w:rFonts w:hint="eastAsia" w:ascii="宋体" w:hAnsi="宋体" w:eastAsia="宋体" w:cs="宋体"/>
                <w:b w:val="0"/>
                <w:bCs w:val="0"/>
                <w:kern w:val="0"/>
                <w:sz w:val="18"/>
                <w:szCs w:val="18"/>
                <w:highlight w:val="none"/>
                <w:lang w:eastAsia="zh-CN"/>
              </w:rPr>
              <w:t>◆</w:t>
            </w:r>
            <w:r>
              <w:rPr>
                <w:rFonts w:hint="eastAsia" w:ascii="宋体" w:hAnsi="宋体" w:eastAsia="宋体" w:cs="宋体"/>
                <w:b w:val="0"/>
                <w:bCs w:val="0"/>
                <w:kern w:val="0"/>
                <w:sz w:val="18"/>
                <w:szCs w:val="18"/>
                <w:highlight w:val="none"/>
              </w:rPr>
              <w:t>投标人提供托盘传送系统的实物照片，照片应可清晰看到托盘传送系统的托盘顶升机构、编码定位机构、阻隔机构、托盘移载机构，并在图片中对各组成机构进行名称标记。</w:t>
            </w:r>
          </w:p>
          <w:p w14:paraId="3514F779">
            <w:pPr>
              <w:snapToGrid w:val="0"/>
              <w:jc w:val="left"/>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8、变频器</w:t>
            </w:r>
          </w:p>
          <w:p w14:paraId="5ED7FFAE">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应满足下列参数要求：</w:t>
            </w:r>
          </w:p>
          <w:p w14:paraId="1AF1903D">
            <w:pPr>
              <w:autoSpaceDE w:val="0"/>
              <w:autoSpaceDN w:val="0"/>
              <w:adjustRightInd w:val="0"/>
              <w:snapToGrid w:val="0"/>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应采用标准变频器（三相，应带ProfiNet通讯口）。</w:t>
            </w:r>
          </w:p>
          <w:p w14:paraId="403728FC">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（1）控制单元，应内置ProfiNET通讯口，应支持矢量控制，≥4个可组态的IO点，≥6 DI（可作3F-DI），≥5 DI，≥3DO（可作1F-DO），≥2AI，≥2AO安全集成STO，编码器：D-CLIQ+HTL/TTL/SSI，旋转变压器/HTL通过端子接入保护等级≥IP20，应提供USB及SD/MMC接口；</w:t>
            </w:r>
          </w:p>
          <w:p w14:paraId="1F2C2790">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（2）功率单元，应带制动斩波器，功率≥0.75KW，3AC380-480V+10%/-10%47-63 HZ；</w:t>
            </w:r>
          </w:p>
          <w:p w14:paraId="7BF674E2">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（3）1个智能操作面板；</w:t>
            </w:r>
          </w:p>
          <w:p w14:paraId="22A11109">
            <w:pPr>
              <w:snapToGrid w:val="0"/>
              <w:jc w:val="left"/>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9、伺服系统</w:t>
            </w:r>
          </w:p>
          <w:p w14:paraId="38642362">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应满足下列参数要求：</w:t>
            </w:r>
          </w:p>
          <w:p w14:paraId="2BF5A575">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（1）</w:t>
            </w:r>
            <w:r>
              <w:rPr>
                <w:rFonts w:hint="eastAsia" w:ascii="宋体" w:hAnsi="宋体" w:eastAsia="宋体" w:cs="宋体"/>
                <w:kern w:val="0"/>
                <w:sz w:val="18"/>
                <w:szCs w:val="18"/>
                <w:highlight w:val="none"/>
              </w:rPr>
              <w:t>伺服驱动器，≥0.1KW，应带PN通讯口；</w:t>
            </w:r>
          </w:p>
          <w:p w14:paraId="09D94662">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（2）</w:t>
            </w:r>
            <w:r>
              <w:rPr>
                <w:rFonts w:hint="eastAsia" w:ascii="宋体" w:hAnsi="宋体" w:eastAsia="宋体" w:cs="宋体"/>
                <w:kern w:val="0"/>
                <w:sz w:val="18"/>
                <w:szCs w:val="18"/>
                <w:highlight w:val="none"/>
              </w:rPr>
              <w:t>伺服电机，≥0.1KW，增量编码器，平键，无抱闸；</w:t>
            </w:r>
          </w:p>
          <w:p w14:paraId="6F6DDF03">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（3）</w:t>
            </w:r>
            <w:r>
              <w:rPr>
                <w:rFonts w:hint="eastAsia" w:ascii="宋体" w:hAnsi="宋体" w:eastAsia="宋体" w:cs="宋体"/>
                <w:kern w:val="0"/>
                <w:sz w:val="18"/>
                <w:szCs w:val="18"/>
                <w:highlight w:val="none"/>
              </w:rPr>
              <w:t>1根编码器电缆，≥3m，用于增量式编码器，应含接头；</w:t>
            </w:r>
          </w:p>
          <w:p w14:paraId="651165E2">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（4）</w:t>
            </w:r>
            <w:r>
              <w:rPr>
                <w:rFonts w:hint="eastAsia" w:ascii="宋体" w:hAnsi="宋体" w:eastAsia="宋体" w:cs="宋体"/>
                <w:kern w:val="0"/>
                <w:sz w:val="18"/>
                <w:szCs w:val="18"/>
                <w:highlight w:val="none"/>
              </w:rPr>
              <w:t>1根伺服电机动力电缆，≥3m，应含接头。</w:t>
            </w:r>
          </w:p>
          <w:p w14:paraId="677E693D">
            <w:pPr>
              <w:snapToGrid w:val="0"/>
              <w:jc w:val="left"/>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10、压紧子模块</w:t>
            </w:r>
          </w:p>
          <w:p w14:paraId="0B5AA057">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应满足下列参数要求：</w:t>
            </w:r>
          </w:p>
          <w:p w14:paraId="43E72FCC">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应含圆柱型气缸及真空吸盘、双轴气缸及不锈钢支架、压力确认开关、减压阀、终端集线模块、铝型材基体、磁性开关、电磁阀等。</w:t>
            </w:r>
          </w:p>
          <w:p w14:paraId="6D3CC547">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rPr>
              <w:t>录制演示视频，视频内容：展示压紧子模块动作过程。</w:t>
            </w:r>
          </w:p>
          <w:p w14:paraId="67B3B778">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rPr>
              <w:t>投标人需提供压紧子模块的电气设计图纸。</w:t>
            </w:r>
          </w:p>
          <w:p w14:paraId="17218DA3">
            <w:pPr>
              <w:snapToGrid w:val="0"/>
              <w:jc w:val="left"/>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11、钻孔子模块</w:t>
            </w:r>
          </w:p>
          <w:p w14:paraId="78071D11">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应满足下列参数要求：</w:t>
            </w:r>
          </w:p>
          <w:p w14:paraId="2FC87C48">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应含圆柱型气缸、料杯固定装置、钻孔用电机及钻头、高精度直线导轨、升降气缸、终端集线模块、铝型材基体、磁性开关、电磁阀等。</w:t>
            </w:r>
          </w:p>
          <w:p w14:paraId="1D8D2280">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rPr>
              <w:t>投标人提供钻孔子模块的实物照片，照片应可清晰看到圆柱型气缸、料杯固定装置、钻孔用电机及钻头、高精度直线导轨、升降气缸、终端集线模块，并在图片中对各组成材料进行名称标记。</w:t>
            </w:r>
          </w:p>
          <w:p w14:paraId="14E15ECE">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rPr>
              <w:t>投标人提供钻孔检测模块的电气设计图纸。</w:t>
            </w:r>
          </w:p>
          <w:p w14:paraId="39549387">
            <w:pPr>
              <w:snapToGrid w:val="0"/>
              <w:jc w:val="left"/>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12、检测与喷码系统</w:t>
            </w:r>
          </w:p>
          <w:p w14:paraId="7CAC6374">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（1）重量检测模块</w:t>
            </w:r>
          </w:p>
          <w:p w14:paraId="5B85CA3A">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应满足下列参数要求：</w:t>
            </w:r>
          </w:p>
          <w:p w14:paraId="7B6DFDDB">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应包含重量检测平台、重量检测传感器、重量检测变送器、智能接口模块、电磁阀、气缸、导轨、拖动器件、连接支架等组成。</w:t>
            </w:r>
          </w:p>
          <w:p w14:paraId="697EF87A">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rPr>
              <w:t>投标人提供钻重量检测模块的实物照片，照片应可清晰看到重量检测平台、重量检测传感器、重量检测变送器、智能接口模块、电磁阀、气缸、导轨、拖动器件、连接支架等，并在图片中对各组成材料进行名称标记。</w:t>
            </w:r>
          </w:p>
          <w:p w14:paraId="4CA8FCFA">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rPr>
              <w:t>投标人提供重量检测模块的电气设计图纸。</w:t>
            </w:r>
          </w:p>
          <w:p w14:paraId="45B0B37E">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（2）喷码模块</w:t>
            </w:r>
          </w:p>
          <w:p w14:paraId="00B469E4">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应满足下列参数要求：</w:t>
            </w:r>
          </w:p>
          <w:p w14:paraId="26484283">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主要由喷码机、安装支架、人机交互模块、检测传感器、墨盒等机构组成。应适用于流水线打印高分辨率、高质量的文本、数字、条码、图片等可变数据，可以打印可变文本、条码、时间、计数器、图片以及数据库，可打印条码种类达到15种以上，涵盖了所有广泛使用的条码格式，全金属外壳，工业化设计，更坚固，触摸屏，操作更容易。支持中文，英文，日文，韩文，西班牙文等多种语言和输入法，支持条形码：EAN-8/UPC-E/EAN-13/UPC-A/CODA BAR/CODE-39/CODE-93/CODE-128/ITF，二维码：QR-CODE/PDF-417/DATA-MATRIX/AZTEC。</w:t>
            </w:r>
          </w:p>
          <w:p w14:paraId="625F5473">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rPr>
              <w:t>投标人提供喷码模块的实物照片，照片应可清晰看到喷码机、安装支架、人机交互模块、检测传感器、墨盒等机构，并在图片中对各组成材料进行名称标记。</w:t>
            </w:r>
          </w:p>
          <w:p w14:paraId="2720C78C">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rPr>
              <w:t>投标人提供喷码模块的电气设计图纸。</w:t>
            </w:r>
          </w:p>
          <w:p w14:paraId="3D2C6459">
            <w:pPr>
              <w:snapToGrid w:val="0"/>
              <w:jc w:val="left"/>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13、工作底车</w:t>
            </w:r>
          </w:p>
          <w:p w14:paraId="08AE5CF3">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应满足下列参数要求：</w:t>
            </w:r>
          </w:p>
          <w:p w14:paraId="42627F3E">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应含铝合金台面（550*720*30mm）、金属柜体、</w:t>
            </w:r>
            <w:r>
              <w:rPr>
                <w:rFonts w:hint="eastAsia" w:ascii="宋体" w:hAnsi="宋体" w:eastAsia="宋体" w:cs="宋体"/>
                <w:sz w:val="18"/>
                <w:szCs w:val="18"/>
                <w:highlight w:val="none"/>
              </w:rPr>
              <w:t>触摸控制箱、</w:t>
            </w:r>
            <w:r>
              <w:rPr>
                <w:rFonts w:hint="eastAsia" w:ascii="宋体" w:hAnsi="宋体" w:eastAsia="宋体" w:cs="宋体"/>
                <w:kern w:val="0"/>
                <w:sz w:val="18"/>
                <w:szCs w:val="18"/>
                <w:highlight w:val="none"/>
              </w:rPr>
              <w:t>工业防水插座及插头、空气开关及金属保护盒、电源盒（220V转24V）、智能信号转换模块、PLC智能集线模块、接线排等。</w:t>
            </w:r>
          </w:p>
          <w:p w14:paraId="57B84710">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主流品牌空气开关，应包含：</w:t>
            </w:r>
          </w:p>
          <w:p w14:paraId="538B0CF9">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（1）≥1个4P16A带漏保空气开关；</w:t>
            </w:r>
          </w:p>
          <w:p w14:paraId="187D9655">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（2）≥1个3P6A空气开关；</w:t>
            </w:r>
          </w:p>
          <w:p w14:paraId="24FD079C">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（3）≥1个2P6A空气开关；</w:t>
            </w:r>
          </w:p>
          <w:p w14:paraId="1A199F26">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（4）≥1个1P6A空气开关。</w:t>
            </w:r>
          </w:p>
          <w:p w14:paraId="63FB467A">
            <w:pPr>
              <w:snapToGrid w:val="0"/>
              <w:jc w:val="left"/>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14、控制屏</w:t>
            </w:r>
          </w:p>
          <w:p w14:paraId="460786B9">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应满足下列参数要求：</w:t>
            </w:r>
          </w:p>
          <w:p w14:paraId="29C83330">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应包含安装导轨、集线模块、不锈钢安装架、铝型材基体等。</w:t>
            </w:r>
          </w:p>
          <w:p w14:paraId="006072F6">
            <w:pPr>
              <w:snapToGrid w:val="0"/>
              <w:jc w:val="left"/>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15、操作面板</w:t>
            </w:r>
          </w:p>
          <w:p w14:paraId="0FB60994">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应满足下列参数要求：</w:t>
            </w:r>
          </w:p>
          <w:p w14:paraId="0DEDD2A5">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（1）应具有SysLink接口和IO-Link接口</w:t>
            </w:r>
          </w:p>
          <w:p w14:paraId="77B6CE58">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（2）按钮板:≥3个按钮、≥1个转换开关、≥1个急停按钮和≥4路指示灯。</w:t>
            </w:r>
          </w:p>
          <w:p w14:paraId="3B16EDF8">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（3）IO-LINK Device</w:t>
            </w:r>
          </w:p>
          <w:p w14:paraId="22F92D94">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应满足下列参数要求：</w:t>
            </w:r>
          </w:p>
          <w:p w14:paraId="0E7346BD">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接口协议：IO-Link 1.0</w:t>
            </w:r>
          </w:p>
          <w:p w14:paraId="776D891D">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传输率：COM2（≥38.4 kBaud）</w:t>
            </w:r>
          </w:p>
          <w:p w14:paraId="4032102D">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接口类型：为螺栓/插接端子，4-针</w:t>
            </w:r>
          </w:p>
          <w:p w14:paraId="5BA364E3">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数字输入和输出：≥16 x PNP（可配置输入输出）。</w:t>
            </w:r>
          </w:p>
          <w:p w14:paraId="266250CD">
            <w:pPr>
              <w:snapToGrid w:val="0"/>
              <w:jc w:val="left"/>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（二）网络实验包</w:t>
            </w:r>
          </w:p>
          <w:p w14:paraId="24C29760">
            <w:pPr>
              <w:snapToGrid w:val="0"/>
              <w:jc w:val="left"/>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1、高级防火墙型路由器</w:t>
            </w:r>
          </w:p>
          <w:p w14:paraId="088836A2">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应满足下列参数要求：</w:t>
            </w:r>
          </w:p>
          <w:p w14:paraId="1CCE2E24">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（1）≥1个管理型路由器模块，应可保护自动化技术中的设备/电网和用于保证工业通信，借助VPN和防火墙；其他功能：地址转换（NAT/NAPT），5端口交换机，1</w:t>
            </w:r>
            <w:r>
              <w:rPr>
                <w:rFonts w:hint="eastAsia" w:ascii="宋体" w:hAnsi="宋体" w:eastAsia="宋体" w:cs="宋体"/>
                <w:sz w:val="18"/>
                <w:szCs w:val="18"/>
                <w:highlight w:val="none"/>
              </w:rPr>
              <w:t>×</w:t>
            </w:r>
            <w:r>
              <w:rPr>
                <w:rFonts w:hint="eastAsia" w:ascii="宋体" w:hAnsi="宋体" w:eastAsia="宋体" w:cs="宋体"/>
                <w:kern w:val="0"/>
                <w:sz w:val="18"/>
                <w:szCs w:val="18"/>
                <w:highlight w:val="none"/>
              </w:rPr>
              <w:t>数字输入，1</w:t>
            </w:r>
            <w:r>
              <w:rPr>
                <w:rFonts w:hint="eastAsia" w:ascii="宋体" w:hAnsi="宋体" w:eastAsia="宋体" w:cs="宋体"/>
                <w:sz w:val="18"/>
                <w:szCs w:val="18"/>
                <w:highlight w:val="none"/>
              </w:rPr>
              <w:t>×</w:t>
            </w:r>
            <w:r>
              <w:rPr>
                <w:rFonts w:hint="eastAsia" w:ascii="宋体" w:hAnsi="宋体" w:eastAsia="宋体" w:cs="宋体"/>
                <w:kern w:val="0"/>
                <w:sz w:val="18"/>
                <w:szCs w:val="18"/>
                <w:highlight w:val="none"/>
              </w:rPr>
              <w:t>数字输出；</w:t>
            </w:r>
          </w:p>
          <w:p w14:paraId="2CCCD0BA">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（2）≥1个移动媒体介质，应可用于隔离，用于在故障情况下简单的设备更换，以及用于接收配置数据。</w:t>
            </w:r>
          </w:p>
          <w:p w14:paraId="48704B82">
            <w:pPr>
              <w:snapToGrid w:val="0"/>
              <w:jc w:val="left"/>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2、工业以太网交换机</w:t>
            </w:r>
          </w:p>
          <w:p w14:paraId="21164F23">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每个网络实验包包含至少3台工业以太网交换机，应满足下列参数要求：</w:t>
            </w:r>
          </w:p>
          <w:p w14:paraId="64C10AC0">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（1）至少提供8个10/100/1000M自适应RJ45端口和4个千兆SFP端口</w:t>
            </w:r>
          </w:p>
          <w:p w14:paraId="5CC65897">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（2）应具有ERPS环网协议，RPL配置</w:t>
            </w:r>
          </w:p>
          <w:p w14:paraId="404187D3">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（3）应支持宽电压输入：9.6V~60VDC</w:t>
            </w:r>
          </w:p>
          <w:p w14:paraId="2D0483DE">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（4）应支持IEEE1588精密时钟同步协议，亚微秒级同步精度</w:t>
            </w:r>
          </w:p>
          <w:p w14:paraId="2143A9CD">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（5）应支持三层路由协议和ACL\QoS策略</w:t>
            </w:r>
          </w:p>
          <w:p w14:paraId="3BD5E242">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（6）应支持两路电源输入，冗余备份</w:t>
            </w:r>
          </w:p>
          <w:p w14:paraId="1755CE14">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（7）应支持EMC高防护等级，无惧各种恶劣环境</w:t>
            </w:r>
          </w:p>
          <w:p w14:paraId="51CF8F69">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（8）应支持协议标准：IEEE 802.3，802.3i，802.3u，802.3x，802.3ab，802.3z，兼容Modbus TCP、Ethernet/IP、Profinet等协议，可实现透明数据传输</w:t>
            </w:r>
          </w:p>
          <w:p w14:paraId="5BF80052">
            <w:pPr>
              <w:snapToGrid w:val="0"/>
              <w:jc w:val="left"/>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3、电源模块套件</w:t>
            </w:r>
          </w:p>
          <w:p w14:paraId="5431395B">
            <w:pPr>
              <w:autoSpaceDE w:val="0"/>
              <w:autoSpaceDN w:val="0"/>
              <w:adjustRightInd w:val="0"/>
              <w:snapToGrid w:val="0"/>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（1）电源模块</w:t>
            </w:r>
          </w:p>
          <w:p w14:paraId="59675150">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应满足下列参数要求：</w:t>
            </w:r>
          </w:p>
          <w:p w14:paraId="5611FDB0">
            <w:pPr>
              <w:autoSpaceDE w:val="0"/>
              <w:autoSpaceDN w:val="0"/>
              <w:adjustRightInd w:val="0"/>
              <w:snapToGrid w:val="0"/>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稳定电源模块输出参数应满足：1AC/DC24V/5A；</w:t>
            </w:r>
          </w:p>
          <w:p w14:paraId="051E90A0">
            <w:pPr>
              <w:autoSpaceDE w:val="0"/>
              <w:autoSpaceDN w:val="0"/>
              <w:adjustRightInd w:val="0"/>
              <w:snapToGrid w:val="0"/>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稳定电源模块输入参数应满足：120/230 V AC。</w:t>
            </w:r>
          </w:p>
          <w:p w14:paraId="009F0506">
            <w:pPr>
              <w:autoSpaceDE w:val="0"/>
              <w:autoSpaceDN w:val="0"/>
              <w:adjustRightInd w:val="0"/>
              <w:snapToGrid w:val="0"/>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（2）电源接口模块</w:t>
            </w:r>
          </w:p>
          <w:p w14:paraId="524AE0CF">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应满足下列参数要求：</w:t>
            </w:r>
          </w:p>
          <w:p w14:paraId="13D98F39">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至少包含供电接口区，多排并联电源输出接口端子，PCB印刷电路板，导轨式组合塑料外壳，电路板上设置有不少于5排供电端子，接口点位≥50点，包括≥2排红色≥10位接口，≥2排蓝色≥10位接口和≥1排≥10位黑色接口，用于给3个工业网络交换机供电以及也可给其他扩展设备供电。</w:t>
            </w:r>
          </w:p>
          <w:p w14:paraId="17AF9CFF">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rPr>
              <w:t>投标</w:t>
            </w:r>
            <w:r>
              <w:rPr>
                <w:rFonts w:hint="eastAsia" w:ascii="宋体" w:hAnsi="宋体" w:eastAsia="宋体" w:cs="宋体"/>
                <w:kern w:val="0"/>
                <w:sz w:val="18"/>
                <w:szCs w:val="18"/>
                <w:highlight w:val="none"/>
                <w:lang w:val="en-US" w:eastAsia="zh-CN"/>
              </w:rPr>
              <w:t>时提供</w:t>
            </w:r>
            <w:r>
              <w:rPr>
                <w:rFonts w:hint="eastAsia" w:ascii="宋体" w:hAnsi="宋体" w:eastAsia="宋体" w:cs="宋体"/>
                <w:kern w:val="0"/>
                <w:sz w:val="18"/>
                <w:szCs w:val="18"/>
                <w:highlight w:val="none"/>
              </w:rPr>
              <w:t>演示视频，视频内容：应能满足电源接口模块参数要求。</w:t>
            </w:r>
          </w:p>
          <w:p w14:paraId="1C58450B">
            <w:pPr>
              <w:snapToGrid w:val="0"/>
              <w:jc w:val="left"/>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（三）MES软件</w:t>
            </w:r>
          </w:p>
          <w:p w14:paraId="608C3B59">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应满足下列参数要求：</w:t>
            </w:r>
          </w:p>
          <w:p w14:paraId="2FAACFC1">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（1）应可定义、编辑订单的工艺流程和订单计划</w:t>
            </w:r>
          </w:p>
          <w:p w14:paraId="46F0EBB1">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（2）应可监控订单、更新实时状态</w:t>
            </w:r>
          </w:p>
          <w:p w14:paraId="238EB135">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（3）应可生产/排程管理</w:t>
            </w:r>
          </w:p>
          <w:p w14:paraId="3430F1CE">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（4）应可将货物运输分配写入订单</w:t>
            </w:r>
          </w:p>
          <w:p w14:paraId="54B9447A">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（5）应可创建物料主数据</w:t>
            </w:r>
          </w:p>
          <w:p w14:paraId="6284D196">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（6）应可创建单元、模块主数据</w:t>
            </w:r>
          </w:p>
          <w:p w14:paraId="1C695C75">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（7）应可增加和管理用户数据</w:t>
            </w:r>
          </w:p>
          <w:p w14:paraId="110CBCBD">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（8）应有生成OEE，包括图表以及生成OEE报告等质量管理相关功能</w:t>
            </w:r>
          </w:p>
          <w:p w14:paraId="30B15609">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（9）应有多报表导入、导出功能</w:t>
            </w:r>
          </w:p>
          <w:p w14:paraId="1E3E53AA">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（10）应有载具管理系统</w:t>
            </w:r>
          </w:p>
          <w:p w14:paraId="581C63AB">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（11）应有警示管理系统</w:t>
            </w:r>
          </w:p>
          <w:p w14:paraId="542878D4">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（12）应有能源管理系统</w:t>
            </w:r>
          </w:p>
          <w:p w14:paraId="2FB03176">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（13）应支持多用户远程访问</w:t>
            </w:r>
          </w:p>
          <w:p w14:paraId="15664A8B">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（14）应具有库存管理功能</w:t>
            </w:r>
          </w:p>
          <w:p w14:paraId="104685B3">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（15）应具有看板管理功能</w:t>
            </w:r>
          </w:p>
          <w:p w14:paraId="7C83D746">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（16）应具有API接口功能</w:t>
            </w:r>
          </w:p>
          <w:p w14:paraId="68E6A1EC">
            <w:pPr>
              <w:snapToGrid w:val="0"/>
              <w:jc w:val="left"/>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（四）数字仿真软件、模型以及学习资源</w:t>
            </w:r>
          </w:p>
          <w:p w14:paraId="72DEC08F">
            <w:pPr>
              <w:snapToGrid w:val="0"/>
              <w:jc w:val="left"/>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1、数字孪生软件</w:t>
            </w:r>
          </w:p>
          <w:p w14:paraId="5A7A7AA7">
            <w:pPr>
              <w:autoSpaceDE w:val="0"/>
              <w:autoSpaceDN w:val="0"/>
              <w:adjustRightInd w:val="0"/>
              <w:snapToGrid w:val="0"/>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软件功能应满足以下要求：</w:t>
            </w:r>
          </w:p>
          <w:p w14:paraId="24306866">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数字孪生仿真软件可以连接基于编程软件的虚拟仿真PLC，通过仿真PLC进行模型的控制学习，也可以连接真实的PLC，结合运动控制实训平台，完成真实PLC对实物平台、数字孪生模型的控制学习。</w:t>
            </w:r>
          </w:p>
          <w:p w14:paraId="2ADA12E3">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平台应主要包含以下模块：</w:t>
            </w:r>
          </w:p>
          <w:p w14:paraId="050A1676">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（1）三维实体建模功能；</w:t>
            </w:r>
          </w:p>
          <w:p w14:paraId="46468F5A">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（2）装配设计功能；</w:t>
            </w:r>
          </w:p>
          <w:p w14:paraId="25FA1667">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（3）工程图绘制功能；</w:t>
            </w:r>
          </w:p>
          <w:p w14:paraId="762272D5">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（4）数控多轴加工与模拟仿真功能；</w:t>
            </w:r>
          </w:p>
          <w:p w14:paraId="2B31D61F">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（5）高级仿真功能；</w:t>
            </w:r>
          </w:p>
          <w:p w14:paraId="1DB5D6D7">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（6）模具设计能力；</w:t>
            </w:r>
          </w:p>
          <w:p w14:paraId="4DFD212A">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（7）通用数据交换功能；</w:t>
            </w:r>
          </w:p>
          <w:p w14:paraId="3C7EAD02">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（8）机电一体化概念设计；</w:t>
            </w:r>
          </w:p>
          <w:p w14:paraId="2531D961">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CAD\CAM\CAE一体化软件的具体功能参数要求如下；</w:t>
            </w:r>
          </w:p>
          <w:p w14:paraId="45635DC9">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（1）具备CAD\CAM\CAE 数据管理功能；</w:t>
            </w:r>
          </w:p>
          <w:p w14:paraId="5C4C58FD">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（2）具备同步建模技术；</w:t>
            </w:r>
          </w:p>
          <w:p w14:paraId="6FE4AD8A">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具备工业造型设计、产品设计、逆向工程、注塑模具设计、冲压模具设计、三轴机械加工编程、五轴机械加工编程、车削编程、车复合加工编程、机构运动模拟仿真、机电一体化设计等三维CAD/CAM集成一体化软件。</w:t>
            </w:r>
          </w:p>
          <w:p w14:paraId="4FDF5026">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（4）支持在线数据库，客户有权限对当前的部件及新的部件进行更新；</w:t>
            </w:r>
          </w:p>
          <w:p w14:paraId="7C399EE8">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（5）设计仿真，用户能够在一个易用、集成化产品中捕捉实体部件的结构行为；</w:t>
            </w:r>
          </w:p>
          <w:p w14:paraId="78E5D951">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（6）ECAD软件包界面 ECAD系统交换界面，提供ECAD系统与NX连接交互；</w:t>
            </w:r>
          </w:p>
          <w:p w14:paraId="4E816448">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（7）示意图 2D的示意图模块，允许定义设备间的连接关系；</w:t>
            </w:r>
          </w:p>
          <w:p w14:paraId="153869EF">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8）入口模块，该模块为软件的其他各模块运行提供了底层的统一数据库支持和一个窗口化的图形交互环境，执行包括打开、创建、存储模型、屏幕布局、视图定义、模型显示、消隐、着色、放大、旋转、模型漫游、图层管理、绘图输出、绘图机队列管理、模块使用权浮动管理等关键功能；</w:t>
            </w:r>
          </w:p>
          <w:p w14:paraId="02BBA12C">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（9）工程图工程制图模块使任何设计师、工程师或绘图员都可从三维实体模型得到完全双向相关的二维工程图</w:t>
            </w:r>
          </w:p>
          <w:p w14:paraId="404A001E">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（10）产品制造信息用户可以用产品合制造信息（PMI）工具来把标注分成与模型的一个特定取向相关的多个信息集，同时方便3D 标注的创建和放置</w:t>
            </w:r>
          </w:p>
          <w:p w14:paraId="2DE0975A">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（11）多工位级进模向导通过级进模设计功能的过程自动化，能够帮助大量的客户实现更大的规模经济。级进模向导的用户界面合并了行业最佳实践，引导用户完成构建级进模所需要的工作</w:t>
            </w:r>
          </w:p>
          <w:p w14:paraId="6C94AB9C">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12）实体建模模块将基于约束的特征造型功能和显式的直接几何造型功能无缝地集成一体，提供业界最强大的复合建模功能，使用户可充分利用集成在先进的参数化特征造型环境中的传统实体、曲面和线架功能。该模块提供用于快速有效地进行概念设计的变量化草图工具、尺寸驱动编辑和用于一般建模和编辑的工具，使用户既可以进行参数化建模又可以方便地用非参数方法生成二维、三维线架模型，扫掠和旋转实体以及进行布尔运算；也可以部分参数化或将非参数化模型后参数化，方便地生成复杂机械零件的实体模型。</w:t>
            </w:r>
          </w:p>
          <w:p w14:paraId="3A00BB60">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13）特征建模模块用工程特征来定义设计信息，在实体建模模块的基础上提高用户设计意图表达的能力。该模块支持标准设计特征的生成和编辑，包括各种孔、键槽、凹腔、方形凸垫、圆柱凸台以及各种圆柱、方块、圆锥、球体、管道、杆、倒圆、倒角等，同时也包括抽空实体模型、产生薄壁实体的能力；</w:t>
            </w:r>
          </w:p>
          <w:p w14:paraId="25FDC64B">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14）基本自由曲面建模自由曲面建模模块独创地把实体和曲面建模技术融合在一组强大的工具中，提供生成、编辑和评估复杂曲面的强大功能，可以方便地设计如飞机、汽车、电视机及其他工业造型设计产品上的复杂自由曲面形状；</w:t>
            </w:r>
          </w:p>
          <w:p w14:paraId="69E729DC">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（15）钣金工程冲模工程向导包装在一个类似向导的环境之中，为型面设计提供专用工具；</w:t>
            </w:r>
          </w:p>
          <w:p w14:paraId="12328887">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（16）渲染器提供高级的渲染工具，包括质量等级、视角渲染、装配渲染、阴影、光能等渲染工具；</w:t>
            </w:r>
          </w:p>
          <w:p w14:paraId="75A0FA73">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17）工业造型自由曲面设计工业设计曲面模块扩展了自由曲面模块的曲面设计功能，提供工业设计所需的自由曲面造型和控制功能，具备各种不同类型的曲面实时动态操纵和反馈能力。该模块是产品创意设计人员进行概念设计的有力工具。该模块与其他模块完全集成，使产品工业设计和结构设计无逢集成；</w:t>
            </w:r>
          </w:p>
          <w:p w14:paraId="294F9723">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（18）可视化工业造型高级的可视化系统，提供实时的几何图形工具，动态分布和实时控制图像映射，材料及斑马线；</w:t>
            </w:r>
          </w:p>
          <w:p w14:paraId="69A2E3EC">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（19）工业造型分析模块提供曲面质量评估的能力，断面分析工具显示曲面质量连续性和非连续性的可视化指向。提供重要的流体力学及美学方面的工具；</w:t>
            </w:r>
          </w:p>
          <w:p w14:paraId="28C087A1">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（20）塑胶模具设计向导提供用户和潜在客户一套高度自动化和全相关的应用软件。利用这套软件，用户能够显著地减少注塑模设计的时间，提高设计效率；</w:t>
            </w:r>
          </w:p>
          <w:p w14:paraId="1B61ED7D">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（21）装配基本的装配模块，每个产品包中都包含此功能。</w:t>
            </w:r>
          </w:p>
          <w:p w14:paraId="769C641A">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22）高级装配模块为装配建模模块添加针对产品级大装配设计的特殊功能，包括允许用户灵活过滤装配结构的数据调用控制、高速大装配着色和大装配干涉检查功能。该模块管理、共享和检查用于确定复杂产品布局的数字模型，完成全数字化的电子样机装配。用它提供的各种工具，可提高用户对整个产品、指定的子系统或子部件进行可视化和装配分析的效率。利用其特有的模型表示方式可以对特大型装配快速进行干涉检查、着色和消隐。已定义的各种干涉检查工况可以储存起来多次使用，并可选择以批处理的方式运行。模块还可提供软、硬干涉的精确报告。</w:t>
            </w:r>
          </w:p>
          <w:p w14:paraId="6851D2AC">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23）用户自定义特征用户自定义特征模块提供交互式方法来定义和存储基于用户自定义特征（UDF）概念、便于调用和编辑的零件族，形成用户专有的UDF库，提高用户设计建模效率。该模块包括从已生成的参数化实体模型中提取参数、定义特征变量、建立参数间相关关系、设置变量缺省值、定义代表该UDF的图标菜单的全部工具。</w:t>
            </w:r>
          </w:p>
          <w:p w14:paraId="1E1A2074">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24）云点控制利用该模块，可以对复杂系统进行参数化装配建模，几乎能够自动传播每个工程过程中的变更，包括概念设计、可制造性设计以及“在制品”制造。利用该产品，能够识别驱动产品设计的关键设计变量，然后在一个关联的控制结构中捕捉这些变量</w:t>
            </w:r>
          </w:p>
          <w:p w14:paraId="650F57BE">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（25）运动仿真该产品可为零件和装配提供的一个集成、关联、直观的运动仿真前/后处理器，并集成解算器。可用的运动对象包括约束、弹簧、阻尼器、运动驱动、力、扭矩和衬套。</w:t>
            </w:r>
          </w:p>
          <w:p w14:paraId="35EBA9DB">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（26）支持强度向导；</w:t>
            </w:r>
          </w:p>
          <w:p w14:paraId="36B122B9">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27）车削加工车削模块中刀具路径和零件几何模型完全相关，刀具路径能随几何模型的改变而自动更新，并提供高质量旋转体零件加工所需的全部功能。有粗车、多次走刀精车、车退刀槽、车螺纹和钻中心孔等功能；</w:t>
            </w:r>
          </w:p>
          <w:p w14:paraId="383DBDDE">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（28）后置处理器将刀具路径执行计算，生成可以用于各种机床加工的NC代码；</w:t>
            </w:r>
          </w:p>
          <w:p w14:paraId="3FD26E0F">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（29）后置处理制作器加工后置处理模块使用户可方便地建立自己的加工后置处理程序；</w:t>
            </w:r>
          </w:p>
          <w:p w14:paraId="1FD78E33">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（30）库访问界面通过这个界面，用户可以查找、检查、找到刀具、切削速度和转速，还有机床刀具等等的其他信息，以达到帮助刀路生成和验证。</w:t>
            </w:r>
          </w:p>
          <w:p w14:paraId="1F1F9E3A">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（31）支持CAM可视化；</w:t>
            </w:r>
          </w:p>
          <w:p w14:paraId="2E88E6C3">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（32）小平面片加工小平面片加工是用户可以加工STL模型，通常这类模型产生于逆向工程和模型抄数，并且难以被加工；</w:t>
            </w:r>
          </w:p>
          <w:p w14:paraId="3D0255CF">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33）多轴加工可变轴轮廓铣削模块支持定轴和多轴铣削功能，可加工造型模块中生成的任何几何体，并保持主模型相关性。该模块提供完整的、经过多年工程使用验证的3－5轴铣削功能，提供强大的刀轴控制、走刀方式选择和刀具路径生成功能；</w:t>
            </w:r>
          </w:p>
          <w:p w14:paraId="336F8F6E">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（34）图形化刀具路径编辑器图形化刀具路径编辑器可以是用户图形化编辑产生的刀路。NC编程员不仅可以通过选择屏幕上图形化的刀路，而且可以选择文本的刀路叙述，达到编辑、显示、模拟的目的；</w:t>
            </w:r>
          </w:p>
          <w:p w14:paraId="01772F18">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（35）凹凸模型腔铣削它提供粗加工单个或多个型腔、沿任意类似型芯的形状进行粗加工大余量去除的全部功能；</w:t>
            </w:r>
          </w:p>
          <w:p w14:paraId="44CFC5FB">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（36）流线加工（清根）半自动清根模块可大幅度地缩短半精加工和精加工时间。该模块和固定轴轮廓铣模块配合使用，能自动找出待加工零件上满足“双相切条件”的区域；</w:t>
            </w:r>
          </w:p>
          <w:p w14:paraId="20C259E5">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（37）顺铣顺序铣模块适用于需要完全控制刀具路径生成过程中的每一步骤的情况，支持2-5轴的铣削编程。该模块和主模型完全相关，以高度自动化的方式，获得如用APT直接编程一样的绝对控制；</w:t>
            </w:r>
          </w:p>
          <w:p w14:paraId="7E30F3F2">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（38）非均匀有理B样条刀路径生成器允许中直接生成基于Nurbs样条的刀具轨迹数据，使得生成的轨迹拥有更高的精度和超级光洁度，而加工程序量则比标准格式减少；</w:t>
            </w:r>
          </w:p>
          <w:p w14:paraId="32B51D71">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（39）线切割模块支持线框或实体模型，以方便零件的2轴和4轴模式线切割。可获得多种类型的走线操作，比如多级轮廓走线、反走线和区域清除。支持glue stops轨迹，及各种钼线径尺寸和功率设置的使用；</w:t>
            </w:r>
          </w:p>
          <w:p w14:paraId="074A5B5F">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（40）车间工艺文档车间工艺文件的创建包括设备清单、加工工步信息和工具清单；</w:t>
            </w:r>
          </w:p>
          <w:p w14:paraId="552EA64C">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（41）基于自动化加工的特征创建基于机械加工的特征创建为孔，型腔及面加工提供了自动化工艺过程定义；</w:t>
            </w:r>
          </w:p>
          <w:p w14:paraId="471952FE">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（42）高级钣金设计包含用于直弯钣金件设计的基本特征和折弯操作，同时也为复杂零件建模的设计人员提供相应的工具；</w:t>
            </w:r>
          </w:p>
          <w:p w14:paraId="4583C66D">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43）材料展开用于编织或者单向纤维织物材料的展开模型生成，可用于展平复合层压板或者符合编织或者单向纤维织物理论模型的任何材料。提供两个解算器用于处理多曲面、修边曲线、任意或无边界坯料（从中创建最终曲面的原材料）以及附加曲线和点的展开操作；</w:t>
            </w:r>
          </w:p>
          <w:p w14:paraId="496C4F0A">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（44）ISV高级仿真模块采用人机交互方式，可模拟、检验和显示机床运动和刀具的路径， 该模块亦可将机床各部件，如主轴头、拖板、转台、换刀架、夹具、刀具、工件等以实体的形式定义，用机床构造器和相应的机床驱动程序构建机床模型；</w:t>
            </w:r>
          </w:p>
          <w:p w14:paraId="78C5D3B4">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（45）软件开发实时运行包二次开发运行包；</w:t>
            </w:r>
          </w:p>
          <w:p w14:paraId="2F92878C">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（46）软件开发工具集编辑器提供利用Open C++、Open for .NET或Open for Java应用编程接口（API）创建客户化应用程序所需要的库、文档和实用工具；</w:t>
            </w:r>
          </w:p>
          <w:p w14:paraId="4B59FF01">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（47）语言编辑器提供C++语言开发环境，用于编辑、编译和连接C++语言应用程序；</w:t>
            </w:r>
          </w:p>
          <w:p w14:paraId="0E504140">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（48）软件开发用户界面风格编辑器，二次开发用户界面风格编辑器；</w:t>
            </w:r>
          </w:p>
          <w:p w14:paraId="61B419DD">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（49）IGES转换器符合国际标准的数据转换接口，与符合该标准的其他系统完全兼容；</w:t>
            </w:r>
          </w:p>
          <w:p w14:paraId="51A13E19">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（50）Dxf/Dwg转换器 DXF/DWG转换器提供在Auto CAD和软件间的极好的数据交换；</w:t>
            </w:r>
          </w:p>
          <w:p w14:paraId="75870EAF">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（51）Step Ap203转换器完全符合国际标准的数据转换接口，与符合该标准的其他系统完全兼容；</w:t>
            </w:r>
          </w:p>
          <w:p w14:paraId="4D23741B">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（52）Step Ap214转换器完全符合国际标准的数据转换接口，与符合该标准的其他系统完全兼容；</w:t>
            </w:r>
          </w:p>
          <w:p w14:paraId="4FF1843A">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53）电气线缆-机械管路设计为已选路径的电气和机械子系统提供裁剪的设计环境。对于电气路径选择，设计者可以使用布线、管路和导线指令，充分利用电气系统的标准部件库。机械路径选择为管道系统、管路和钢制结构增加设计工具。已选路径系统模型与装配模型是完全相关的，以方便于设计变更。关于材料的自动化清单（BOM）和弯头报告为子系统制造提供了信息；</w:t>
            </w:r>
          </w:p>
          <w:p w14:paraId="6C147CD0">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（54）网络发布提供和互联网的接口，可以将软件中生成的零件、装配件中的信息以超文本的方式输出，供有关人员使用或参考；</w:t>
            </w:r>
          </w:p>
          <w:p w14:paraId="33E06BD1">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（55）轮廓铣削是生成半精加工或精加工的壁面加工路径的加工模块。可定义刀具沿着边界去除材料；</w:t>
            </w:r>
          </w:p>
          <w:p w14:paraId="5EF26DB7">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（56）快速原型创建提供有效的和易于使用的功能来生成快速成型机所需要的数据信息。模块生成工业标准的“STL” 格式的文件，允许用户在一个先进的从设计到制造的环境中快速评估设计。允许用户使用精确的实体模型或者曲面模型，应用程序自动将所有必要的信息转换成STL格式，使用户能根据要使用的快速成型机来控制公差；</w:t>
            </w:r>
          </w:p>
          <w:p w14:paraId="218E3361">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57）加工基础模块提供连接软件所有加工模块的基础框架，它为所有软件的加工模块提供了一个相同的、界面友好的图形化窗口环境，用户可以在图形方式下观察刀具沿轨迹运动的情况并可对其进行图形化修改，如对刀具轨迹进行延伸、缩短或修改等。该模块同时还提供通用的点位加工编程功能，可用于钻孔、攻丝和镗孔等加工编程。该模块交互界面可按用户需求进行灵活的用户化修改和剪裁，并可定义标准化刀具库、加工工艺参数样板库使初加工、半精加工、精加工等操作常用参数标准化，以减少使用培训时间并优化加工工艺。软件所有模块都可在实体模型上直接生成加工程序，并保持和实体模型全相关；</w:t>
            </w:r>
          </w:p>
          <w:p w14:paraId="1B7BC4C2">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（58）平面铣削平面铣模块提供加工2-2.5轴零件的所有功能，设计更改通过相关性而自动处理。该模块包括多次走刀轮廓铣、仿型内腔铣和Z字型走刀铣削，用户可规定避开夹具和进行内部移动的安全余量；</w:t>
            </w:r>
          </w:p>
          <w:p w14:paraId="5CBBE609">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（59）机电一体化概念设计可为设计人员建立结合机械、电气和软件组件基础上概念模型，符合系统级产品的要求；</w:t>
            </w:r>
          </w:p>
          <w:p w14:paraId="2971A068">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（60）机电一体化概念设计支持早期的概念设计在机械、电气、自动化设计、工程及其相关的并行跨学科的工作流程；</w:t>
            </w:r>
          </w:p>
          <w:p w14:paraId="789C6EFD">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（61）支持精细的产品开发过程；</w:t>
            </w:r>
          </w:p>
          <w:p w14:paraId="45FC4A19">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（62）机电一体化概念设计支持行为、物理和过程模拟验证功能。</w:t>
            </w:r>
          </w:p>
          <w:p w14:paraId="3BAFD755">
            <w:pPr>
              <w:snapToGrid w:val="0"/>
              <w:jc w:val="left"/>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2、数字孪生模型</w:t>
            </w:r>
          </w:p>
          <w:p w14:paraId="5BD2BD7E">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提供的用于竞赛和学习的数字孪生模型应满足以下要求：</w:t>
            </w:r>
          </w:p>
          <w:p w14:paraId="3EBC7F83">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（1）压紧子模块模型：</w:t>
            </w:r>
          </w:p>
          <w:p w14:paraId="60749E47">
            <w:pPr>
              <w:snapToGrid w:val="0"/>
              <w:ind w:firstLine="333" w:firstLineChars="185"/>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应主要由圆柱型气缸及真空吸盘、双轴气缸及不锈钢支架、压力确认开关、减压阀、终端集线模块、铝型材基体、磁性开关、电磁阀等组成。</w:t>
            </w:r>
          </w:p>
          <w:p w14:paraId="40174953">
            <w:pPr>
              <w:snapToGrid w:val="0"/>
              <w:ind w:firstLine="333" w:firstLineChars="185"/>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lang w:val="en-US" w:eastAsia="zh-CN"/>
              </w:rPr>
              <w:t>投标时</w:t>
            </w:r>
            <w:r>
              <w:rPr>
                <w:rFonts w:hint="eastAsia" w:ascii="宋体" w:hAnsi="宋体" w:eastAsia="宋体" w:cs="宋体"/>
                <w:kern w:val="0"/>
                <w:sz w:val="18"/>
                <w:szCs w:val="18"/>
                <w:highlight w:val="none"/>
              </w:rPr>
              <w:t>提供压紧子模块模型的演示视频。</w:t>
            </w:r>
          </w:p>
          <w:p w14:paraId="33F61278">
            <w:pPr>
              <w:snapToGrid w:val="0"/>
              <w:ind w:firstLine="333" w:firstLineChars="185"/>
              <w:jc w:val="left"/>
              <w:rPr>
                <w:rFonts w:hint="eastAsia" w:ascii="宋体" w:hAnsi="宋体" w:eastAsia="宋体" w:cs="宋体"/>
                <w:kern w:val="0"/>
                <w:sz w:val="18"/>
                <w:szCs w:val="18"/>
                <w:highlight w:val="none"/>
              </w:rPr>
            </w:pPr>
          </w:p>
          <w:p w14:paraId="74E8F3E3">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（2）钻孔子模块模型：</w:t>
            </w:r>
          </w:p>
          <w:p w14:paraId="27E15376">
            <w:pPr>
              <w:snapToGrid w:val="0"/>
              <w:ind w:firstLine="333" w:firstLineChars="185"/>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应主要由圆柱型气缸、料杯固定装置、钻孔用电机及钻头、高精度直线导轨、升降气缸、终端集线模块、铝型材基体、磁性开关、电磁阀等。</w:t>
            </w:r>
          </w:p>
          <w:p w14:paraId="1FF53A5B">
            <w:pPr>
              <w:snapToGrid w:val="0"/>
              <w:ind w:firstLine="333" w:firstLineChars="185"/>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lang w:val="en-US" w:eastAsia="zh-CN"/>
              </w:rPr>
              <w:t>投标时</w:t>
            </w:r>
            <w:r>
              <w:rPr>
                <w:rFonts w:hint="eastAsia" w:ascii="宋体" w:hAnsi="宋体" w:eastAsia="宋体" w:cs="宋体"/>
                <w:kern w:val="0"/>
                <w:sz w:val="18"/>
                <w:szCs w:val="18"/>
                <w:highlight w:val="none"/>
              </w:rPr>
              <w:t>提供钻孔子模块模型的演示视频。</w:t>
            </w:r>
          </w:p>
          <w:p w14:paraId="6FA928C5">
            <w:pPr>
              <w:snapToGrid w:val="0"/>
              <w:ind w:firstLine="333" w:firstLineChars="185"/>
              <w:jc w:val="left"/>
              <w:rPr>
                <w:rFonts w:hint="eastAsia" w:ascii="宋体" w:hAnsi="宋体" w:eastAsia="宋体" w:cs="宋体"/>
                <w:kern w:val="0"/>
                <w:sz w:val="18"/>
                <w:szCs w:val="18"/>
                <w:highlight w:val="none"/>
              </w:rPr>
            </w:pPr>
          </w:p>
          <w:p w14:paraId="0A4BA36C">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（3）移载模块模型：</w:t>
            </w:r>
          </w:p>
          <w:p w14:paraId="12C919A3">
            <w:pPr>
              <w:snapToGrid w:val="0"/>
              <w:ind w:firstLine="333" w:firstLineChars="185"/>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应包含托盘移载机构、伺服系统、高精度丝杠、高精度导轨、升降气缸、托盘定位机构、限位及原点机等。</w:t>
            </w:r>
          </w:p>
          <w:p w14:paraId="48EF5D9E">
            <w:pPr>
              <w:snapToGrid w:val="0"/>
              <w:ind w:firstLine="333" w:firstLineChars="185"/>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lang w:val="en-US" w:eastAsia="zh-CN"/>
              </w:rPr>
              <w:t>投标时</w:t>
            </w:r>
            <w:r>
              <w:rPr>
                <w:rFonts w:hint="eastAsia" w:ascii="宋体" w:hAnsi="宋体" w:eastAsia="宋体" w:cs="宋体"/>
                <w:kern w:val="0"/>
                <w:sz w:val="18"/>
                <w:szCs w:val="18"/>
                <w:highlight w:val="none"/>
              </w:rPr>
              <w:t>提供移载模块模型的演示视频。</w:t>
            </w:r>
          </w:p>
          <w:p w14:paraId="4D261F8A">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（4）数字孪生学习资源</w:t>
            </w:r>
          </w:p>
          <w:p w14:paraId="37F7FA97">
            <w:pPr>
              <w:snapToGrid w:val="0"/>
              <w:ind w:firstLine="333" w:firstLineChars="185"/>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数字孪生学习资源应包含数字孪生技术概述、机电一体化概念设计概述、机电一体化概念设计环境、基本机电对象执行器-基本机电对象、基本对象执行器-执行器、机电一体化感念设计运动仿真-传感器、机电一体化感念设计运动仿真-运动副、仿真的过程控制-运动时行为、仿真的过程控制-仿真序列、虚拟调试技术等视频。</w:t>
            </w:r>
          </w:p>
          <w:p w14:paraId="39C0D7B3">
            <w:pPr>
              <w:snapToGrid w:val="0"/>
              <w:ind w:firstLine="333" w:firstLineChars="185"/>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rPr>
              <w:t>投标文件提供实验指导书截图或视频资源截图。</w:t>
            </w:r>
          </w:p>
          <w:p w14:paraId="05E69BF5">
            <w:pPr>
              <w:snapToGrid w:val="0"/>
              <w:jc w:val="left"/>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（五）能源管理系统</w:t>
            </w:r>
          </w:p>
          <w:p w14:paraId="5E752CC2">
            <w:pPr>
              <w:snapToGrid w:val="0"/>
              <w:ind w:firstLine="333" w:firstLineChars="185"/>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应由电能管理模块、气能测量模块组成。可对系统的用电量和用气量进行数据采集，为PLC提供数据，同时支持工业网络数据采集，支持MODBUS-TCP协议，应可以与所选PLC控制系统进行网络通讯。</w:t>
            </w:r>
          </w:p>
          <w:p w14:paraId="57B82797">
            <w:pPr>
              <w:snapToGrid w:val="0"/>
              <w:jc w:val="left"/>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1、电能管理模块</w:t>
            </w:r>
          </w:p>
          <w:p w14:paraId="7263D8DC">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应满足下列参数要求：</w:t>
            </w:r>
          </w:p>
          <w:p w14:paraId="3C6503FB">
            <w:pPr>
              <w:snapToGrid w:val="0"/>
              <w:ind w:firstLine="360" w:firstLineChars="20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电能管理模块应由空开、电源插座、三相多功能电能表、电源箱、连接支架等组成。</w:t>
            </w:r>
          </w:p>
          <w:p w14:paraId="3D7CA6A2">
            <w:pPr>
              <w:snapToGrid w:val="0"/>
              <w:ind w:firstLine="360" w:firstLineChars="200"/>
              <w:jc w:val="left"/>
              <w:rPr>
                <w:rFonts w:hint="eastAsia" w:ascii="宋体" w:hAnsi="宋体" w:eastAsia="宋体" w:cs="宋体"/>
                <w:kern w:val="0"/>
                <w:sz w:val="18"/>
                <w:szCs w:val="18"/>
                <w:highlight w:val="none"/>
              </w:rPr>
            </w:pPr>
            <w:bookmarkStart w:id="28" w:name="OLE_LINK6"/>
            <w:r>
              <w:rPr>
                <w:rFonts w:hint="eastAsia" w:ascii="宋体" w:hAnsi="宋体" w:eastAsia="宋体" w:cs="宋体"/>
                <w:kern w:val="0"/>
                <w:sz w:val="18"/>
                <w:szCs w:val="18"/>
                <w:highlight w:val="none"/>
              </w:rPr>
              <w:t>电能管理模块</w:t>
            </w:r>
            <w:bookmarkEnd w:id="28"/>
            <w:r>
              <w:rPr>
                <w:rFonts w:hint="eastAsia" w:ascii="宋体" w:hAnsi="宋体" w:eastAsia="宋体" w:cs="宋体"/>
                <w:kern w:val="0"/>
                <w:sz w:val="18"/>
                <w:szCs w:val="18"/>
                <w:highlight w:val="none"/>
              </w:rPr>
              <w:t>应为新一代可编程智能仪表，应采用大规模集成电路，应用数字采样技术，进行实时测量与显示。电能管理模块应可以用来测量电能（千瓦/小时）、电压、电流、有功功率、总功率的仪表。接线简单方便，应带过压保护，不少于双网络接口，运行及错误状态指示灯。应支持工业网络数据采集MODBUS-TCP工业网络协议，可以与PLC等控制系统进行网络通讯。模块电路设计满足电气隔离功能。</w:t>
            </w:r>
          </w:p>
          <w:p w14:paraId="7388D854">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主要参数要求：</w:t>
            </w:r>
          </w:p>
          <w:p w14:paraId="6496C737">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（1）测量显示电压：测量范围180～400V；</w:t>
            </w:r>
          </w:p>
          <w:p w14:paraId="4797B294">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（2）电流：量程包括但不限于5A、40A、60A等；</w:t>
            </w:r>
          </w:p>
          <w:p w14:paraId="6606E1C8">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（3）频率：45~60Hz；</w:t>
            </w:r>
          </w:p>
          <w:p w14:paraId="40A5EE27">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（4）功率：有功精度：1级，无功精度：1级；</w:t>
            </w:r>
          </w:p>
          <w:p w14:paraId="70054391">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（5）电能：有功电能：1级，无功电能：2级；</w:t>
            </w:r>
          </w:p>
          <w:p w14:paraId="42B3408E">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（6）供电电源：内部供电；</w:t>
            </w:r>
          </w:p>
          <w:p w14:paraId="1899693E">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（7）功耗：＜2VA；</w:t>
            </w:r>
          </w:p>
          <w:p w14:paraId="61CA3FE2">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（8）可编程通讯输出接口：≥2个RJ-45接口；</w:t>
            </w:r>
          </w:p>
          <w:p w14:paraId="7C585C53">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（9）通讯规约：标准 MODBUS-TCP；</w:t>
            </w:r>
          </w:p>
          <w:p w14:paraId="06E6FB0D">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（10）带有液晶显示器，≥0.96英寸OLED显示屏，面板上有≥2个按键，可进行参数设置和计量复位工作，液晶显示器显示内容可以通过按键切换；</w:t>
            </w:r>
          </w:p>
          <w:p w14:paraId="5F105233">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（11）工作环境：工作温度：0～40℃；</w:t>
            </w:r>
          </w:p>
          <w:p w14:paraId="22B3CD18">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（12）相对湿度：相对湿度≤80%不结露；</w:t>
            </w:r>
          </w:p>
          <w:p w14:paraId="273D294F">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（13）外形尺寸：≥145×89×74mm（L*W*H）；</w:t>
            </w:r>
          </w:p>
          <w:p w14:paraId="3FC87BE6">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（14）阻燃外壳。</w:t>
            </w:r>
          </w:p>
          <w:p w14:paraId="6250AACB">
            <w:pPr>
              <w:snapToGrid w:val="0"/>
              <w:jc w:val="lef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模块电路设计应满足电气隔离功能</w:t>
            </w:r>
            <w:r>
              <w:rPr>
                <w:rFonts w:hint="eastAsia" w:ascii="宋体" w:hAnsi="宋体" w:cs="宋体"/>
                <w:kern w:val="0"/>
                <w:sz w:val="18"/>
                <w:szCs w:val="18"/>
                <w:highlight w:val="none"/>
                <w:lang w:eastAsia="zh-CN"/>
              </w:rPr>
              <w:t>。</w:t>
            </w:r>
          </w:p>
          <w:p w14:paraId="6588C986">
            <w:pPr>
              <w:snapToGrid w:val="0"/>
              <w:jc w:val="left"/>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rPr>
              <w:t>投标</w:t>
            </w:r>
            <w:r>
              <w:rPr>
                <w:rFonts w:hint="eastAsia" w:ascii="宋体" w:hAnsi="宋体" w:eastAsia="宋体" w:cs="宋体"/>
                <w:kern w:val="0"/>
                <w:sz w:val="18"/>
                <w:szCs w:val="18"/>
                <w:highlight w:val="none"/>
                <w:lang w:val="en-US" w:eastAsia="zh-CN"/>
              </w:rPr>
              <w:t>时</w:t>
            </w:r>
            <w:r>
              <w:rPr>
                <w:rFonts w:hint="eastAsia" w:ascii="宋体" w:hAnsi="宋体" w:eastAsia="宋体" w:cs="宋体"/>
                <w:kern w:val="0"/>
                <w:sz w:val="18"/>
                <w:szCs w:val="18"/>
                <w:highlight w:val="none"/>
              </w:rPr>
              <w:t>提供</w:t>
            </w: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rPr>
              <w:t>显示屏显示内容可通过面板按键切换，显示电压等数据，可进行参数设置和计量复位工作</w:t>
            </w: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lang w:val="en-US" w:eastAsia="zh-CN"/>
              </w:rPr>
              <w:t>的演示视频。</w:t>
            </w:r>
          </w:p>
          <w:p w14:paraId="7D82B7DD">
            <w:pPr>
              <w:numPr>
                <w:ilvl w:val="0"/>
                <w:numId w:val="8"/>
              </w:numPr>
              <w:snapToGrid w:val="0"/>
              <w:jc w:val="left"/>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气能管理模块</w:t>
            </w:r>
          </w:p>
          <w:p w14:paraId="415EA3B6">
            <w:pPr>
              <w:snapToGrid w:val="0"/>
              <w:jc w:val="left"/>
              <w:rPr>
                <w:rFonts w:hint="eastAsia" w:ascii="宋体" w:hAnsi="宋体" w:eastAsia="宋体" w:cs="宋体"/>
                <w:kern w:val="0"/>
                <w:sz w:val="18"/>
                <w:szCs w:val="18"/>
                <w:highlight w:val="none"/>
              </w:rPr>
            </w:pPr>
            <w:r>
              <w:rPr>
                <w:rFonts w:hint="eastAsia" w:ascii="宋体" w:hAnsi="宋体" w:eastAsia="宋体" w:cs="宋体"/>
                <w:sz w:val="18"/>
                <w:szCs w:val="18"/>
                <w:highlight w:val="none"/>
              </w:rPr>
              <w:t>气能管理模块采用气能测量表，</w:t>
            </w:r>
            <w:r>
              <w:rPr>
                <w:rFonts w:hint="eastAsia" w:ascii="宋体" w:hAnsi="宋体" w:eastAsia="宋体" w:cs="宋体"/>
                <w:kern w:val="0"/>
                <w:sz w:val="18"/>
                <w:szCs w:val="18"/>
                <w:highlight w:val="none"/>
              </w:rPr>
              <w:t>应可以实时测量设备的用气量，并通过液晶屏实时显示，可以采集整个设备在运行过程中累计消耗的气量。应可通过MODBUS-TCP协议与PLC直接通讯，模块应具有两个MODBUS-TCP接口，可以进行设备级联。</w:t>
            </w:r>
          </w:p>
          <w:p w14:paraId="5A8CA969">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气能测量表具体参数如下：</w:t>
            </w:r>
          </w:p>
          <w:p w14:paraId="41191B25">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（1）测量显示气体流量 测量范围5L~100L；</w:t>
            </w:r>
          </w:p>
          <w:p w14:paraId="4A2281AB">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（2）工作电压：DC24V ±5%；</w:t>
            </w:r>
          </w:p>
          <w:p w14:paraId="28E01808">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（3）工作电流：＜0.5A；</w:t>
            </w:r>
          </w:p>
          <w:p w14:paraId="2057D9DD">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（4）功耗：＜2VA；</w:t>
            </w:r>
          </w:p>
          <w:p w14:paraId="52CF7197">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（5）通讯输出接口：≥2个RJ-45接口；</w:t>
            </w:r>
          </w:p>
          <w:p w14:paraId="4B2A0E41">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（6）通讯规约 标准 MODBUS-TCP；</w:t>
            </w:r>
          </w:p>
          <w:p w14:paraId="061FCD0E">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（7）带有系统显示功能，具有≥0.96英寸OLED显示屏；</w:t>
            </w:r>
          </w:p>
          <w:p w14:paraId="4AFF6E9D">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（8）气压范围：0-10bar；</w:t>
            </w:r>
          </w:p>
          <w:p w14:paraId="0606A38C">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（9）外形尺寸：≥76×89×74mm（L*W*H）。</w:t>
            </w:r>
          </w:p>
          <w:p w14:paraId="72418F19">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rPr>
              <w:t>投标</w:t>
            </w:r>
            <w:r>
              <w:rPr>
                <w:rFonts w:hint="eastAsia" w:ascii="宋体" w:hAnsi="宋体" w:eastAsia="宋体" w:cs="宋体"/>
                <w:kern w:val="0"/>
                <w:sz w:val="18"/>
                <w:szCs w:val="18"/>
                <w:highlight w:val="none"/>
                <w:lang w:val="en-US" w:eastAsia="zh-CN"/>
              </w:rPr>
              <w:t>时</w:t>
            </w:r>
            <w:r>
              <w:rPr>
                <w:rFonts w:hint="eastAsia" w:ascii="宋体" w:hAnsi="宋体" w:eastAsia="宋体" w:cs="宋体"/>
                <w:kern w:val="0"/>
                <w:sz w:val="18"/>
                <w:szCs w:val="18"/>
                <w:highlight w:val="none"/>
              </w:rPr>
              <w:t>提供</w:t>
            </w: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rPr>
              <w:t>应能展示2个RJ45接口，显示≥0.96英寸OLED显示气体流量</w:t>
            </w: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lang w:val="en-US" w:eastAsia="zh-CN"/>
              </w:rPr>
              <w:t>的演示视频。</w:t>
            </w:r>
          </w:p>
          <w:p w14:paraId="75262A74">
            <w:pPr>
              <w:snapToGrid w:val="0"/>
              <w:jc w:val="left"/>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（六）配套软件</w:t>
            </w:r>
          </w:p>
          <w:p w14:paraId="543792F5">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配套软件应预装在工控机内。软件至少包含：</w:t>
            </w:r>
          </w:p>
          <w:p w14:paraId="730DB3B7">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（1）PLC配套编程软件</w:t>
            </w:r>
          </w:p>
          <w:p w14:paraId="6FB47734">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（2）运动控制软件，变频器配置工具</w:t>
            </w:r>
          </w:p>
          <w:p w14:paraId="34DAD29B">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（3）伺服调试软件，伺服驱动器配置工具</w:t>
            </w:r>
          </w:p>
          <w:p w14:paraId="3D6FC4F4">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（4）网络设备配置工具</w:t>
            </w:r>
          </w:p>
          <w:p w14:paraId="03E3A347">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（5）UaExpert（1.5.1.331）</w:t>
            </w:r>
          </w:p>
          <w:p w14:paraId="4EFB9E14">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（6）TCP测试工具</w:t>
            </w:r>
          </w:p>
          <w:p w14:paraId="25EC4374">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（7）局域网测速工具</w:t>
            </w:r>
          </w:p>
          <w:p w14:paraId="73E478FA">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（8）编程软件</w:t>
            </w:r>
          </w:p>
          <w:p w14:paraId="1F0205BC">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（9）办公软件</w:t>
            </w:r>
          </w:p>
          <w:p w14:paraId="2BA2BAF7">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（10）录屏软件</w:t>
            </w:r>
          </w:p>
          <w:p w14:paraId="1CEB5C04">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（11）数据库</w:t>
            </w:r>
          </w:p>
          <w:p w14:paraId="0C35C778">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（12）网络数据抓取测试软件</w:t>
            </w:r>
          </w:p>
          <w:p w14:paraId="7CE15994">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（13）Modbus数据通讯工具</w:t>
            </w:r>
          </w:p>
          <w:p w14:paraId="1F73363C">
            <w:pPr>
              <w:snapToGrid w:val="0"/>
              <w:jc w:val="left"/>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二、平台整体规格参数</w:t>
            </w:r>
          </w:p>
          <w:p w14:paraId="21F456B1">
            <w:pPr>
              <w:snapToGrid w:val="0"/>
              <w:jc w:val="left"/>
              <w:rPr>
                <w:rFonts w:hint="eastAsia" w:ascii="宋体" w:hAnsi="宋体" w:eastAsia="宋体" w:cs="宋体"/>
                <w:kern w:val="0"/>
                <w:sz w:val="18"/>
                <w:szCs w:val="18"/>
                <w:highlight w:val="none"/>
              </w:rPr>
            </w:pPr>
            <w:r>
              <w:rPr>
                <w:rFonts w:hint="default" w:ascii="宋体" w:hAnsi="宋体" w:eastAsia="宋体" w:cs="宋体"/>
                <w:kern w:val="0"/>
                <w:sz w:val="18"/>
                <w:szCs w:val="18"/>
                <w:highlight w:val="none"/>
                <w:lang w:val="en-US" w:eastAsia="zh-CN"/>
              </w:rPr>
              <w:t>（1）</w:t>
            </w:r>
            <w:r>
              <w:rPr>
                <w:rFonts w:hint="eastAsia" w:ascii="宋体" w:hAnsi="宋体" w:eastAsia="宋体" w:cs="宋体"/>
                <w:kern w:val="0"/>
                <w:sz w:val="18"/>
                <w:szCs w:val="18"/>
                <w:highlight w:val="none"/>
              </w:rPr>
              <w:t>电源：三相（AC 380V±10％ 50Hz）；</w:t>
            </w:r>
          </w:p>
          <w:p w14:paraId="35AE954D">
            <w:pPr>
              <w:snapToGrid w:val="0"/>
              <w:jc w:val="left"/>
              <w:rPr>
                <w:rFonts w:hint="eastAsia" w:ascii="宋体" w:hAnsi="宋体" w:eastAsia="宋体" w:cs="宋体"/>
                <w:kern w:val="0"/>
                <w:sz w:val="18"/>
                <w:szCs w:val="18"/>
                <w:highlight w:val="none"/>
              </w:rPr>
            </w:pPr>
            <w:r>
              <w:rPr>
                <w:rFonts w:hint="default" w:ascii="宋体" w:hAnsi="宋体" w:eastAsia="宋体" w:cs="宋体"/>
                <w:kern w:val="0"/>
                <w:sz w:val="18"/>
                <w:szCs w:val="18"/>
                <w:highlight w:val="none"/>
                <w:lang w:val="en-US" w:eastAsia="zh-CN"/>
              </w:rPr>
              <w:t>（2）</w:t>
            </w:r>
            <w:r>
              <w:rPr>
                <w:rFonts w:hint="eastAsia" w:ascii="宋体" w:hAnsi="宋体" w:eastAsia="宋体" w:cs="宋体"/>
                <w:kern w:val="0"/>
                <w:sz w:val="18"/>
                <w:szCs w:val="18"/>
                <w:highlight w:val="none"/>
              </w:rPr>
              <w:t>功率：≤1kVA；</w:t>
            </w:r>
          </w:p>
          <w:p w14:paraId="05A26C04">
            <w:pPr>
              <w:snapToGrid w:val="0"/>
              <w:jc w:val="left"/>
              <w:rPr>
                <w:rFonts w:hint="eastAsia" w:ascii="宋体" w:hAnsi="宋体" w:eastAsia="宋体" w:cs="宋体"/>
                <w:kern w:val="0"/>
                <w:sz w:val="18"/>
                <w:szCs w:val="18"/>
                <w:highlight w:val="none"/>
              </w:rPr>
            </w:pPr>
            <w:r>
              <w:rPr>
                <w:rFonts w:hint="default" w:ascii="宋体" w:hAnsi="宋体" w:eastAsia="宋体" w:cs="宋体"/>
                <w:kern w:val="0"/>
                <w:sz w:val="18"/>
                <w:szCs w:val="18"/>
                <w:highlight w:val="none"/>
                <w:lang w:val="en-US" w:eastAsia="zh-CN"/>
              </w:rPr>
              <w:t>（3）</w:t>
            </w:r>
            <w:r>
              <w:rPr>
                <w:rFonts w:hint="eastAsia" w:ascii="宋体" w:hAnsi="宋体" w:eastAsia="宋体" w:cs="宋体"/>
                <w:kern w:val="0"/>
                <w:sz w:val="18"/>
                <w:szCs w:val="18"/>
                <w:highlight w:val="none"/>
              </w:rPr>
              <w:t>工作温度：</w:t>
            </w:r>
            <w:bookmarkStart w:id="29" w:name="_Hlk152613421"/>
            <w:r>
              <w:rPr>
                <w:rFonts w:hint="eastAsia" w:ascii="宋体" w:hAnsi="宋体" w:eastAsia="宋体" w:cs="宋体"/>
                <w:kern w:val="0"/>
                <w:sz w:val="18"/>
                <w:szCs w:val="18"/>
                <w:highlight w:val="none"/>
              </w:rPr>
              <w:t>5℃～45℃</w:t>
            </w:r>
            <w:bookmarkEnd w:id="29"/>
            <w:r>
              <w:rPr>
                <w:rFonts w:hint="eastAsia" w:ascii="宋体" w:hAnsi="宋体" w:eastAsia="宋体" w:cs="宋体"/>
                <w:kern w:val="0"/>
                <w:sz w:val="18"/>
                <w:szCs w:val="18"/>
                <w:highlight w:val="none"/>
              </w:rPr>
              <w:t>；</w:t>
            </w:r>
          </w:p>
          <w:p w14:paraId="43167C0B">
            <w:pPr>
              <w:snapToGrid w:val="0"/>
              <w:jc w:val="left"/>
              <w:rPr>
                <w:rFonts w:hint="eastAsia" w:ascii="宋体" w:hAnsi="宋体" w:eastAsia="宋体" w:cs="宋体"/>
                <w:kern w:val="0"/>
                <w:sz w:val="18"/>
                <w:szCs w:val="18"/>
                <w:highlight w:val="none"/>
              </w:rPr>
            </w:pPr>
            <w:r>
              <w:rPr>
                <w:rFonts w:hint="default" w:ascii="宋体" w:hAnsi="宋体" w:eastAsia="宋体" w:cs="宋体"/>
                <w:kern w:val="0"/>
                <w:sz w:val="18"/>
                <w:szCs w:val="18"/>
                <w:highlight w:val="none"/>
                <w:lang w:val="en-US" w:eastAsia="zh-CN"/>
              </w:rPr>
              <w:t>（4）</w:t>
            </w:r>
            <w:r>
              <w:rPr>
                <w:rFonts w:hint="eastAsia" w:ascii="宋体" w:hAnsi="宋体" w:eastAsia="宋体" w:cs="宋体"/>
                <w:kern w:val="0"/>
                <w:sz w:val="18"/>
                <w:szCs w:val="18"/>
                <w:highlight w:val="none"/>
              </w:rPr>
              <w:t>气动气压：0.4～0.6MPa；</w:t>
            </w:r>
          </w:p>
          <w:p w14:paraId="50A17A60">
            <w:pPr>
              <w:snapToGrid w:val="0"/>
              <w:jc w:val="left"/>
              <w:rPr>
                <w:rFonts w:hint="eastAsia" w:ascii="宋体" w:hAnsi="宋体" w:eastAsia="宋体" w:cs="宋体"/>
                <w:kern w:val="0"/>
                <w:sz w:val="18"/>
                <w:szCs w:val="18"/>
                <w:highlight w:val="none"/>
              </w:rPr>
            </w:pPr>
            <w:r>
              <w:rPr>
                <w:rFonts w:hint="default" w:ascii="宋体" w:hAnsi="宋体" w:eastAsia="宋体" w:cs="宋体"/>
                <w:kern w:val="0"/>
                <w:sz w:val="18"/>
                <w:szCs w:val="18"/>
                <w:highlight w:val="none"/>
                <w:lang w:val="en-US" w:eastAsia="zh-CN"/>
              </w:rPr>
              <w:t>（5）</w:t>
            </w:r>
            <w:r>
              <w:rPr>
                <w:rFonts w:hint="eastAsia" w:ascii="宋体" w:hAnsi="宋体" w:eastAsia="宋体" w:cs="宋体"/>
                <w:kern w:val="0"/>
                <w:sz w:val="18"/>
                <w:szCs w:val="18"/>
                <w:highlight w:val="none"/>
              </w:rPr>
              <w:t>工作湿度：30%～75%（无冷凝）；</w:t>
            </w:r>
          </w:p>
          <w:p w14:paraId="0631FB0C">
            <w:pPr>
              <w:snapToGrid w:val="0"/>
              <w:jc w:val="left"/>
              <w:rPr>
                <w:rFonts w:hint="eastAsia" w:ascii="宋体" w:hAnsi="宋体" w:eastAsia="宋体" w:cs="宋体"/>
                <w:sz w:val="18"/>
                <w:szCs w:val="18"/>
                <w:highlight w:val="none"/>
              </w:rPr>
            </w:pPr>
            <w:r>
              <w:rPr>
                <w:rFonts w:hint="default" w:ascii="宋体" w:hAnsi="宋体" w:eastAsia="宋体" w:cs="宋体"/>
                <w:kern w:val="0"/>
                <w:sz w:val="18"/>
                <w:szCs w:val="18"/>
                <w:highlight w:val="none"/>
                <w:lang w:val="en-US" w:eastAsia="zh-CN"/>
              </w:rPr>
              <w:t>（6）</w:t>
            </w:r>
            <w:r>
              <w:rPr>
                <w:rFonts w:hint="eastAsia" w:ascii="宋体" w:hAnsi="宋体" w:eastAsia="宋体" w:cs="宋体"/>
                <w:kern w:val="0"/>
                <w:sz w:val="18"/>
                <w:szCs w:val="18"/>
                <w:highlight w:val="none"/>
              </w:rPr>
              <w:t>平台外形尺寸：≥1000mm×720mm×1600mm（L×W×H）。</w:t>
            </w:r>
          </w:p>
        </w:tc>
        <w:tc>
          <w:tcPr>
            <w:tcW w:w="655" w:type="dxa"/>
            <w:shd w:val="clear" w:color="auto" w:fill="auto"/>
            <w:vAlign w:val="center"/>
          </w:tcPr>
          <w:p w14:paraId="4678B488">
            <w:pPr>
              <w:snapToGrid w:val="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4</w:t>
            </w:r>
          </w:p>
        </w:tc>
        <w:tc>
          <w:tcPr>
            <w:tcW w:w="709" w:type="dxa"/>
            <w:shd w:val="clear" w:color="auto" w:fill="auto"/>
            <w:vAlign w:val="center"/>
          </w:tcPr>
          <w:p w14:paraId="1FB28F96">
            <w:pPr>
              <w:snapToGrid w:val="0"/>
              <w:jc w:val="center"/>
              <w:rPr>
                <w:rFonts w:hint="eastAsia" w:ascii="宋体" w:hAnsi="宋体" w:eastAsia="宋体" w:cs="宋体"/>
                <w:kern w:val="0"/>
                <w:sz w:val="18"/>
                <w:szCs w:val="18"/>
                <w:highlight w:val="none"/>
                <w:lang w:eastAsia="zh-Hans"/>
              </w:rPr>
            </w:pPr>
            <w:r>
              <w:rPr>
                <w:rFonts w:hint="eastAsia" w:ascii="宋体" w:hAnsi="宋体" w:eastAsia="宋体" w:cs="宋体"/>
                <w:kern w:val="0"/>
                <w:sz w:val="18"/>
                <w:szCs w:val="18"/>
                <w:highlight w:val="none"/>
                <w:lang w:eastAsia="zh-Hans"/>
              </w:rPr>
              <w:t>套</w:t>
            </w:r>
          </w:p>
        </w:tc>
      </w:tr>
      <w:tr w14:paraId="0BA5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14:paraId="1CCB10C4">
            <w:pPr>
              <w:snapToGrid w:val="0"/>
              <w:jc w:val="center"/>
              <w:rPr>
                <w:rFonts w:hint="eastAsia" w:ascii="宋体" w:hAnsi="宋体" w:eastAsia="宋体" w:cs="宋体"/>
                <w:kern w:val="0"/>
                <w:sz w:val="18"/>
                <w:szCs w:val="18"/>
                <w:highlight w:val="none"/>
                <w:lang w:eastAsia="zh-CN"/>
              </w:rPr>
            </w:pPr>
            <w:r>
              <w:rPr>
                <w:rFonts w:hint="eastAsia" w:ascii="宋体" w:hAnsi="宋体" w:cs="宋体"/>
                <w:kern w:val="0"/>
                <w:sz w:val="18"/>
                <w:szCs w:val="18"/>
                <w:highlight w:val="none"/>
                <w:lang w:val="en-US" w:eastAsia="zh-CN"/>
              </w:rPr>
              <w:t>2</w:t>
            </w:r>
          </w:p>
        </w:tc>
        <w:tc>
          <w:tcPr>
            <w:tcW w:w="788" w:type="dxa"/>
            <w:vAlign w:val="center"/>
          </w:tcPr>
          <w:p w14:paraId="3989CE56">
            <w:pPr>
              <w:snapToGrid w:val="0"/>
              <w:jc w:val="center"/>
              <w:rPr>
                <w:rFonts w:hint="eastAsia" w:ascii="宋体" w:hAnsi="宋体" w:eastAsia="宋体" w:cs="宋体"/>
                <w:kern w:val="0"/>
                <w:sz w:val="18"/>
                <w:szCs w:val="18"/>
                <w:highlight w:val="none"/>
                <w:lang w:val="en-US" w:eastAsia="zh-Hans"/>
              </w:rPr>
            </w:pPr>
            <w:r>
              <w:rPr>
                <w:rFonts w:hint="eastAsia" w:ascii="宋体" w:hAnsi="宋体" w:eastAsia="宋体" w:cs="宋体"/>
                <w:kern w:val="0"/>
                <w:sz w:val="18"/>
                <w:szCs w:val="18"/>
                <w:highlight w:val="none"/>
                <w:lang w:val="en-US" w:eastAsia="zh-Hans"/>
              </w:rPr>
              <w:t>终端编程单元</w:t>
            </w:r>
          </w:p>
        </w:tc>
        <w:tc>
          <w:tcPr>
            <w:tcW w:w="6262" w:type="dxa"/>
            <w:vAlign w:val="center"/>
          </w:tcPr>
          <w:p w14:paraId="023870DB">
            <w:pPr>
              <w:snapToGrid w:val="0"/>
              <w:jc w:val="left"/>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w:t>
            </w:r>
            <w:r>
              <w:rPr>
                <w:rFonts w:hint="eastAsia" w:ascii="宋体" w:hAnsi="宋体" w:cs="宋体"/>
                <w:b/>
                <w:bCs/>
                <w:kern w:val="0"/>
                <w:sz w:val="18"/>
                <w:szCs w:val="18"/>
                <w:highlight w:val="none"/>
                <w:lang w:val="en-US" w:eastAsia="zh-CN"/>
              </w:rPr>
              <w:t>一</w:t>
            </w:r>
            <w:r>
              <w:rPr>
                <w:rFonts w:hint="eastAsia" w:ascii="宋体" w:hAnsi="宋体" w:eastAsia="宋体" w:cs="宋体"/>
                <w:b/>
                <w:bCs/>
                <w:kern w:val="0"/>
                <w:sz w:val="18"/>
                <w:szCs w:val="18"/>
                <w:highlight w:val="none"/>
              </w:rPr>
              <w:t>）终端编程单元</w:t>
            </w:r>
          </w:p>
          <w:p w14:paraId="6FF55CC3">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（1）应采用知名品牌工控机（双核处理器不低于I7；内存≥16GB；≥512G SSD固态硬盘；≥2个以太网接口；≥2个前面板USB口，≥4个后面板USB口；≥2个串口COM1和COM2（RS232/422/485）；</w:t>
            </w:r>
          </w:p>
          <w:p w14:paraId="560DD8D9">
            <w:pPr>
              <w:snapToGrid w:val="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（2）≥23.8寸液晶显示器+键盘鼠标；</w:t>
            </w:r>
          </w:p>
          <w:p w14:paraId="595FB76A">
            <w:pPr>
              <w:snapToGrid w:val="0"/>
              <w:jc w:val="left"/>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rPr>
              <w:t>（3）工控机内应预装MES软件，具体功能要求见MES软件参数描述。</w:t>
            </w:r>
          </w:p>
        </w:tc>
        <w:tc>
          <w:tcPr>
            <w:tcW w:w="655" w:type="dxa"/>
            <w:shd w:val="clear" w:color="auto" w:fill="auto"/>
            <w:vAlign w:val="center"/>
          </w:tcPr>
          <w:p w14:paraId="614401A7">
            <w:pPr>
              <w:snapToGrid w:val="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4</w:t>
            </w:r>
          </w:p>
        </w:tc>
        <w:tc>
          <w:tcPr>
            <w:tcW w:w="709" w:type="dxa"/>
            <w:shd w:val="clear" w:color="auto" w:fill="auto"/>
            <w:vAlign w:val="center"/>
          </w:tcPr>
          <w:p w14:paraId="583BCC11">
            <w:pPr>
              <w:snapToGrid w:val="0"/>
              <w:jc w:val="center"/>
              <w:rPr>
                <w:rFonts w:hint="eastAsia" w:ascii="宋体" w:hAnsi="宋体" w:eastAsia="宋体" w:cs="宋体"/>
                <w:kern w:val="0"/>
                <w:sz w:val="18"/>
                <w:szCs w:val="18"/>
                <w:highlight w:val="none"/>
                <w:lang w:eastAsia="zh-Hans"/>
              </w:rPr>
            </w:pPr>
            <w:r>
              <w:rPr>
                <w:rFonts w:hint="eastAsia" w:ascii="宋体" w:hAnsi="宋体" w:eastAsia="宋体" w:cs="宋体"/>
                <w:kern w:val="0"/>
                <w:sz w:val="18"/>
                <w:szCs w:val="18"/>
                <w:highlight w:val="none"/>
                <w:lang w:eastAsia="zh-Hans"/>
              </w:rPr>
              <w:t>套</w:t>
            </w:r>
          </w:p>
        </w:tc>
      </w:tr>
    </w:tbl>
    <w:p w14:paraId="6FE45936">
      <w:pPr>
        <w:tabs>
          <w:tab w:val="left" w:pos="0"/>
        </w:tabs>
        <w:spacing w:line="360" w:lineRule="auto"/>
        <w:ind w:firstLine="48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2、商务需求</w:t>
      </w:r>
    </w:p>
    <w:p w14:paraId="4A89920A">
      <w:pPr>
        <w:tabs>
          <w:tab w:val="left" w:pos="0"/>
        </w:tabs>
        <w:spacing w:line="360" w:lineRule="auto"/>
        <w:ind w:firstLine="48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2.1交货时间及地点</w:t>
      </w:r>
    </w:p>
    <w:p w14:paraId="10BD9A15">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应在合同签订后</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0日历天内供货、安装、调试完成</w:t>
      </w:r>
      <w:r>
        <w:rPr>
          <w:rFonts w:hint="eastAsia" w:ascii="宋体" w:hAnsi="宋体" w:cs="宋体"/>
          <w:color w:val="auto"/>
          <w:kern w:val="0"/>
          <w:sz w:val="24"/>
          <w:highlight w:val="none"/>
          <w:lang w:val="en-US" w:eastAsia="zh-CN"/>
        </w:rPr>
        <w:t>并能正式投入使用</w:t>
      </w:r>
      <w:r>
        <w:rPr>
          <w:rFonts w:hint="eastAsia" w:ascii="宋体" w:hAnsi="宋体" w:cs="宋体"/>
          <w:color w:val="auto"/>
          <w:kern w:val="0"/>
          <w:sz w:val="24"/>
          <w:highlight w:val="none"/>
        </w:rPr>
        <w:t>。</w:t>
      </w:r>
    </w:p>
    <w:p w14:paraId="4DDB058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交货地点：采购人指定地点。</w:t>
      </w:r>
    </w:p>
    <w:p w14:paraId="583D5C99">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提供的</w:t>
      </w:r>
      <w:r>
        <w:rPr>
          <w:rFonts w:hint="eastAsia" w:ascii="宋体" w:hAnsi="宋体" w:cs="宋体"/>
          <w:color w:val="auto"/>
          <w:kern w:val="0"/>
          <w:sz w:val="24"/>
          <w:highlight w:val="none"/>
          <w:lang w:val="en-US" w:eastAsia="zh-CN"/>
        </w:rPr>
        <w:t>货物</w:t>
      </w:r>
      <w:r>
        <w:rPr>
          <w:rFonts w:hint="eastAsia" w:ascii="宋体" w:hAnsi="宋体" w:cs="宋体"/>
          <w:color w:val="auto"/>
          <w:kern w:val="0"/>
          <w:sz w:val="24"/>
          <w:highlight w:val="none"/>
        </w:rPr>
        <w:t>，必须符合本采购文件要求、原包装送达采购</w:t>
      </w:r>
      <w:r>
        <w:rPr>
          <w:rFonts w:hint="eastAsia" w:ascii="宋体" w:hAnsi="宋体" w:cs="宋体"/>
          <w:color w:val="auto"/>
          <w:kern w:val="0"/>
          <w:sz w:val="24"/>
          <w:highlight w:val="none"/>
          <w:lang w:eastAsia="zh-CN"/>
        </w:rPr>
        <w:t>人</w:t>
      </w:r>
      <w:r>
        <w:rPr>
          <w:rFonts w:hint="eastAsia" w:ascii="宋体" w:hAnsi="宋体" w:cs="宋体"/>
          <w:color w:val="auto"/>
          <w:kern w:val="0"/>
          <w:sz w:val="24"/>
          <w:highlight w:val="none"/>
        </w:rPr>
        <w:t>单位；如有不符，采购人可以无条件退货，所造成的损失由</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承担。更换后的零部件质保期按更换日起顺延。</w:t>
      </w:r>
    </w:p>
    <w:p w14:paraId="32CBE7F1">
      <w:pPr>
        <w:tabs>
          <w:tab w:val="left" w:pos="0"/>
        </w:tabs>
        <w:spacing w:line="360" w:lineRule="auto"/>
        <w:ind w:firstLine="48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2.2质保期及售后技术服务要求</w:t>
      </w:r>
    </w:p>
    <w:p w14:paraId="1F7C4C56">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质保期：</w:t>
      </w:r>
      <w:r>
        <w:rPr>
          <w:rFonts w:hint="eastAsia" w:ascii="宋体" w:hAnsi="宋体" w:cs="宋体"/>
          <w:color w:val="auto"/>
          <w:kern w:val="0"/>
          <w:sz w:val="24"/>
          <w:highlight w:val="none"/>
          <w:lang w:val="en-US" w:eastAsia="zh-CN"/>
        </w:rPr>
        <w:t>项目验收合格之日起1</w:t>
      </w:r>
      <w:r>
        <w:rPr>
          <w:rFonts w:hint="eastAsia" w:ascii="宋体" w:hAnsi="宋体" w:cs="宋体"/>
          <w:color w:val="auto"/>
          <w:kern w:val="0"/>
          <w:sz w:val="24"/>
          <w:highlight w:val="none"/>
        </w:rPr>
        <w:t>年；</w:t>
      </w:r>
    </w:p>
    <w:p w14:paraId="7EE72FA4">
      <w:pPr>
        <w:tabs>
          <w:tab w:val="left" w:pos="0"/>
        </w:tabs>
        <w:spacing w:line="360" w:lineRule="auto"/>
        <w:ind w:firstLine="48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质保期</w:t>
      </w:r>
      <w:r>
        <w:rPr>
          <w:rFonts w:hint="eastAsia" w:ascii="宋体" w:hAnsi="宋体" w:cs="宋体"/>
          <w:color w:val="auto"/>
          <w:kern w:val="0"/>
          <w:sz w:val="24"/>
          <w:highlight w:val="none"/>
          <w:lang w:eastAsia="zh-CN"/>
        </w:rPr>
        <w:t>内提供免费上门维护、升级服务，如设备出现故障，</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lang w:eastAsia="zh-CN"/>
        </w:rPr>
        <w:t>在接到电话后，立即响应，2小时以内到现场处理，12小时内修复，现场不能修复的，必须采取无偿提供采购物品的备用件或整机等措施，保证</w:t>
      </w:r>
      <w:r>
        <w:rPr>
          <w:rFonts w:hint="eastAsia" w:ascii="宋体" w:hAnsi="宋体" w:cs="宋体"/>
          <w:color w:val="auto"/>
          <w:kern w:val="0"/>
          <w:sz w:val="24"/>
          <w:highlight w:val="none"/>
          <w:lang w:val="en-US" w:eastAsia="zh-CN"/>
        </w:rPr>
        <w:t>采购人</w:t>
      </w:r>
      <w:r>
        <w:rPr>
          <w:rFonts w:hint="eastAsia" w:ascii="宋体" w:hAnsi="宋体" w:cs="宋体"/>
          <w:color w:val="auto"/>
          <w:kern w:val="0"/>
          <w:sz w:val="24"/>
          <w:highlight w:val="none"/>
          <w:lang w:eastAsia="zh-CN"/>
        </w:rPr>
        <w:t>单位的正常使用。</w:t>
      </w:r>
    </w:p>
    <w:p w14:paraId="25D7EE3B">
      <w:pPr>
        <w:tabs>
          <w:tab w:val="left" w:pos="0"/>
        </w:tabs>
        <w:spacing w:line="360" w:lineRule="auto"/>
        <w:ind w:firstLine="480"/>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2.3培训要求</w:t>
      </w:r>
    </w:p>
    <w:p w14:paraId="10AC1E59">
      <w:pPr>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本项目需提供设备使用培训，保证采购单位使用人能够熟练操作，安排一周时间完成，在采购人指定地点培训。</w:t>
      </w:r>
    </w:p>
    <w:p w14:paraId="6294F336">
      <w:pPr>
        <w:tabs>
          <w:tab w:val="left" w:pos="0"/>
        </w:tabs>
        <w:spacing w:line="360" w:lineRule="auto"/>
        <w:ind w:firstLine="480"/>
        <w:rPr>
          <w:rFonts w:hint="default" w:ascii="宋体" w:hAnsi="宋体" w:cs="宋体"/>
          <w:b/>
          <w:bCs/>
          <w:color w:val="auto"/>
          <w:kern w:val="0"/>
          <w:sz w:val="24"/>
          <w:highlight w:val="none"/>
          <w:lang w:val="en-US" w:eastAsia="zh-CN"/>
        </w:rPr>
      </w:pPr>
      <w:r>
        <w:rPr>
          <w:rFonts w:hint="eastAsia" w:ascii="宋体" w:hAnsi="宋体" w:cs="宋体"/>
          <w:color w:val="auto"/>
          <w:kern w:val="0"/>
          <w:sz w:val="24"/>
          <w:highlight w:val="none"/>
        </w:rPr>
        <w:t>培训完成后，采购人的工作人员能够对整个</w:t>
      </w:r>
      <w:r>
        <w:rPr>
          <w:rFonts w:hint="eastAsia" w:ascii="宋体" w:hAnsi="宋体" w:cs="宋体"/>
          <w:color w:val="auto"/>
          <w:kern w:val="0"/>
          <w:sz w:val="24"/>
          <w:highlight w:val="none"/>
          <w:lang w:val="en-US" w:eastAsia="zh-CN"/>
        </w:rPr>
        <w:t>设备</w:t>
      </w:r>
      <w:r>
        <w:rPr>
          <w:rFonts w:hint="eastAsia" w:ascii="宋体" w:hAnsi="宋体" w:cs="宋体"/>
          <w:color w:val="auto"/>
          <w:kern w:val="0"/>
          <w:sz w:val="24"/>
          <w:highlight w:val="none"/>
        </w:rPr>
        <w:t>进行日常的管理操作和维护操作，能够处理日常发生的简单故障，以及在第一时间采取相关的保障手段等效果。</w:t>
      </w:r>
    </w:p>
    <w:p w14:paraId="58B69359">
      <w:pPr>
        <w:tabs>
          <w:tab w:val="left" w:pos="0"/>
        </w:tabs>
        <w:spacing w:line="360" w:lineRule="auto"/>
        <w:ind w:firstLine="480"/>
        <w:rPr>
          <w:rFonts w:hint="eastAsia" w:ascii="宋体" w:hAnsi="宋体" w:cs="宋体"/>
          <w:b/>
          <w:bCs/>
          <w:color w:val="auto"/>
          <w:kern w:val="0"/>
          <w:sz w:val="24"/>
          <w:highlight w:val="none"/>
          <w:lang w:val="zh-CN" w:eastAsia="zh-CN"/>
        </w:rPr>
      </w:pPr>
      <w:r>
        <w:rPr>
          <w:rFonts w:hint="eastAsia" w:ascii="宋体" w:hAnsi="宋体" w:cs="宋体"/>
          <w:b/>
          <w:bCs/>
          <w:color w:val="auto"/>
          <w:kern w:val="0"/>
          <w:sz w:val="24"/>
          <w:highlight w:val="none"/>
          <w:lang w:val="zh-CN"/>
        </w:rPr>
        <w:t>2.</w:t>
      </w:r>
      <w:r>
        <w:rPr>
          <w:rFonts w:hint="eastAsia" w:ascii="宋体" w:hAnsi="宋体" w:cs="宋体"/>
          <w:b/>
          <w:bCs/>
          <w:color w:val="auto"/>
          <w:kern w:val="0"/>
          <w:sz w:val="24"/>
          <w:highlight w:val="none"/>
          <w:lang w:val="en-US" w:eastAsia="zh-CN"/>
        </w:rPr>
        <w:t>4</w:t>
      </w:r>
      <w:r>
        <w:rPr>
          <w:rFonts w:hint="eastAsia" w:ascii="宋体" w:hAnsi="宋体" w:cs="宋体"/>
          <w:b/>
          <w:bCs/>
          <w:color w:val="auto"/>
          <w:kern w:val="0"/>
          <w:sz w:val="24"/>
          <w:highlight w:val="none"/>
          <w:lang w:val="zh-CN"/>
        </w:rPr>
        <w:t>付款方式</w:t>
      </w:r>
    </w:p>
    <w:p w14:paraId="717351E3">
      <w:pPr>
        <w:tabs>
          <w:tab w:val="left" w:pos="0"/>
        </w:tabs>
        <w:spacing w:line="360" w:lineRule="auto"/>
        <w:ind w:firstLine="480"/>
        <w:rPr>
          <w:rFonts w:hint="eastAsia" w:ascii="宋体" w:hAnsi="宋体" w:cs="宋体"/>
          <w:b/>
          <w:bCs/>
          <w:color w:val="auto"/>
          <w:kern w:val="0"/>
          <w:sz w:val="24"/>
          <w:highlight w:val="none"/>
          <w:lang w:val="en-US" w:eastAsia="zh-CN"/>
        </w:rPr>
      </w:pPr>
      <w:r>
        <w:rPr>
          <w:rFonts w:hint="eastAsia" w:ascii="宋体" w:hAnsi="宋体" w:cs="宋体"/>
          <w:color w:val="auto"/>
          <w:kern w:val="0"/>
          <w:sz w:val="24"/>
          <w:highlight w:val="none"/>
          <w:lang w:eastAsia="zh-CN"/>
        </w:rPr>
        <w:t>合同签订后，采购人支付合同总价的</w:t>
      </w:r>
      <w:r>
        <w:rPr>
          <w:rFonts w:hint="eastAsia" w:ascii="宋体" w:hAnsi="宋体" w:cs="宋体"/>
          <w:color w:val="auto"/>
          <w:kern w:val="0"/>
          <w:sz w:val="24"/>
          <w:highlight w:val="none"/>
          <w:lang w:val="en-US" w:eastAsia="zh-CN"/>
        </w:rPr>
        <w:t>40</w:t>
      </w:r>
      <w:r>
        <w:rPr>
          <w:rFonts w:hint="eastAsia" w:ascii="宋体" w:hAnsi="宋体" w:cs="宋体"/>
          <w:color w:val="auto"/>
          <w:kern w:val="0"/>
          <w:sz w:val="24"/>
          <w:highlight w:val="none"/>
          <w:lang w:eastAsia="zh-CN"/>
        </w:rPr>
        <w:t>%作为预付款，所有</w:t>
      </w:r>
      <w:r>
        <w:rPr>
          <w:rFonts w:hint="eastAsia" w:ascii="宋体" w:hAnsi="宋体" w:cs="宋体"/>
          <w:color w:val="auto"/>
          <w:kern w:val="0"/>
          <w:sz w:val="24"/>
          <w:highlight w:val="none"/>
          <w:lang w:val="en-US" w:eastAsia="zh-CN"/>
        </w:rPr>
        <w:t>货物</w:t>
      </w:r>
      <w:r>
        <w:rPr>
          <w:rFonts w:hint="eastAsia" w:ascii="宋体" w:hAnsi="宋体" w:cs="宋体"/>
          <w:color w:val="auto"/>
          <w:kern w:val="0"/>
          <w:sz w:val="24"/>
          <w:highlight w:val="none"/>
          <w:lang w:eastAsia="zh-CN"/>
        </w:rPr>
        <w:t>安装完成</w:t>
      </w:r>
      <w:r>
        <w:rPr>
          <w:rFonts w:hint="eastAsia" w:ascii="宋体" w:hAnsi="宋体" w:cs="宋体"/>
          <w:color w:val="auto"/>
          <w:kern w:val="0"/>
          <w:sz w:val="24"/>
          <w:highlight w:val="none"/>
          <w:lang w:val="en-US" w:eastAsia="zh-CN"/>
        </w:rPr>
        <w:t>能正式投入使用</w:t>
      </w:r>
      <w:r>
        <w:rPr>
          <w:rFonts w:hint="eastAsia" w:ascii="宋体" w:hAnsi="宋体" w:cs="宋体"/>
          <w:color w:val="auto"/>
          <w:kern w:val="0"/>
          <w:sz w:val="24"/>
          <w:highlight w:val="none"/>
          <w:lang w:eastAsia="zh-CN"/>
        </w:rPr>
        <w:t>支付至合同款的80%，经验收合格后，采购人向</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lang w:eastAsia="zh-CN"/>
        </w:rPr>
        <w:t>支付剩余货款。</w:t>
      </w:r>
    </w:p>
    <w:p w14:paraId="27B43E80">
      <w:pPr>
        <w:tabs>
          <w:tab w:val="left" w:pos="0"/>
        </w:tabs>
        <w:spacing w:line="360" w:lineRule="auto"/>
        <w:ind w:firstLine="480"/>
        <w:rPr>
          <w:rFonts w:hint="eastAsia" w:ascii="宋体" w:hAnsi="宋体" w:eastAsia="宋体" w:cs="宋体"/>
          <w:color w:val="auto"/>
          <w:sz w:val="24"/>
          <w:highlight w:val="none"/>
        </w:rPr>
      </w:pPr>
      <w:r>
        <w:rPr>
          <w:rFonts w:hint="eastAsia" w:ascii="宋体" w:hAnsi="宋体" w:cs="宋体"/>
          <w:b/>
          <w:bCs/>
          <w:color w:val="auto"/>
          <w:kern w:val="0"/>
          <w:sz w:val="24"/>
          <w:highlight w:val="none"/>
          <w:lang w:val="en-US" w:eastAsia="zh-CN"/>
        </w:rPr>
        <w:t>2.5</w:t>
      </w:r>
      <w:r>
        <w:rPr>
          <w:rFonts w:hint="eastAsia" w:ascii="宋体" w:hAnsi="宋体" w:cs="宋体"/>
          <w:b/>
          <w:bCs/>
          <w:color w:val="auto"/>
          <w:kern w:val="0"/>
          <w:sz w:val="24"/>
          <w:highlight w:val="none"/>
        </w:rPr>
        <w:t>验收要求</w:t>
      </w:r>
    </w:p>
    <w:p w14:paraId="2DCB191C">
      <w:pPr>
        <w:tabs>
          <w:tab w:val="left" w:pos="0"/>
        </w:tabs>
        <w:spacing w:line="360" w:lineRule="auto"/>
        <w:ind w:firstLine="48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（1）验收时间：</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lang w:eastAsia="zh-CN"/>
        </w:rPr>
        <w:t>所提供的货物、服务须与投标</w:t>
      </w:r>
      <w:r>
        <w:rPr>
          <w:rFonts w:hint="eastAsia" w:ascii="宋体" w:hAnsi="宋体" w:cs="宋体"/>
          <w:color w:val="auto"/>
          <w:kern w:val="0"/>
          <w:sz w:val="24"/>
          <w:highlight w:val="none"/>
          <w:lang w:val="en-US" w:eastAsia="zh-CN"/>
        </w:rPr>
        <w:t>文件、投标</w:t>
      </w:r>
      <w:r>
        <w:rPr>
          <w:rFonts w:hint="eastAsia" w:ascii="宋体" w:hAnsi="宋体" w:cs="宋体"/>
          <w:color w:val="auto"/>
          <w:kern w:val="0"/>
          <w:sz w:val="24"/>
          <w:highlight w:val="none"/>
          <w:lang w:eastAsia="zh-CN"/>
        </w:rPr>
        <w:t>承诺一致，不得以次充好、偷工减料，若在项目验收中发现有上述情况，将向有关部门举报，根据相关规定进行处理。</w:t>
      </w:r>
    </w:p>
    <w:p w14:paraId="3F00AAB4">
      <w:pPr>
        <w:tabs>
          <w:tab w:val="left" w:pos="0"/>
        </w:tabs>
        <w:spacing w:line="360" w:lineRule="auto"/>
        <w:ind w:firstLine="48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（2）验收：根据行业相关标准及招标文件、投标文件相应技术要求，由采购人组织验收。</w:t>
      </w:r>
    </w:p>
    <w:p w14:paraId="5FDE9872">
      <w:pPr>
        <w:tabs>
          <w:tab w:val="left" w:pos="0"/>
        </w:tabs>
        <w:spacing w:line="360" w:lineRule="auto"/>
        <w:ind w:firstLine="48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（3）若验收不合格，</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lang w:eastAsia="zh-CN"/>
        </w:rPr>
        <w:t>应在10日历天内整改到位，进行二次验收，若二次验收不合格，采购人有权解除合同且不予支付合同款，</w:t>
      </w:r>
      <w:r>
        <w:rPr>
          <w:rFonts w:hint="eastAsia" w:ascii="宋体" w:hAnsi="宋体" w:cs="宋体"/>
          <w:color w:val="auto"/>
          <w:kern w:val="0"/>
          <w:sz w:val="24"/>
          <w:highlight w:val="none"/>
          <w:lang w:val="en-US" w:eastAsia="zh-CN"/>
        </w:rPr>
        <w:t>同时</w:t>
      </w:r>
      <w:r>
        <w:rPr>
          <w:rFonts w:hint="eastAsia" w:ascii="宋体" w:hAnsi="宋体" w:cs="宋体"/>
          <w:color w:val="auto"/>
          <w:kern w:val="0"/>
          <w:sz w:val="24"/>
          <w:highlight w:val="none"/>
          <w:lang w:eastAsia="zh-CN"/>
        </w:rPr>
        <w:t>采购人保留向中标人索赔的权利。解除合同的通知自到达</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lang w:eastAsia="zh-CN"/>
        </w:rPr>
        <w:t>时生效。</w:t>
      </w:r>
    </w:p>
    <w:p w14:paraId="659E1242">
      <w:pPr>
        <w:tabs>
          <w:tab w:val="left" w:pos="0"/>
        </w:tabs>
        <w:spacing w:line="360" w:lineRule="auto"/>
        <w:ind w:firstLine="48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（4）验收过程中发生的一切费用、风险由</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lang w:eastAsia="zh-CN"/>
        </w:rPr>
        <w:t>承担。</w:t>
      </w:r>
    </w:p>
    <w:p w14:paraId="5F307A3C">
      <w:pPr>
        <w:widowControl w:val="0"/>
        <w:numPr>
          <w:ilvl w:val="0"/>
          <w:numId w:val="0"/>
        </w:numPr>
        <w:jc w:val="both"/>
        <w:rPr>
          <w:rFonts w:hint="eastAsia" w:ascii="宋体" w:hAnsi="宋体" w:eastAsia="宋体" w:cs="宋体"/>
          <w:color w:val="auto"/>
          <w:highlight w:val="none"/>
          <w:lang w:val="en-US" w:eastAsia="zh-CN"/>
        </w:rPr>
      </w:pPr>
    </w:p>
    <w:p w14:paraId="6A6D16F8">
      <w:pPr>
        <w:spacing w:line="500" w:lineRule="exact"/>
        <w:rPr>
          <w:rFonts w:hint="eastAsia" w:ascii="宋体" w:hAnsi="宋体" w:eastAsia="宋体" w:cs="宋体"/>
          <w:color w:val="auto"/>
          <w:highlight w:val="none"/>
        </w:rPr>
      </w:pPr>
      <w:r>
        <w:rPr>
          <w:rFonts w:hint="eastAsia" w:ascii="宋体" w:hAnsi="宋体" w:eastAsia="宋体" w:cs="宋体"/>
          <w:color w:val="auto"/>
          <w:highlight w:val="none"/>
        </w:rPr>
        <w:t>注：</w:t>
      </w:r>
    </w:p>
    <w:p w14:paraId="402EB417">
      <w:pPr>
        <w:spacing w:line="50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、如有附图，仅作参考。</w:t>
      </w:r>
    </w:p>
    <w:p w14:paraId="74BE4CD9">
      <w:pPr>
        <w:spacing w:line="50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、打▲内容为实质性要求，不允许有负偏离，否则将以涉及无效投标条款作无效投标。</w:t>
      </w:r>
    </w:p>
    <w:p w14:paraId="0D7B2ECD">
      <w:pPr>
        <w:spacing w:line="50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、中标人所提供的货物、服务须与投标承诺一致，不得以次充好、偷工减料，若在项目验收中发现有上述情况，将向有关部门举报，根据相关规定进行处理。</w:t>
      </w:r>
    </w:p>
    <w:p w14:paraId="4F10DBB9">
      <w:pPr>
        <w:spacing w:line="360" w:lineRule="auto"/>
        <w:ind w:firstLine="181" w:firstLineChars="50"/>
        <w:rPr>
          <w:rFonts w:ascii="宋体" w:hAnsi="宋体" w:cs="宋体"/>
          <w:b/>
          <w:color w:val="auto"/>
          <w:sz w:val="36"/>
          <w:szCs w:val="36"/>
          <w:highlight w:val="none"/>
        </w:rPr>
      </w:pPr>
    </w:p>
    <w:p w14:paraId="101F1E94">
      <w:pPr>
        <w:spacing w:line="360" w:lineRule="auto"/>
        <w:rPr>
          <w:rFonts w:ascii="宋体" w:hAnsi="宋体" w:cs="宋体"/>
          <w:color w:val="auto"/>
          <w:sz w:val="24"/>
          <w:highlight w:val="none"/>
        </w:rPr>
      </w:pPr>
    </w:p>
    <w:p w14:paraId="03BAD865">
      <w:pPr>
        <w:widowControl/>
        <w:ind w:firstLine="720" w:firstLineChars="300"/>
        <w:jc w:val="left"/>
        <w:rPr>
          <w:rFonts w:ascii="宋体" w:hAnsi="宋体" w:cs="宋体"/>
          <w:bCs/>
          <w:color w:val="auto"/>
          <w:sz w:val="24"/>
          <w:highlight w:val="none"/>
        </w:rPr>
      </w:pPr>
    </w:p>
    <w:p w14:paraId="4E081C95">
      <w:pPr>
        <w:rPr>
          <w:rFonts w:ascii="宋体" w:hAnsi="宋体" w:cs="宋体"/>
          <w:snapToGrid w:val="0"/>
          <w:color w:val="auto"/>
          <w:kern w:val="0"/>
          <w:sz w:val="24"/>
          <w:highlight w:val="none"/>
        </w:rPr>
      </w:pPr>
    </w:p>
    <w:p w14:paraId="18769B97">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0632083A">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0" w:name="_Toc184308096"/>
      <w:bookmarkEnd w:id="30"/>
      <w:bookmarkStart w:id="31" w:name="_Toc184308079"/>
      <w:bookmarkEnd w:id="31"/>
      <w:bookmarkStart w:id="32" w:name="_Toc184308053"/>
      <w:bookmarkEnd w:id="32"/>
      <w:bookmarkStart w:id="33" w:name="_Toc184313274"/>
      <w:bookmarkEnd w:id="33"/>
      <w:bookmarkStart w:id="34" w:name="_Toc184310290"/>
      <w:bookmarkEnd w:id="34"/>
      <w:bookmarkStart w:id="35" w:name="_Toc184314443"/>
      <w:bookmarkEnd w:id="35"/>
      <w:bookmarkStart w:id="36" w:name="_Toc184314472"/>
      <w:bookmarkEnd w:id="36"/>
      <w:bookmarkStart w:id="37" w:name="_Toc184308105"/>
      <w:bookmarkEnd w:id="37"/>
      <w:bookmarkStart w:id="38" w:name="_Toc184312100"/>
      <w:bookmarkEnd w:id="38"/>
      <w:bookmarkStart w:id="39" w:name="_Toc184312074"/>
      <w:bookmarkEnd w:id="39"/>
      <w:bookmarkStart w:id="40" w:name="_Toc184308056"/>
      <w:bookmarkEnd w:id="40"/>
      <w:bookmarkStart w:id="41" w:name="_Toc184308065"/>
      <w:bookmarkEnd w:id="41"/>
      <w:bookmarkStart w:id="42" w:name="_Toc184308074"/>
      <w:bookmarkEnd w:id="42"/>
      <w:bookmarkStart w:id="43" w:name="_Toc184308102"/>
      <w:bookmarkEnd w:id="43"/>
      <w:bookmarkStart w:id="44" w:name="_Toc184313300"/>
      <w:bookmarkEnd w:id="44"/>
      <w:bookmarkStart w:id="45" w:name="_Toc184310341"/>
      <w:bookmarkEnd w:id="45"/>
      <w:bookmarkStart w:id="46" w:name="_Toc184310283"/>
      <w:bookmarkEnd w:id="46"/>
      <w:bookmarkStart w:id="47" w:name="_Toc184314475"/>
      <w:bookmarkEnd w:id="47"/>
      <w:bookmarkStart w:id="48" w:name="_Toc184310287"/>
      <w:bookmarkEnd w:id="48"/>
      <w:bookmarkStart w:id="49" w:name="_Toc184310272"/>
      <w:bookmarkEnd w:id="49"/>
      <w:bookmarkStart w:id="50" w:name="_Toc184310279"/>
      <w:bookmarkEnd w:id="50"/>
      <w:bookmarkStart w:id="51" w:name="_Toc184308066"/>
      <w:bookmarkEnd w:id="51"/>
      <w:bookmarkStart w:id="52" w:name="_Toc184308051"/>
      <w:bookmarkEnd w:id="52"/>
      <w:bookmarkStart w:id="53" w:name="_Toc184313239"/>
      <w:bookmarkEnd w:id="53"/>
      <w:bookmarkStart w:id="54" w:name="_Toc184313284"/>
      <w:bookmarkEnd w:id="54"/>
      <w:bookmarkStart w:id="55" w:name="_Toc184310342"/>
      <w:bookmarkEnd w:id="55"/>
      <w:bookmarkStart w:id="56" w:name="_Toc184310277"/>
      <w:bookmarkEnd w:id="56"/>
      <w:bookmarkStart w:id="57" w:name="_Toc184314431"/>
      <w:bookmarkEnd w:id="57"/>
      <w:bookmarkStart w:id="58" w:name="_Toc184312099"/>
      <w:bookmarkEnd w:id="58"/>
      <w:bookmarkStart w:id="59" w:name="_Toc184312127"/>
      <w:bookmarkEnd w:id="59"/>
      <w:bookmarkStart w:id="60" w:name="_Toc184308063"/>
      <w:bookmarkEnd w:id="60"/>
      <w:bookmarkStart w:id="61" w:name="_Toc184310297"/>
      <w:bookmarkEnd w:id="61"/>
      <w:bookmarkStart w:id="62" w:name="_Toc184308054"/>
      <w:bookmarkEnd w:id="62"/>
      <w:bookmarkStart w:id="63" w:name="_Toc184312111"/>
      <w:bookmarkEnd w:id="63"/>
      <w:bookmarkStart w:id="64" w:name="_Toc184312098"/>
      <w:bookmarkEnd w:id="64"/>
      <w:bookmarkStart w:id="65" w:name="_Toc184310335"/>
      <w:bookmarkEnd w:id="65"/>
      <w:bookmarkStart w:id="66" w:name="_Toc184313281"/>
      <w:bookmarkEnd w:id="66"/>
      <w:bookmarkStart w:id="67" w:name="_Toc184310305"/>
      <w:bookmarkEnd w:id="67"/>
      <w:bookmarkStart w:id="68" w:name="_Toc184310315"/>
      <w:bookmarkEnd w:id="68"/>
      <w:bookmarkStart w:id="69" w:name="_Toc184308086"/>
      <w:bookmarkEnd w:id="69"/>
      <w:bookmarkStart w:id="70" w:name="_Toc184313296"/>
      <w:bookmarkEnd w:id="70"/>
      <w:bookmarkStart w:id="71" w:name="_Toc184312110"/>
      <w:bookmarkEnd w:id="71"/>
      <w:bookmarkStart w:id="72" w:name="_Toc184313304"/>
      <w:bookmarkEnd w:id="72"/>
      <w:bookmarkStart w:id="73" w:name="_Toc184308104"/>
      <w:bookmarkEnd w:id="73"/>
      <w:bookmarkStart w:id="74" w:name="_Toc184313278"/>
      <w:bookmarkEnd w:id="74"/>
      <w:bookmarkStart w:id="75" w:name="_Toc184310276"/>
      <w:bookmarkEnd w:id="75"/>
      <w:bookmarkStart w:id="76" w:name="_Toc184312133"/>
      <w:bookmarkEnd w:id="76"/>
      <w:bookmarkStart w:id="77" w:name="_Toc184314414"/>
      <w:bookmarkEnd w:id="77"/>
      <w:bookmarkStart w:id="78" w:name="_Toc184312087"/>
      <w:bookmarkEnd w:id="78"/>
      <w:bookmarkStart w:id="79" w:name="_Toc184310344"/>
      <w:bookmarkEnd w:id="79"/>
      <w:bookmarkStart w:id="80" w:name="_Toc184312138"/>
      <w:bookmarkEnd w:id="80"/>
      <w:bookmarkStart w:id="81" w:name="_Toc184313287"/>
      <w:bookmarkEnd w:id="81"/>
      <w:bookmarkStart w:id="82" w:name="_Toc184308095"/>
      <w:bookmarkEnd w:id="82"/>
      <w:bookmarkStart w:id="83" w:name="_Toc184314419"/>
      <w:bookmarkEnd w:id="83"/>
      <w:bookmarkStart w:id="84" w:name="_Toc184308072"/>
      <w:bookmarkEnd w:id="84"/>
      <w:bookmarkStart w:id="85" w:name="_Toc184308046"/>
      <w:bookmarkEnd w:id="85"/>
      <w:bookmarkStart w:id="86" w:name="_Toc184314428"/>
      <w:bookmarkEnd w:id="86"/>
      <w:bookmarkStart w:id="87" w:name="_Toc184313257"/>
      <w:bookmarkEnd w:id="87"/>
      <w:bookmarkStart w:id="88" w:name="_Toc184312124"/>
      <w:bookmarkEnd w:id="88"/>
      <w:bookmarkStart w:id="89" w:name="_Toc184313264"/>
      <w:bookmarkEnd w:id="89"/>
      <w:bookmarkStart w:id="90" w:name="_Toc184314415"/>
      <w:bookmarkEnd w:id="90"/>
      <w:bookmarkStart w:id="91" w:name="_Toc184308098"/>
      <w:bookmarkEnd w:id="91"/>
      <w:bookmarkStart w:id="92" w:name="_Toc184314434"/>
      <w:bookmarkEnd w:id="92"/>
      <w:bookmarkStart w:id="93" w:name="_Toc184313250"/>
      <w:bookmarkEnd w:id="93"/>
      <w:bookmarkStart w:id="94" w:name="_Toc184310291"/>
      <w:bookmarkEnd w:id="94"/>
      <w:bookmarkStart w:id="95" w:name="_Toc184313293"/>
      <w:bookmarkEnd w:id="95"/>
      <w:bookmarkStart w:id="96" w:name="_Toc184308061"/>
      <w:bookmarkEnd w:id="96"/>
      <w:bookmarkStart w:id="97" w:name="_Toc184310310"/>
      <w:bookmarkEnd w:id="97"/>
      <w:bookmarkStart w:id="98" w:name="_Toc184313246"/>
      <w:bookmarkEnd w:id="98"/>
      <w:bookmarkStart w:id="99" w:name="_Toc184312131"/>
      <w:bookmarkEnd w:id="99"/>
      <w:bookmarkStart w:id="100" w:name="_Toc184308106"/>
      <w:bookmarkEnd w:id="100"/>
      <w:bookmarkStart w:id="101" w:name="_Toc184313263"/>
      <w:bookmarkEnd w:id="101"/>
      <w:bookmarkStart w:id="102" w:name="_Toc184314421"/>
      <w:bookmarkEnd w:id="102"/>
      <w:bookmarkStart w:id="103" w:name="_Toc184312096"/>
      <w:bookmarkEnd w:id="103"/>
      <w:bookmarkStart w:id="104" w:name="_Toc184312067"/>
      <w:bookmarkEnd w:id="104"/>
      <w:bookmarkStart w:id="105" w:name="_Toc184312132"/>
      <w:bookmarkEnd w:id="105"/>
      <w:bookmarkStart w:id="106" w:name="_Toc184313306"/>
      <w:bookmarkEnd w:id="106"/>
      <w:bookmarkStart w:id="107" w:name="_Toc184310281"/>
      <w:bookmarkEnd w:id="107"/>
      <w:bookmarkStart w:id="108" w:name="_Toc184308087"/>
      <w:bookmarkEnd w:id="108"/>
      <w:bookmarkStart w:id="109" w:name="_Toc184308093"/>
      <w:bookmarkEnd w:id="109"/>
      <w:bookmarkStart w:id="110" w:name="_Toc184314410"/>
      <w:bookmarkEnd w:id="110"/>
      <w:bookmarkStart w:id="111" w:name="_Toc184313259"/>
      <w:bookmarkEnd w:id="111"/>
      <w:bookmarkStart w:id="112" w:name="_Toc184310278"/>
      <w:bookmarkEnd w:id="112"/>
      <w:bookmarkStart w:id="113" w:name="_Toc184314422"/>
      <w:bookmarkEnd w:id="113"/>
      <w:bookmarkStart w:id="114" w:name="_Toc184310326"/>
      <w:bookmarkEnd w:id="114"/>
      <w:bookmarkStart w:id="115" w:name="_Toc184314420"/>
      <w:bookmarkEnd w:id="115"/>
      <w:bookmarkStart w:id="116" w:name="_Toc184314432"/>
      <w:bookmarkEnd w:id="116"/>
      <w:bookmarkStart w:id="117" w:name="_Toc184313270"/>
      <w:bookmarkEnd w:id="117"/>
      <w:bookmarkStart w:id="118" w:name="_Toc184314452"/>
      <w:bookmarkEnd w:id="118"/>
      <w:bookmarkStart w:id="119" w:name="_Toc184312107"/>
      <w:bookmarkEnd w:id="119"/>
      <w:bookmarkStart w:id="120" w:name="_Toc184313262"/>
      <w:bookmarkEnd w:id="120"/>
      <w:bookmarkStart w:id="121" w:name="_Toc184310299"/>
      <w:bookmarkEnd w:id="121"/>
      <w:bookmarkStart w:id="122" w:name="_Toc184308076"/>
      <w:bookmarkEnd w:id="122"/>
      <w:bookmarkStart w:id="123" w:name="_Toc184314425"/>
      <w:bookmarkEnd w:id="123"/>
      <w:bookmarkStart w:id="124" w:name="_Toc184310324"/>
      <w:bookmarkEnd w:id="124"/>
      <w:bookmarkStart w:id="125" w:name="_Toc184314433"/>
      <w:bookmarkEnd w:id="125"/>
      <w:bookmarkStart w:id="126" w:name="_Toc184310334"/>
      <w:bookmarkEnd w:id="126"/>
      <w:bookmarkStart w:id="127" w:name="_Toc184310325"/>
      <w:bookmarkEnd w:id="127"/>
      <w:bookmarkStart w:id="128" w:name="_Toc184313285"/>
      <w:bookmarkEnd w:id="128"/>
      <w:bookmarkStart w:id="129" w:name="_Toc184308083"/>
      <w:bookmarkEnd w:id="129"/>
      <w:bookmarkStart w:id="130" w:name="_Toc184313243"/>
      <w:bookmarkEnd w:id="130"/>
      <w:bookmarkStart w:id="131" w:name="_Toc184312093"/>
      <w:bookmarkEnd w:id="131"/>
      <w:bookmarkStart w:id="132" w:name="_Toc184312095"/>
      <w:bookmarkEnd w:id="132"/>
      <w:bookmarkStart w:id="133" w:name="_Toc184313269"/>
      <w:bookmarkEnd w:id="133"/>
      <w:bookmarkStart w:id="134" w:name="_Toc184308070"/>
      <w:bookmarkEnd w:id="134"/>
      <w:bookmarkStart w:id="135" w:name="_Toc184314449"/>
      <w:bookmarkEnd w:id="135"/>
      <w:bookmarkStart w:id="136" w:name="_Toc184310318"/>
      <w:bookmarkEnd w:id="136"/>
      <w:bookmarkStart w:id="137" w:name="_Toc184310295"/>
      <w:bookmarkEnd w:id="137"/>
      <w:bookmarkStart w:id="138" w:name="_Toc184314423"/>
      <w:bookmarkEnd w:id="138"/>
      <w:bookmarkStart w:id="139" w:name="_Toc184308049"/>
      <w:bookmarkEnd w:id="139"/>
      <w:bookmarkStart w:id="140" w:name="_Toc184312079"/>
      <w:bookmarkEnd w:id="140"/>
      <w:bookmarkStart w:id="141" w:name="_Toc184314462"/>
      <w:bookmarkEnd w:id="141"/>
      <w:bookmarkStart w:id="142" w:name="_Toc184310340"/>
      <w:bookmarkEnd w:id="142"/>
      <w:bookmarkStart w:id="143" w:name="_Toc184312139"/>
      <w:bookmarkEnd w:id="143"/>
      <w:bookmarkStart w:id="144" w:name="_Toc184308100"/>
      <w:bookmarkEnd w:id="144"/>
      <w:bookmarkStart w:id="145" w:name="_Toc184308067"/>
      <w:bookmarkEnd w:id="145"/>
      <w:bookmarkStart w:id="146" w:name="_Toc184314448"/>
      <w:bookmarkEnd w:id="146"/>
      <w:bookmarkStart w:id="147" w:name="_Toc184313299"/>
      <w:bookmarkEnd w:id="147"/>
      <w:bookmarkStart w:id="148" w:name="_Toc184313261"/>
      <w:bookmarkEnd w:id="148"/>
      <w:bookmarkStart w:id="149" w:name="_Toc184310311"/>
      <w:bookmarkEnd w:id="149"/>
      <w:bookmarkStart w:id="150" w:name="_Toc184310274"/>
      <w:bookmarkEnd w:id="150"/>
      <w:bookmarkStart w:id="151" w:name="_Toc184308089"/>
      <w:bookmarkEnd w:id="151"/>
      <w:bookmarkStart w:id="152" w:name="_Toc184308037"/>
      <w:bookmarkEnd w:id="152"/>
      <w:bookmarkStart w:id="153" w:name="_Toc184314477"/>
      <w:bookmarkEnd w:id="153"/>
      <w:bookmarkStart w:id="154" w:name="_Toc184308080"/>
      <w:bookmarkEnd w:id="154"/>
      <w:bookmarkStart w:id="155" w:name="_Toc184313279"/>
      <w:bookmarkEnd w:id="155"/>
      <w:bookmarkStart w:id="156" w:name="_Toc184314427"/>
      <w:bookmarkEnd w:id="156"/>
      <w:bookmarkStart w:id="157" w:name="_Toc184310301"/>
      <w:bookmarkEnd w:id="157"/>
      <w:bookmarkStart w:id="158" w:name="_Toc184313247"/>
      <w:bookmarkEnd w:id="158"/>
      <w:bookmarkStart w:id="159" w:name="_Toc184314441"/>
      <w:bookmarkEnd w:id="159"/>
      <w:bookmarkStart w:id="160" w:name="_Toc184310336"/>
      <w:bookmarkEnd w:id="160"/>
      <w:bookmarkStart w:id="161" w:name="_Toc184314450"/>
      <w:bookmarkEnd w:id="161"/>
      <w:bookmarkStart w:id="162" w:name="_Toc184308062"/>
      <w:bookmarkEnd w:id="162"/>
      <w:bookmarkStart w:id="163" w:name="_Toc184314451"/>
      <w:bookmarkEnd w:id="163"/>
      <w:bookmarkStart w:id="164" w:name="_Toc184313242"/>
      <w:bookmarkEnd w:id="164"/>
      <w:bookmarkStart w:id="165" w:name="_Toc184312091"/>
      <w:bookmarkEnd w:id="165"/>
      <w:bookmarkStart w:id="166" w:name="_Toc184314436"/>
      <w:bookmarkEnd w:id="166"/>
      <w:bookmarkStart w:id="167" w:name="_Toc184313301"/>
      <w:bookmarkEnd w:id="167"/>
      <w:bookmarkStart w:id="168" w:name="_Toc184312069"/>
      <w:bookmarkEnd w:id="168"/>
      <w:bookmarkStart w:id="169" w:name="_Toc184312117"/>
      <w:bookmarkEnd w:id="169"/>
      <w:bookmarkStart w:id="170" w:name="_Toc184310306"/>
      <w:bookmarkEnd w:id="170"/>
      <w:bookmarkStart w:id="171" w:name="_Toc184308059"/>
      <w:bookmarkEnd w:id="171"/>
      <w:bookmarkStart w:id="172" w:name="_Toc184313297"/>
      <w:bookmarkEnd w:id="172"/>
      <w:bookmarkStart w:id="173" w:name="_Toc184308052"/>
      <w:bookmarkEnd w:id="173"/>
      <w:bookmarkStart w:id="174" w:name="_Toc184312120"/>
      <w:bookmarkEnd w:id="174"/>
      <w:bookmarkStart w:id="175" w:name="_Toc184312085"/>
      <w:bookmarkEnd w:id="175"/>
      <w:bookmarkStart w:id="176" w:name="_Toc184312123"/>
      <w:bookmarkEnd w:id="176"/>
      <w:bookmarkStart w:id="177" w:name="_Toc184308058"/>
      <w:bookmarkEnd w:id="177"/>
      <w:bookmarkStart w:id="178" w:name="_Toc184308101"/>
      <w:bookmarkEnd w:id="178"/>
      <w:bookmarkStart w:id="179" w:name="_Toc184308075"/>
      <w:bookmarkEnd w:id="179"/>
      <w:bookmarkStart w:id="180" w:name="_Toc184310289"/>
      <w:bookmarkEnd w:id="180"/>
      <w:bookmarkStart w:id="181" w:name="_Toc184314461"/>
      <w:bookmarkEnd w:id="181"/>
      <w:bookmarkStart w:id="182" w:name="_Toc184308082"/>
      <w:bookmarkEnd w:id="182"/>
      <w:bookmarkStart w:id="183" w:name="_Toc184312097"/>
      <w:bookmarkEnd w:id="183"/>
      <w:bookmarkStart w:id="184" w:name="_Toc184310284"/>
      <w:bookmarkEnd w:id="184"/>
      <w:bookmarkStart w:id="185" w:name="_Toc184313289"/>
      <w:bookmarkEnd w:id="185"/>
      <w:bookmarkStart w:id="186" w:name="_Toc184312071"/>
      <w:bookmarkEnd w:id="186"/>
      <w:bookmarkStart w:id="187" w:name="_Toc184313241"/>
      <w:bookmarkEnd w:id="187"/>
      <w:bookmarkStart w:id="188" w:name="_Toc184308085"/>
      <w:bookmarkEnd w:id="188"/>
      <w:bookmarkStart w:id="189" w:name="_Toc184308045"/>
      <w:bookmarkEnd w:id="189"/>
      <w:bookmarkStart w:id="190" w:name="_Toc184314454"/>
      <w:bookmarkEnd w:id="190"/>
      <w:bookmarkStart w:id="191" w:name="_Toc184313310"/>
      <w:bookmarkEnd w:id="191"/>
      <w:bookmarkStart w:id="192" w:name="_Toc184312137"/>
      <w:bookmarkEnd w:id="192"/>
      <w:bookmarkStart w:id="193" w:name="_Toc184310285"/>
      <w:bookmarkEnd w:id="193"/>
      <w:bookmarkStart w:id="194" w:name="_Toc184308084"/>
      <w:bookmarkEnd w:id="194"/>
      <w:bookmarkStart w:id="195" w:name="_Toc184312118"/>
      <w:bookmarkEnd w:id="195"/>
      <w:bookmarkStart w:id="196" w:name="_Toc184313295"/>
      <w:bookmarkEnd w:id="196"/>
      <w:bookmarkStart w:id="197" w:name="_Toc184312073"/>
      <w:bookmarkEnd w:id="197"/>
      <w:bookmarkStart w:id="198" w:name="_Toc184310331"/>
      <w:bookmarkEnd w:id="198"/>
      <w:bookmarkStart w:id="199" w:name="_Toc184310320"/>
      <w:bookmarkEnd w:id="199"/>
      <w:bookmarkStart w:id="200" w:name="_Toc184314457"/>
      <w:bookmarkEnd w:id="200"/>
      <w:bookmarkStart w:id="201" w:name="_Toc184308071"/>
      <w:bookmarkEnd w:id="201"/>
      <w:bookmarkStart w:id="202" w:name="_Toc184308042"/>
      <w:bookmarkEnd w:id="202"/>
      <w:bookmarkStart w:id="203" w:name="_Toc184312121"/>
      <w:bookmarkEnd w:id="203"/>
      <w:bookmarkStart w:id="204" w:name="_Toc184314481"/>
      <w:bookmarkEnd w:id="204"/>
      <w:bookmarkStart w:id="205" w:name="_Toc184313291"/>
      <w:bookmarkEnd w:id="205"/>
      <w:bookmarkStart w:id="206" w:name="_Toc184312083"/>
      <w:bookmarkEnd w:id="206"/>
      <w:bookmarkStart w:id="207" w:name="_Toc184310286"/>
      <w:bookmarkEnd w:id="207"/>
      <w:bookmarkStart w:id="208" w:name="_Toc184313245"/>
      <w:bookmarkEnd w:id="208"/>
      <w:bookmarkStart w:id="209" w:name="_Toc184310328"/>
      <w:bookmarkEnd w:id="209"/>
      <w:bookmarkStart w:id="210" w:name="_Toc184313303"/>
      <w:bookmarkEnd w:id="210"/>
      <w:bookmarkStart w:id="211" w:name="_Toc184314476"/>
      <w:bookmarkEnd w:id="211"/>
      <w:bookmarkStart w:id="212" w:name="_Toc184312102"/>
      <w:bookmarkEnd w:id="212"/>
      <w:bookmarkStart w:id="213" w:name="_Toc184312128"/>
      <w:bookmarkEnd w:id="213"/>
      <w:bookmarkStart w:id="214" w:name="_Toc184314480"/>
      <w:bookmarkEnd w:id="214"/>
      <w:bookmarkStart w:id="215" w:name="_Toc184314440"/>
      <w:bookmarkEnd w:id="215"/>
      <w:bookmarkStart w:id="216" w:name="_Toc184314474"/>
      <w:bookmarkEnd w:id="216"/>
      <w:bookmarkStart w:id="217" w:name="_Toc184310319"/>
      <w:bookmarkEnd w:id="217"/>
      <w:bookmarkStart w:id="218" w:name="_Toc184310329"/>
      <w:bookmarkEnd w:id="218"/>
      <w:bookmarkStart w:id="219" w:name="_Toc184308050"/>
      <w:bookmarkEnd w:id="219"/>
      <w:bookmarkStart w:id="220" w:name="_Toc184313273"/>
      <w:bookmarkEnd w:id="220"/>
      <w:bookmarkStart w:id="221" w:name="_Toc184314455"/>
      <w:bookmarkEnd w:id="221"/>
      <w:bookmarkStart w:id="222" w:name="_Toc184313258"/>
      <w:bookmarkEnd w:id="222"/>
      <w:bookmarkStart w:id="223" w:name="_Toc184313282"/>
      <w:bookmarkEnd w:id="223"/>
      <w:bookmarkStart w:id="224" w:name="_Toc184310343"/>
      <w:bookmarkEnd w:id="224"/>
      <w:bookmarkStart w:id="225" w:name="_Toc184308081"/>
      <w:bookmarkEnd w:id="225"/>
      <w:bookmarkStart w:id="226" w:name="_Toc184313305"/>
      <w:bookmarkEnd w:id="226"/>
      <w:bookmarkStart w:id="227" w:name="_Toc184310327"/>
      <w:bookmarkEnd w:id="227"/>
      <w:bookmarkStart w:id="228" w:name="_Toc184314442"/>
      <w:bookmarkEnd w:id="228"/>
      <w:bookmarkStart w:id="229" w:name="_Toc184310273"/>
      <w:bookmarkEnd w:id="229"/>
      <w:bookmarkStart w:id="230" w:name="_Toc184308108"/>
      <w:bookmarkEnd w:id="230"/>
      <w:bookmarkStart w:id="231" w:name="_Toc184313271"/>
      <w:bookmarkEnd w:id="231"/>
      <w:bookmarkStart w:id="232" w:name="_Toc184310275"/>
      <w:bookmarkEnd w:id="232"/>
      <w:bookmarkStart w:id="233" w:name="_Toc184312126"/>
      <w:bookmarkEnd w:id="233"/>
      <w:bookmarkStart w:id="234" w:name="_Toc184310333"/>
      <w:bookmarkEnd w:id="234"/>
      <w:bookmarkStart w:id="235" w:name="_Toc184312104"/>
      <w:bookmarkEnd w:id="235"/>
      <w:bookmarkStart w:id="236" w:name="_Toc184314453"/>
      <w:bookmarkEnd w:id="236"/>
      <w:bookmarkStart w:id="237" w:name="_Toc184314478"/>
      <w:bookmarkEnd w:id="237"/>
      <w:bookmarkStart w:id="238" w:name="_Toc184308092"/>
      <w:bookmarkEnd w:id="238"/>
      <w:bookmarkStart w:id="239" w:name="_Toc184310322"/>
      <w:bookmarkEnd w:id="239"/>
      <w:bookmarkStart w:id="240" w:name="_Toc184313275"/>
      <w:bookmarkEnd w:id="240"/>
      <w:bookmarkStart w:id="241" w:name="_Toc184314466"/>
      <w:bookmarkEnd w:id="241"/>
      <w:bookmarkStart w:id="242" w:name="_Toc184308103"/>
      <w:bookmarkEnd w:id="242"/>
      <w:bookmarkStart w:id="243" w:name="_Toc184313277"/>
      <w:bookmarkEnd w:id="243"/>
      <w:bookmarkStart w:id="244" w:name="_Toc184310317"/>
      <w:bookmarkEnd w:id="244"/>
      <w:bookmarkStart w:id="245" w:name="_Toc184312105"/>
      <w:bookmarkEnd w:id="245"/>
      <w:bookmarkStart w:id="246" w:name="_Toc184314426"/>
      <w:bookmarkEnd w:id="246"/>
      <w:bookmarkStart w:id="247" w:name="_Toc184313276"/>
      <w:bookmarkEnd w:id="247"/>
      <w:bookmarkStart w:id="248" w:name="_Toc184314418"/>
      <w:bookmarkEnd w:id="248"/>
      <w:bookmarkStart w:id="249" w:name="_Toc184310316"/>
      <w:bookmarkEnd w:id="249"/>
      <w:bookmarkStart w:id="250" w:name="_Toc184313253"/>
      <w:bookmarkEnd w:id="250"/>
      <w:bookmarkStart w:id="251" w:name="_Toc184310323"/>
      <w:bookmarkEnd w:id="251"/>
      <w:bookmarkStart w:id="252" w:name="_Toc184314459"/>
      <w:bookmarkEnd w:id="252"/>
      <w:bookmarkStart w:id="253" w:name="_Toc184312076"/>
      <w:bookmarkEnd w:id="253"/>
      <w:bookmarkStart w:id="254" w:name="_Toc184312134"/>
      <w:bookmarkEnd w:id="254"/>
      <w:bookmarkStart w:id="255" w:name="_Toc184314460"/>
      <w:bookmarkEnd w:id="255"/>
      <w:bookmarkStart w:id="256" w:name="_Toc184314447"/>
      <w:bookmarkEnd w:id="256"/>
      <w:bookmarkStart w:id="257" w:name="_Toc184310308"/>
      <w:bookmarkEnd w:id="257"/>
      <w:bookmarkStart w:id="258" w:name="_Toc184312072"/>
      <w:bookmarkEnd w:id="258"/>
      <w:bookmarkStart w:id="259" w:name="_Toc184312130"/>
      <w:bookmarkEnd w:id="259"/>
      <w:bookmarkStart w:id="260" w:name="_Toc184312094"/>
      <w:bookmarkEnd w:id="260"/>
      <w:bookmarkStart w:id="261" w:name="_Toc184312115"/>
      <w:bookmarkEnd w:id="261"/>
      <w:bookmarkStart w:id="262" w:name="_Toc184308039"/>
      <w:bookmarkEnd w:id="262"/>
      <w:bookmarkStart w:id="263" w:name="_Toc184310302"/>
      <w:bookmarkEnd w:id="263"/>
      <w:bookmarkStart w:id="264" w:name="_Toc184308090"/>
      <w:bookmarkEnd w:id="264"/>
      <w:bookmarkStart w:id="265" w:name="_Toc184308064"/>
      <w:bookmarkEnd w:id="265"/>
      <w:bookmarkStart w:id="266" w:name="_Toc184312114"/>
      <w:bookmarkEnd w:id="266"/>
      <w:bookmarkStart w:id="267" w:name="_Toc184312088"/>
      <w:bookmarkEnd w:id="267"/>
      <w:bookmarkStart w:id="268" w:name="_Toc184308091"/>
      <w:bookmarkEnd w:id="268"/>
      <w:bookmarkStart w:id="269" w:name="_Toc184313265"/>
      <w:bookmarkEnd w:id="269"/>
      <w:bookmarkStart w:id="270" w:name="_Toc184313244"/>
      <w:bookmarkEnd w:id="270"/>
      <w:bookmarkStart w:id="271" w:name="_Toc184314468"/>
      <w:bookmarkEnd w:id="271"/>
      <w:bookmarkStart w:id="272" w:name="_Toc184314465"/>
      <w:bookmarkEnd w:id="272"/>
      <w:bookmarkStart w:id="273" w:name="_Toc184308038"/>
      <w:bookmarkEnd w:id="273"/>
      <w:bookmarkStart w:id="274" w:name="_Toc184313307"/>
      <w:bookmarkEnd w:id="274"/>
      <w:bookmarkStart w:id="275" w:name="_Toc184310288"/>
      <w:bookmarkEnd w:id="275"/>
      <w:bookmarkStart w:id="276" w:name="_Toc184314429"/>
      <w:bookmarkEnd w:id="276"/>
      <w:bookmarkStart w:id="277" w:name="_Toc184312135"/>
      <w:bookmarkEnd w:id="277"/>
      <w:bookmarkStart w:id="278" w:name="_Toc184308040"/>
      <w:bookmarkEnd w:id="278"/>
      <w:bookmarkStart w:id="279" w:name="_Toc184312077"/>
      <w:bookmarkEnd w:id="279"/>
      <w:bookmarkStart w:id="280" w:name="_Toc184310298"/>
      <w:bookmarkEnd w:id="280"/>
      <w:bookmarkStart w:id="281" w:name="_Toc184313248"/>
      <w:bookmarkEnd w:id="281"/>
      <w:bookmarkStart w:id="282" w:name="_Toc184314430"/>
      <w:bookmarkEnd w:id="282"/>
      <w:bookmarkStart w:id="283" w:name="_Toc184308041"/>
      <w:bookmarkEnd w:id="283"/>
      <w:bookmarkStart w:id="284" w:name="_Toc184313288"/>
      <w:bookmarkEnd w:id="284"/>
      <w:bookmarkStart w:id="285" w:name="_Toc184310313"/>
      <w:bookmarkEnd w:id="285"/>
      <w:bookmarkStart w:id="286" w:name="_Toc184310300"/>
      <w:bookmarkEnd w:id="286"/>
      <w:bookmarkStart w:id="287" w:name="_Toc184313294"/>
      <w:bookmarkEnd w:id="287"/>
      <w:bookmarkStart w:id="288" w:name="_Toc184314411"/>
      <w:bookmarkEnd w:id="288"/>
      <w:bookmarkStart w:id="289" w:name="_Toc184314435"/>
      <w:bookmarkEnd w:id="289"/>
      <w:bookmarkStart w:id="290" w:name="_Toc184313298"/>
      <w:bookmarkEnd w:id="290"/>
      <w:bookmarkStart w:id="291" w:name="_Toc184314446"/>
      <w:bookmarkEnd w:id="291"/>
      <w:bookmarkStart w:id="292" w:name="_Toc184310337"/>
      <w:bookmarkEnd w:id="292"/>
      <w:bookmarkStart w:id="293" w:name="_Toc184314470"/>
      <w:bookmarkEnd w:id="293"/>
      <w:bookmarkStart w:id="294" w:name="_Toc184310303"/>
      <w:bookmarkEnd w:id="294"/>
      <w:bookmarkStart w:id="295" w:name="_Toc184314438"/>
      <w:bookmarkEnd w:id="295"/>
      <w:bookmarkStart w:id="296" w:name="_Toc184314469"/>
      <w:bookmarkEnd w:id="296"/>
      <w:bookmarkStart w:id="297" w:name="_Toc184312109"/>
      <w:bookmarkEnd w:id="297"/>
      <w:bookmarkStart w:id="298" w:name="_Toc184313251"/>
      <w:bookmarkEnd w:id="298"/>
      <w:bookmarkStart w:id="299" w:name="_Toc184310282"/>
      <w:bookmarkEnd w:id="299"/>
      <w:bookmarkStart w:id="300" w:name="_Toc184308099"/>
      <w:bookmarkEnd w:id="300"/>
      <w:bookmarkStart w:id="301" w:name="_Toc184310280"/>
      <w:bookmarkEnd w:id="301"/>
      <w:bookmarkStart w:id="302" w:name="_Toc184312068"/>
      <w:bookmarkEnd w:id="302"/>
      <w:bookmarkStart w:id="303" w:name="_Toc184312108"/>
      <w:bookmarkEnd w:id="303"/>
      <w:bookmarkStart w:id="304" w:name="_Toc184312089"/>
      <w:bookmarkEnd w:id="304"/>
      <w:bookmarkStart w:id="305" w:name="_Toc184313255"/>
      <w:bookmarkEnd w:id="305"/>
      <w:bookmarkStart w:id="306" w:name="_Toc184314473"/>
      <w:bookmarkEnd w:id="306"/>
      <w:bookmarkStart w:id="307" w:name="_Toc184308094"/>
      <w:bookmarkEnd w:id="307"/>
      <w:bookmarkStart w:id="308" w:name="_Toc184313267"/>
      <w:bookmarkEnd w:id="308"/>
      <w:bookmarkStart w:id="309" w:name="_Toc184308088"/>
      <w:bookmarkEnd w:id="309"/>
      <w:bookmarkStart w:id="310" w:name="_Toc184310330"/>
      <w:bookmarkEnd w:id="310"/>
      <w:bookmarkStart w:id="311" w:name="_Toc184308073"/>
      <w:bookmarkEnd w:id="311"/>
      <w:bookmarkStart w:id="312" w:name="_Toc184313249"/>
      <w:bookmarkEnd w:id="312"/>
      <w:bookmarkStart w:id="313" w:name="_Toc184312112"/>
      <w:bookmarkEnd w:id="313"/>
      <w:bookmarkStart w:id="314" w:name="_Toc184308055"/>
      <w:bookmarkEnd w:id="314"/>
      <w:bookmarkStart w:id="315" w:name="_Toc184312081"/>
      <w:bookmarkEnd w:id="315"/>
      <w:bookmarkStart w:id="316" w:name="_Toc184314445"/>
      <w:bookmarkEnd w:id="316"/>
      <w:bookmarkStart w:id="317" w:name="_Toc184308068"/>
      <w:bookmarkEnd w:id="317"/>
      <w:bookmarkStart w:id="318" w:name="_Toc184313283"/>
      <w:bookmarkEnd w:id="318"/>
      <w:bookmarkStart w:id="319" w:name="_Toc184308048"/>
      <w:bookmarkEnd w:id="319"/>
      <w:bookmarkStart w:id="320" w:name="_Toc184310312"/>
      <w:bookmarkEnd w:id="320"/>
      <w:bookmarkStart w:id="321" w:name="_Toc184313272"/>
      <w:bookmarkEnd w:id="321"/>
      <w:bookmarkStart w:id="322" w:name="_Toc184308077"/>
      <w:bookmarkEnd w:id="322"/>
      <w:bookmarkStart w:id="323" w:name="_Toc184312078"/>
      <w:bookmarkEnd w:id="323"/>
      <w:bookmarkStart w:id="324" w:name="_Toc184312113"/>
      <w:bookmarkEnd w:id="324"/>
      <w:bookmarkStart w:id="325" w:name="_Toc184312084"/>
      <w:bookmarkEnd w:id="325"/>
      <w:bookmarkStart w:id="326" w:name="_Toc184314417"/>
      <w:bookmarkEnd w:id="326"/>
      <w:bookmarkStart w:id="327" w:name="_Toc184310296"/>
      <w:bookmarkEnd w:id="327"/>
      <w:bookmarkStart w:id="328" w:name="_Toc184313309"/>
      <w:bookmarkEnd w:id="328"/>
      <w:bookmarkStart w:id="329" w:name="_Toc184313286"/>
      <w:bookmarkEnd w:id="329"/>
      <w:bookmarkStart w:id="330" w:name="_Toc184308069"/>
      <w:bookmarkEnd w:id="330"/>
      <w:bookmarkStart w:id="331" w:name="_Toc184312080"/>
      <w:bookmarkEnd w:id="331"/>
      <w:bookmarkStart w:id="332" w:name="_Toc184312122"/>
      <w:bookmarkEnd w:id="332"/>
      <w:bookmarkStart w:id="333" w:name="_Toc184310294"/>
      <w:bookmarkEnd w:id="333"/>
      <w:bookmarkStart w:id="334" w:name="_Toc184310338"/>
      <w:bookmarkEnd w:id="334"/>
      <w:bookmarkStart w:id="335" w:name="_Toc184310293"/>
      <w:bookmarkEnd w:id="335"/>
      <w:bookmarkStart w:id="336" w:name="_Toc184310314"/>
      <w:bookmarkEnd w:id="336"/>
      <w:bookmarkStart w:id="337" w:name="_Toc184313280"/>
      <w:bookmarkEnd w:id="337"/>
      <w:bookmarkStart w:id="338" w:name="_Toc184314424"/>
      <w:bookmarkEnd w:id="338"/>
      <w:bookmarkStart w:id="339" w:name="_Toc184314456"/>
      <w:bookmarkEnd w:id="339"/>
      <w:bookmarkStart w:id="340" w:name="_Toc184312103"/>
      <w:bookmarkEnd w:id="340"/>
      <w:bookmarkStart w:id="341" w:name="_Toc184312090"/>
      <w:bookmarkEnd w:id="341"/>
      <w:bookmarkStart w:id="342" w:name="_Toc184310309"/>
      <w:bookmarkEnd w:id="342"/>
      <w:bookmarkStart w:id="343" w:name="_Toc184310339"/>
      <w:bookmarkEnd w:id="343"/>
      <w:bookmarkStart w:id="344" w:name="_Toc184312101"/>
      <w:bookmarkEnd w:id="344"/>
      <w:bookmarkStart w:id="345" w:name="_Toc184314458"/>
      <w:bookmarkEnd w:id="345"/>
      <w:bookmarkStart w:id="346" w:name="_Toc184314439"/>
      <w:bookmarkEnd w:id="346"/>
      <w:bookmarkStart w:id="347" w:name="_Toc184314444"/>
      <w:bookmarkEnd w:id="347"/>
      <w:bookmarkStart w:id="348" w:name="_Toc184313290"/>
      <w:bookmarkEnd w:id="348"/>
      <w:bookmarkStart w:id="349" w:name="_Toc184308057"/>
      <w:bookmarkEnd w:id="349"/>
      <w:bookmarkStart w:id="350" w:name="_Toc184314413"/>
      <w:bookmarkEnd w:id="350"/>
      <w:bookmarkStart w:id="351" w:name="_Toc184314463"/>
      <w:bookmarkEnd w:id="351"/>
      <w:bookmarkStart w:id="352" w:name="_Toc184310332"/>
      <w:bookmarkEnd w:id="352"/>
      <w:bookmarkStart w:id="353" w:name="_Toc184312136"/>
      <w:bookmarkEnd w:id="353"/>
      <w:bookmarkStart w:id="354" w:name="_Toc184313256"/>
      <w:bookmarkEnd w:id="354"/>
      <w:bookmarkStart w:id="355" w:name="_Toc184313266"/>
      <w:bookmarkEnd w:id="355"/>
      <w:bookmarkStart w:id="356" w:name="_Toc184310321"/>
      <w:bookmarkEnd w:id="356"/>
      <w:bookmarkStart w:id="357" w:name="_Toc184308078"/>
      <w:bookmarkEnd w:id="357"/>
      <w:bookmarkStart w:id="358" w:name="_Toc184314467"/>
      <w:bookmarkEnd w:id="358"/>
      <w:bookmarkStart w:id="359" w:name="_Toc184313260"/>
      <w:bookmarkEnd w:id="359"/>
      <w:bookmarkStart w:id="360" w:name="_Toc184308044"/>
      <w:bookmarkEnd w:id="360"/>
      <w:bookmarkStart w:id="361" w:name="_Toc184314464"/>
      <w:bookmarkEnd w:id="361"/>
      <w:bookmarkStart w:id="362" w:name="_Toc184312086"/>
      <w:bookmarkEnd w:id="362"/>
      <w:bookmarkStart w:id="363" w:name="_Toc184312125"/>
      <w:bookmarkEnd w:id="363"/>
      <w:bookmarkStart w:id="364" w:name="_Toc184313292"/>
      <w:bookmarkEnd w:id="364"/>
      <w:bookmarkStart w:id="365" w:name="_Toc184310304"/>
      <w:bookmarkEnd w:id="365"/>
      <w:bookmarkStart w:id="366" w:name="_Toc184314412"/>
      <w:bookmarkEnd w:id="366"/>
      <w:bookmarkStart w:id="367" w:name="_Toc184313254"/>
      <w:bookmarkEnd w:id="367"/>
      <w:bookmarkStart w:id="368" w:name="_Toc184308036"/>
      <w:bookmarkEnd w:id="368"/>
      <w:bookmarkStart w:id="369" w:name="_Toc184313238"/>
      <w:bookmarkEnd w:id="369"/>
      <w:bookmarkStart w:id="370" w:name="_Toc184314437"/>
      <w:bookmarkEnd w:id="370"/>
      <w:bookmarkStart w:id="371" w:name="_Toc184312116"/>
      <w:bookmarkEnd w:id="371"/>
      <w:bookmarkStart w:id="372" w:name="_Toc184312075"/>
      <w:bookmarkEnd w:id="372"/>
      <w:bookmarkStart w:id="373" w:name="_Toc184314471"/>
      <w:bookmarkEnd w:id="373"/>
      <w:bookmarkStart w:id="374" w:name="_Toc184312119"/>
      <w:bookmarkEnd w:id="374"/>
      <w:bookmarkStart w:id="375" w:name="_Toc184310307"/>
      <w:bookmarkEnd w:id="375"/>
      <w:bookmarkStart w:id="376" w:name="_Toc184313302"/>
      <w:bookmarkEnd w:id="376"/>
      <w:bookmarkStart w:id="377" w:name="_Toc184308107"/>
      <w:bookmarkEnd w:id="377"/>
      <w:bookmarkStart w:id="378" w:name="_Toc184308097"/>
      <w:bookmarkEnd w:id="378"/>
      <w:bookmarkStart w:id="379" w:name="_Toc184313252"/>
      <w:bookmarkEnd w:id="379"/>
      <w:bookmarkStart w:id="380" w:name="_Toc184314416"/>
      <w:bookmarkEnd w:id="380"/>
      <w:bookmarkStart w:id="381" w:name="_Toc184308047"/>
      <w:bookmarkEnd w:id="381"/>
      <w:bookmarkStart w:id="382" w:name="_Toc184310292"/>
      <w:bookmarkEnd w:id="382"/>
      <w:bookmarkStart w:id="383" w:name="_Toc184313240"/>
      <w:bookmarkEnd w:id="383"/>
      <w:bookmarkStart w:id="384" w:name="_Toc184314479"/>
      <w:bookmarkEnd w:id="384"/>
      <w:bookmarkStart w:id="385" w:name="_Toc184312082"/>
      <w:bookmarkEnd w:id="385"/>
      <w:bookmarkStart w:id="386" w:name="_Toc184312092"/>
      <w:bookmarkEnd w:id="386"/>
      <w:bookmarkStart w:id="387" w:name="_Toc184313268"/>
      <w:bookmarkEnd w:id="387"/>
      <w:bookmarkStart w:id="388" w:name="_Toc184312070"/>
      <w:bookmarkEnd w:id="388"/>
      <w:bookmarkStart w:id="389" w:name="_Toc184308043"/>
      <w:bookmarkEnd w:id="389"/>
      <w:bookmarkStart w:id="390" w:name="_Toc184312129"/>
      <w:bookmarkEnd w:id="390"/>
      <w:bookmarkStart w:id="391" w:name="_Toc184314482"/>
      <w:bookmarkEnd w:id="391"/>
      <w:bookmarkStart w:id="392" w:name="_Toc184313308"/>
      <w:bookmarkEnd w:id="392"/>
      <w:bookmarkStart w:id="393" w:name="_Toc184308060"/>
      <w:bookmarkEnd w:id="393"/>
      <w:bookmarkStart w:id="394" w:name="_Toc184312106"/>
      <w:bookmarkEnd w:id="394"/>
      <w:r>
        <w:rPr>
          <w:rFonts w:hint="eastAsia" w:ascii="宋体" w:hAnsi="宋体" w:cs="宋体"/>
          <w:b/>
          <w:color w:val="auto"/>
          <w:sz w:val="36"/>
          <w:szCs w:val="36"/>
          <w:highlight w:val="none"/>
        </w:rPr>
        <w:t>评标办法</w:t>
      </w:r>
    </w:p>
    <w:p w14:paraId="0CF32411">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738"/>
        <w:gridCol w:w="5843"/>
        <w:gridCol w:w="1168"/>
        <w:gridCol w:w="977"/>
      </w:tblGrid>
      <w:tr w14:paraId="38BAE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018" w:type="dxa"/>
            <w:vAlign w:val="center"/>
          </w:tcPr>
          <w:p w14:paraId="1F6C1BD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模块</w:t>
            </w:r>
          </w:p>
        </w:tc>
        <w:tc>
          <w:tcPr>
            <w:tcW w:w="738" w:type="dxa"/>
            <w:vAlign w:val="center"/>
          </w:tcPr>
          <w:p w14:paraId="495F654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843" w:type="dxa"/>
            <w:vAlign w:val="center"/>
          </w:tcPr>
          <w:p w14:paraId="6B3E71E3">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评分内容和标准</w:t>
            </w:r>
          </w:p>
        </w:tc>
        <w:tc>
          <w:tcPr>
            <w:tcW w:w="1168" w:type="dxa"/>
            <w:vAlign w:val="center"/>
          </w:tcPr>
          <w:p w14:paraId="6E62923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最高分值</w:t>
            </w:r>
          </w:p>
        </w:tc>
        <w:tc>
          <w:tcPr>
            <w:tcW w:w="977" w:type="dxa"/>
            <w:vAlign w:val="center"/>
          </w:tcPr>
          <w:p w14:paraId="0EFFC90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主/客观分</w:t>
            </w:r>
          </w:p>
        </w:tc>
      </w:tr>
      <w:tr w14:paraId="45E6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8" w:type="dxa"/>
            <w:vMerge w:val="restart"/>
            <w:vAlign w:val="center"/>
          </w:tcPr>
          <w:p w14:paraId="3776844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商务资 信分</w:t>
            </w:r>
          </w:p>
          <w:p w14:paraId="78DC2BC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6分</w:t>
            </w:r>
            <w:r>
              <w:rPr>
                <w:rFonts w:hint="eastAsia" w:ascii="宋体" w:hAnsi="宋体" w:eastAsia="宋体" w:cs="宋体"/>
                <w:color w:val="auto"/>
                <w:sz w:val="21"/>
                <w:szCs w:val="21"/>
                <w:highlight w:val="none"/>
              </w:rPr>
              <w:t>）</w:t>
            </w:r>
          </w:p>
        </w:tc>
        <w:tc>
          <w:tcPr>
            <w:tcW w:w="738" w:type="dxa"/>
            <w:vAlign w:val="center"/>
          </w:tcPr>
          <w:p w14:paraId="537BF10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843" w:type="dxa"/>
            <w:vAlign w:val="center"/>
          </w:tcPr>
          <w:p w14:paraId="64CF42AF">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体系证书：投标人具备质量管理体系认证、职业健康安全管理体系认证、环境管理体系认证且在有效期内的得每个得1分。本项最高得3分。</w:t>
            </w:r>
          </w:p>
          <w:p w14:paraId="16DA4A3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证明材料：提供认证证书复印件加盖公章</w:t>
            </w:r>
            <w:r>
              <w:rPr>
                <w:rFonts w:hint="eastAsia" w:ascii="宋体" w:hAnsi="宋体" w:eastAsia="宋体" w:cs="宋体"/>
                <w:b/>
                <w:bCs/>
                <w:color w:val="000000"/>
                <w:kern w:val="0"/>
                <w:sz w:val="21"/>
                <w:szCs w:val="21"/>
                <w:highlight w:val="none"/>
                <w:lang w:val="en-US" w:eastAsia="zh-CN"/>
              </w:rPr>
              <w:t>，未按要求提供证明材料的不得分。</w:t>
            </w:r>
          </w:p>
        </w:tc>
        <w:tc>
          <w:tcPr>
            <w:tcW w:w="1168" w:type="dxa"/>
            <w:vAlign w:val="center"/>
          </w:tcPr>
          <w:p w14:paraId="6076FF7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w:t>
            </w:r>
          </w:p>
        </w:tc>
        <w:tc>
          <w:tcPr>
            <w:tcW w:w="977" w:type="dxa"/>
            <w:vAlign w:val="center"/>
          </w:tcPr>
          <w:p w14:paraId="0CAB43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67205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018" w:type="dxa"/>
            <w:vMerge w:val="continue"/>
            <w:vAlign w:val="center"/>
          </w:tcPr>
          <w:p w14:paraId="2C6F8D1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8" w:type="dxa"/>
            <w:vAlign w:val="center"/>
          </w:tcPr>
          <w:p w14:paraId="625A1A1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843" w:type="dxa"/>
            <w:vAlign w:val="center"/>
          </w:tcPr>
          <w:p w14:paraId="101920A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业绩：投标人自2022年1月1日（以合同签订时间为准）以来具有类似项目业绩，每个单项合同业绩得1分，</w:t>
            </w:r>
            <w:r>
              <w:rPr>
                <w:rFonts w:hint="eastAsia" w:ascii="宋体" w:hAnsi="宋体" w:eastAsia="宋体" w:cs="宋体"/>
                <w:color w:val="auto"/>
                <w:sz w:val="21"/>
                <w:szCs w:val="21"/>
                <w:highlight w:val="none"/>
                <w:lang w:val="en-US" w:eastAsia="zh-CN"/>
              </w:rPr>
              <w:t>本项最高得3分</w:t>
            </w:r>
            <w:r>
              <w:rPr>
                <w:rFonts w:hint="eastAsia" w:ascii="宋体" w:hAnsi="宋体" w:eastAsia="宋体" w:cs="宋体"/>
                <w:color w:val="auto"/>
                <w:kern w:val="2"/>
                <w:sz w:val="21"/>
                <w:szCs w:val="21"/>
                <w:highlight w:val="none"/>
                <w:lang w:val="en-US" w:eastAsia="zh-CN" w:bidi="ar-SA"/>
              </w:rPr>
              <w:t>。</w:t>
            </w:r>
          </w:p>
          <w:p w14:paraId="5F37E1A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证明材料：同时提供合同复印件、中标通知书加盖公章</w:t>
            </w:r>
            <w:r>
              <w:rPr>
                <w:rFonts w:hint="eastAsia" w:ascii="宋体" w:hAnsi="宋体" w:eastAsia="宋体" w:cs="宋体"/>
                <w:b/>
                <w:bCs/>
                <w:color w:val="000000"/>
                <w:kern w:val="0"/>
                <w:sz w:val="21"/>
                <w:szCs w:val="21"/>
                <w:highlight w:val="none"/>
                <w:lang w:val="en-US" w:eastAsia="zh-CN"/>
              </w:rPr>
              <w:t>，未按要求提供证明材料的不得分。</w:t>
            </w:r>
          </w:p>
        </w:tc>
        <w:tc>
          <w:tcPr>
            <w:tcW w:w="1168" w:type="dxa"/>
            <w:vAlign w:val="center"/>
          </w:tcPr>
          <w:p w14:paraId="0AD617A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w:t>
            </w:r>
          </w:p>
        </w:tc>
        <w:tc>
          <w:tcPr>
            <w:tcW w:w="977" w:type="dxa"/>
            <w:vAlign w:val="center"/>
          </w:tcPr>
          <w:p w14:paraId="56A4543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180F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1018" w:type="dxa"/>
            <w:vMerge w:val="restart"/>
            <w:vAlign w:val="center"/>
          </w:tcPr>
          <w:p w14:paraId="4F5C89F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738" w:type="dxa"/>
            <w:vAlign w:val="center"/>
          </w:tcPr>
          <w:p w14:paraId="64E07E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c>
          <w:tcPr>
            <w:tcW w:w="5843" w:type="dxa"/>
            <w:vAlign w:val="center"/>
          </w:tcPr>
          <w:p w14:paraId="3A238388">
            <w:pPr>
              <w:widowControl/>
              <w:jc w:val="left"/>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需求响应程度：投标产品是否能满足本项目采购需求中的技术参数要求：标“</w:t>
            </w:r>
            <w:r>
              <w:rPr>
                <w:rFonts w:hint="eastAsia" w:ascii="宋体" w:hAnsi="宋体" w:eastAsia="宋体" w:cs="宋体"/>
                <w:kern w:val="0"/>
                <w:sz w:val="18"/>
                <w:szCs w:val="18"/>
                <w:highlight w:val="none"/>
                <w:lang w:eastAsia="zh-CN"/>
              </w:rPr>
              <w:t>◆</w:t>
            </w:r>
            <w:r>
              <w:rPr>
                <w:rFonts w:hint="eastAsia" w:ascii="宋体" w:hAnsi="宋体" w:eastAsia="宋体" w:cs="宋体"/>
                <w:b w:val="0"/>
                <w:bCs w:val="0"/>
                <w:color w:val="000000"/>
                <w:kern w:val="0"/>
                <w:sz w:val="21"/>
                <w:szCs w:val="21"/>
                <w:highlight w:val="none"/>
                <w:lang w:val="en-US" w:eastAsia="zh-CN"/>
              </w:rPr>
              <w:t>”项指标需提供证明材料，每提供一个证明材料得</w:t>
            </w:r>
            <w:r>
              <w:rPr>
                <w:rFonts w:hint="eastAsia" w:ascii="宋体" w:hAnsi="宋体" w:cs="宋体"/>
                <w:b w:val="0"/>
                <w:bCs w:val="0"/>
                <w:color w:val="000000"/>
                <w:kern w:val="0"/>
                <w:sz w:val="21"/>
                <w:szCs w:val="21"/>
                <w:highlight w:val="none"/>
                <w:lang w:val="en-US" w:eastAsia="zh-CN"/>
              </w:rPr>
              <w:t>1.5</w:t>
            </w:r>
            <w:r>
              <w:rPr>
                <w:rFonts w:hint="eastAsia" w:ascii="宋体" w:hAnsi="宋体" w:eastAsia="宋体" w:cs="宋体"/>
                <w:b w:val="0"/>
                <w:bCs w:val="0"/>
                <w:color w:val="000000"/>
                <w:kern w:val="0"/>
                <w:sz w:val="21"/>
                <w:szCs w:val="21"/>
                <w:highlight w:val="none"/>
                <w:lang w:val="en-US" w:eastAsia="zh-CN"/>
              </w:rPr>
              <w:t>分，本项最高得</w:t>
            </w:r>
            <w:r>
              <w:rPr>
                <w:rFonts w:hint="eastAsia" w:ascii="宋体" w:hAnsi="宋体" w:cs="宋体"/>
                <w:b w:val="0"/>
                <w:bCs w:val="0"/>
                <w:color w:val="000000"/>
                <w:kern w:val="0"/>
                <w:sz w:val="21"/>
                <w:szCs w:val="21"/>
                <w:highlight w:val="none"/>
                <w:lang w:val="en-US" w:eastAsia="zh-CN"/>
              </w:rPr>
              <w:t>15</w:t>
            </w:r>
            <w:r>
              <w:rPr>
                <w:rFonts w:hint="eastAsia" w:ascii="宋体" w:hAnsi="宋体" w:eastAsia="宋体" w:cs="宋体"/>
                <w:b w:val="0"/>
                <w:bCs w:val="0"/>
                <w:color w:val="000000"/>
                <w:kern w:val="0"/>
                <w:sz w:val="21"/>
                <w:szCs w:val="21"/>
                <w:highlight w:val="none"/>
                <w:lang w:val="en-US" w:eastAsia="zh-CN"/>
              </w:rPr>
              <w:t>分。</w:t>
            </w:r>
          </w:p>
          <w:p w14:paraId="3475D23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000000"/>
                <w:kern w:val="0"/>
                <w:sz w:val="21"/>
                <w:szCs w:val="21"/>
                <w:highlight w:val="none"/>
                <w:lang w:val="en-US" w:eastAsia="zh-CN"/>
              </w:rPr>
              <w:t>证明材料：提供证明材料复印件及证明材料在投标文件中详细对应页码，未按要求提供证明材料的不得分。</w:t>
            </w:r>
          </w:p>
        </w:tc>
        <w:tc>
          <w:tcPr>
            <w:tcW w:w="1168" w:type="dxa"/>
            <w:vAlign w:val="center"/>
          </w:tcPr>
          <w:p w14:paraId="7A5C156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15</w:t>
            </w:r>
          </w:p>
        </w:tc>
        <w:tc>
          <w:tcPr>
            <w:tcW w:w="977" w:type="dxa"/>
            <w:vAlign w:val="center"/>
          </w:tcPr>
          <w:p w14:paraId="507461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6D458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8" w:type="dxa"/>
            <w:vMerge w:val="continue"/>
            <w:vAlign w:val="center"/>
          </w:tcPr>
          <w:p w14:paraId="60F47F48">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p>
        </w:tc>
        <w:tc>
          <w:tcPr>
            <w:tcW w:w="738" w:type="dxa"/>
            <w:vAlign w:val="center"/>
          </w:tcPr>
          <w:p w14:paraId="6FF2A7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5843" w:type="dxa"/>
            <w:vAlign w:val="center"/>
          </w:tcPr>
          <w:p w14:paraId="5AE46820">
            <w:pPr>
              <w:spacing w:line="276" w:lineRule="auto"/>
              <w:jc w:val="left"/>
              <w:rPr>
                <w:rFonts w:hint="eastAsia" w:ascii="宋体" w:hAnsi="宋体" w:cs="宋体"/>
                <w:color w:val="auto"/>
                <w:kern w:val="0"/>
                <w:szCs w:val="21"/>
                <w:highlight w:val="none"/>
              </w:rPr>
            </w:pPr>
            <w:r>
              <w:rPr>
                <w:rFonts w:hint="eastAsia" w:ascii="宋体" w:hAnsi="宋体" w:eastAsia="宋体" w:cs="宋体"/>
                <w:b w:val="0"/>
                <w:bCs w:val="0"/>
                <w:color w:val="000000"/>
                <w:kern w:val="0"/>
                <w:sz w:val="21"/>
                <w:szCs w:val="21"/>
                <w:highlight w:val="none"/>
                <w:lang w:val="en-US" w:eastAsia="zh-CN"/>
              </w:rPr>
              <w:t>项目实施计划：根据投标人提供的项目实施计划进行综合打分，内容至少包括包括工作进度、供货计划、进货渠道、货源保障等相关内容</w:t>
            </w:r>
            <w:r>
              <w:rPr>
                <w:rFonts w:hint="eastAsia" w:ascii="宋体" w:hAnsi="宋体" w:cs="宋体"/>
                <w:color w:val="auto"/>
                <w:kern w:val="0"/>
                <w:szCs w:val="21"/>
                <w:highlight w:val="none"/>
              </w:rPr>
              <w:t>。</w:t>
            </w:r>
          </w:p>
          <w:p w14:paraId="104246C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highlight w:val="none"/>
                <w:lang w:eastAsia="zh-CN"/>
              </w:rPr>
            </w:pPr>
            <w:r>
              <w:rPr>
                <w:rFonts w:hint="eastAsia" w:ascii="宋体" w:hAnsi="宋体" w:cs="宋体"/>
                <w:b/>
                <w:bCs/>
                <w:color w:val="auto"/>
                <w:kern w:val="0"/>
                <w:szCs w:val="21"/>
                <w:highlight w:val="none"/>
              </w:rPr>
              <w:t>投标人提供内容全面，针对性强的得5分；内容相对全面，且有一定针对性的得4分；内容全面性，针对性一般的得3分；内容基本合理的得2分；内容有所欠缺的得1分；不提供不得分。</w:t>
            </w:r>
          </w:p>
        </w:tc>
        <w:tc>
          <w:tcPr>
            <w:tcW w:w="1168" w:type="dxa"/>
            <w:vAlign w:val="center"/>
          </w:tcPr>
          <w:p w14:paraId="50CF57F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w:t>
            </w:r>
          </w:p>
        </w:tc>
        <w:tc>
          <w:tcPr>
            <w:tcW w:w="977" w:type="dxa"/>
            <w:vAlign w:val="center"/>
          </w:tcPr>
          <w:p w14:paraId="1DA189B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4CB5F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8" w:type="dxa"/>
            <w:vMerge w:val="continue"/>
            <w:vAlign w:val="center"/>
          </w:tcPr>
          <w:p w14:paraId="7C2686E5">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p>
        </w:tc>
        <w:tc>
          <w:tcPr>
            <w:tcW w:w="738" w:type="dxa"/>
            <w:vAlign w:val="center"/>
          </w:tcPr>
          <w:p w14:paraId="177EEEF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5843" w:type="dxa"/>
            <w:vAlign w:val="center"/>
          </w:tcPr>
          <w:p w14:paraId="4501D256">
            <w:pPr>
              <w:spacing w:line="276" w:lineRule="auto"/>
              <w:jc w:val="left"/>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color w:val="auto"/>
                <w:sz w:val="21"/>
                <w:szCs w:val="21"/>
                <w:highlight w:val="none"/>
                <w:lang w:eastAsia="zh-CN"/>
              </w:rPr>
              <w:t>供货及安装调试方案：</w:t>
            </w:r>
            <w:r>
              <w:rPr>
                <w:rFonts w:hint="eastAsia" w:ascii="宋体" w:hAnsi="宋体" w:eastAsia="宋体" w:cs="宋体"/>
                <w:b w:val="0"/>
                <w:bCs w:val="0"/>
                <w:color w:val="000000"/>
                <w:kern w:val="0"/>
                <w:sz w:val="21"/>
                <w:szCs w:val="21"/>
                <w:highlight w:val="none"/>
                <w:lang w:val="en-US" w:eastAsia="zh-CN"/>
              </w:rPr>
              <w:t>根据投标人提供的供货及安装调试方案</w:t>
            </w:r>
            <w:r>
              <w:rPr>
                <w:rFonts w:hint="eastAsia" w:asciiTheme="minorEastAsia" w:hAnsiTheme="minorEastAsia" w:eastAsiaTheme="minorEastAsia" w:cstheme="minorEastAsia"/>
                <w:color w:val="000000"/>
                <w:kern w:val="0"/>
                <w:sz w:val="21"/>
                <w:szCs w:val="21"/>
                <w:highlight w:val="none"/>
              </w:rPr>
              <w:t>合理性、可行性</w:t>
            </w:r>
            <w:r>
              <w:rPr>
                <w:rFonts w:hint="eastAsia" w:asciiTheme="minorEastAsia" w:hAnsiTheme="minorEastAsia" w:eastAsiaTheme="minorEastAsia" w:cstheme="minorEastAsia"/>
                <w:color w:val="auto"/>
                <w:kern w:val="0"/>
                <w:sz w:val="21"/>
                <w:szCs w:val="21"/>
                <w:highlight w:val="none"/>
              </w:rPr>
              <w:t>等情况</w:t>
            </w:r>
            <w:bookmarkStart w:id="557" w:name="_GoBack"/>
            <w:bookmarkEnd w:id="557"/>
            <w:r>
              <w:rPr>
                <w:rFonts w:hint="eastAsia" w:asciiTheme="minorEastAsia" w:hAnsiTheme="minorEastAsia" w:eastAsiaTheme="minorEastAsia" w:cstheme="minorEastAsia"/>
                <w:color w:val="auto"/>
                <w:kern w:val="0"/>
                <w:sz w:val="21"/>
                <w:szCs w:val="21"/>
                <w:highlight w:val="none"/>
              </w:rPr>
              <w:t>进行综合打分。</w:t>
            </w:r>
          </w:p>
          <w:p w14:paraId="63BBAB3E">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cs="宋体"/>
                <w:b/>
                <w:bCs/>
                <w:color w:val="auto"/>
                <w:kern w:val="0"/>
                <w:szCs w:val="21"/>
                <w:highlight w:val="none"/>
              </w:rPr>
              <w:t>投标人提供内容全面，针对性强的得5分；内容相对全面，且有一定针对性的得4分；内容全面性，针对性一般的得3分；内容基本合理的得2分；内容有所欠缺的得1分；不提供不得分。</w:t>
            </w:r>
          </w:p>
        </w:tc>
        <w:tc>
          <w:tcPr>
            <w:tcW w:w="1168" w:type="dxa"/>
            <w:vAlign w:val="center"/>
          </w:tcPr>
          <w:p w14:paraId="5CD59DC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w:t>
            </w:r>
          </w:p>
        </w:tc>
        <w:tc>
          <w:tcPr>
            <w:tcW w:w="977" w:type="dxa"/>
            <w:vAlign w:val="center"/>
          </w:tcPr>
          <w:p w14:paraId="4A53BA1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6A95E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1018" w:type="dxa"/>
            <w:vMerge w:val="continue"/>
            <w:vAlign w:val="center"/>
          </w:tcPr>
          <w:p w14:paraId="2D6D7FA4">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p>
        </w:tc>
        <w:tc>
          <w:tcPr>
            <w:tcW w:w="738" w:type="dxa"/>
            <w:vAlign w:val="center"/>
          </w:tcPr>
          <w:p w14:paraId="0B062CB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5843" w:type="dxa"/>
            <w:vAlign w:val="center"/>
          </w:tcPr>
          <w:p w14:paraId="5B4D746C">
            <w:pPr>
              <w:spacing w:line="276" w:lineRule="auto"/>
              <w:jc w:val="left"/>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color w:val="auto"/>
                <w:sz w:val="21"/>
                <w:szCs w:val="21"/>
                <w:highlight w:val="none"/>
                <w:lang w:eastAsia="zh-CN"/>
              </w:rPr>
              <w:t>质量保证措施：</w:t>
            </w:r>
            <w:r>
              <w:rPr>
                <w:rFonts w:hint="eastAsia" w:ascii="宋体" w:hAnsi="宋体" w:eastAsia="宋体" w:cs="宋体"/>
                <w:b w:val="0"/>
                <w:bCs w:val="0"/>
                <w:color w:val="000000"/>
                <w:kern w:val="0"/>
                <w:sz w:val="21"/>
                <w:szCs w:val="21"/>
                <w:highlight w:val="none"/>
                <w:lang w:val="en-US" w:eastAsia="zh-CN"/>
              </w:rPr>
              <w:t>根据投标人提供的</w:t>
            </w:r>
            <w:r>
              <w:rPr>
                <w:rFonts w:hint="eastAsia" w:ascii="宋体" w:hAnsi="宋体" w:eastAsia="宋体" w:cs="宋体"/>
                <w:color w:val="auto"/>
                <w:sz w:val="21"/>
                <w:szCs w:val="21"/>
                <w:highlight w:val="none"/>
                <w:lang w:eastAsia="zh-CN"/>
              </w:rPr>
              <w:t>质量保证措施</w:t>
            </w:r>
            <w:r>
              <w:rPr>
                <w:rFonts w:hint="eastAsia" w:ascii="宋体" w:hAnsi="宋体" w:eastAsia="宋体" w:cs="宋体"/>
                <w:color w:val="auto"/>
                <w:sz w:val="21"/>
                <w:szCs w:val="21"/>
                <w:highlight w:val="none"/>
                <w:lang w:val="en-US" w:eastAsia="zh-CN"/>
              </w:rPr>
              <w:t>内容</w:t>
            </w:r>
            <w:r>
              <w:rPr>
                <w:rFonts w:hint="eastAsia" w:asciiTheme="minorEastAsia" w:hAnsiTheme="minorEastAsia" w:eastAsiaTheme="minorEastAsia" w:cstheme="minorEastAsia"/>
                <w:color w:val="000000"/>
                <w:kern w:val="0"/>
                <w:sz w:val="21"/>
                <w:szCs w:val="21"/>
                <w:highlight w:val="none"/>
              </w:rPr>
              <w:t>的合理性、可行性</w:t>
            </w:r>
            <w:r>
              <w:rPr>
                <w:rFonts w:hint="eastAsia" w:asciiTheme="minorEastAsia" w:hAnsiTheme="minorEastAsia" w:eastAsiaTheme="minorEastAsia" w:cstheme="minorEastAsia"/>
                <w:color w:val="auto"/>
                <w:kern w:val="0"/>
                <w:sz w:val="21"/>
                <w:szCs w:val="21"/>
                <w:highlight w:val="none"/>
              </w:rPr>
              <w:t>等情况进行综合打分。</w:t>
            </w:r>
          </w:p>
          <w:p w14:paraId="67DDBBE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eastAsia="宋体" w:asciiTheme="minorEastAsia" w:hAnsiTheme="minorEastAsia" w:cstheme="minorEastAsia"/>
                <w:b/>
                <w:bCs/>
                <w:color w:val="auto"/>
                <w:kern w:val="0"/>
                <w:sz w:val="21"/>
                <w:szCs w:val="21"/>
                <w:highlight w:val="none"/>
                <w:lang w:eastAsia="zh-CN"/>
              </w:rPr>
            </w:pPr>
            <w:r>
              <w:rPr>
                <w:rFonts w:hint="eastAsia" w:ascii="宋体" w:hAnsi="宋体" w:cs="宋体"/>
                <w:b/>
                <w:bCs/>
                <w:color w:val="auto"/>
                <w:kern w:val="0"/>
                <w:szCs w:val="21"/>
                <w:highlight w:val="none"/>
              </w:rPr>
              <w:t>投标人提供内容全面，针对性强的得5分；内容相对全面，且有一定针对性的得4分；内容全面性，针对性一般的得3分；内容基本合理的得2分；内容有所欠缺的得1分；不提供不得分。</w:t>
            </w:r>
          </w:p>
        </w:tc>
        <w:tc>
          <w:tcPr>
            <w:tcW w:w="1168" w:type="dxa"/>
            <w:vAlign w:val="center"/>
          </w:tcPr>
          <w:p w14:paraId="64923CF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w:t>
            </w:r>
          </w:p>
        </w:tc>
        <w:tc>
          <w:tcPr>
            <w:tcW w:w="977" w:type="dxa"/>
            <w:vAlign w:val="center"/>
          </w:tcPr>
          <w:p w14:paraId="5F88649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5BCC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018" w:type="dxa"/>
            <w:vMerge w:val="continue"/>
            <w:vAlign w:val="center"/>
          </w:tcPr>
          <w:p w14:paraId="084A0300">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p>
        </w:tc>
        <w:tc>
          <w:tcPr>
            <w:tcW w:w="738" w:type="dxa"/>
            <w:vAlign w:val="center"/>
          </w:tcPr>
          <w:p w14:paraId="2F603BF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5843" w:type="dxa"/>
            <w:vAlign w:val="center"/>
          </w:tcPr>
          <w:p w14:paraId="63D09DFA">
            <w:pPr>
              <w:spacing w:line="276" w:lineRule="auto"/>
              <w:jc w:val="left"/>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color w:val="auto"/>
                <w:sz w:val="21"/>
                <w:szCs w:val="21"/>
                <w:highlight w:val="none"/>
              </w:rPr>
              <w:t>培训</w:t>
            </w:r>
            <w:r>
              <w:rPr>
                <w:rFonts w:hint="eastAsia" w:ascii="宋体" w:hAnsi="宋体" w:eastAsia="宋体" w:cs="宋体"/>
                <w:color w:val="auto"/>
                <w:sz w:val="21"/>
                <w:szCs w:val="21"/>
                <w:highlight w:val="none"/>
                <w:lang w:val="en-US" w:eastAsia="zh-CN"/>
              </w:rPr>
              <w:t>方案：</w:t>
            </w:r>
            <w:r>
              <w:rPr>
                <w:rFonts w:hint="eastAsia" w:ascii="宋体" w:hAnsi="宋体" w:eastAsia="宋体" w:cs="宋体"/>
                <w:b w:val="0"/>
                <w:bCs w:val="0"/>
                <w:color w:val="000000"/>
                <w:kern w:val="0"/>
                <w:sz w:val="21"/>
                <w:szCs w:val="21"/>
                <w:highlight w:val="none"/>
                <w:lang w:val="en-US" w:eastAsia="zh-CN"/>
              </w:rPr>
              <w:t>根据投标人提供的培训方案进行综合打分，内容至少包括培训计划、内容、师资、天数等相关内容。</w:t>
            </w:r>
          </w:p>
          <w:p w14:paraId="541B07A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auto"/>
                <w:kern w:val="0"/>
                <w:sz w:val="21"/>
                <w:szCs w:val="21"/>
                <w:highlight w:val="none"/>
              </w:rPr>
            </w:pPr>
            <w:r>
              <w:rPr>
                <w:rFonts w:hint="eastAsia" w:ascii="宋体" w:hAnsi="宋体" w:cs="宋体"/>
                <w:b/>
                <w:bCs/>
                <w:color w:val="auto"/>
                <w:kern w:val="0"/>
                <w:szCs w:val="21"/>
                <w:highlight w:val="none"/>
              </w:rPr>
              <w:t>投标人提供内容全面，针对性强的得5分；内容相对全面，且有一定针对性的得4分；内容全面性，针对性一般的得3分；内容基本合理的得2分；内容有所欠缺的得1分；不提供不得分。</w:t>
            </w:r>
          </w:p>
        </w:tc>
        <w:tc>
          <w:tcPr>
            <w:tcW w:w="1168" w:type="dxa"/>
            <w:vAlign w:val="center"/>
          </w:tcPr>
          <w:p w14:paraId="725CFA4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w:t>
            </w:r>
          </w:p>
        </w:tc>
        <w:tc>
          <w:tcPr>
            <w:tcW w:w="977" w:type="dxa"/>
            <w:vAlign w:val="center"/>
          </w:tcPr>
          <w:p w14:paraId="03744D7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685FD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8" w:type="dxa"/>
            <w:vMerge w:val="continue"/>
            <w:vAlign w:val="center"/>
          </w:tcPr>
          <w:p w14:paraId="1C0F2013">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p>
        </w:tc>
        <w:tc>
          <w:tcPr>
            <w:tcW w:w="738" w:type="dxa"/>
            <w:vAlign w:val="center"/>
          </w:tcPr>
          <w:p w14:paraId="2B126E9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8</w:t>
            </w:r>
          </w:p>
        </w:tc>
        <w:tc>
          <w:tcPr>
            <w:tcW w:w="5843" w:type="dxa"/>
            <w:vAlign w:val="center"/>
          </w:tcPr>
          <w:p w14:paraId="1CE84EB9">
            <w:pPr>
              <w:spacing w:line="276" w:lineRule="auto"/>
              <w:jc w:val="left"/>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color w:val="auto"/>
                <w:sz w:val="21"/>
                <w:szCs w:val="21"/>
                <w:highlight w:val="none"/>
              </w:rPr>
              <w:t>售后服</w:t>
            </w:r>
            <w:r>
              <w:rPr>
                <w:rFonts w:hint="eastAsia" w:asciiTheme="minorEastAsia" w:hAnsiTheme="minorEastAsia" w:eastAsiaTheme="minorEastAsia" w:cstheme="minorEastAsia"/>
                <w:color w:val="auto"/>
                <w:kern w:val="0"/>
                <w:sz w:val="21"/>
                <w:szCs w:val="21"/>
                <w:highlight w:val="none"/>
              </w:rPr>
              <w:t>务</w:t>
            </w:r>
            <w:r>
              <w:rPr>
                <w:rFonts w:hint="eastAsia" w:asciiTheme="minorEastAsia" w:hAnsiTheme="minorEastAsia" w:eastAsiaTheme="minorEastAsia" w:cstheme="minorEastAsia"/>
                <w:color w:val="auto"/>
                <w:kern w:val="0"/>
                <w:sz w:val="21"/>
                <w:szCs w:val="21"/>
                <w:highlight w:val="none"/>
                <w:lang w:val="en-US" w:eastAsia="zh-CN"/>
              </w:rPr>
              <w:t>方案：根据投标人提供的</w:t>
            </w:r>
            <w:r>
              <w:rPr>
                <w:rFonts w:hint="eastAsia" w:asciiTheme="minorEastAsia" w:hAnsiTheme="minorEastAsia" w:eastAsiaTheme="minorEastAsia" w:cstheme="minorEastAsia"/>
                <w:color w:val="auto"/>
                <w:kern w:val="0"/>
                <w:sz w:val="21"/>
                <w:szCs w:val="21"/>
                <w:highlight w:val="none"/>
              </w:rPr>
              <w:t>售后服务计划、运维 养护、响应时间、服务承诺等，包括但不限于质保期内相关服务、所提供的技术支持内容、质保期内和质保期满后的技术服务响应等方面进行综合打分。</w:t>
            </w:r>
          </w:p>
          <w:p w14:paraId="0EC63FDF">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cs="宋体"/>
                <w:b/>
                <w:bCs/>
                <w:color w:val="auto"/>
                <w:kern w:val="0"/>
                <w:szCs w:val="21"/>
                <w:highlight w:val="none"/>
              </w:rPr>
              <w:t>投标人提供内容全面，针对性强的得5分；内容相对全面，且有一定针对性的得4分；内容全面性，针对性一般的得3分；内容基本合理的得2分；内容有所欠缺的得1分；不提供不得分。</w:t>
            </w:r>
          </w:p>
        </w:tc>
        <w:tc>
          <w:tcPr>
            <w:tcW w:w="1168" w:type="dxa"/>
            <w:vAlign w:val="center"/>
          </w:tcPr>
          <w:p w14:paraId="2924E3F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w:t>
            </w:r>
          </w:p>
        </w:tc>
        <w:tc>
          <w:tcPr>
            <w:tcW w:w="977" w:type="dxa"/>
            <w:vAlign w:val="center"/>
          </w:tcPr>
          <w:p w14:paraId="77F1CC1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55FB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8" w:type="dxa"/>
            <w:vMerge w:val="continue"/>
            <w:vAlign w:val="center"/>
          </w:tcPr>
          <w:p w14:paraId="3F8DB0E4">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p>
        </w:tc>
        <w:tc>
          <w:tcPr>
            <w:tcW w:w="738" w:type="dxa"/>
            <w:vAlign w:val="center"/>
          </w:tcPr>
          <w:p w14:paraId="4192653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9</w:t>
            </w:r>
          </w:p>
        </w:tc>
        <w:tc>
          <w:tcPr>
            <w:tcW w:w="5843" w:type="dxa"/>
            <w:vAlign w:val="center"/>
          </w:tcPr>
          <w:p w14:paraId="0726975D">
            <w:pPr>
              <w:spacing w:line="276" w:lineRule="auto"/>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项目服务团队：</w:t>
            </w:r>
          </w:p>
          <w:p w14:paraId="66A9CF8B">
            <w:pPr>
              <w:spacing w:line="276"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拟投</w:t>
            </w:r>
            <w:r>
              <w:rPr>
                <w:rFonts w:hint="eastAsia" w:asciiTheme="minorEastAsia" w:hAnsiTheme="minorEastAsia" w:eastAsiaTheme="minorEastAsia" w:cstheme="minorEastAsia"/>
                <w:color w:val="auto"/>
                <w:kern w:val="0"/>
                <w:sz w:val="21"/>
                <w:szCs w:val="21"/>
                <w:highlight w:val="none"/>
              </w:rPr>
              <w:t>入本项目的服务团队</w:t>
            </w:r>
            <w:r>
              <w:rPr>
                <w:rFonts w:hint="eastAsia" w:asciiTheme="minorEastAsia" w:hAnsiTheme="minorEastAsia" w:eastAsiaTheme="minorEastAsia" w:cstheme="minorEastAsia"/>
                <w:color w:val="auto"/>
                <w:kern w:val="0"/>
                <w:sz w:val="21"/>
                <w:szCs w:val="21"/>
                <w:highlight w:val="none"/>
                <w:lang w:val="en-US" w:eastAsia="zh-CN"/>
              </w:rPr>
              <w:t>具</w:t>
            </w:r>
            <w:r>
              <w:rPr>
                <w:rFonts w:hint="eastAsia" w:asciiTheme="minorEastAsia" w:hAnsiTheme="minorEastAsia" w:eastAsiaTheme="minorEastAsia" w:cstheme="minorEastAsia"/>
                <w:color w:val="auto"/>
                <w:kern w:val="0"/>
                <w:sz w:val="21"/>
                <w:szCs w:val="21"/>
                <w:highlight w:val="none"/>
              </w:rPr>
              <w:t>有机械或电气相关专业正高级职称人员，每提供1人得</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分</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最多得</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分。</w:t>
            </w:r>
          </w:p>
          <w:p w14:paraId="0A4BA5FE">
            <w:pPr>
              <w:spacing w:line="276"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证明材料：同时</w:t>
            </w:r>
            <w:r>
              <w:rPr>
                <w:rFonts w:hint="eastAsia" w:asciiTheme="minorEastAsia" w:hAnsiTheme="minorEastAsia" w:eastAsiaTheme="minorEastAsia" w:cstheme="minorEastAsia"/>
                <w:color w:val="auto"/>
                <w:kern w:val="0"/>
                <w:sz w:val="21"/>
                <w:szCs w:val="21"/>
                <w:highlight w:val="none"/>
              </w:rPr>
              <w:t>提供人员职称证书</w:t>
            </w:r>
            <w:r>
              <w:rPr>
                <w:rFonts w:hint="eastAsia" w:asciiTheme="minorEastAsia" w:hAnsiTheme="minorEastAsia" w:eastAsiaTheme="minorEastAsia" w:cstheme="minorEastAsia"/>
                <w:color w:val="auto"/>
                <w:kern w:val="0"/>
                <w:sz w:val="21"/>
                <w:szCs w:val="21"/>
                <w:highlight w:val="none"/>
                <w:lang w:val="en-US" w:eastAsia="zh-CN"/>
              </w:rPr>
              <w:t>复印件</w:t>
            </w:r>
            <w:r>
              <w:rPr>
                <w:rFonts w:hint="eastAsia" w:asciiTheme="minorEastAsia" w:hAnsiTheme="minorEastAsia" w:eastAsiaTheme="minorEastAsia" w:cstheme="minorEastAsia"/>
                <w:color w:val="auto"/>
                <w:kern w:val="0"/>
                <w:sz w:val="21"/>
                <w:szCs w:val="21"/>
                <w:highlight w:val="none"/>
              </w:rPr>
              <w:t>、身份证复印件及投标人为其缴纳的近三个月</w:t>
            </w:r>
            <w:r>
              <w:rPr>
                <w:rFonts w:hint="eastAsia" w:asciiTheme="minorEastAsia" w:hAnsiTheme="minorEastAsia" w:eastAsiaTheme="minorEastAsia" w:cstheme="minorEastAsia"/>
                <w:color w:val="auto"/>
                <w:kern w:val="0"/>
                <w:sz w:val="21"/>
                <w:szCs w:val="21"/>
                <w:highlight w:val="none"/>
                <w:lang w:val="en-US" w:eastAsia="zh-CN"/>
              </w:rPr>
              <w:t>任意一月</w:t>
            </w:r>
            <w:r>
              <w:rPr>
                <w:rFonts w:hint="eastAsia" w:asciiTheme="minorEastAsia" w:hAnsiTheme="minorEastAsia" w:eastAsiaTheme="minorEastAsia" w:cstheme="minorEastAsia"/>
                <w:color w:val="auto"/>
                <w:kern w:val="0"/>
                <w:sz w:val="21"/>
                <w:szCs w:val="21"/>
                <w:highlight w:val="none"/>
              </w:rPr>
              <w:t>的社会保险缴纳证明复印件并加盖公章。</w:t>
            </w:r>
          </w:p>
          <w:p w14:paraId="032C82AF">
            <w:pPr>
              <w:numPr>
                <w:ilvl w:val="0"/>
                <w:numId w:val="0"/>
              </w:numPr>
              <w:spacing w:line="276"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lang w:val="en-US" w:eastAsia="zh-CN" w:bidi="ar-SA"/>
              </w:rPr>
              <w:t>2）</w:t>
            </w:r>
            <w:r>
              <w:rPr>
                <w:rFonts w:hint="eastAsia" w:asciiTheme="minorEastAsia" w:hAnsiTheme="minorEastAsia" w:eastAsiaTheme="minorEastAsia" w:cstheme="minorEastAsia"/>
                <w:color w:val="auto"/>
                <w:kern w:val="0"/>
                <w:sz w:val="21"/>
                <w:szCs w:val="21"/>
                <w:highlight w:val="none"/>
              </w:rPr>
              <w:t>拟投入本项目的服务团队</w:t>
            </w:r>
            <w:r>
              <w:rPr>
                <w:rFonts w:hint="eastAsia" w:asciiTheme="minorEastAsia" w:hAnsiTheme="minorEastAsia" w:eastAsiaTheme="minorEastAsia" w:cstheme="minorEastAsia"/>
                <w:color w:val="auto"/>
                <w:kern w:val="0"/>
                <w:sz w:val="21"/>
                <w:szCs w:val="21"/>
                <w:highlight w:val="none"/>
                <w:lang w:val="en-US" w:eastAsia="zh-CN"/>
              </w:rPr>
              <w:t>具</w:t>
            </w:r>
            <w:r>
              <w:rPr>
                <w:rFonts w:hint="eastAsia" w:asciiTheme="minorEastAsia" w:hAnsiTheme="minorEastAsia" w:eastAsiaTheme="minorEastAsia" w:cstheme="minorEastAsia"/>
                <w:color w:val="auto"/>
                <w:kern w:val="0"/>
                <w:sz w:val="21"/>
                <w:szCs w:val="21"/>
                <w:highlight w:val="none"/>
              </w:rPr>
              <w:t>有机械工程师、电气工程师</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每提供1人得</w:t>
            </w:r>
            <w:r>
              <w:rPr>
                <w:rFonts w:hint="eastAsia" w:asciiTheme="minorEastAsia" w:hAnsiTheme="minorEastAsia" w:eastAsiaTheme="minorEastAsia" w:cstheme="minorEastAsia"/>
                <w:color w:val="auto"/>
                <w:kern w:val="0"/>
                <w:sz w:val="21"/>
                <w:szCs w:val="21"/>
                <w:highlight w:val="none"/>
                <w:lang w:val="en-US" w:eastAsia="zh-CN"/>
              </w:rPr>
              <w:t>1.5</w:t>
            </w:r>
            <w:r>
              <w:rPr>
                <w:rFonts w:hint="eastAsia" w:asciiTheme="minorEastAsia" w:hAnsiTheme="minorEastAsia" w:eastAsiaTheme="minorEastAsia" w:cstheme="minorEastAsia"/>
                <w:color w:val="auto"/>
                <w:kern w:val="0"/>
                <w:sz w:val="21"/>
                <w:szCs w:val="21"/>
                <w:highlight w:val="none"/>
              </w:rPr>
              <w:t>分</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最多得</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分。</w:t>
            </w:r>
          </w:p>
          <w:p w14:paraId="156E51C9">
            <w:pPr>
              <w:numPr>
                <w:ilvl w:val="0"/>
                <w:numId w:val="0"/>
              </w:numPr>
              <w:spacing w:line="276" w:lineRule="auto"/>
              <w:jc w:val="left"/>
              <w:rPr>
                <w:rFonts w:hint="default" w:eastAsia="宋体"/>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证明材料：同时</w:t>
            </w:r>
            <w:r>
              <w:rPr>
                <w:rFonts w:hint="eastAsia" w:asciiTheme="minorEastAsia" w:hAnsiTheme="minorEastAsia" w:eastAsiaTheme="minorEastAsia" w:cstheme="minorEastAsia"/>
                <w:color w:val="auto"/>
                <w:kern w:val="0"/>
                <w:sz w:val="21"/>
                <w:szCs w:val="21"/>
                <w:highlight w:val="none"/>
              </w:rPr>
              <w:t>提供人员</w:t>
            </w:r>
            <w:r>
              <w:rPr>
                <w:rFonts w:hint="eastAsia" w:asciiTheme="minorEastAsia" w:hAnsiTheme="minorEastAsia" w:eastAsiaTheme="minorEastAsia" w:cstheme="minorEastAsia"/>
                <w:color w:val="auto"/>
                <w:kern w:val="0"/>
                <w:sz w:val="21"/>
                <w:szCs w:val="21"/>
                <w:highlight w:val="none"/>
                <w:lang w:val="en-US" w:eastAsia="zh-CN"/>
              </w:rPr>
              <w:t>证书复印件</w:t>
            </w:r>
            <w:r>
              <w:rPr>
                <w:rFonts w:hint="eastAsia" w:asciiTheme="minorEastAsia" w:hAnsiTheme="minorEastAsia" w:eastAsiaTheme="minorEastAsia" w:cstheme="minorEastAsia"/>
                <w:color w:val="auto"/>
                <w:kern w:val="0"/>
                <w:sz w:val="21"/>
                <w:szCs w:val="21"/>
                <w:highlight w:val="none"/>
              </w:rPr>
              <w:t>、身份证复印件及投标人为其缴纳的近三个月</w:t>
            </w:r>
            <w:r>
              <w:rPr>
                <w:rFonts w:hint="eastAsia" w:asciiTheme="minorEastAsia" w:hAnsiTheme="minorEastAsia" w:eastAsiaTheme="minorEastAsia" w:cstheme="minorEastAsia"/>
                <w:color w:val="auto"/>
                <w:kern w:val="0"/>
                <w:sz w:val="21"/>
                <w:szCs w:val="21"/>
                <w:highlight w:val="none"/>
                <w:lang w:val="en-US" w:eastAsia="zh-CN"/>
              </w:rPr>
              <w:t>任意一月</w:t>
            </w:r>
            <w:r>
              <w:rPr>
                <w:rFonts w:hint="eastAsia" w:asciiTheme="minorEastAsia" w:hAnsiTheme="minorEastAsia" w:eastAsiaTheme="minorEastAsia" w:cstheme="minorEastAsia"/>
                <w:color w:val="auto"/>
                <w:kern w:val="0"/>
                <w:sz w:val="21"/>
                <w:szCs w:val="21"/>
                <w:highlight w:val="none"/>
              </w:rPr>
              <w:t>的社会保险缴纳证明复印件并加盖公章。</w:t>
            </w:r>
          </w:p>
        </w:tc>
        <w:tc>
          <w:tcPr>
            <w:tcW w:w="1168" w:type="dxa"/>
            <w:vAlign w:val="center"/>
          </w:tcPr>
          <w:p w14:paraId="5F4ED58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7</w:t>
            </w:r>
          </w:p>
        </w:tc>
        <w:tc>
          <w:tcPr>
            <w:tcW w:w="977" w:type="dxa"/>
            <w:vAlign w:val="center"/>
          </w:tcPr>
          <w:p w14:paraId="4B90059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53C75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8" w:type="dxa"/>
            <w:vMerge w:val="continue"/>
            <w:vAlign w:val="center"/>
          </w:tcPr>
          <w:p w14:paraId="085093B0">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p>
        </w:tc>
        <w:tc>
          <w:tcPr>
            <w:tcW w:w="738" w:type="dxa"/>
            <w:vAlign w:val="center"/>
          </w:tcPr>
          <w:p w14:paraId="678598D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5843" w:type="dxa"/>
            <w:vAlign w:val="center"/>
          </w:tcPr>
          <w:p w14:paraId="1D0CD36C">
            <w:pPr>
              <w:spacing w:line="276" w:lineRule="auto"/>
              <w:jc w:val="left"/>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color w:val="auto"/>
                <w:sz w:val="21"/>
                <w:szCs w:val="21"/>
                <w:highlight w:val="none"/>
              </w:rPr>
              <w:t>配件、附件</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保障措施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根据投标人</w:t>
            </w:r>
            <w:r>
              <w:rPr>
                <w:rFonts w:hint="eastAsia" w:ascii="宋体" w:hAnsi="宋体" w:eastAsia="宋体" w:cs="宋体"/>
                <w:color w:val="auto"/>
                <w:sz w:val="21"/>
                <w:szCs w:val="21"/>
                <w:highlight w:val="none"/>
              </w:rPr>
              <w:t>提供的配件、附件</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保障措施</w:t>
            </w:r>
            <w:r>
              <w:rPr>
                <w:rFonts w:hint="eastAsia" w:ascii="宋体" w:hAnsi="宋体" w:eastAsia="宋体" w:cs="宋体"/>
                <w:color w:val="auto"/>
                <w:sz w:val="21"/>
                <w:szCs w:val="21"/>
                <w:highlight w:val="none"/>
                <w:lang w:val="en-US" w:eastAsia="zh-CN"/>
              </w:rPr>
              <w:t>方案</w:t>
            </w:r>
            <w:r>
              <w:rPr>
                <w:rFonts w:hint="eastAsia" w:asciiTheme="minorEastAsia" w:hAnsiTheme="minorEastAsia" w:eastAsiaTheme="minorEastAsia" w:cstheme="minorEastAsia"/>
                <w:color w:val="000000"/>
                <w:kern w:val="0"/>
                <w:sz w:val="21"/>
                <w:szCs w:val="21"/>
                <w:highlight w:val="none"/>
              </w:rPr>
              <w:t>的合理性、可行性</w:t>
            </w:r>
            <w:r>
              <w:rPr>
                <w:rFonts w:hint="eastAsia" w:asciiTheme="minorEastAsia" w:hAnsiTheme="minorEastAsia" w:eastAsiaTheme="minorEastAsia" w:cstheme="minorEastAsia"/>
                <w:color w:val="auto"/>
                <w:kern w:val="0"/>
                <w:sz w:val="21"/>
                <w:szCs w:val="21"/>
                <w:highlight w:val="none"/>
              </w:rPr>
              <w:t>等情况进行综合打分。</w:t>
            </w:r>
          </w:p>
          <w:p w14:paraId="704F5D9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kern w:val="0"/>
                <w:szCs w:val="21"/>
                <w:highlight w:val="none"/>
              </w:rPr>
              <w:t>投标人提供内容全面，针对性强的得5分；内容相对全面，且有一定针对性的得4分；内容全面性，针对性一般的得3分；内容基本合理的得2分；内容有所欠缺的得1分；不提供不得分。</w:t>
            </w:r>
          </w:p>
        </w:tc>
        <w:tc>
          <w:tcPr>
            <w:tcW w:w="1168" w:type="dxa"/>
            <w:vAlign w:val="center"/>
          </w:tcPr>
          <w:p w14:paraId="6EBDCFB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5</w:t>
            </w:r>
          </w:p>
        </w:tc>
        <w:tc>
          <w:tcPr>
            <w:tcW w:w="977" w:type="dxa"/>
            <w:vAlign w:val="center"/>
          </w:tcPr>
          <w:p w14:paraId="56D4F71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66C4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1018" w:type="dxa"/>
            <w:vMerge w:val="continue"/>
            <w:vAlign w:val="center"/>
          </w:tcPr>
          <w:p w14:paraId="7C07D352">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p>
        </w:tc>
        <w:tc>
          <w:tcPr>
            <w:tcW w:w="738" w:type="dxa"/>
            <w:vAlign w:val="center"/>
          </w:tcPr>
          <w:p w14:paraId="45F3059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5843" w:type="dxa"/>
            <w:shd w:val="clear" w:color="auto" w:fill="auto"/>
            <w:vAlign w:val="center"/>
          </w:tcPr>
          <w:p w14:paraId="7CA84DC8">
            <w:pPr>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投标人针对“</w:t>
            </w:r>
            <w:r>
              <w:rPr>
                <w:rFonts w:hint="eastAsia" w:ascii="宋体" w:hAnsi="宋体" w:eastAsia="宋体" w:cs="宋体"/>
                <w:color w:val="auto"/>
                <w:sz w:val="21"/>
                <w:szCs w:val="21"/>
                <w:highlight w:val="none"/>
                <w:lang w:eastAsia="zh-CN"/>
              </w:rPr>
              <w:t>技术参数标注●</w:t>
            </w:r>
            <w:r>
              <w:rPr>
                <w:rFonts w:hint="eastAsia" w:ascii="宋体" w:hAnsi="宋体" w:eastAsia="宋体" w:cs="宋体"/>
                <w:color w:val="auto"/>
                <w:sz w:val="21"/>
                <w:szCs w:val="21"/>
                <w:highlight w:val="none"/>
                <w:lang w:val="en-US" w:eastAsia="zh-CN"/>
              </w:rPr>
              <w:t>项内容”提供现场视频演示，具体如下：</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1、对“（一）钻孔应用单元中10、压紧子模块压紧子模块动作过程”进行演示；</w:t>
            </w:r>
          </w:p>
          <w:p w14:paraId="4B9FF9CF">
            <w:pPr>
              <w:snapToGrid w:val="0"/>
              <w:spacing w:line="240" w:lineRule="auto"/>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投标人完整演示该演示内容得</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分，未提供演示或演示内容不完整不得分。</w:t>
            </w:r>
          </w:p>
          <w:p w14:paraId="1662FC87">
            <w:pPr>
              <w:numPr>
                <w:ilvl w:val="0"/>
                <w:numId w:val="0"/>
              </w:numPr>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lang w:val="en-US" w:eastAsia="zh-CN"/>
              </w:rPr>
              <w:t>对“（二）网络实验包中3、电源模块套件的（2）电源接口模块的参数要求”进行演示；</w:t>
            </w:r>
          </w:p>
          <w:p w14:paraId="0EA5C07E">
            <w:pPr>
              <w:snapToGrid w:val="0"/>
              <w:spacing w:line="240" w:lineRule="auto"/>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投标人完整演示该演示内容得1</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分，未提供演示或演示内容不完整不得分。</w:t>
            </w:r>
          </w:p>
          <w:p w14:paraId="44F4DD85">
            <w:pPr>
              <w:numPr>
                <w:ilvl w:val="0"/>
                <w:numId w:val="0"/>
              </w:numPr>
              <w:snapToGrid w:val="0"/>
              <w:spacing w:line="240" w:lineRule="auto"/>
              <w:jc w:val="left"/>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b w:val="0"/>
                <w:bCs w:val="0"/>
                <w:kern w:val="2"/>
                <w:sz w:val="21"/>
                <w:szCs w:val="21"/>
                <w:highlight w:val="none"/>
                <w:lang w:val="en-US" w:eastAsia="zh-CN" w:bidi="ar-SA"/>
              </w:rPr>
              <w:t>、对“（四）数字仿真软件、模型以及学习资源中2、数字孪生模型的（1）压紧子模块模型”进行演示；</w:t>
            </w:r>
          </w:p>
          <w:p w14:paraId="5C09C7C3">
            <w:pPr>
              <w:numPr>
                <w:ilvl w:val="0"/>
                <w:numId w:val="0"/>
              </w:numPr>
              <w:snapToGrid w:val="0"/>
              <w:spacing w:line="240" w:lineRule="auto"/>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投标人完整演示该演示内容得</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分，未提供演示或演示内容不完整不得分。</w:t>
            </w:r>
          </w:p>
          <w:p w14:paraId="3DD0B7BE">
            <w:pPr>
              <w:numPr>
                <w:ilvl w:val="0"/>
                <w:numId w:val="0"/>
              </w:numPr>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b w:val="0"/>
                <w:bCs w:val="0"/>
                <w:kern w:val="2"/>
                <w:sz w:val="21"/>
                <w:szCs w:val="21"/>
                <w:highlight w:val="none"/>
                <w:lang w:val="en-US" w:eastAsia="zh-CN" w:bidi="ar-SA"/>
              </w:rPr>
              <w:t>对“（四）数字仿真软件、模型以及学习资源中2、数字孪生模型的（2）钻孔子模块模型”进行演示；</w:t>
            </w:r>
          </w:p>
          <w:p w14:paraId="47336556">
            <w:pPr>
              <w:numPr>
                <w:ilvl w:val="0"/>
                <w:numId w:val="0"/>
              </w:numPr>
              <w:snapToGrid w:val="0"/>
              <w:spacing w:line="240" w:lineRule="auto"/>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投标人完整演示该演示内容得</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分，未提供演示或演示内容不完整不得分。</w:t>
            </w:r>
          </w:p>
          <w:p w14:paraId="69B401F0">
            <w:pPr>
              <w:numPr>
                <w:ilvl w:val="0"/>
                <w:numId w:val="0"/>
              </w:numPr>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b w:val="0"/>
                <w:bCs w:val="0"/>
                <w:kern w:val="2"/>
                <w:sz w:val="21"/>
                <w:szCs w:val="21"/>
                <w:highlight w:val="none"/>
                <w:lang w:val="en-US" w:eastAsia="zh-CN" w:bidi="ar-SA"/>
              </w:rPr>
              <w:t>对“（四）数字仿真软件、模型以及学习资源中2、数字孪生模型的（3）移载模块模型”进行演示；</w:t>
            </w:r>
          </w:p>
          <w:p w14:paraId="54B0BB78">
            <w:pPr>
              <w:numPr>
                <w:ilvl w:val="0"/>
                <w:numId w:val="0"/>
              </w:numPr>
              <w:snapToGrid w:val="0"/>
              <w:spacing w:line="240" w:lineRule="auto"/>
              <w:jc w:val="left"/>
              <w:rPr>
                <w:rFonts w:hint="eastAsia" w:ascii="宋体" w:hAnsi="宋体" w:eastAsia="宋体" w:cs="宋体"/>
                <w:sz w:val="21"/>
                <w:szCs w:val="21"/>
                <w:highlight w:val="none"/>
                <w:lang w:val="en-US" w:eastAsia="zh-CN"/>
              </w:rPr>
            </w:pPr>
            <w:r>
              <w:rPr>
                <w:rFonts w:hint="eastAsia" w:ascii="宋体" w:hAnsi="宋体" w:eastAsia="宋体" w:cs="宋体"/>
                <w:b/>
                <w:bCs/>
                <w:color w:val="auto"/>
                <w:sz w:val="21"/>
                <w:szCs w:val="21"/>
                <w:highlight w:val="none"/>
                <w:lang w:val="en-US" w:eastAsia="zh-CN"/>
              </w:rPr>
              <w:t>投标人完整演示该演示内容得1</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分，未提供演示或演示内容不完整不得分。</w:t>
            </w:r>
          </w:p>
          <w:p w14:paraId="77900FCE">
            <w:pPr>
              <w:numPr>
                <w:ilvl w:val="0"/>
                <w:numId w:val="0"/>
              </w:numPr>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b w:val="0"/>
                <w:bCs w:val="0"/>
                <w:kern w:val="2"/>
                <w:sz w:val="21"/>
                <w:szCs w:val="21"/>
                <w:highlight w:val="none"/>
                <w:lang w:val="en-US" w:eastAsia="zh-CN" w:bidi="ar-SA"/>
              </w:rPr>
              <w:t>对“（四）数字仿真软件、模型以及学习资源中2、数字孪生模型中（五）能源管理系统的1、电能管理模块的显示屏显示内容可通过面板按键切换，显示电压等数据，可进行参数设置和计量复位工作”进行演示；</w:t>
            </w:r>
          </w:p>
          <w:p w14:paraId="5DA23B0D">
            <w:pPr>
              <w:numPr>
                <w:ilvl w:val="0"/>
                <w:numId w:val="0"/>
              </w:numPr>
              <w:snapToGrid w:val="0"/>
              <w:spacing w:line="240" w:lineRule="auto"/>
              <w:jc w:val="left"/>
              <w:rPr>
                <w:rFonts w:hint="eastAsia" w:ascii="宋体" w:hAnsi="宋体" w:eastAsia="宋体" w:cs="宋体"/>
                <w:sz w:val="21"/>
                <w:szCs w:val="21"/>
                <w:highlight w:val="none"/>
                <w:lang w:val="en-US" w:eastAsia="zh-CN"/>
              </w:rPr>
            </w:pPr>
            <w:r>
              <w:rPr>
                <w:rFonts w:hint="eastAsia" w:ascii="宋体" w:hAnsi="宋体" w:eastAsia="宋体" w:cs="宋体"/>
                <w:b/>
                <w:bCs/>
                <w:color w:val="auto"/>
                <w:sz w:val="21"/>
                <w:szCs w:val="21"/>
                <w:highlight w:val="none"/>
                <w:lang w:val="en-US" w:eastAsia="zh-CN"/>
              </w:rPr>
              <w:t>投标人完整演示该演示内容得1</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分，未提供演示或演示内容不完整不得分。</w:t>
            </w:r>
          </w:p>
          <w:p w14:paraId="7426226F">
            <w:pPr>
              <w:numPr>
                <w:ilvl w:val="0"/>
                <w:numId w:val="0"/>
              </w:numPr>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b w:val="0"/>
                <w:bCs w:val="0"/>
                <w:kern w:val="2"/>
                <w:sz w:val="21"/>
                <w:szCs w:val="21"/>
                <w:highlight w:val="none"/>
                <w:lang w:val="en-US" w:eastAsia="zh-CN" w:bidi="ar-SA"/>
              </w:rPr>
              <w:t>对“（四）数字仿真软件、模型以及学习资源中2、数字孪生模型中（五）能源管理系统的2、气能管理模块的应能展示2个RJ45接口，显示≥0.96英寸OLED显示气体流量”进行演示；</w:t>
            </w:r>
          </w:p>
          <w:p w14:paraId="43253632">
            <w:pPr>
              <w:numPr>
                <w:ilvl w:val="0"/>
                <w:numId w:val="0"/>
              </w:numPr>
              <w:snapToGrid w:val="0"/>
              <w:spacing w:line="240" w:lineRule="auto"/>
              <w:jc w:val="left"/>
              <w:rPr>
                <w:rFonts w:hint="eastAsia" w:ascii="宋体" w:hAnsi="宋体" w:eastAsia="宋体" w:cs="宋体"/>
                <w:sz w:val="21"/>
                <w:szCs w:val="21"/>
                <w:highlight w:val="none"/>
                <w:lang w:val="en-US" w:eastAsia="zh-CN"/>
              </w:rPr>
            </w:pPr>
            <w:r>
              <w:rPr>
                <w:rFonts w:hint="eastAsia" w:ascii="宋体" w:hAnsi="宋体" w:eastAsia="宋体" w:cs="宋体"/>
                <w:b/>
                <w:bCs/>
                <w:color w:val="auto"/>
                <w:sz w:val="21"/>
                <w:szCs w:val="21"/>
                <w:highlight w:val="none"/>
                <w:lang w:val="en-US" w:eastAsia="zh-CN"/>
              </w:rPr>
              <w:t>投标人完整演示该演示内容得1</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分，未提供演示或演示内容不完整不得分</w:t>
            </w:r>
            <w:r>
              <w:rPr>
                <w:rFonts w:hint="eastAsia" w:ascii="宋体" w:hAnsi="宋体" w:cs="宋体"/>
                <w:b/>
                <w:bCs/>
                <w:color w:val="auto"/>
                <w:sz w:val="21"/>
                <w:szCs w:val="21"/>
                <w:highlight w:val="none"/>
                <w:lang w:val="en-US" w:eastAsia="zh-CN"/>
              </w:rPr>
              <w:t>。</w:t>
            </w:r>
          </w:p>
        </w:tc>
        <w:tc>
          <w:tcPr>
            <w:tcW w:w="1168" w:type="dxa"/>
            <w:shd w:val="clear" w:color="auto" w:fill="auto"/>
            <w:vAlign w:val="center"/>
          </w:tcPr>
          <w:p w14:paraId="0A564B3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12</w:t>
            </w:r>
          </w:p>
        </w:tc>
        <w:tc>
          <w:tcPr>
            <w:tcW w:w="977" w:type="dxa"/>
            <w:shd w:val="clear" w:color="auto" w:fill="auto"/>
            <w:vAlign w:val="center"/>
          </w:tcPr>
          <w:p w14:paraId="0550F36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客观分</w:t>
            </w:r>
          </w:p>
        </w:tc>
      </w:tr>
      <w:tr w14:paraId="1D9A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18" w:type="dxa"/>
            <w:vAlign w:val="center"/>
          </w:tcPr>
          <w:p w14:paraId="5B48313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价格分（30）</w:t>
            </w:r>
          </w:p>
        </w:tc>
        <w:tc>
          <w:tcPr>
            <w:tcW w:w="738" w:type="dxa"/>
            <w:vAlign w:val="center"/>
          </w:tcPr>
          <w:p w14:paraId="0DE7B708">
            <w:pPr>
              <w:spacing w:after="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5843" w:type="dxa"/>
            <w:shd w:val="clear" w:color="auto" w:fill="auto"/>
            <w:vAlign w:val="top"/>
          </w:tcPr>
          <w:p w14:paraId="2B64AFC2">
            <w:pPr>
              <w:numPr>
                <w:ilvl w:val="0"/>
                <w:numId w:val="0"/>
              </w:numPr>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最低有效投标价格为评标基准价</w:t>
            </w:r>
          </w:p>
          <w:p w14:paraId="077AC4F9">
            <w:pPr>
              <w:numPr>
                <w:ilvl w:val="0"/>
                <w:numId w:val="0"/>
              </w:numPr>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投标报价得分=(评标基准价／投标报价)×价格权值×100 （计算得分保留小数点后2位）</w:t>
            </w:r>
          </w:p>
          <w:p w14:paraId="12C9125B">
            <w:pPr>
              <w:numPr>
                <w:ilvl w:val="0"/>
                <w:numId w:val="0"/>
              </w:numPr>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评标过程中，不得去掉报价中的最高报价和最低报价。</w:t>
            </w:r>
          </w:p>
          <w:p w14:paraId="54EFDFF9">
            <w:pPr>
              <w:numPr>
                <w:ilvl w:val="0"/>
                <w:numId w:val="0"/>
              </w:numPr>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对于未预留份额专门面向中小企业的政府采购货物项目，以及预留份额政府采购货物项目中的非预留部分标项，对小型和微型企业的投标报价给予</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%的扣除，用扣除后的价格参加评审。</w:t>
            </w:r>
          </w:p>
        </w:tc>
        <w:tc>
          <w:tcPr>
            <w:tcW w:w="1168" w:type="dxa"/>
            <w:shd w:val="clear" w:color="auto" w:fill="auto"/>
            <w:vAlign w:val="center"/>
          </w:tcPr>
          <w:p w14:paraId="5DC5E45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30</w:t>
            </w:r>
          </w:p>
        </w:tc>
        <w:tc>
          <w:tcPr>
            <w:tcW w:w="977" w:type="dxa"/>
            <w:shd w:val="clear" w:color="auto" w:fill="auto"/>
            <w:vAlign w:val="center"/>
          </w:tcPr>
          <w:p w14:paraId="2BA712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bl>
    <w:p w14:paraId="7E0760BE">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0"/>
          <w:szCs w:val="20"/>
          <w:highlight w:val="none"/>
          <w:shd w:val="clear" w:color="auto" w:fill="FFFFFF"/>
        </w:rPr>
        <w:t>*</w:t>
      </w:r>
      <w:r>
        <w:rPr>
          <w:rFonts w:hint="eastAsia" w:ascii="宋体" w:hAnsi="宋体" w:cs="宋体"/>
          <w:b w:val="0"/>
          <w:bCs w:val="0"/>
          <w:color w:val="auto"/>
          <w:sz w:val="24"/>
          <w:highlight w:val="none"/>
        </w:rPr>
        <w:t xml:space="preserve">备注：1、投标人编制投标文件（商务技术文件部分）时，建议按此目录（序号和内容）提供评标标准相应的商务技术资料。 </w:t>
      </w:r>
    </w:p>
    <w:p w14:paraId="582444C8">
      <w:pPr>
        <w:spacing w:line="360" w:lineRule="auto"/>
        <w:rPr>
          <w:rFonts w:hint="default" w:ascii="宋体" w:hAnsi="宋体" w:cs="宋体"/>
          <w:b w:val="0"/>
          <w:bCs w:val="0"/>
          <w:color w:val="auto"/>
          <w:sz w:val="24"/>
          <w:highlight w:val="none"/>
        </w:rPr>
      </w:pPr>
      <w:r>
        <w:rPr>
          <w:rFonts w:hint="eastAsia" w:ascii="宋体" w:hAnsi="宋体" w:cs="宋体"/>
          <w:b w:val="0"/>
          <w:bCs w:val="0"/>
          <w:color w:val="auto"/>
          <w:sz w:val="24"/>
          <w:highlight w:val="none"/>
        </w:rPr>
        <w:t>2、评分条款中涉及的业绩、荣誉、人员、社保等分公司均有效。涉及社保、劳动关系证明关系的，如人员为法人代表，则无需提供相关证明</w:t>
      </w:r>
      <w:r>
        <w:rPr>
          <w:rFonts w:hint="default" w:ascii="宋体" w:hAnsi="宋体" w:cs="宋体"/>
          <w:b w:val="0"/>
          <w:bCs w:val="0"/>
          <w:color w:val="auto"/>
          <w:sz w:val="24"/>
          <w:highlight w:val="none"/>
        </w:rPr>
        <w:t>，提供营业执照及身份证</w:t>
      </w:r>
      <w:r>
        <w:rPr>
          <w:rFonts w:hint="eastAsia" w:ascii="宋体" w:hAnsi="宋体" w:cs="宋体"/>
          <w:b w:val="0"/>
          <w:bCs w:val="0"/>
          <w:color w:val="auto"/>
          <w:sz w:val="24"/>
          <w:highlight w:val="none"/>
        </w:rPr>
        <w:t>。</w:t>
      </w:r>
    </w:p>
    <w:p w14:paraId="4FDEF1DD">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3、投标文件中如附有外文资料，必须逐一对应翻译成中文并加盖投标人公章后附在相关外文资料后面，否则外文资料不予认可。</w:t>
      </w:r>
    </w:p>
    <w:p w14:paraId="75AD6B87">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98B0B4E">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9C0C40C">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3B9A019">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48AC850">
      <w:pPr>
        <w:spacing w:line="360" w:lineRule="auto"/>
        <w:outlineLvl w:val="0"/>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651FE83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AA3637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B9A587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371BF38">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C00873A">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B42EBB7">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24601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3980CF7">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6F5C63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AD18D9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06F853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3E9BC4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7A9BC91">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F4788C5">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06C6F62">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EFA6591">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48D107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214C75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56089180">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CC5CB1F">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64D4BB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8555D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05EF78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EDF087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564EBCF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08311C4E">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77F5B86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3F73D22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F40A8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2DAB64B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023E25EE">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4A2AE370">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770A84F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投标人仅提交备份投标文件，未在电子交易平台传输递交投标文件的，投标无效；</w:t>
      </w:r>
    </w:p>
    <w:p w14:paraId="33F72D9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7F736A0F">
      <w:pPr>
        <w:spacing w:line="360" w:lineRule="auto"/>
        <w:ind w:firstLine="480" w:firstLineChars="200"/>
        <w:rPr>
          <w:color w:val="auto"/>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投标文件不满足招标文件的实质性要求的；</w:t>
      </w:r>
    </w:p>
    <w:p w14:paraId="4DEF04B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法律、法规、规章（适用本市的）及省级以上规范性文件（适用本市的）规定的其他无效情形。</w:t>
      </w:r>
    </w:p>
    <w:p w14:paraId="55EABDF1">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B48181D">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25AE1D91">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6BFDB6B8">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38081A45">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6EB9B44C">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2C31B6A">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12B9F190">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721A026">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5632F822">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AEBCE42">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68E0C5B">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63246364">
      <w:pPr>
        <w:pStyle w:val="24"/>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5" w:name="第五部分"/>
      <w:bookmarkStart w:id="396" w:name="_Toc86217003"/>
    </w:p>
    <w:p w14:paraId="6DCE5AAE">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3C3E313C">
      <w:pPr>
        <w:pStyle w:val="24"/>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3548048">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6A86DA26">
      <w:pPr>
        <w:spacing w:line="480" w:lineRule="auto"/>
        <w:jc w:val="center"/>
        <w:rPr>
          <w:rFonts w:hint="eastAsia" w:ascii="宋体" w:hAnsi="宋体" w:cs="宋体"/>
          <w:b/>
          <w:color w:val="auto"/>
          <w:sz w:val="36"/>
          <w:szCs w:val="36"/>
          <w:highlight w:val="none"/>
        </w:rPr>
      </w:pPr>
    </w:p>
    <w:p w14:paraId="11CD193B">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19CD5D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w:t>
      </w:r>
      <w:r>
        <w:rPr>
          <w:rFonts w:hint="eastAsia" w:ascii="宋体" w:hAnsi="宋体" w:cs="宋体"/>
          <w:b/>
          <w:color w:val="auto"/>
          <w:sz w:val="36"/>
          <w:szCs w:val="36"/>
          <w:highlight w:val="none"/>
          <w:lang w:val="en-US" w:eastAsia="zh-CN"/>
        </w:rPr>
        <w:t>货物</w:t>
      </w:r>
      <w:r>
        <w:rPr>
          <w:rFonts w:hint="eastAsia" w:ascii="宋体" w:hAnsi="宋体" w:cs="宋体"/>
          <w:b/>
          <w:color w:val="auto"/>
          <w:sz w:val="36"/>
          <w:szCs w:val="36"/>
          <w:highlight w:val="none"/>
        </w:rPr>
        <w:t>类）</w:t>
      </w:r>
    </w:p>
    <w:p w14:paraId="2DE33C60">
      <w:pPr>
        <w:pStyle w:val="699"/>
        <w:ind w:left="0" w:leftChars="0" w:firstLine="2891" w:firstLineChars="1200"/>
        <w:rPr>
          <w:rFonts w:hint="eastAsia" w:ascii="宋体" w:hAnsi="宋体" w:cs="宋体"/>
          <w:b/>
          <w:color w:val="auto"/>
          <w:szCs w:val="24"/>
          <w:highlight w:val="none"/>
        </w:rPr>
      </w:pPr>
    </w:p>
    <w:p w14:paraId="043AAAEE">
      <w:pPr>
        <w:pStyle w:val="699"/>
        <w:numPr>
          <w:ilvl w:val="0"/>
          <w:numId w:val="9"/>
        </w:numPr>
        <w:ind w:left="0" w:leftChars="0" w:firstLine="2891" w:firstLineChars="1200"/>
        <w:rPr>
          <w:rFonts w:hint="eastAsia" w:eastAsia="宋体"/>
          <w:color w:val="auto"/>
          <w:highlight w:val="none"/>
          <w:lang w:eastAsia="zh-CN"/>
        </w:rPr>
      </w:pPr>
      <w:r>
        <w:rPr>
          <w:rFonts w:hint="eastAsia" w:ascii="宋体" w:hAnsi="宋体" w:cs="宋体"/>
          <w:b/>
          <w:color w:val="auto"/>
          <w:szCs w:val="24"/>
          <w:highlight w:val="none"/>
        </w:rPr>
        <w:t>合同书</w:t>
      </w:r>
    </w:p>
    <w:p w14:paraId="4FD4E7AA">
      <w:pPr>
        <w:pStyle w:val="699"/>
        <w:ind w:left="0" w:leftChars="0" w:firstLine="0" w:firstLineChars="0"/>
        <w:rPr>
          <w:rFonts w:ascii="宋体" w:hAnsi="宋体" w:cs="宋体"/>
          <w:color w:val="auto"/>
          <w:szCs w:val="24"/>
          <w:highlight w:val="none"/>
        </w:rPr>
      </w:pPr>
    </w:p>
    <w:p w14:paraId="789910D5">
      <w:pPr>
        <w:spacing w:before="120" w:line="22" w:lineRule="atLeast"/>
        <w:rPr>
          <w:rFonts w:ascii="宋体" w:hAnsi="宋体" w:cs="宋体"/>
          <w:color w:val="auto"/>
          <w:sz w:val="24"/>
          <w:highlight w:val="none"/>
        </w:rPr>
      </w:pPr>
    </w:p>
    <w:p w14:paraId="2CB8F69E">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567ECC45">
      <w:pPr>
        <w:pStyle w:val="596"/>
        <w:spacing w:before="120" w:line="22" w:lineRule="atLeast"/>
        <w:rPr>
          <w:rFonts w:ascii="宋体" w:hAnsi="宋体" w:eastAsia="宋体" w:cs="宋体"/>
          <w:color w:val="auto"/>
          <w:szCs w:val="24"/>
          <w:highlight w:val="none"/>
        </w:rPr>
      </w:pPr>
    </w:p>
    <w:p w14:paraId="0D8562DF">
      <w:pPr>
        <w:rPr>
          <w:rFonts w:ascii="宋体" w:hAnsi="宋体" w:cs="宋体"/>
          <w:color w:val="auto"/>
          <w:sz w:val="24"/>
          <w:highlight w:val="none"/>
        </w:rPr>
      </w:pPr>
    </w:p>
    <w:p w14:paraId="5A059AEF">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6D9B5CAD">
      <w:pPr>
        <w:spacing w:before="120" w:line="22" w:lineRule="atLeast"/>
        <w:rPr>
          <w:rFonts w:ascii="宋体" w:hAnsi="宋体" w:cs="宋体"/>
          <w:color w:val="auto"/>
          <w:sz w:val="24"/>
          <w:highlight w:val="none"/>
        </w:rPr>
      </w:pPr>
    </w:p>
    <w:p w14:paraId="22F01293">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8E5EF5E">
      <w:pPr>
        <w:spacing w:before="120" w:line="22" w:lineRule="atLeast"/>
        <w:rPr>
          <w:rFonts w:ascii="宋体" w:hAnsi="宋体" w:cs="宋体"/>
          <w:color w:val="auto"/>
          <w:sz w:val="24"/>
          <w:highlight w:val="none"/>
        </w:rPr>
      </w:pPr>
    </w:p>
    <w:p w14:paraId="11EB5B07">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52114290">
      <w:pPr>
        <w:spacing w:before="120" w:line="22" w:lineRule="atLeast"/>
        <w:rPr>
          <w:rFonts w:ascii="宋体" w:hAnsi="宋体" w:cs="宋体"/>
          <w:color w:val="auto"/>
          <w:sz w:val="24"/>
          <w:highlight w:val="none"/>
        </w:rPr>
      </w:pPr>
    </w:p>
    <w:p w14:paraId="03F14D5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A1667CB">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E92D28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50728F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4360A8D2">
      <w:pPr>
        <w:spacing w:line="560" w:lineRule="exact"/>
        <w:ind w:firstLine="482" w:firstLineChars="200"/>
        <w:outlineLvl w:val="0"/>
        <w:rPr>
          <w:rFonts w:ascii="宋体" w:hAnsi="宋体" w:cs="宋体"/>
          <w:b/>
          <w:color w:val="auto"/>
          <w:sz w:val="24"/>
          <w:highlight w:val="none"/>
        </w:rPr>
      </w:pPr>
      <w:bookmarkStart w:id="397" w:name="_Toc2232"/>
      <w:bookmarkStart w:id="398" w:name="_Toc3029"/>
      <w:bookmarkStart w:id="399" w:name="_Toc24059"/>
      <w:r>
        <w:rPr>
          <w:rFonts w:hint="eastAsia" w:ascii="宋体" w:hAnsi="宋体" w:cs="宋体"/>
          <w:b/>
          <w:color w:val="auto"/>
          <w:sz w:val="24"/>
          <w:highlight w:val="none"/>
        </w:rPr>
        <w:t>1.1 合同组成部分</w:t>
      </w:r>
      <w:bookmarkEnd w:id="397"/>
      <w:bookmarkEnd w:id="398"/>
      <w:bookmarkEnd w:id="399"/>
    </w:p>
    <w:p w14:paraId="3DE9B54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491C77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548AC6E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4DBB254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17DD64A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67F794A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0C2E614C">
      <w:pPr>
        <w:spacing w:line="560" w:lineRule="exact"/>
        <w:ind w:firstLine="482" w:firstLineChars="200"/>
        <w:outlineLvl w:val="0"/>
        <w:rPr>
          <w:rFonts w:ascii="宋体" w:hAnsi="宋体" w:cs="宋体"/>
          <w:b/>
          <w:color w:val="auto"/>
          <w:sz w:val="24"/>
          <w:highlight w:val="none"/>
        </w:rPr>
      </w:pPr>
      <w:bookmarkStart w:id="400" w:name="_Toc24300"/>
      <w:bookmarkStart w:id="401" w:name="_Toc21295"/>
      <w:bookmarkStart w:id="402" w:name="_Toc27126"/>
      <w:r>
        <w:rPr>
          <w:rFonts w:hint="eastAsia" w:ascii="宋体" w:hAnsi="宋体" w:cs="宋体"/>
          <w:b/>
          <w:color w:val="auto"/>
          <w:sz w:val="24"/>
          <w:highlight w:val="none"/>
        </w:rPr>
        <w:t>1.2 货物</w:t>
      </w:r>
      <w:bookmarkEnd w:id="400"/>
      <w:bookmarkEnd w:id="401"/>
      <w:bookmarkEnd w:id="402"/>
    </w:p>
    <w:p w14:paraId="4D312AA8">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B7D786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6FDC9E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0928C729">
      <w:pPr>
        <w:spacing w:line="560" w:lineRule="exact"/>
        <w:ind w:firstLine="482" w:firstLineChars="200"/>
        <w:outlineLvl w:val="0"/>
        <w:rPr>
          <w:rFonts w:ascii="宋体" w:hAnsi="宋体" w:cs="宋体"/>
          <w:b/>
          <w:color w:val="auto"/>
          <w:sz w:val="24"/>
          <w:highlight w:val="none"/>
        </w:rPr>
      </w:pPr>
      <w:bookmarkStart w:id="403" w:name="_Toc21631"/>
      <w:bookmarkStart w:id="404" w:name="_Toc21551"/>
      <w:bookmarkStart w:id="405" w:name="_Toc23292"/>
      <w:r>
        <w:rPr>
          <w:rFonts w:hint="eastAsia" w:ascii="宋体" w:hAnsi="宋体" w:cs="宋体"/>
          <w:b/>
          <w:color w:val="auto"/>
          <w:sz w:val="24"/>
          <w:highlight w:val="none"/>
        </w:rPr>
        <w:t>1.3 价款</w:t>
      </w:r>
      <w:bookmarkEnd w:id="403"/>
      <w:bookmarkEnd w:id="404"/>
      <w:bookmarkEnd w:id="405"/>
    </w:p>
    <w:p w14:paraId="14D4EB6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7E2D131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2CF2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ABF1577">
            <w:pPr>
              <w:pStyle w:val="317"/>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03FEA7C5">
            <w:pPr>
              <w:pStyle w:val="317"/>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3359AB09">
            <w:pPr>
              <w:pStyle w:val="317"/>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6ABF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5702EA7">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5E69D0E">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AEF9330">
            <w:pPr>
              <w:pStyle w:val="317"/>
              <w:spacing w:line="560" w:lineRule="exact"/>
              <w:ind w:firstLine="200"/>
              <w:jc w:val="center"/>
              <w:rPr>
                <w:rFonts w:hAnsi="宋体" w:cs="宋体"/>
                <w:color w:val="auto"/>
                <w:sz w:val="24"/>
                <w:szCs w:val="24"/>
                <w:highlight w:val="none"/>
              </w:rPr>
            </w:pPr>
          </w:p>
        </w:tc>
      </w:tr>
      <w:tr w14:paraId="2BC08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E96CF48">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9DDA2AE">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41C7A42">
            <w:pPr>
              <w:pStyle w:val="317"/>
              <w:spacing w:line="560" w:lineRule="exact"/>
              <w:ind w:firstLine="200"/>
              <w:jc w:val="center"/>
              <w:rPr>
                <w:rFonts w:hAnsi="宋体" w:cs="宋体"/>
                <w:color w:val="auto"/>
                <w:sz w:val="24"/>
                <w:szCs w:val="24"/>
                <w:highlight w:val="none"/>
              </w:rPr>
            </w:pPr>
          </w:p>
        </w:tc>
      </w:tr>
      <w:tr w14:paraId="1E67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14AD102">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824C05F">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3F57A71">
            <w:pPr>
              <w:pStyle w:val="317"/>
              <w:spacing w:line="560" w:lineRule="exact"/>
              <w:ind w:firstLine="200"/>
              <w:jc w:val="center"/>
              <w:rPr>
                <w:rFonts w:hAnsi="宋体" w:cs="宋体"/>
                <w:color w:val="auto"/>
                <w:sz w:val="24"/>
                <w:szCs w:val="24"/>
                <w:highlight w:val="none"/>
              </w:rPr>
            </w:pPr>
          </w:p>
        </w:tc>
      </w:tr>
      <w:tr w14:paraId="46E8A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DF4D831">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29B34E5">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A5221A8">
            <w:pPr>
              <w:pStyle w:val="317"/>
              <w:spacing w:line="560" w:lineRule="exact"/>
              <w:ind w:firstLine="200"/>
              <w:jc w:val="center"/>
              <w:rPr>
                <w:rFonts w:hAnsi="宋体" w:cs="宋体"/>
                <w:color w:val="auto"/>
                <w:sz w:val="24"/>
                <w:szCs w:val="24"/>
                <w:highlight w:val="none"/>
              </w:rPr>
            </w:pPr>
          </w:p>
        </w:tc>
      </w:tr>
      <w:tr w14:paraId="34F90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9CF6785">
            <w:pPr>
              <w:pStyle w:val="317"/>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BC85010">
            <w:pPr>
              <w:pStyle w:val="317"/>
              <w:spacing w:line="560" w:lineRule="exact"/>
              <w:ind w:firstLine="200"/>
              <w:jc w:val="center"/>
              <w:rPr>
                <w:rFonts w:hAnsi="宋体" w:cs="宋体"/>
                <w:color w:val="auto"/>
                <w:sz w:val="24"/>
                <w:szCs w:val="24"/>
                <w:highlight w:val="none"/>
              </w:rPr>
            </w:pPr>
          </w:p>
        </w:tc>
      </w:tr>
    </w:tbl>
    <w:p w14:paraId="511D2C60">
      <w:pPr>
        <w:pStyle w:val="957"/>
        <w:spacing w:before="0" w:beforeAutospacing="0" w:after="0" w:afterAutospacing="0" w:line="360" w:lineRule="auto"/>
        <w:ind w:firstLine="480"/>
        <w:rPr>
          <w:b/>
          <w:color w:val="auto"/>
          <w:highlight w:val="none"/>
        </w:rPr>
      </w:pPr>
      <w:bookmarkStart w:id="406" w:name="_Toc10340"/>
      <w:bookmarkStart w:id="407" w:name="_Toc22618"/>
      <w:bookmarkStart w:id="408" w:name="_Toc1814"/>
      <w:r>
        <w:rPr>
          <w:rFonts w:hint="eastAsia"/>
          <w:b/>
          <w:color w:val="auto"/>
          <w:highlight w:val="none"/>
        </w:rPr>
        <w:t>1.4履约保证金</w:t>
      </w:r>
    </w:p>
    <w:p w14:paraId="4288BAC3">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（是/否）需要支付履约保证金。若需要支付履约保证金的，则：</w:t>
      </w:r>
    </w:p>
    <w:p w14:paraId="5FA1B1A4">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8F52FD5">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66D0DE4">
      <w:pPr>
        <w:pStyle w:val="3"/>
        <w:tabs>
          <w:tab w:val="left" w:pos="0"/>
          <w:tab w:val="clear" w:pos="432"/>
        </w:tabs>
        <w:spacing w:line="560" w:lineRule="exact"/>
        <w:ind w:left="0" w:firstLine="480" w:firstLineChars="200"/>
        <w:rPr>
          <w:rFonts w:ascii="宋体" w:hAnsi="宋体" w:eastAsia="宋体" w:cs="宋体"/>
          <w:color w:val="auto"/>
          <w:sz w:val="24"/>
          <w:szCs w:val="24"/>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DCF4AA8">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08B93D98">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6"/>
      <w:bookmarkEnd w:id="407"/>
      <w:bookmarkEnd w:id="408"/>
      <w:r>
        <w:rPr>
          <w:rFonts w:hint="eastAsia" w:ascii="宋体" w:hAnsi="宋体" w:cs="宋体"/>
          <w:b/>
          <w:color w:val="auto"/>
          <w:sz w:val="24"/>
          <w:highlight w:val="none"/>
        </w:rPr>
        <w:t>预付款</w:t>
      </w:r>
    </w:p>
    <w:p w14:paraId="652C66D6">
      <w:pPr>
        <w:pStyle w:val="95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（是/否）需要支付预付款。若需要支付预付款的，则：</w:t>
      </w:r>
    </w:p>
    <w:p w14:paraId="2C9A02E6">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335EB95">
      <w:pPr>
        <w:pStyle w:val="95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ABC5320">
      <w:pPr>
        <w:pStyle w:val="95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D1508A0">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D25FDCA">
      <w:pPr>
        <w:pStyle w:val="95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ED37863">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AA94DA5">
      <w:pPr>
        <w:spacing w:line="560" w:lineRule="exact"/>
        <w:ind w:firstLine="482" w:firstLineChars="200"/>
        <w:outlineLvl w:val="0"/>
        <w:rPr>
          <w:rFonts w:ascii="宋体" w:hAnsi="宋体" w:cs="宋体"/>
          <w:b/>
          <w:color w:val="auto"/>
          <w:sz w:val="24"/>
          <w:highlight w:val="none"/>
        </w:rPr>
      </w:pPr>
      <w:bookmarkStart w:id="409" w:name="_Toc2846"/>
      <w:bookmarkStart w:id="410" w:name="_Toc32071"/>
      <w:bookmarkStart w:id="411" w:name="_Toc19304"/>
      <w:r>
        <w:rPr>
          <w:rFonts w:hint="eastAsia" w:ascii="宋体" w:hAnsi="宋体" w:cs="宋体"/>
          <w:b/>
          <w:color w:val="auto"/>
          <w:sz w:val="24"/>
          <w:highlight w:val="none"/>
        </w:rPr>
        <w:t>1.7货物交付期限、地点和方式</w:t>
      </w:r>
      <w:bookmarkEnd w:id="409"/>
      <w:bookmarkEnd w:id="410"/>
      <w:bookmarkEnd w:id="411"/>
    </w:p>
    <w:p w14:paraId="43603F58">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FA70BE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2FD1D1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A565F79">
      <w:pPr>
        <w:spacing w:line="560" w:lineRule="exact"/>
        <w:ind w:firstLine="482" w:firstLineChars="200"/>
        <w:outlineLvl w:val="0"/>
        <w:rPr>
          <w:rFonts w:ascii="宋体" w:hAnsi="宋体" w:cs="宋体"/>
          <w:b/>
          <w:color w:val="auto"/>
          <w:sz w:val="24"/>
          <w:highlight w:val="none"/>
        </w:rPr>
      </w:pPr>
      <w:bookmarkStart w:id="412" w:name="_Toc21423"/>
      <w:bookmarkStart w:id="413" w:name="_Toc19554"/>
      <w:bookmarkStart w:id="414" w:name="_Toc27250"/>
      <w:r>
        <w:rPr>
          <w:rFonts w:hint="eastAsia" w:ascii="宋体" w:hAnsi="宋体" w:cs="宋体"/>
          <w:b/>
          <w:color w:val="auto"/>
          <w:sz w:val="24"/>
          <w:highlight w:val="none"/>
        </w:rPr>
        <w:t>1.8违约责任</w:t>
      </w:r>
      <w:bookmarkEnd w:id="412"/>
      <w:bookmarkEnd w:id="413"/>
      <w:bookmarkEnd w:id="414"/>
    </w:p>
    <w:p w14:paraId="12E7DAC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1B6EA9B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62FC1C2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0ADF4E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FC791E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47976905">
      <w:pPr>
        <w:spacing w:line="560" w:lineRule="exact"/>
        <w:ind w:left="-420" w:leftChars="-200" w:right="-420" w:rightChars="-200" w:firstLine="960" w:firstLineChars="400"/>
        <w:rPr>
          <w:rFonts w:ascii="宋体" w:hAnsi="宋体" w:cs="宋体"/>
          <w:color w:val="auto"/>
          <w:sz w:val="24"/>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316C04AE">
      <w:pPr>
        <w:spacing w:line="560" w:lineRule="exact"/>
        <w:ind w:firstLine="482" w:firstLineChars="200"/>
        <w:outlineLvl w:val="0"/>
        <w:rPr>
          <w:rFonts w:ascii="宋体" w:hAnsi="宋体" w:cs="宋体"/>
          <w:b/>
          <w:color w:val="auto"/>
          <w:sz w:val="24"/>
          <w:highlight w:val="none"/>
        </w:rPr>
      </w:pPr>
      <w:bookmarkStart w:id="415" w:name="_Toc28375"/>
      <w:bookmarkStart w:id="416" w:name="_Toc15583"/>
      <w:bookmarkStart w:id="417" w:name="_Toc16021"/>
      <w:r>
        <w:rPr>
          <w:rFonts w:hint="eastAsia" w:ascii="宋体" w:hAnsi="宋体" w:cs="宋体"/>
          <w:b/>
          <w:color w:val="auto"/>
          <w:sz w:val="24"/>
          <w:highlight w:val="none"/>
        </w:rPr>
        <w:t>1.9合同争议的解决</w:t>
      </w:r>
      <w:bookmarkEnd w:id="415"/>
      <w:bookmarkEnd w:id="416"/>
      <w:bookmarkEnd w:id="417"/>
    </w:p>
    <w:p w14:paraId="28CF96BB">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68FAB3D5">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05D41542">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4BA9EE4">
      <w:pPr>
        <w:spacing w:line="560" w:lineRule="exact"/>
        <w:ind w:firstLine="482" w:firstLineChars="200"/>
        <w:outlineLvl w:val="0"/>
        <w:rPr>
          <w:rFonts w:ascii="宋体" w:hAnsi="宋体" w:cs="宋体"/>
          <w:b/>
          <w:color w:val="auto"/>
          <w:sz w:val="24"/>
          <w:highlight w:val="none"/>
        </w:rPr>
      </w:pPr>
      <w:bookmarkStart w:id="418" w:name="_Toc15322"/>
      <w:bookmarkStart w:id="419" w:name="_Toc7245"/>
      <w:bookmarkStart w:id="420" w:name="_Toc11173"/>
      <w:r>
        <w:rPr>
          <w:rFonts w:hint="eastAsia" w:ascii="宋体" w:hAnsi="宋体" w:cs="宋体"/>
          <w:b/>
          <w:color w:val="auto"/>
          <w:sz w:val="24"/>
          <w:highlight w:val="none"/>
        </w:rPr>
        <w:t>2.0 合同生效</w:t>
      </w:r>
      <w:bookmarkEnd w:id="418"/>
      <w:bookmarkEnd w:id="419"/>
      <w:bookmarkEnd w:id="420"/>
    </w:p>
    <w:p w14:paraId="785CD396">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44E39FED">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140DB19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统一社会信用代码或身份证码：</w:t>
      </w:r>
    </w:p>
    <w:p w14:paraId="40B6A12F">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2F3932A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78B6241E">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205B82E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59855E2C">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2B0BCF7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3B5A2943">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7D77E0C5">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3A5FE712">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411A1CEE">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2B8F3CBB">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5B1E3B62">
      <w:pPr>
        <w:autoSpaceDE w:val="0"/>
        <w:autoSpaceDN w:val="0"/>
        <w:spacing w:line="560" w:lineRule="exact"/>
        <w:rPr>
          <w:rFonts w:ascii="宋体" w:hAnsi="宋体" w:eastAsia="宋体" w:cs="宋体"/>
          <w:color w:val="auto"/>
          <w:sz w:val="24"/>
          <w:szCs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54F21E16">
      <w:pPr>
        <w:pStyle w:val="699"/>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050A41EA">
      <w:pPr>
        <w:spacing w:line="560" w:lineRule="exact"/>
        <w:ind w:firstLine="482" w:firstLineChars="200"/>
        <w:outlineLvl w:val="0"/>
        <w:rPr>
          <w:rFonts w:ascii="宋体" w:hAnsi="宋体" w:cs="宋体"/>
          <w:b/>
          <w:color w:val="auto"/>
          <w:sz w:val="24"/>
          <w:highlight w:val="none"/>
        </w:rPr>
      </w:pPr>
      <w:bookmarkStart w:id="421" w:name="_Toc279701240"/>
      <w:bookmarkStart w:id="422" w:name="_Toc487900349"/>
      <w:bookmarkStart w:id="423" w:name="_Ref467379225"/>
      <w:bookmarkStart w:id="424" w:name="_Ref467379214"/>
      <w:bookmarkStart w:id="425" w:name="_Ref467379094"/>
      <w:bookmarkStart w:id="426" w:name="_Ref467379109"/>
      <w:bookmarkStart w:id="427" w:name="_Ref467379205"/>
      <w:bookmarkStart w:id="428" w:name="_Ref467379195"/>
      <w:bookmarkStart w:id="429" w:name="_Toc19614"/>
      <w:bookmarkStart w:id="430" w:name="_Ref467378499"/>
      <w:bookmarkStart w:id="431" w:name="_Toc16917"/>
      <w:bookmarkStart w:id="432" w:name="_Ref467378404"/>
      <w:bookmarkStart w:id="433" w:name="_Toc259093669"/>
      <w:bookmarkStart w:id="434" w:name="_Ref467379101"/>
      <w:bookmarkStart w:id="435" w:name="_Toc28763"/>
      <w:bookmarkStart w:id="436" w:name="_Ref467378463"/>
      <w:r>
        <w:rPr>
          <w:rFonts w:hint="eastAsia" w:ascii="宋体" w:hAnsi="宋体" w:cs="宋体"/>
          <w:b/>
          <w:color w:val="auto"/>
          <w:sz w:val="24"/>
          <w:highlight w:val="none"/>
        </w:rPr>
        <w:t>2.1 定义</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4CAB6B8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0DAE3A2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2E08F8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78E1151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5F343487">
      <w:pPr>
        <w:spacing w:line="560" w:lineRule="exact"/>
        <w:ind w:firstLine="480" w:firstLineChars="200"/>
        <w:rPr>
          <w:rFonts w:ascii="宋体" w:hAnsi="宋体" w:cs="宋体"/>
          <w:color w:val="auto"/>
          <w:sz w:val="24"/>
          <w:highlight w:val="none"/>
        </w:rPr>
      </w:pPr>
      <w:bookmarkStart w:id="437" w:name="_Ref467378840"/>
      <w:r>
        <w:rPr>
          <w:rFonts w:hint="eastAsia" w:ascii="宋体" w:hAnsi="宋体" w:cs="宋体"/>
          <w:color w:val="auto"/>
          <w:sz w:val="24"/>
          <w:highlight w:val="none"/>
        </w:rPr>
        <w:t>2.1.4 “甲方”系指与中标或成交供应商签署合同的采购人</w:t>
      </w:r>
      <w:bookmarkEnd w:id="437"/>
      <w:r>
        <w:rPr>
          <w:rFonts w:hint="eastAsia" w:ascii="宋体" w:hAnsi="宋体" w:cs="宋体"/>
          <w:color w:val="auto"/>
          <w:sz w:val="24"/>
          <w:highlight w:val="none"/>
        </w:rPr>
        <w:t>；采购人委托采购代理机构代表其与乙方签订合同的，采购人的授权委托书作为合同附件。</w:t>
      </w:r>
    </w:p>
    <w:p w14:paraId="3E710DE5">
      <w:pPr>
        <w:spacing w:line="560" w:lineRule="exact"/>
        <w:ind w:firstLine="480" w:firstLineChars="200"/>
        <w:rPr>
          <w:rFonts w:ascii="宋体" w:hAnsi="宋体" w:cs="宋体"/>
          <w:color w:val="auto"/>
          <w:sz w:val="24"/>
          <w:highlight w:val="none"/>
        </w:rPr>
      </w:pPr>
      <w:bookmarkStart w:id="438" w:name="_Ref467379400"/>
      <w:r>
        <w:rPr>
          <w:rFonts w:hint="eastAsia" w:ascii="宋体" w:hAnsi="宋体" w:cs="宋体"/>
          <w:color w:val="auto"/>
          <w:sz w:val="24"/>
          <w:highlight w:val="none"/>
        </w:rPr>
        <w:t>2.1.5 “乙方”系指根据合同约定交付货物的中标或成交供应商</w:t>
      </w:r>
      <w:bookmarkEnd w:id="438"/>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347C6B2">
      <w:pPr>
        <w:spacing w:line="560" w:lineRule="exact"/>
        <w:ind w:firstLine="480" w:firstLineChars="200"/>
        <w:rPr>
          <w:rFonts w:ascii="宋体" w:hAnsi="宋体" w:cs="宋体"/>
          <w:color w:val="auto"/>
          <w:sz w:val="24"/>
          <w:highlight w:val="none"/>
        </w:rPr>
      </w:pPr>
      <w:bookmarkStart w:id="439" w:name="_Ref467379436"/>
      <w:r>
        <w:rPr>
          <w:rFonts w:hint="eastAsia" w:ascii="宋体" w:hAnsi="宋体" w:cs="宋体"/>
          <w:color w:val="auto"/>
          <w:sz w:val="24"/>
          <w:highlight w:val="none"/>
        </w:rPr>
        <w:t>2.1.6 “现场”系指合同约定货物将要运至或者安装的地点。</w:t>
      </w:r>
      <w:bookmarkEnd w:id="439"/>
    </w:p>
    <w:p w14:paraId="345F891A">
      <w:pPr>
        <w:spacing w:line="560" w:lineRule="exact"/>
        <w:ind w:firstLine="482" w:firstLineChars="200"/>
        <w:outlineLvl w:val="0"/>
        <w:rPr>
          <w:rFonts w:ascii="宋体" w:hAnsi="宋体" w:cs="宋体"/>
          <w:b/>
          <w:color w:val="auto"/>
          <w:sz w:val="24"/>
          <w:highlight w:val="none"/>
        </w:rPr>
      </w:pPr>
      <w:bookmarkStart w:id="440" w:name="_Toc27635"/>
      <w:bookmarkStart w:id="441" w:name="_Toc32504"/>
      <w:bookmarkStart w:id="442" w:name="_Toc279701241"/>
      <w:bookmarkStart w:id="443" w:name="_Toc259093670"/>
      <w:bookmarkStart w:id="444" w:name="_Toc487900350"/>
      <w:bookmarkStart w:id="445" w:name="_Toc13336"/>
      <w:r>
        <w:rPr>
          <w:rFonts w:hint="eastAsia" w:ascii="宋体" w:hAnsi="宋体" w:cs="宋体"/>
          <w:b/>
          <w:color w:val="auto"/>
          <w:sz w:val="24"/>
          <w:highlight w:val="none"/>
        </w:rPr>
        <w:t>2.2 技术规范</w:t>
      </w:r>
      <w:bookmarkEnd w:id="440"/>
      <w:bookmarkEnd w:id="441"/>
      <w:bookmarkEnd w:id="442"/>
      <w:bookmarkEnd w:id="443"/>
      <w:bookmarkEnd w:id="444"/>
      <w:bookmarkEnd w:id="445"/>
    </w:p>
    <w:p w14:paraId="65FF028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D237B94">
      <w:pPr>
        <w:spacing w:line="560" w:lineRule="exact"/>
        <w:ind w:firstLine="482" w:firstLineChars="200"/>
        <w:outlineLvl w:val="0"/>
        <w:rPr>
          <w:rFonts w:ascii="宋体" w:hAnsi="宋体" w:cs="宋体"/>
          <w:b/>
          <w:color w:val="auto"/>
          <w:sz w:val="24"/>
          <w:highlight w:val="none"/>
        </w:rPr>
      </w:pPr>
      <w:bookmarkStart w:id="446" w:name="_Toc279701242"/>
      <w:bookmarkStart w:id="447" w:name="_Toc9829"/>
      <w:bookmarkStart w:id="448" w:name="_Toc487900351"/>
      <w:bookmarkStart w:id="449" w:name="_Toc259093671"/>
      <w:bookmarkStart w:id="450" w:name="_Toc27853"/>
      <w:bookmarkStart w:id="451" w:name="_Toc31634"/>
      <w:r>
        <w:rPr>
          <w:rFonts w:hint="eastAsia" w:ascii="宋体" w:hAnsi="宋体" w:cs="宋体"/>
          <w:b/>
          <w:color w:val="auto"/>
          <w:sz w:val="24"/>
          <w:highlight w:val="none"/>
        </w:rPr>
        <w:t>2.3 知识产权</w:t>
      </w:r>
      <w:bookmarkEnd w:id="446"/>
      <w:bookmarkEnd w:id="447"/>
      <w:bookmarkEnd w:id="448"/>
      <w:bookmarkEnd w:id="449"/>
      <w:bookmarkEnd w:id="450"/>
      <w:bookmarkEnd w:id="451"/>
    </w:p>
    <w:p w14:paraId="06DD0A2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A14495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5D09C6E">
      <w:pPr>
        <w:spacing w:line="560" w:lineRule="exact"/>
        <w:ind w:firstLine="482" w:firstLineChars="200"/>
        <w:outlineLvl w:val="0"/>
        <w:rPr>
          <w:rFonts w:ascii="宋体" w:hAnsi="宋体" w:cs="宋体"/>
          <w:b/>
          <w:color w:val="auto"/>
          <w:sz w:val="24"/>
          <w:highlight w:val="none"/>
        </w:rPr>
      </w:pPr>
      <w:bookmarkStart w:id="452" w:name="_Toc11932"/>
      <w:bookmarkStart w:id="453" w:name="_Toc4194"/>
      <w:bookmarkStart w:id="454" w:name="_Toc29149"/>
      <w:r>
        <w:rPr>
          <w:rFonts w:hint="eastAsia" w:ascii="宋体" w:hAnsi="宋体" w:cs="宋体"/>
          <w:b/>
          <w:color w:val="auto"/>
          <w:sz w:val="24"/>
          <w:highlight w:val="none"/>
        </w:rPr>
        <w:t>2.4 包装和装运</w:t>
      </w:r>
      <w:bookmarkEnd w:id="452"/>
      <w:bookmarkEnd w:id="453"/>
      <w:bookmarkEnd w:id="454"/>
    </w:p>
    <w:p w14:paraId="00E4891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CFB2E8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83C76B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A7B3C7C">
      <w:pPr>
        <w:spacing w:line="560" w:lineRule="exact"/>
        <w:ind w:firstLine="482" w:firstLineChars="200"/>
        <w:outlineLvl w:val="0"/>
        <w:rPr>
          <w:rFonts w:ascii="宋体" w:hAnsi="宋体" w:cs="宋体"/>
          <w:b/>
          <w:color w:val="auto"/>
          <w:sz w:val="24"/>
          <w:highlight w:val="none"/>
        </w:rPr>
      </w:pPr>
      <w:bookmarkStart w:id="455" w:name="_Ref467379542"/>
      <w:bookmarkStart w:id="456" w:name="_Toc279701245"/>
      <w:bookmarkStart w:id="457" w:name="_Toc259093674"/>
      <w:bookmarkStart w:id="458" w:name="_Toc487900354"/>
      <w:bookmarkStart w:id="459" w:name="_Ref467378541"/>
      <w:bookmarkStart w:id="460" w:name="_Ref467379527"/>
      <w:bookmarkStart w:id="461" w:name="_Ref467378591"/>
      <w:bookmarkStart w:id="462" w:name="_Ref467379536"/>
      <w:bookmarkStart w:id="463" w:name="_Toc30272"/>
      <w:bookmarkStart w:id="464" w:name="_Toc19074"/>
      <w:bookmarkStart w:id="465" w:name="_Toc26182"/>
      <w:r>
        <w:rPr>
          <w:rFonts w:hint="eastAsia" w:ascii="宋体" w:hAnsi="宋体" w:cs="宋体"/>
          <w:b/>
          <w:color w:val="auto"/>
          <w:sz w:val="24"/>
          <w:highlight w:val="none"/>
        </w:rPr>
        <w:t>2.</w:t>
      </w:r>
      <w:bookmarkEnd w:id="455"/>
      <w:bookmarkEnd w:id="456"/>
      <w:bookmarkEnd w:id="457"/>
      <w:bookmarkEnd w:id="458"/>
      <w:bookmarkEnd w:id="459"/>
      <w:bookmarkEnd w:id="460"/>
      <w:bookmarkEnd w:id="461"/>
      <w:bookmarkEnd w:id="462"/>
      <w:r>
        <w:rPr>
          <w:rFonts w:hint="eastAsia" w:ascii="宋体" w:hAnsi="宋体" w:cs="宋体"/>
          <w:b/>
          <w:color w:val="auto"/>
          <w:sz w:val="24"/>
          <w:highlight w:val="none"/>
        </w:rPr>
        <w:t>5 履约检查和问题反馈</w:t>
      </w:r>
      <w:bookmarkEnd w:id="463"/>
      <w:bookmarkEnd w:id="464"/>
      <w:bookmarkEnd w:id="465"/>
    </w:p>
    <w:p w14:paraId="2C7B540D">
      <w:pPr>
        <w:spacing w:line="560" w:lineRule="exact"/>
        <w:ind w:firstLine="480" w:firstLineChars="200"/>
        <w:rPr>
          <w:rFonts w:ascii="宋体" w:hAnsi="宋体" w:cs="宋体"/>
          <w:color w:val="auto"/>
          <w:sz w:val="24"/>
          <w:highlight w:val="none"/>
        </w:rPr>
      </w:pPr>
      <w:bookmarkStart w:id="466" w:name="_Ref467379657"/>
      <w:r>
        <w:rPr>
          <w:rFonts w:hint="eastAsia" w:ascii="宋体" w:hAnsi="宋体" w:cs="宋体"/>
          <w:color w:val="auto"/>
          <w:sz w:val="24"/>
          <w:highlight w:val="none"/>
        </w:rPr>
        <w:t>2.5.1</w:t>
      </w:r>
      <w:bookmarkEnd w:id="466"/>
      <w:bookmarkStart w:id="467" w:name="_Toc186431854"/>
      <w:bookmarkStart w:id="468" w:name="_Ref467379807"/>
      <w:bookmarkStart w:id="469" w:name="_Toc259093676"/>
      <w:bookmarkStart w:id="470" w:name="_Toc487900357"/>
      <w:bookmarkStart w:id="471" w:name="_Ref467379793"/>
      <w:bookmarkStart w:id="472" w:name="_Toc27970124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23F682A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7"/>
      <w:bookmarkStart w:id="473" w:name="_Toc186431855"/>
      <w:r>
        <w:rPr>
          <w:rFonts w:hint="eastAsia" w:ascii="宋体" w:hAnsi="宋体" w:cs="宋体"/>
          <w:color w:val="auto"/>
          <w:sz w:val="24"/>
          <w:highlight w:val="none"/>
        </w:rPr>
        <w:t>。</w:t>
      </w:r>
    </w:p>
    <w:bookmarkEnd w:id="468"/>
    <w:bookmarkEnd w:id="469"/>
    <w:bookmarkEnd w:id="470"/>
    <w:bookmarkEnd w:id="471"/>
    <w:bookmarkEnd w:id="472"/>
    <w:bookmarkEnd w:id="473"/>
    <w:p w14:paraId="09FB9B3B">
      <w:pPr>
        <w:spacing w:line="560" w:lineRule="exact"/>
        <w:ind w:firstLine="482" w:firstLineChars="200"/>
        <w:outlineLvl w:val="0"/>
        <w:rPr>
          <w:rFonts w:ascii="宋体" w:hAnsi="宋体" w:cs="宋体"/>
          <w:b/>
          <w:color w:val="auto"/>
          <w:sz w:val="24"/>
          <w:highlight w:val="none"/>
        </w:rPr>
      </w:pPr>
      <w:bookmarkStart w:id="474" w:name="_Ref467379863"/>
      <w:bookmarkStart w:id="475" w:name="_Toc279701248"/>
      <w:bookmarkStart w:id="476" w:name="_Ref467379923"/>
      <w:bookmarkStart w:id="477" w:name="_Toc259093677"/>
      <w:bookmarkStart w:id="478" w:name="_Toc487900358"/>
      <w:bookmarkStart w:id="479" w:name="_Ref467379852"/>
      <w:bookmarkStart w:id="480" w:name="_Toc16110"/>
      <w:bookmarkStart w:id="481" w:name="_Toc774"/>
      <w:bookmarkStart w:id="482" w:name="_Toc3225"/>
      <w:r>
        <w:rPr>
          <w:rFonts w:hint="eastAsia" w:ascii="宋体" w:hAnsi="宋体" w:cs="宋体"/>
          <w:b/>
          <w:color w:val="auto"/>
          <w:sz w:val="24"/>
          <w:highlight w:val="none"/>
        </w:rPr>
        <w:t>2.6 技术资料</w:t>
      </w:r>
      <w:bookmarkEnd w:id="474"/>
      <w:bookmarkEnd w:id="475"/>
      <w:bookmarkEnd w:id="476"/>
      <w:bookmarkEnd w:id="477"/>
      <w:bookmarkEnd w:id="478"/>
      <w:bookmarkEnd w:id="479"/>
      <w:r>
        <w:rPr>
          <w:rFonts w:hint="eastAsia" w:ascii="宋体" w:hAnsi="宋体" w:cs="宋体"/>
          <w:b/>
          <w:color w:val="auto"/>
          <w:sz w:val="24"/>
          <w:highlight w:val="none"/>
        </w:rPr>
        <w:t>和保密义务</w:t>
      </w:r>
      <w:bookmarkEnd w:id="480"/>
      <w:bookmarkEnd w:id="481"/>
      <w:bookmarkEnd w:id="482"/>
    </w:p>
    <w:p w14:paraId="24AF79C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3D59EA6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4C405A4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2D52148">
      <w:pPr>
        <w:spacing w:line="560" w:lineRule="exact"/>
        <w:ind w:firstLine="482" w:firstLineChars="200"/>
        <w:outlineLvl w:val="0"/>
        <w:rPr>
          <w:rFonts w:ascii="宋体" w:hAnsi="宋体" w:cs="宋体"/>
          <w:b/>
          <w:color w:val="auto"/>
          <w:sz w:val="24"/>
          <w:highlight w:val="none"/>
        </w:rPr>
      </w:pPr>
      <w:bookmarkStart w:id="483" w:name="_Toc7860"/>
      <w:r>
        <w:rPr>
          <w:rFonts w:hint="eastAsia" w:ascii="宋体" w:hAnsi="宋体" w:cs="宋体"/>
          <w:b/>
          <w:color w:val="auto"/>
          <w:sz w:val="24"/>
          <w:highlight w:val="none"/>
        </w:rPr>
        <w:t>2.7 质量保证</w:t>
      </w:r>
      <w:bookmarkEnd w:id="483"/>
    </w:p>
    <w:p w14:paraId="4D3B54D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28555A9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30AE7C66">
      <w:pPr>
        <w:spacing w:line="560" w:lineRule="exact"/>
        <w:ind w:firstLine="482" w:firstLineChars="200"/>
        <w:outlineLvl w:val="0"/>
        <w:rPr>
          <w:rFonts w:ascii="宋体" w:hAnsi="宋体" w:cs="宋体"/>
          <w:b/>
          <w:color w:val="auto"/>
          <w:sz w:val="24"/>
          <w:highlight w:val="none"/>
        </w:rPr>
      </w:pPr>
      <w:bookmarkStart w:id="484" w:name="_Toc17244"/>
      <w:bookmarkStart w:id="485" w:name="_Toc259093681"/>
      <w:bookmarkStart w:id="486" w:name="_Toc279701252"/>
      <w:bookmarkStart w:id="487" w:name="_Toc487900362"/>
      <w:r>
        <w:rPr>
          <w:rFonts w:hint="eastAsia" w:ascii="宋体" w:hAnsi="宋体" w:cs="宋体"/>
          <w:b/>
          <w:color w:val="auto"/>
          <w:sz w:val="24"/>
          <w:highlight w:val="none"/>
        </w:rPr>
        <w:t>2.8 货物的风险负担</w:t>
      </w:r>
      <w:bookmarkEnd w:id="484"/>
    </w:p>
    <w:p w14:paraId="74E22860">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75C1C3C">
      <w:pPr>
        <w:spacing w:line="560" w:lineRule="exact"/>
        <w:ind w:firstLine="482" w:firstLineChars="200"/>
        <w:outlineLvl w:val="0"/>
        <w:rPr>
          <w:rFonts w:ascii="宋体" w:hAnsi="宋体" w:cs="宋体"/>
          <w:b/>
          <w:color w:val="auto"/>
          <w:sz w:val="24"/>
          <w:highlight w:val="none"/>
        </w:rPr>
      </w:pPr>
      <w:bookmarkStart w:id="488" w:name="_Toc14055"/>
      <w:r>
        <w:rPr>
          <w:rFonts w:hint="eastAsia" w:ascii="宋体" w:hAnsi="宋体" w:cs="宋体"/>
          <w:b/>
          <w:color w:val="auto"/>
          <w:sz w:val="24"/>
          <w:highlight w:val="none"/>
        </w:rPr>
        <w:t>2.9 延迟交货</w:t>
      </w:r>
      <w:bookmarkEnd w:id="485"/>
      <w:bookmarkEnd w:id="486"/>
      <w:bookmarkEnd w:id="487"/>
      <w:bookmarkEnd w:id="488"/>
    </w:p>
    <w:p w14:paraId="2452AE1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13B57A6F">
      <w:pPr>
        <w:spacing w:line="560" w:lineRule="exact"/>
        <w:ind w:firstLine="482" w:firstLineChars="200"/>
        <w:outlineLvl w:val="0"/>
        <w:rPr>
          <w:rFonts w:ascii="宋体" w:hAnsi="宋体" w:cs="宋体"/>
          <w:b/>
          <w:color w:val="auto"/>
          <w:sz w:val="24"/>
          <w:highlight w:val="none"/>
        </w:rPr>
      </w:pPr>
      <w:bookmarkStart w:id="489" w:name="_Toc7502"/>
      <w:bookmarkStart w:id="490" w:name="_Ref467378121"/>
      <w:bookmarkStart w:id="491" w:name="_Toc259093683"/>
      <w:bookmarkStart w:id="492" w:name="_Toc279701254"/>
      <w:bookmarkStart w:id="493" w:name="_Toc487900364"/>
      <w:r>
        <w:rPr>
          <w:rFonts w:hint="eastAsia" w:ascii="宋体" w:hAnsi="宋体" w:cs="宋体"/>
          <w:b/>
          <w:color w:val="auto"/>
          <w:sz w:val="24"/>
          <w:highlight w:val="none"/>
        </w:rPr>
        <w:t>2.10 合同变更</w:t>
      </w:r>
      <w:bookmarkEnd w:id="489"/>
    </w:p>
    <w:p w14:paraId="0D57ECE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4" w:name="_Toc259093688"/>
      <w:bookmarkStart w:id="495" w:name="_Toc279701259"/>
      <w:bookmarkStart w:id="496" w:name="_Toc487900369"/>
    </w:p>
    <w:p w14:paraId="11030BEE">
      <w:pPr>
        <w:spacing w:line="560" w:lineRule="exact"/>
        <w:ind w:firstLine="482" w:firstLineChars="200"/>
        <w:outlineLvl w:val="0"/>
        <w:rPr>
          <w:rFonts w:ascii="宋体" w:hAnsi="宋体" w:cs="宋体"/>
          <w:b/>
          <w:color w:val="auto"/>
          <w:sz w:val="24"/>
          <w:highlight w:val="none"/>
        </w:rPr>
      </w:pPr>
      <w:bookmarkStart w:id="497" w:name="_Toc15237"/>
      <w:bookmarkStart w:id="498" w:name="_Toc22955"/>
      <w:bookmarkStart w:id="499" w:name="_Toc10366"/>
      <w:r>
        <w:rPr>
          <w:rFonts w:hint="eastAsia" w:ascii="宋体" w:hAnsi="宋体" w:cs="宋体"/>
          <w:b/>
          <w:color w:val="auto"/>
          <w:sz w:val="24"/>
          <w:highlight w:val="none"/>
        </w:rPr>
        <w:t>2.11 合同转让</w:t>
      </w:r>
      <w:bookmarkEnd w:id="494"/>
      <w:bookmarkEnd w:id="495"/>
      <w:bookmarkEnd w:id="496"/>
      <w:r>
        <w:rPr>
          <w:rFonts w:hint="eastAsia" w:ascii="宋体" w:hAnsi="宋体" w:cs="宋体"/>
          <w:b/>
          <w:color w:val="auto"/>
          <w:sz w:val="24"/>
          <w:highlight w:val="none"/>
        </w:rPr>
        <w:t>和分包</w:t>
      </w:r>
      <w:bookmarkEnd w:id="497"/>
      <w:bookmarkEnd w:id="498"/>
      <w:bookmarkEnd w:id="499"/>
    </w:p>
    <w:p w14:paraId="26EEBE4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B34D99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16D9C2A8">
      <w:pPr>
        <w:spacing w:line="560" w:lineRule="exact"/>
        <w:ind w:firstLine="482" w:firstLineChars="200"/>
        <w:outlineLvl w:val="0"/>
        <w:rPr>
          <w:rFonts w:ascii="宋体" w:hAnsi="宋体" w:cs="宋体"/>
          <w:b/>
          <w:color w:val="auto"/>
          <w:sz w:val="24"/>
          <w:highlight w:val="none"/>
        </w:rPr>
      </w:pPr>
      <w:bookmarkStart w:id="500" w:name="_Toc14066"/>
      <w:bookmarkStart w:id="501" w:name="_Toc13566"/>
      <w:bookmarkStart w:id="502" w:name="_Toc16508"/>
      <w:r>
        <w:rPr>
          <w:rFonts w:hint="eastAsia" w:ascii="宋体" w:hAnsi="宋体" w:cs="宋体"/>
          <w:b/>
          <w:color w:val="auto"/>
          <w:sz w:val="24"/>
          <w:highlight w:val="none"/>
        </w:rPr>
        <w:t>2.12 不可抗力</w:t>
      </w:r>
      <w:bookmarkEnd w:id="500"/>
      <w:bookmarkEnd w:id="501"/>
      <w:bookmarkEnd w:id="502"/>
    </w:p>
    <w:p w14:paraId="05928D5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03EBFFD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0BEB49E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4AAD1F1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7E4E2252">
      <w:pPr>
        <w:spacing w:line="560" w:lineRule="exact"/>
        <w:ind w:firstLine="482" w:firstLineChars="200"/>
        <w:outlineLvl w:val="0"/>
        <w:rPr>
          <w:rFonts w:ascii="宋体" w:hAnsi="宋体" w:cs="宋体"/>
          <w:b/>
          <w:color w:val="auto"/>
          <w:sz w:val="24"/>
          <w:highlight w:val="none"/>
        </w:rPr>
      </w:pPr>
      <w:bookmarkStart w:id="503" w:name="_Toc487900365"/>
      <w:bookmarkStart w:id="504" w:name="_Toc30676"/>
      <w:bookmarkStart w:id="505" w:name="_Toc279701255"/>
      <w:bookmarkStart w:id="506" w:name="_Toc259093684"/>
      <w:bookmarkStart w:id="507" w:name="_Toc689"/>
      <w:bookmarkStart w:id="508" w:name="_Toc6969"/>
      <w:r>
        <w:rPr>
          <w:rFonts w:hint="eastAsia" w:ascii="宋体" w:hAnsi="宋体" w:cs="宋体"/>
          <w:b/>
          <w:color w:val="auto"/>
          <w:sz w:val="24"/>
          <w:highlight w:val="none"/>
        </w:rPr>
        <w:t>2.13 税费</w:t>
      </w:r>
      <w:bookmarkEnd w:id="503"/>
      <w:bookmarkEnd w:id="504"/>
      <w:bookmarkEnd w:id="505"/>
      <w:bookmarkEnd w:id="506"/>
      <w:bookmarkEnd w:id="507"/>
      <w:bookmarkEnd w:id="508"/>
    </w:p>
    <w:p w14:paraId="6E76C52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2BBB52F1">
      <w:pPr>
        <w:spacing w:line="560" w:lineRule="exact"/>
        <w:ind w:firstLine="482" w:firstLineChars="200"/>
        <w:outlineLvl w:val="0"/>
        <w:rPr>
          <w:rFonts w:ascii="宋体" w:hAnsi="宋体" w:cs="宋体"/>
          <w:b/>
          <w:color w:val="auto"/>
          <w:sz w:val="24"/>
          <w:highlight w:val="none"/>
        </w:rPr>
      </w:pPr>
      <w:bookmarkStart w:id="509" w:name="_Toc8298"/>
      <w:bookmarkStart w:id="510" w:name="_Toc487900368"/>
      <w:bookmarkStart w:id="511" w:name="_Toc7102"/>
      <w:bookmarkStart w:id="512" w:name="_Toc259093687"/>
      <w:bookmarkStart w:id="513" w:name="_Toc16959"/>
      <w:bookmarkStart w:id="514" w:name="_Toc279701258"/>
      <w:r>
        <w:rPr>
          <w:rFonts w:hint="eastAsia" w:ascii="宋体" w:hAnsi="宋体" w:cs="宋体"/>
          <w:b/>
          <w:color w:val="auto"/>
          <w:sz w:val="24"/>
          <w:highlight w:val="none"/>
        </w:rPr>
        <w:t>2.14乙方破产</w:t>
      </w:r>
      <w:bookmarkEnd w:id="509"/>
      <w:bookmarkEnd w:id="510"/>
      <w:bookmarkEnd w:id="511"/>
      <w:bookmarkEnd w:id="512"/>
      <w:bookmarkEnd w:id="513"/>
      <w:bookmarkEnd w:id="514"/>
    </w:p>
    <w:p w14:paraId="1D6A981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709D2E1">
      <w:pPr>
        <w:spacing w:line="560" w:lineRule="exact"/>
        <w:ind w:firstLine="482" w:firstLineChars="200"/>
        <w:outlineLvl w:val="0"/>
        <w:rPr>
          <w:rFonts w:ascii="宋体" w:hAnsi="宋体" w:cs="宋体"/>
          <w:b/>
          <w:color w:val="auto"/>
          <w:sz w:val="24"/>
          <w:highlight w:val="none"/>
        </w:rPr>
      </w:pPr>
      <w:bookmarkStart w:id="515" w:name="_Toc15387"/>
      <w:bookmarkStart w:id="516" w:name="_Toc6134"/>
      <w:bookmarkStart w:id="517" w:name="_Toc29333"/>
      <w:r>
        <w:rPr>
          <w:rFonts w:hint="eastAsia" w:ascii="宋体" w:hAnsi="宋体" w:cs="宋体"/>
          <w:b/>
          <w:color w:val="auto"/>
          <w:sz w:val="24"/>
          <w:highlight w:val="none"/>
        </w:rPr>
        <w:t>2.15 合同中止、终止</w:t>
      </w:r>
      <w:bookmarkEnd w:id="515"/>
      <w:bookmarkEnd w:id="516"/>
      <w:bookmarkEnd w:id="517"/>
    </w:p>
    <w:p w14:paraId="60F5D69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742C5EB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4F700388">
      <w:pPr>
        <w:spacing w:line="560" w:lineRule="exact"/>
        <w:ind w:firstLine="482" w:firstLineChars="200"/>
        <w:outlineLvl w:val="0"/>
        <w:rPr>
          <w:rFonts w:ascii="宋体" w:hAnsi="宋体" w:cs="宋体"/>
          <w:b/>
          <w:color w:val="auto"/>
          <w:sz w:val="24"/>
          <w:highlight w:val="none"/>
        </w:rPr>
      </w:pPr>
      <w:bookmarkStart w:id="518" w:name="_Toc6596"/>
      <w:bookmarkStart w:id="519" w:name="_Toc14563"/>
      <w:bookmarkStart w:id="520" w:name="_Toc1125"/>
      <w:r>
        <w:rPr>
          <w:rFonts w:hint="eastAsia" w:ascii="宋体" w:hAnsi="宋体" w:cs="宋体"/>
          <w:b/>
          <w:color w:val="auto"/>
          <w:sz w:val="24"/>
          <w:highlight w:val="none"/>
        </w:rPr>
        <w:t>2.16检验和验收</w:t>
      </w:r>
      <w:bookmarkEnd w:id="518"/>
      <w:bookmarkEnd w:id="519"/>
      <w:bookmarkEnd w:id="520"/>
    </w:p>
    <w:p w14:paraId="3457EA8C">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793CD5FF">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D5915D5">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90"/>
    <w:bookmarkEnd w:id="491"/>
    <w:bookmarkEnd w:id="492"/>
    <w:bookmarkEnd w:id="493"/>
    <w:p w14:paraId="0611E810">
      <w:pPr>
        <w:spacing w:line="560" w:lineRule="exact"/>
        <w:ind w:firstLine="482" w:firstLineChars="200"/>
        <w:outlineLvl w:val="0"/>
        <w:rPr>
          <w:rFonts w:ascii="宋体" w:hAnsi="宋体" w:cs="宋体"/>
          <w:b/>
          <w:color w:val="auto"/>
          <w:sz w:val="24"/>
          <w:highlight w:val="none"/>
        </w:rPr>
      </w:pPr>
      <w:bookmarkStart w:id="521" w:name="_Toc259093690"/>
      <w:bookmarkStart w:id="522" w:name="_Toc487900371"/>
      <w:bookmarkStart w:id="523" w:name="_Toc279701261"/>
      <w:bookmarkStart w:id="524" w:name="_Toc25182"/>
      <w:bookmarkStart w:id="525" w:name="_Toc19604"/>
      <w:bookmarkStart w:id="526" w:name="_Toc11284"/>
      <w:r>
        <w:rPr>
          <w:rFonts w:hint="eastAsia" w:ascii="宋体" w:hAnsi="宋体" w:cs="宋体"/>
          <w:b/>
          <w:color w:val="auto"/>
          <w:sz w:val="24"/>
          <w:highlight w:val="none"/>
        </w:rPr>
        <w:t>2.17 通知</w:t>
      </w:r>
      <w:bookmarkEnd w:id="521"/>
      <w:bookmarkEnd w:id="522"/>
      <w:bookmarkEnd w:id="523"/>
      <w:r>
        <w:rPr>
          <w:rFonts w:hint="eastAsia" w:ascii="宋体" w:hAnsi="宋体" w:cs="宋体"/>
          <w:b/>
          <w:color w:val="auto"/>
          <w:sz w:val="24"/>
          <w:highlight w:val="none"/>
        </w:rPr>
        <w:t>和送达</w:t>
      </w:r>
      <w:bookmarkEnd w:id="524"/>
      <w:bookmarkEnd w:id="525"/>
      <w:bookmarkEnd w:id="526"/>
    </w:p>
    <w:p w14:paraId="3A953EA7">
      <w:pPr>
        <w:spacing w:line="560" w:lineRule="exact"/>
        <w:ind w:firstLine="480" w:firstLineChars="200"/>
        <w:rPr>
          <w:rFonts w:ascii="宋体" w:hAnsi="宋体" w:cs="宋体"/>
          <w:color w:val="auto"/>
          <w:sz w:val="24"/>
          <w:highlight w:val="none"/>
        </w:rPr>
      </w:pPr>
      <w:bookmarkStart w:id="527" w:name="_Toc3135"/>
      <w:bookmarkStart w:id="528" w:name="_Toc6698"/>
      <w:bookmarkStart w:id="529" w:name="_Toc259093691"/>
      <w:bookmarkStart w:id="530" w:name="_Toc279701262"/>
      <w:bookmarkStart w:id="531" w:name="_Toc48790037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7"/>
      <w:bookmarkEnd w:id="528"/>
    </w:p>
    <w:p w14:paraId="276B73BB">
      <w:pPr>
        <w:spacing w:line="560" w:lineRule="exact"/>
        <w:ind w:firstLine="480" w:firstLineChars="200"/>
        <w:rPr>
          <w:rFonts w:ascii="宋体" w:hAnsi="宋体" w:cs="宋体"/>
          <w:color w:val="auto"/>
          <w:sz w:val="24"/>
          <w:highlight w:val="none"/>
        </w:rPr>
      </w:pPr>
      <w:bookmarkStart w:id="532" w:name="_Toc23128"/>
      <w:bookmarkStart w:id="533" w:name="_Toc23294"/>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2"/>
      <w:bookmarkEnd w:id="533"/>
    </w:p>
    <w:p w14:paraId="61659C6F">
      <w:pPr>
        <w:spacing w:line="560" w:lineRule="exact"/>
        <w:ind w:firstLine="482" w:firstLineChars="200"/>
        <w:outlineLvl w:val="0"/>
        <w:rPr>
          <w:rFonts w:ascii="宋体" w:hAnsi="宋体" w:cs="宋体"/>
          <w:b/>
          <w:color w:val="auto"/>
          <w:sz w:val="24"/>
          <w:highlight w:val="none"/>
        </w:rPr>
      </w:pPr>
      <w:bookmarkStart w:id="534" w:name="_Toc4355"/>
      <w:bookmarkStart w:id="535" w:name="_Toc30599"/>
      <w:bookmarkStart w:id="536" w:name="_Toc18540"/>
      <w:r>
        <w:rPr>
          <w:rFonts w:hint="eastAsia" w:ascii="宋体" w:hAnsi="宋体" w:cs="宋体"/>
          <w:b/>
          <w:color w:val="auto"/>
          <w:sz w:val="24"/>
          <w:highlight w:val="none"/>
        </w:rPr>
        <w:t>2.18 计量单位</w:t>
      </w:r>
      <w:bookmarkEnd w:id="529"/>
      <w:bookmarkEnd w:id="530"/>
      <w:bookmarkEnd w:id="531"/>
      <w:bookmarkEnd w:id="534"/>
      <w:bookmarkEnd w:id="535"/>
      <w:bookmarkEnd w:id="536"/>
    </w:p>
    <w:p w14:paraId="74A84F1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8013AC9">
      <w:pPr>
        <w:spacing w:line="560" w:lineRule="exact"/>
        <w:ind w:firstLine="482" w:firstLineChars="200"/>
        <w:outlineLvl w:val="0"/>
        <w:rPr>
          <w:rFonts w:ascii="宋体" w:hAnsi="宋体" w:cs="宋体"/>
          <w:b/>
          <w:color w:val="auto"/>
          <w:sz w:val="24"/>
          <w:highlight w:val="none"/>
        </w:rPr>
      </w:pPr>
      <w:bookmarkStart w:id="537" w:name="_Toc12773"/>
      <w:bookmarkStart w:id="538" w:name="_Toc18567"/>
      <w:bookmarkStart w:id="539" w:name="_Toc259093692"/>
      <w:bookmarkStart w:id="540" w:name="_Toc487900373"/>
      <w:bookmarkStart w:id="541" w:name="_Toc10330"/>
      <w:bookmarkStart w:id="542" w:name="_Toc279701263"/>
      <w:r>
        <w:rPr>
          <w:rFonts w:hint="eastAsia" w:ascii="宋体" w:hAnsi="宋体" w:cs="宋体"/>
          <w:b/>
          <w:color w:val="auto"/>
          <w:sz w:val="24"/>
          <w:highlight w:val="none"/>
        </w:rPr>
        <w:t>2.19 合同使用的文字和适用的法律</w:t>
      </w:r>
      <w:bookmarkEnd w:id="537"/>
      <w:bookmarkEnd w:id="538"/>
      <w:bookmarkEnd w:id="539"/>
      <w:bookmarkEnd w:id="540"/>
      <w:bookmarkEnd w:id="541"/>
      <w:bookmarkEnd w:id="542"/>
    </w:p>
    <w:p w14:paraId="196D1AB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3C76FD4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084AAB37">
      <w:pPr>
        <w:spacing w:line="560" w:lineRule="exact"/>
        <w:ind w:firstLine="482" w:firstLineChars="200"/>
        <w:outlineLvl w:val="0"/>
        <w:rPr>
          <w:rFonts w:ascii="宋体" w:hAnsi="宋体" w:cs="宋体"/>
          <w:b/>
          <w:color w:val="auto"/>
          <w:sz w:val="24"/>
          <w:highlight w:val="none"/>
        </w:rPr>
      </w:pPr>
      <w:bookmarkStart w:id="543" w:name="_Toc19890"/>
      <w:bookmarkStart w:id="544" w:name="_Toc14001"/>
      <w:bookmarkStart w:id="545" w:name="_Toc6885"/>
      <w:r>
        <w:rPr>
          <w:rFonts w:hint="eastAsia" w:ascii="宋体" w:hAnsi="宋体" w:cs="宋体"/>
          <w:b/>
          <w:color w:val="auto"/>
          <w:sz w:val="24"/>
          <w:highlight w:val="none"/>
        </w:rPr>
        <w:t>2.20 合同份数</w:t>
      </w:r>
      <w:bookmarkEnd w:id="543"/>
      <w:bookmarkEnd w:id="544"/>
      <w:bookmarkEnd w:id="545"/>
    </w:p>
    <w:p w14:paraId="1AE252F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0229ED28">
      <w:pPr>
        <w:rPr>
          <w:rFonts w:hint="eastAsia" w:ascii="宋体" w:hAnsi="宋体" w:cs="宋体"/>
          <w:b/>
          <w:color w:val="auto"/>
          <w:sz w:val="24"/>
          <w:highlight w:val="none"/>
        </w:rPr>
      </w:pPr>
      <w:r>
        <w:rPr>
          <w:rFonts w:hint="eastAsia" w:ascii="宋体" w:hAnsi="宋体" w:cs="宋体"/>
          <w:b/>
          <w:color w:val="auto"/>
          <w:sz w:val="24"/>
          <w:highlight w:val="none"/>
        </w:rPr>
        <w:br w:type="page"/>
      </w:r>
    </w:p>
    <w:p w14:paraId="5BF90BE1">
      <w:pPr>
        <w:adjustRightInd/>
        <w:spacing w:line="360" w:lineRule="auto"/>
        <w:jc w:val="center"/>
        <w:outlineLvl w:val="0"/>
        <w:rPr>
          <w:rFonts w:ascii="宋体" w:hAnsi="宋体" w:cs="宋体"/>
          <w:b/>
          <w:color w:val="auto"/>
          <w:sz w:val="24"/>
          <w:highlight w:val="none"/>
        </w:rPr>
      </w:pPr>
      <w:r>
        <w:rPr>
          <w:rFonts w:hint="eastAsia" w:ascii="宋体" w:hAnsi="宋体" w:cs="宋体"/>
          <w:b/>
          <w:color w:val="auto"/>
          <w:sz w:val="24"/>
          <w:highlight w:val="none"/>
        </w:rPr>
        <w:t>第三部分  合同专用条款</w:t>
      </w:r>
    </w:p>
    <w:p w14:paraId="7C6DDC83">
      <w:pPr>
        <w:spacing w:line="24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2F707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5923D78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128F56A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167C4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293AFAB">
            <w:pPr>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4534" w:type="pct"/>
            <w:vAlign w:val="center"/>
          </w:tcPr>
          <w:p w14:paraId="07790579">
            <w:pPr>
              <w:spacing w:line="360" w:lineRule="auto"/>
              <w:rPr>
                <w:rFonts w:ascii="宋体" w:hAnsi="宋体" w:cs="宋体"/>
                <w:color w:val="auto"/>
                <w:sz w:val="24"/>
                <w:highlight w:val="none"/>
              </w:rPr>
            </w:pPr>
          </w:p>
        </w:tc>
      </w:tr>
      <w:tr w14:paraId="3ECD9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A8710B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1.4.1</w:t>
            </w:r>
          </w:p>
        </w:tc>
        <w:tc>
          <w:tcPr>
            <w:tcW w:w="4534" w:type="pct"/>
            <w:vAlign w:val="center"/>
          </w:tcPr>
          <w:p w14:paraId="4A383FA5">
            <w:pPr>
              <w:spacing w:line="360" w:lineRule="auto"/>
              <w:rPr>
                <w:rFonts w:hint="eastAsia"/>
                <w:color w:val="auto"/>
                <w:sz w:val="24"/>
                <w:highlight w:val="none"/>
              </w:rPr>
            </w:pPr>
          </w:p>
        </w:tc>
      </w:tr>
      <w:tr w14:paraId="75A92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trPr>
        <w:tc>
          <w:tcPr>
            <w:tcW w:w="465" w:type="pct"/>
            <w:tcBorders>
              <w:left w:val="single" w:color="auto" w:sz="4" w:space="0"/>
            </w:tcBorders>
            <w:vAlign w:val="center"/>
          </w:tcPr>
          <w:p w14:paraId="3505D2B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1.4.2</w:t>
            </w:r>
          </w:p>
        </w:tc>
        <w:tc>
          <w:tcPr>
            <w:tcW w:w="4534" w:type="pct"/>
            <w:vAlign w:val="center"/>
          </w:tcPr>
          <w:p w14:paraId="5E099CF4">
            <w:pPr>
              <w:spacing w:line="360" w:lineRule="auto"/>
              <w:rPr>
                <w:rFonts w:ascii="宋体" w:hAnsi="宋体" w:cs="宋体"/>
                <w:color w:val="auto"/>
                <w:sz w:val="24"/>
                <w:highlight w:val="none"/>
              </w:rPr>
            </w:pPr>
          </w:p>
        </w:tc>
      </w:tr>
      <w:tr w14:paraId="3B342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DD21CE2">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4534" w:type="pct"/>
            <w:vAlign w:val="center"/>
          </w:tcPr>
          <w:p w14:paraId="60E16847">
            <w:pPr>
              <w:spacing w:line="360" w:lineRule="auto"/>
              <w:rPr>
                <w:rFonts w:ascii="宋体" w:hAnsi="宋体" w:cs="宋体"/>
                <w:color w:val="auto"/>
                <w:sz w:val="24"/>
                <w:highlight w:val="none"/>
              </w:rPr>
            </w:pPr>
          </w:p>
        </w:tc>
      </w:tr>
      <w:tr w14:paraId="34CFF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9A06B47">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14:paraId="385CFED2">
            <w:pPr>
              <w:spacing w:line="360" w:lineRule="auto"/>
              <w:rPr>
                <w:rFonts w:ascii="宋体" w:hAnsi="宋体" w:cs="宋体"/>
                <w:color w:val="auto"/>
                <w:sz w:val="24"/>
                <w:highlight w:val="none"/>
              </w:rPr>
            </w:pPr>
          </w:p>
        </w:tc>
      </w:tr>
      <w:tr w14:paraId="61A75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7A002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14:paraId="335A0CEB">
            <w:pPr>
              <w:spacing w:line="360" w:lineRule="auto"/>
              <w:rPr>
                <w:rFonts w:ascii="宋体" w:hAnsi="宋体" w:cs="宋体"/>
                <w:color w:val="auto"/>
                <w:sz w:val="24"/>
                <w:highlight w:val="none"/>
              </w:rPr>
            </w:pPr>
          </w:p>
        </w:tc>
      </w:tr>
      <w:tr w14:paraId="0F9A3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00E7966">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14:paraId="422A6565">
            <w:pPr>
              <w:spacing w:line="360" w:lineRule="auto"/>
              <w:rPr>
                <w:rFonts w:ascii="宋体" w:hAnsi="宋体" w:cs="宋体"/>
                <w:color w:val="auto"/>
                <w:sz w:val="24"/>
                <w:highlight w:val="none"/>
              </w:rPr>
            </w:pPr>
          </w:p>
        </w:tc>
      </w:tr>
      <w:tr w14:paraId="08F75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09E82FA">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14:paraId="2F6A714B">
            <w:pPr>
              <w:spacing w:line="360" w:lineRule="auto"/>
              <w:rPr>
                <w:rFonts w:ascii="宋体" w:hAnsi="宋体" w:cs="宋体"/>
                <w:color w:val="auto"/>
                <w:sz w:val="24"/>
                <w:highlight w:val="none"/>
              </w:rPr>
            </w:pPr>
          </w:p>
        </w:tc>
      </w:tr>
      <w:tr w14:paraId="652E8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7FF7C99">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14:paraId="1DA3EC5A">
            <w:pPr>
              <w:spacing w:line="360" w:lineRule="auto"/>
              <w:rPr>
                <w:rFonts w:ascii="宋体" w:hAnsi="宋体" w:cs="宋体"/>
                <w:color w:val="auto"/>
                <w:sz w:val="24"/>
                <w:highlight w:val="none"/>
              </w:rPr>
            </w:pPr>
          </w:p>
        </w:tc>
      </w:tr>
      <w:tr w14:paraId="7AA1A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F09CA2A">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14:paraId="45473317">
            <w:pPr>
              <w:spacing w:line="360" w:lineRule="auto"/>
              <w:rPr>
                <w:rFonts w:ascii="宋体" w:hAnsi="宋体" w:cs="宋体"/>
                <w:color w:val="auto"/>
                <w:sz w:val="24"/>
                <w:highlight w:val="none"/>
              </w:rPr>
            </w:pPr>
          </w:p>
        </w:tc>
      </w:tr>
      <w:tr w14:paraId="28999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D2CE65B">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14:paraId="1E318253">
            <w:pPr>
              <w:spacing w:line="360" w:lineRule="auto"/>
              <w:rPr>
                <w:rFonts w:ascii="宋体" w:hAnsi="宋体" w:cs="宋体"/>
                <w:color w:val="auto"/>
                <w:sz w:val="24"/>
                <w:highlight w:val="none"/>
              </w:rPr>
            </w:pPr>
          </w:p>
        </w:tc>
      </w:tr>
      <w:tr w14:paraId="35541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4686069">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14:paraId="585671EC">
            <w:pPr>
              <w:spacing w:line="360" w:lineRule="auto"/>
              <w:rPr>
                <w:rFonts w:ascii="宋体" w:hAnsi="宋体" w:cs="宋体"/>
                <w:color w:val="auto"/>
                <w:sz w:val="24"/>
                <w:highlight w:val="none"/>
              </w:rPr>
            </w:pPr>
          </w:p>
        </w:tc>
      </w:tr>
      <w:tr w14:paraId="6C8E8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0DDC3BE">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14:paraId="43814900">
            <w:pPr>
              <w:spacing w:line="360" w:lineRule="auto"/>
              <w:rPr>
                <w:rFonts w:ascii="宋体" w:hAnsi="宋体" w:cs="宋体"/>
                <w:color w:val="auto"/>
                <w:sz w:val="24"/>
                <w:highlight w:val="none"/>
              </w:rPr>
            </w:pPr>
          </w:p>
        </w:tc>
      </w:tr>
      <w:tr w14:paraId="6FAE5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3E63012">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1.9.1</w:t>
            </w:r>
          </w:p>
        </w:tc>
        <w:tc>
          <w:tcPr>
            <w:tcW w:w="4534" w:type="pct"/>
            <w:vAlign w:val="center"/>
          </w:tcPr>
          <w:p w14:paraId="318C6577">
            <w:pPr>
              <w:spacing w:line="360" w:lineRule="auto"/>
              <w:rPr>
                <w:rFonts w:ascii="宋体" w:hAnsi="宋体" w:cs="宋体"/>
                <w:color w:val="auto"/>
                <w:sz w:val="24"/>
                <w:highlight w:val="none"/>
              </w:rPr>
            </w:pPr>
          </w:p>
        </w:tc>
      </w:tr>
      <w:tr w14:paraId="09223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FC07F39">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1.9.2</w:t>
            </w:r>
          </w:p>
        </w:tc>
        <w:tc>
          <w:tcPr>
            <w:tcW w:w="4534" w:type="pct"/>
            <w:vAlign w:val="center"/>
          </w:tcPr>
          <w:p w14:paraId="6CF2A7AA">
            <w:pPr>
              <w:spacing w:line="360" w:lineRule="auto"/>
              <w:rPr>
                <w:rFonts w:ascii="宋体" w:hAnsi="宋体" w:cs="宋体"/>
                <w:color w:val="auto"/>
                <w:sz w:val="24"/>
                <w:highlight w:val="none"/>
              </w:rPr>
            </w:pPr>
          </w:p>
        </w:tc>
      </w:tr>
      <w:tr w14:paraId="651AE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3595761">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14:paraId="5DE92B4D">
            <w:pPr>
              <w:spacing w:line="360" w:lineRule="auto"/>
              <w:ind w:left="-420" w:leftChars="-200" w:right="-420" w:rightChars="-200" w:firstLine="480" w:firstLineChars="200"/>
              <w:rPr>
                <w:rFonts w:ascii="宋体" w:hAnsi="宋体" w:cs="宋体"/>
                <w:color w:val="auto"/>
                <w:sz w:val="24"/>
                <w:highlight w:val="none"/>
              </w:rPr>
            </w:pPr>
          </w:p>
        </w:tc>
      </w:tr>
      <w:tr w14:paraId="5B06A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EF6DDFC">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14:paraId="1AB0C059">
            <w:pPr>
              <w:spacing w:line="360" w:lineRule="auto"/>
              <w:ind w:left="-420" w:leftChars="-200" w:right="-420" w:rightChars="-200" w:firstLine="480" w:firstLineChars="200"/>
              <w:rPr>
                <w:rFonts w:ascii="宋体" w:hAnsi="宋体" w:cs="宋体"/>
                <w:color w:val="auto"/>
                <w:sz w:val="24"/>
                <w:highlight w:val="none"/>
              </w:rPr>
            </w:pPr>
          </w:p>
        </w:tc>
      </w:tr>
      <w:tr w14:paraId="20E70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D5E6789">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14:paraId="4C16CACA">
            <w:pPr>
              <w:spacing w:line="360" w:lineRule="auto"/>
              <w:rPr>
                <w:rFonts w:ascii="宋体" w:hAnsi="宋体" w:cs="宋体"/>
                <w:color w:val="auto"/>
                <w:sz w:val="24"/>
                <w:highlight w:val="none"/>
              </w:rPr>
            </w:pPr>
          </w:p>
        </w:tc>
      </w:tr>
      <w:tr w14:paraId="7DC99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6" w:hRule="atLeast"/>
        </w:trPr>
        <w:tc>
          <w:tcPr>
            <w:tcW w:w="465" w:type="pct"/>
            <w:tcBorders>
              <w:left w:val="single" w:color="auto" w:sz="4" w:space="0"/>
            </w:tcBorders>
          </w:tcPr>
          <w:p w14:paraId="263A8A4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14:paraId="17485276">
            <w:pPr>
              <w:spacing w:line="360" w:lineRule="auto"/>
              <w:rPr>
                <w:rFonts w:ascii="宋体" w:hAnsi="宋体" w:cs="宋体"/>
                <w:color w:val="auto"/>
                <w:sz w:val="24"/>
                <w:highlight w:val="none"/>
              </w:rPr>
            </w:pPr>
          </w:p>
        </w:tc>
      </w:tr>
      <w:tr w14:paraId="7BE30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F55DAF1">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14:paraId="675F790D">
            <w:pPr>
              <w:spacing w:line="360" w:lineRule="auto"/>
              <w:rPr>
                <w:rFonts w:ascii="宋体" w:hAnsi="宋体" w:cs="宋体"/>
                <w:color w:val="auto"/>
                <w:sz w:val="24"/>
                <w:highlight w:val="none"/>
              </w:rPr>
            </w:pPr>
          </w:p>
        </w:tc>
      </w:tr>
      <w:tr w14:paraId="4CDBC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7C06708">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14:paraId="278AC447">
            <w:pPr>
              <w:spacing w:line="360" w:lineRule="auto"/>
              <w:rPr>
                <w:rFonts w:ascii="宋体" w:hAnsi="宋体" w:cs="宋体"/>
                <w:color w:val="auto"/>
                <w:sz w:val="24"/>
                <w:highlight w:val="none"/>
              </w:rPr>
            </w:pPr>
          </w:p>
        </w:tc>
      </w:tr>
      <w:tr w14:paraId="44D47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2D05C31">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14:paraId="0AEB6CB0">
            <w:pPr>
              <w:spacing w:line="360" w:lineRule="auto"/>
              <w:rPr>
                <w:rFonts w:ascii="宋体" w:hAnsi="宋体" w:cs="宋体"/>
                <w:color w:val="auto"/>
                <w:sz w:val="24"/>
                <w:highlight w:val="none"/>
              </w:rPr>
            </w:pPr>
          </w:p>
        </w:tc>
      </w:tr>
      <w:tr w14:paraId="32636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418EAD2B">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14:paraId="1B269D53">
            <w:pPr>
              <w:spacing w:line="360" w:lineRule="auto"/>
              <w:rPr>
                <w:rFonts w:ascii="宋体" w:hAnsi="宋体" w:cs="宋体"/>
                <w:color w:val="auto"/>
                <w:sz w:val="24"/>
                <w:highlight w:val="none"/>
              </w:rPr>
            </w:pPr>
          </w:p>
        </w:tc>
      </w:tr>
      <w:tr w14:paraId="45EA1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65" w:type="pct"/>
            <w:tcBorders>
              <w:left w:val="single" w:color="auto" w:sz="4" w:space="0"/>
            </w:tcBorders>
            <w:vAlign w:val="center"/>
          </w:tcPr>
          <w:p w14:paraId="4263E771">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14:paraId="3F1800EF">
            <w:pPr>
              <w:spacing w:line="360" w:lineRule="auto"/>
              <w:rPr>
                <w:rFonts w:ascii="宋体" w:hAnsi="宋体" w:cs="宋体"/>
                <w:color w:val="auto"/>
                <w:sz w:val="24"/>
                <w:highlight w:val="none"/>
              </w:rPr>
            </w:pPr>
          </w:p>
        </w:tc>
      </w:tr>
    </w:tbl>
    <w:p w14:paraId="0C676DC2">
      <w:pPr>
        <w:rPr>
          <w:rFonts w:ascii="宋体" w:hAnsi="宋体" w:cs="宋体"/>
          <w:color w:val="auto"/>
          <w:sz w:val="24"/>
          <w:highlight w:val="none"/>
        </w:rPr>
      </w:pPr>
    </w:p>
    <w:p w14:paraId="5269A759">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5"/>
      <w:r>
        <w:rPr>
          <w:rFonts w:hint="eastAsia" w:ascii="宋体" w:hAnsi="宋体" w:cs="宋体"/>
          <w:b/>
          <w:color w:val="auto"/>
          <w:sz w:val="36"/>
          <w:szCs w:val="20"/>
          <w:highlight w:val="none"/>
        </w:rPr>
        <w:t xml:space="preserve"> </w:t>
      </w:r>
      <w:bookmarkEnd w:id="396"/>
      <w:r>
        <w:rPr>
          <w:rFonts w:hint="eastAsia" w:ascii="宋体" w:hAnsi="宋体" w:cs="宋体"/>
          <w:b/>
          <w:color w:val="auto"/>
          <w:sz w:val="36"/>
          <w:szCs w:val="20"/>
          <w:highlight w:val="none"/>
        </w:rPr>
        <w:t>应提交的有关格式范例</w:t>
      </w:r>
    </w:p>
    <w:p w14:paraId="660977AD">
      <w:pPr>
        <w:spacing w:line="360" w:lineRule="auto"/>
        <w:jc w:val="center"/>
        <w:outlineLvl w:val="0"/>
        <w:rPr>
          <w:rFonts w:ascii="宋体" w:hAnsi="宋体" w:cs="宋体"/>
          <w:b/>
          <w:color w:val="auto"/>
          <w:kern w:val="0"/>
          <w:sz w:val="36"/>
          <w:szCs w:val="36"/>
          <w:highlight w:val="none"/>
        </w:rPr>
      </w:pPr>
    </w:p>
    <w:p w14:paraId="5C7D632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57BD04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6F3EA2F">
      <w:pPr>
        <w:spacing w:line="360" w:lineRule="auto"/>
        <w:jc w:val="center"/>
        <w:outlineLvl w:val="0"/>
        <w:rPr>
          <w:rFonts w:ascii="宋体" w:hAnsi="宋体" w:cs="宋体"/>
          <w:b/>
          <w:color w:val="auto"/>
          <w:kern w:val="0"/>
          <w:sz w:val="36"/>
          <w:szCs w:val="36"/>
          <w:highlight w:val="none"/>
        </w:rPr>
      </w:pPr>
    </w:p>
    <w:p w14:paraId="7341151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B212CF1">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7D4451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3D5D10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156F372">
      <w:pPr>
        <w:snapToGrid w:val="0"/>
        <w:spacing w:line="360" w:lineRule="auto"/>
        <w:ind w:firstLine="480" w:firstLineChars="200"/>
        <w:rPr>
          <w:rFonts w:ascii="宋体" w:hAnsi="宋体" w:cs="宋体"/>
          <w:color w:val="auto"/>
          <w:sz w:val="24"/>
          <w:highlight w:val="none"/>
        </w:rPr>
      </w:pPr>
    </w:p>
    <w:p w14:paraId="6A74538A">
      <w:pPr>
        <w:spacing w:line="360" w:lineRule="auto"/>
        <w:ind w:firstLine="480" w:firstLineChars="200"/>
        <w:rPr>
          <w:rFonts w:ascii="宋体" w:hAnsi="宋体" w:cs="宋体"/>
          <w:color w:val="auto"/>
          <w:sz w:val="24"/>
          <w:highlight w:val="none"/>
        </w:rPr>
      </w:pPr>
    </w:p>
    <w:p w14:paraId="5455C6E6">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C6CA9E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14:paraId="2B6FE8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BC634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D0D6062">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C0A1BF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9A774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DA930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6ADE1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3DF24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81D81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4D70E9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29FD4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D3612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3FA05AA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0059375E">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6A40825">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ADFA172">
      <w:pPr>
        <w:snapToGrid w:val="0"/>
        <w:spacing w:line="360" w:lineRule="auto"/>
        <w:ind w:right="480" w:firstLine="559" w:firstLineChars="233"/>
        <w:jc w:val="left"/>
        <w:rPr>
          <w:rFonts w:hint="eastAsia" w:cs="仿宋_GB2312" w:asciiTheme="minorEastAsia" w:hAnsiTheme="minorEastAsia" w:eastAsiaTheme="minorEastAsia"/>
          <w:b/>
          <w:color w:val="auto"/>
          <w:sz w:val="24"/>
          <w:highlight w:val="none"/>
          <w:u w:val="singl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4AA565AD">
      <w:pPr>
        <w:widowControl/>
        <w:spacing w:line="360" w:lineRule="auto"/>
        <w:ind w:firstLine="643" w:firstLineChars="200"/>
        <w:jc w:val="center"/>
        <w:rPr>
          <w:rFonts w:hint="eastAsia" w:ascii="宋体" w:hAnsi="宋体" w:cs="宋体"/>
          <w:b/>
          <w:color w:val="auto"/>
          <w:kern w:val="0"/>
          <w:sz w:val="32"/>
          <w:szCs w:val="32"/>
          <w:highlight w:val="none"/>
        </w:rPr>
      </w:pPr>
    </w:p>
    <w:p w14:paraId="7E1BC0D9">
      <w:pPr>
        <w:widowControl/>
        <w:spacing w:line="360" w:lineRule="auto"/>
        <w:ind w:firstLine="643" w:firstLineChars="200"/>
        <w:jc w:val="center"/>
        <w:rPr>
          <w:rFonts w:hint="eastAsia" w:ascii="宋体" w:hAnsi="宋体" w:cs="宋体"/>
          <w:b/>
          <w:color w:val="auto"/>
          <w:kern w:val="0"/>
          <w:sz w:val="32"/>
          <w:szCs w:val="32"/>
          <w:highlight w:val="none"/>
        </w:rPr>
      </w:pPr>
    </w:p>
    <w:p w14:paraId="2372B7A6">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CB59FE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259CA899">
      <w:pPr>
        <w:snapToGrid w:val="0"/>
        <w:spacing w:line="360" w:lineRule="auto"/>
        <w:ind w:right="480"/>
        <w:jc w:val="center"/>
        <w:rPr>
          <w:rFonts w:hint="eastAsia" w:ascii="宋体" w:hAnsi="宋体" w:cs="宋体"/>
          <w:b/>
          <w:color w:val="auto"/>
          <w:kern w:val="0"/>
          <w:sz w:val="32"/>
          <w:szCs w:val="32"/>
          <w:highlight w:val="none"/>
        </w:rPr>
      </w:pPr>
    </w:p>
    <w:p w14:paraId="53919ACF">
      <w:pPr>
        <w:snapToGrid w:val="0"/>
        <w:spacing w:line="360" w:lineRule="auto"/>
        <w:ind w:right="480"/>
        <w:jc w:val="center"/>
        <w:rPr>
          <w:rFonts w:hint="eastAsia" w:ascii="宋体" w:hAnsi="宋体" w:cs="宋体"/>
          <w:b/>
          <w:color w:val="auto"/>
          <w:kern w:val="0"/>
          <w:sz w:val="32"/>
          <w:szCs w:val="32"/>
          <w:highlight w:val="none"/>
        </w:rPr>
      </w:pPr>
    </w:p>
    <w:p w14:paraId="15D634C8">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0483C12">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4C76E87">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DF1EC93">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r>
        <w:rPr>
          <w:rFonts w:hint="eastAsia" w:ascii="宋体" w:hAnsi="宋体" w:cs="宋体"/>
          <w:b/>
          <w:color w:val="auto"/>
          <w:sz w:val="24"/>
          <w:highlight w:val="none"/>
        </w:rPr>
        <w:t xml:space="preserve">    </w:t>
      </w:r>
    </w:p>
    <w:p w14:paraId="3BA8FA1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4AA921F6">
      <w:pPr>
        <w:widowControl/>
        <w:spacing w:line="360" w:lineRule="auto"/>
        <w:ind w:left="150"/>
        <w:jc w:val="center"/>
        <w:rPr>
          <w:rFonts w:hint="eastAsia" w:ascii="宋体" w:hAnsi="宋体" w:cs="宋体"/>
          <w:b/>
          <w:color w:val="auto"/>
          <w:kern w:val="0"/>
          <w:sz w:val="32"/>
          <w:szCs w:val="32"/>
          <w:highlight w:val="none"/>
        </w:rPr>
      </w:pPr>
    </w:p>
    <w:p w14:paraId="4EAF05E5">
      <w:pPr>
        <w:widowControl/>
        <w:spacing w:line="360" w:lineRule="auto"/>
        <w:ind w:left="150"/>
        <w:jc w:val="center"/>
        <w:rPr>
          <w:rFonts w:hint="eastAsia" w:ascii="宋体" w:hAnsi="宋体" w:cs="宋体"/>
          <w:b/>
          <w:color w:val="auto"/>
          <w:kern w:val="0"/>
          <w:sz w:val="32"/>
          <w:szCs w:val="32"/>
          <w:highlight w:val="none"/>
        </w:rPr>
      </w:pPr>
    </w:p>
    <w:p w14:paraId="52AB7FA7">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56F138E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6224DB3">
      <w:pPr>
        <w:rPr>
          <w:rFonts w:ascii="宋体" w:hAnsi="宋体" w:cs="宋体"/>
          <w:color w:val="auto"/>
          <w:highlight w:val="none"/>
        </w:rPr>
      </w:pPr>
    </w:p>
    <w:p w14:paraId="5D080CCB">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37A99844">
      <w:pPr>
        <w:widowControl/>
        <w:adjustRightInd/>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540017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082AE5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F708BA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0ED85A8A">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80600C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D0A68E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23107BF">
      <w:pPr>
        <w:snapToGrid w:val="0"/>
        <w:spacing w:line="360" w:lineRule="auto"/>
        <w:jc w:val="center"/>
        <w:rPr>
          <w:rFonts w:ascii="宋体" w:hAnsi="宋体" w:cs="宋体"/>
          <w:b/>
          <w:color w:val="auto"/>
          <w:kern w:val="0"/>
          <w:sz w:val="32"/>
          <w:szCs w:val="32"/>
          <w:highlight w:val="none"/>
          <w:lang w:val="zh-CN"/>
        </w:rPr>
      </w:pPr>
    </w:p>
    <w:p w14:paraId="533E0FCC">
      <w:pPr>
        <w:snapToGrid w:val="0"/>
        <w:spacing w:line="360" w:lineRule="auto"/>
        <w:jc w:val="center"/>
        <w:rPr>
          <w:rFonts w:ascii="宋体" w:hAnsi="宋体" w:cs="宋体"/>
          <w:b/>
          <w:color w:val="auto"/>
          <w:kern w:val="0"/>
          <w:sz w:val="32"/>
          <w:szCs w:val="32"/>
          <w:highlight w:val="none"/>
          <w:lang w:val="zh-CN"/>
        </w:rPr>
      </w:pPr>
    </w:p>
    <w:p w14:paraId="086CE163">
      <w:pPr>
        <w:snapToGrid w:val="0"/>
        <w:spacing w:line="360" w:lineRule="auto"/>
        <w:jc w:val="center"/>
        <w:rPr>
          <w:rFonts w:ascii="宋体" w:hAnsi="宋体" w:cs="宋体"/>
          <w:b/>
          <w:color w:val="auto"/>
          <w:kern w:val="0"/>
          <w:sz w:val="32"/>
          <w:szCs w:val="32"/>
          <w:highlight w:val="none"/>
          <w:lang w:val="zh-CN"/>
        </w:rPr>
      </w:pPr>
    </w:p>
    <w:p w14:paraId="48DC96E7">
      <w:pPr>
        <w:snapToGrid w:val="0"/>
        <w:spacing w:line="360" w:lineRule="auto"/>
        <w:jc w:val="center"/>
        <w:rPr>
          <w:rFonts w:ascii="宋体" w:hAnsi="宋体" w:cs="宋体"/>
          <w:b/>
          <w:color w:val="auto"/>
          <w:kern w:val="0"/>
          <w:sz w:val="32"/>
          <w:szCs w:val="32"/>
          <w:highlight w:val="none"/>
          <w:lang w:val="zh-CN"/>
        </w:rPr>
      </w:pPr>
    </w:p>
    <w:p w14:paraId="07AC1C9C">
      <w:pPr>
        <w:snapToGrid w:val="0"/>
        <w:spacing w:line="360" w:lineRule="auto"/>
        <w:jc w:val="center"/>
        <w:rPr>
          <w:rFonts w:ascii="宋体" w:hAnsi="宋体" w:cs="宋体"/>
          <w:b/>
          <w:color w:val="auto"/>
          <w:kern w:val="0"/>
          <w:sz w:val="32"/>
          <w:szCs w:val="32"/>
          <w:highlight w:val="none"/>
          <w:lang w:val="zh-CN"/>
        </w:rPr>
      </w:pPr>
    </w:p>
    <w:p w14:paraId="3C9FFD86">
      <w:pPr>
        <w:snapToGrid w:val="0"/>
        <w:spacing w:line="360" w:lineRule="auto"/>
        <w:jc w:val="center"/>
        <w:outlineLvl w:val="0"/>
        <w:rPr>
          <w:rFonts w:ascii="宋体" w:hAnsi="宋体" w:cs="宋体"/>
          <w:b/>
          <w:color w:val="auto"/>
          <w:kern w:val="0"/>
          <w:sz w:val="32"/>
          <w:szCs w:val="32"/>
          <w:highlight w:val="none"/>
        </w:rPr>
      </w:pPr>
    </w:p>
    <w:p w14:paraId="00DC71FF">
      <w:pPr>
        <w:snapToGrid w:val="0"/>
        <w:spacing w:line="360" w:lineRule="auto"/>
        <w:jc w:val="center"/>
        <w:outlineLvl w:val="0"/>
        <w:rPr>
          <w:rFonts w:ascii="宋体" w:hAnsi="宋体" w:cs="宋体"/>
          <w:b/>
          <w:color w:val="auto"/>
          <w:kern w:val="0"/>
          <w:sz w:val="32"/>
          <w:szCs w:val="32"/>
          <w:highlight w:val="none"/>
        </w:rPr>
      </w:pPr>
    </w:p>
    <w:p w14:paraId="01DC1B9C">
      <w:pPr>
        <w:rPr>
          <w:rFonts w:ascii="宋体" w:hAnsi="宋体" w:cs="宋体"/>
          <w:color w:val="auto"/>
          <w:highlight w:val="none"/>
        </w:rPr>
      </w:pPr>
    </w:p>
    <w:p w14:paraId="3AEC4434">
      <w:pPr>
        <w:snapToGrid w:val="0"/>
        <w:spacing w:line="360" w:lineRule="auto"/>
        <w:jc w:val="center"/>
        <w:outlineLvl w:val="0"/>
        <w:rPr>
          <w:rFonts w:ascii="宋体" w:hAnsi="宋体" w:cs="宋体"/>
          <w:b/>
          <w:color w:val="auto"/>
          <w:kern w:val="0"/>
          <w:sz w:val="32"/>
          <w:szCs w:val="32"/>
          <w:highlight w:val="none"/>
        </w:rPr>
      </w:pPr>
    </w:p>
    <w:p w14:paraId="7D8A2FDB">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A7595CE">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3BD6E9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C674D0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322BF5D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F12CA4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55E66C1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DDB43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F840B9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497D1D0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BF6347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24630F9">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173DD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52B4C9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9E1FE3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E0250E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F433B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11E0C8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577740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08C6751">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4DD9BB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C2F2DD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57AD9FD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5C801AC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5F3D52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7A59A7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5BAB61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27B624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29C9C24E">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D647061">
      <w:pPr>
        <w:numPr>
          <w:ilvl w:val="0"/>
          <w:numId w:val="10"/>
        </w:numPr>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7BC8BFF">
      <w:pPr>
        <w:numPr>
          <w:ilvl w:val="0"/>
          <w:numId w:val="10"/>
        </w:numPr>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0C41DB3">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10E3FD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7A88BF8">
      <w:pPr>
        <w:snapToGrid w:val="0"/>
        <w:spacing w:line="360" w:lineRule="auto"/>
        <w:ind w:left="420" w:leftChars="200" w:firstLine="4200" w:firstLineChars="1750"/>
        <w:rPr>
          <w:rFonts w:ascii="宋体" w:hAnsi="宋体" w:cs="宋体"/>
          <w:color w:val="auto"/>
          <w:kern w:val="0"/>
          <w:sz w:val="24"/>
          <w:highlight w:val="none"/>
          <w:u w:val="single"/>
        </w:rPr>
      </w:pPr>
    </w:p>
    <w:p w14:paraId="3FFBFAC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7C96BFA">
      <w:pPr>
        <w:rPr>
          <w:rFonts w:hint="eastAsia" w:ascii="宋体" w:hAnsi="宋体" w:cs="宋体"/>
          <w:color w:val="auto"/>
          <w:sz w:val="24"/>
          <w:highlight w:val="none"/>
        </w:rPr>
      </w:pPr>
      <w:r>
        <w:rPr>
          <w:rFonts w:hint="eastAsia" w:ascii="宋体" w:hAnsi="宋体" w:cs="宋体"/>
          <w:color w:val="auto"/>
          <w:sz w:val="24"/>
          <w:highlight w:val="none"/>
        </w:rPr>
        <w:br w:type="page"/>
      </w:r>
    </w:p>
    <w:p w14:paraId="56C8FBE3">
      <w:pPr>
        <w:spacing w:line="360" w:lineRule="auto"/>
        <w:ind w:right="420"/>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36046FE">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17BB8F68">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CD6F0C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BCD18C3">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306884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1B8128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80FD91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46FAE1D">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14:paraId="76CC2A6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36D6F6F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9E2CCC0">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BD06EA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2F233C8">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B3E8CE0">
      <w:pPr>
        <w:rPr>
          <w:rFonts w:ascii="宋体" w:hAnsi="宋体" w:cs="宋体"/>
          <w:color w:val="auto"/>
          <w:highlight w:val="none"/>
        </w:rPr>
      </w:pPr>
    </w:p>
    <w:p w14:paraId="7D38B97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5951F6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32B542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25DD400">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912837B">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CB60CF5">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7D3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CDC8EDF">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F0CD10A">
            <w:pPr>
              <w:pStyle w:val="147"/>
              <w:adjustRightInd w:val="0"/>
              <w:spacing w:line="360" w:lineRule="auto"/>
              <w:rPr>
                <w:rFonts w:hAnsi="宋体" w:cs="宋体"/>
                <w:bCs/>
                <w:color w:val="auto"/>
                <w:sz w:val="24"/>
                <w:highlight w:val="none"/>
              </w:rPr>
            </w:pPr>
          </w:p>
        </w:tc>
      </w:tr>
    </w:tbl>
    <w:p w14:paraId="2D1545B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17E00C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4A75C3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CC8087A">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A7BAE01">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41CD330">
      <w:pPr>
        <w:widowControl/>
        <w:spacing w:line="360" w:lineRule="auto"/>
        <w:ind w:firstLine="120" w:firstLineChars="50"/>
        <w:jc w:val="left"/>
        <w:rPr>
          <w:rFonts w:ascii="宋体" w:hAnsi="宋体" w:cs="宋体"/>
          <w:color w:val="auto"/>
          <w:sz w:val="24"/>
          <w:highlight w:val="none"/>
        </w:rPr>
      </w:pPr>
      <w:bookmarkStart w:id="546"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46"/>
    <w:p w14:paraId="089DE4E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64656C1">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2566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63A307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14:paraId="2354F31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D2335E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B19914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203DF9A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5E3A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4D9369A9">
            <w:pPr>
              <w:jc w:val="center"/>
              <w:rPr>
                <w:rFonts w:ascii="宋体" w:hAnsi="宋体" w:cs="宋体"/>
                <w:color w:val="auto"/>
                <w:sz w:val="24"/>
                <w:highlight w:val="none"/>
              </w:rPr>
            </w:pPr>
            <w:r>
              <w:rPr>
                <w:rFonts w:hint="eastAsia" w:ascii="宋体" w:hAnsi="宋体" w:cs="宋体"/>
                <w:color w:val="auto"/>
                <w:sz w:val="24"/>
                <w:highlight w:val="none"/>
              </w:rPr>
              <w:t>1</w:t>
            </w:r>
          </w:p>
        </w:tc>
        <w:tc>
          <w:tcPr>
            <w:tcW w:w="4874" w:type="dxa"/>
          </w:tcPr>
          <w:p w14:paraId="37DC79B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A368685">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2FFCF68F">
            <w:pPr>
              <w:rPr>
                <w:rFonts w:ascii="宋体" w:hAnsi="宋体" w:cs="宋体"/>
                <w:color w:val="auto"/>
                <w:sz w:val="24"/>
                <w:highlight w:val="none"/>
              </w:rPr>
            </w:pPr>
          </w:p>
          <w:p w14:paraId="63310C36">
            <w:pPr>
              <w:rPr>
                <w:rFonts w:ascii="宋体" w:hAnsi="宋体" w:cs="宋体"/>
                <w:color w:val="auto"/>
                <w:sz w:val="24"/>
                <w:highlight w:val="none"/>
              </w:rPr>
            </w:pPr>
            <w:r>
              <w:rPr>
                <w:rFonts w:hint="eastAsia" w:ascii="宋体" w:hAnsi="宋体" w:cs="宋体"/>
                <w:color w:val="auto"/>
                <w:sz w:val="24"/>
                <w:highlight w:val="none"/>
              </w:rPr>
              <w:t>见投标文件</w:t>
            </w:r>
          </w:p>
          <w:p w14:paraId="2B488CD7">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6108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255211F">
            <w:pPr>
              <w:jc w:val="center"/>
              <w:rPr>
                <w:rFonts w:ascii="宋体" w:hAnsi="宋体" w:cs="宋体"/>
                <w:color w:val="auto"/>
                <w:sz w:val="24"/>
                <w:highlight w:val="none"/>
              </w:rPr>
            </w:pPr>
            <w:r>
              <w:rPr>
                <w:rFonts w:hint="eastAsia" w:ascii="宋体" w:hAnsi="宋体" w:cs="宋体"/>
                <w:color w:val="auto"/>
                <w:sz w:val="24"/>
                <w:highlight w:val="none"/>
              </w:rPr>
              <w:t>2</w:t>
            </w:r>
          </w:p>
        </w:tc>
        <w:tc>
          <w:tcPr>
            <w:tcW w:w="4874" w:type="dxa"/>
          </w:tcPr>
          <w:p w14:paraId="7D8982A7">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BF6A65E">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9DBC38C">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C25F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4890C6E7">
            <w:pPr>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4874" w:type="dxa"/>
          </w:tcPr>
          <w:p w14:paraId="5EF744EB">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3F881A11">
            <w:pPr>
              <w:spacing w:line="360" w:lineRule="auto"/>
              <w:rPr>
                <w:rFonts w:hint="default" w:ascii="宋体" w:hAnsi="宋体" w:cs="宋体"/>
                <w:b w:val="0"/>
                <w:bCs w:val="0"/>
                <w:snapToGrid w:val="0"/>
                <w:color w:val="auto"/>
                <w:sz w:val="24"/>
                <w:highlight w:val="none"/>
                <w:lang w:val="en-US" w:eastAsia="zh-CN"/>
              </w:rPr>
            </w:pPr>
          </w:p>
        </w:tc>
        <w:tc>
          <w:tcPr>
            <w:tcW w:w="2551" w:type="dxa"/>
            <w:vAlign w:val="center"/>
          </w:tcPr>
          <w:p w14:paraId="40577D96">
            <w:pP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投标文件</w:t>
            </w:r>
          </w:p>
        </w:tc>
        <w:tc>
          <w:tcPr>
            <w:tcW w:w="1418" w:type="dxa"/>
          </w:tcPr>
          <w:p w14:paraId="71E81F2A">
            <w:pP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p>
        </w:tc>
      </w:tr>
      <w:tr w14:paraId="6C92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E3612D1">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874" w:type="dxa"/>
          </w:tcPr>
          <w:p w14:paraId="75107DC0">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35F93B8E">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tcPr>
          <w:p w14:paraId="00CDD40C">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DBF8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2D61F555">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874" w:type="dxa"/>
          </w:tcPr>
          <w:p w14:paraId="3E23060A">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09BB8572">
            <w:pPr>
              <w:rPr>
                <w:rFonts w:hint="eastAsia" w:ascii="宋体" w:hAnsi="宋体" w:cs="宋体"/>
                <w:b w:val="0"/>
                <w:bCs w:val="0"/>
                <w:color w:val="auto"/>
                <w:kern w:val="0"/>
                <w:sz w:val="24"/>
                <w:highlight w:val="none"/>
              </w:rPr>
            </w:pPr>
          </w:p>
        </w:tc>
        <w:tc>
          <w:tcPr>
            <w:tcW w:w="1418" w:type="dxa"/>
          </w:tcPr>
          <w:p w14:paraId="1E96611A">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64E1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1BF108C6">
            <w:pPr>
              <w:jc w:val="center"/>
              <w:rPr>
                <w:rFonts w:hint="default"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874" w:type="dxa"/>
          </w:tcPr>
          <w:p w14:paraId="0C2EA3E7">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3C43B852">
            <w:pPr>
              <w:rPr>
                <w:rFonts w:hint="eastAsia" w:ascii="宋体" w:hAnsi="宋体" w:cs="宋体"/>
                <w:b w:val="0"/>
                <w:bCs w:val="0"/>
                <w:color w:val="auto"/>
                <w:kern w:val="0"/>
                <w:sz w:val="24"/>
                <w:highlight w:val="none"/>
              </w:rPr>
            </w:pPr>
          </w:p>
        </w:tc>
        <w:tc>
          <w:tcPr>
            <w:tcW w:w="1418" w:type="dxa"/>
          </w:tcPr>
          <w:p w14:paraId="0D1CBF21">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25F6099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EA31DB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D13BBBD">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733A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Pr>
          <w:p w14:paraId="1BBC8E7B">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5EA68CB0">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3A300E76">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026C9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AB8C619">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0DB9A15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544CE0C0">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217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823250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7DA9997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454FDD6E">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D542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D2D506D">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18A9F66E">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3A8ADE79">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596AE7AB">
      <w:pPr>
        <w:pStyle w:val="3"/>
        <w:rPr>
          <w:color w:val="auto"/>
          <w:highlight w:val="none"/>
        </w:rPr>
      </w:pPr>
    </w:p>
    <w:p w14:paraId="48F223D9">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0769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422703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5F33C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26BA03A">
            <w:pPr>
              <w:spacing w:line="360" w:lineRule="auto"/>
              <w:jc w:val="center"/>
              <w:rPr>
                <w:rFonts w:ascii="宋体" w:hAnsi="宋体" w:cs="宋体"/>
                <w:b/>
                <w:color w:val="auto"/>
                <w:sz w:val="24"/>
                <w:highlight w:val="none"/>
              </w:rPr>
            </w:pPr>
          </w:p>
          <w:p w14:paraId="009019E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23C1AC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329D66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945672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35EF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F4873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091DE9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4341F8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FF3149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A12759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BBC93F1">
            <w:pPr>
              <w:spacing w:line="360" w:lineRule="auto"/>
              <w:jc w:val="center"/>
              <w:rPr>
                <w:rFonts w:ascii="宋体" w:hAnsi="宋体" w:cs="宋体"/>
                <w:color w:val="auto"/>
                <w:sz w:val="24"/>
                <w:highlight w:val="none"/>
              </w:rPr>
            </w:pPr>
          </w:p>
        </w:tc>
      </w:tr>
      <w:tr w14:paraId="59759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B6EB7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7969DD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03CFA9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ECFCF6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B4AF24E">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39264DB">
            <w:pPr>
              <w:spacing w:line="360" w:lineRule="auto"/>
              <w:jc w:val="center"/>
              <w:rPr>
                <w:rFonts w:ascii="宋体" w:hAnsi="宋体" w:cs="宋体"/>
                <w:color w:val="auto"/>
                <w:sz w:val="24"/>
                <w:highlight w:val="none"/>
              </w:rPr>
            </w:pPr>
          </w:p>
        </w:tc>
      </w:tr>
      <w:tr w14:paraId="50AB9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01BFEB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07FC8E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F23838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E179C1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8EAF9DE">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A7C8AE7">
            <w:pPr>
              <w:spacing w:line="360" w:lineRule="auto"/>
              <w:jc w:val="center"/>
              <w:rPr>
                <w:rFonts w:ascii="宋体" w:hAnsi="宋体" w:cs="宋体"/>
                <w:color w:val="auto"/>
                <w:sz w:val="24"/>
                <w:highlight w:val="none"/>
              </w:rPr>
            </w:pPr>
          </w:p>
        </w:tc>
      </w:tr>
    </w:tbl>
    <w:p w14:paraId="67A228B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164194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12B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2B3E0A">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23F940B0">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1C592840">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6D5176B9">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451A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07A181">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61D4EEF">
            <w:pPr>
              <w:jc w:val="center"/>
              <w:rPr>
                <w:rFonts w:ascii="宋体" w:hAnsi="宋体" w:cs="宋体"/>
                <w:b/>
                <w:color w:val="auto"/>
                <w:kern w:val="0"/>
                <w:sz w:val="32"/>
                <w:szCs w:val="32"/>
                <w:highlight w:val="none"/>
              </w:rPr>
            </w:pPr>
          </w:p>
        </w:tc>
        <w:tc>
          <w:tcPr>
            <w:tcW w:w="3546" w:type="dxa"/>
          </w:tcPr>
          <w:p w14:paraId="2FFCC0A1">
            <w:pPr>
              <w:jc w:val="center"/>
              <w:rPr>
                <w:rFonts w:ascii="宋体" w:hAnsi="宋体" w:cs="宋体"/>
                <w:b/>
                <w:color w:val="auto"/>
                <w:kern w:val="0"/>
                <w:sz w:val="32"/>
                <w:szCs w:val="32"/>
                <w:highlight w:val="none"/>
              </w:rPr>
            </w:pPr>
          </w:p>
        </w:tc>
        <w:tc>
          <w:tcPr>
            <w:tcW w:w="1276" w:type="dxa"/>
          </w:tcPr>
          <w:p w14:paraId="73DF17AC">
            <w:pPr>
              <w:jc w:val="center"/>
              <w:rPr>
                <w:rFonts w:ascii="宋体" w:hAnsi="宋体" w:cs="宋体"/>
                <w:b/>
                <w:color w:val="auto"/>
                <w:kern w:val="0"/>
                <w:sz w:val="32"/>
                <w:szCs w:val="32"/>
                <w:highlight w:val="none"/>
              </w:rPr>
            </w:pPr>
          </w:p>
        </w:tc>
      </w:tr>
      <w:tr w14:paraId="09F38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7B6D7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62B58E75">
            <w:pPr>
              <w:jc w:val="center"/>
              <w:rPr>
                <w:rFonts w:ascii="宋体" w:hAnsi="宋体" w:cs="宋体"/>
                <w:b/>
                <w:color w:val="auto"/>
                <w:kern w:val="0"/>
                <w:sz w:val="32"/>
                <w:szCs w:val="32"/>
                <w:highlight w:val="none"/>
              </w:rPr>
            </w:pPr>
          </w:p>
        </w:tc>
        <w:tc>
          <w:tcPr>
            <w:tcW w:w="3546" w:type="dxa"/>
          </w:tcPr>
          <w:p w14:paraId="07F96DA7">
            <w:pPr>
              <w:jc w:val="center"/>
              <w:rPr>
                <w:rFonts w:ascii="宋体" w:hAnsi="宋体" w:cs="宋体"/>
                <w:b/>
                <w:color w:val="auto"/>
                <w:kern w:val="0"/>
                <w:sz w:val="32"/>
                <w:szCs w:val="32"/>
                <w:highlight w:val="none"/>
              </w:rPr>
            </w:pPr>
          </w:p>
        </w:tc>
        <w:tc>
          <w:tcPr>
            <w:tcW w:w="1276" w:type="dxa"/>
          </w:tcPr>
          <w:p w14:paraId="5D5160A5">
            <w:pPr>
              <w:jc w:val="center"/>
              <w:rPr>
                <w:rFonts w:ascii="宋体" w:hAnsi="宋体" w:cs="宋体"/>
                <w:b/>
                <w:color w:val="auto"/>
                <w:kern w:val="0"/>
                <w:sz w:val="32"/>
                <w:szCs w:val="32"/>
                <w:highlight w:val="none"/>
              </w:rPr>
            </w:pPr>
          </w:p>
        </w:tc>
      </w:tr>
      <w:tr w14:paraId="6E01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5E791B">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3FD9E1C8">
            <w:pPr>
              <w:jc w:val="center"/>
              <w:rPr>
                <w:rFonts w:ascii="宋体" w:hAnsi="宋体" w:cs="宋体"/>
                <w:b/>
                <w:color w:val="auto"/>
                <w:kern w:val="0"/>
                <w:sz w:val="32"/>
                <w:szCs w:val="32"/>
                <w:highlight w:val="none"/>
              </w:rPr>
            </w:pPr>
          </w:p>
        </w:tc>
        <w:tc>
          <w:tcPr>
            <w:tcW w:w="3546" w:type="dxa"/>
          </w:tcPr>
          <w:p w14:paraId="2DA16160">
            <w:pPr>
              <w:jc w:val="center"/>
              <w:rPr>
                <w:rFonts w:ascii="宋体" w:hAnsi="宋体" w:cs="宋体"/>
                <w:b/>
                <w:color w:val="auto"/>
                <w:kern w:val="0"/>
                <w:sz w:val="32"/>
                <w:szCs w:val="32"/>
                <w:highlight w:val="none"/>
              </w:rPr>
            </w:pPr>
          </w:p>
        </w:tc>
        <w:tc>
          <w:tcPr>
            <w:tcW w:w="1276" w:type="dxa"/>
          </w:tcPr>
          <w:p w14:paraId="3342E494">
            <w:pPr>
              <w:jc w:val="center"/>
              <w:rPr>
                <w:rFonts w:ascii="宋体" w:hAnsi="宋体" w:cs="宋体"/>
                <w:b/>
                <w:color w:val="auto"/>
                <w:kern w:val="0"/>
                <w:sz w:val="32"/>
                <w:szCs w:val="32"/>
                <w:highlight w:val="none"/>
              </w:rPr>
            </w:pPr>
          </w:p>
        </w:tc>
      </w:tr>
    </w:tbl>
    <w:p w14:paraId="7A15F7DE">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A75EFA9">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7B5DE6C2">
      <w:pPr>
        <w:numPr>
          <w:ilvl w:val="0"/>
          <w:numId w:val="0"/>
        </w:numPr>
        <w:spacing w:line="360" w:lineRule="auto"/>
        <w:ind w:right="420"/>
        <w:rPr>
          <w:color w:val="auto"/>
          <w:highlight w:val="none"/>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highlight w:val="none"/>
        </w:rPr>
        <w:t>投标人须保证：除商务技术偏离表列出的偏离外，投标人响应招标文件的全部非实质性要求。</w:t>
      </w:r>
    </w:p>
    <w:p w14:paraId="75F311D6">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6A57C457">
      <w:pPr>
        <w:ind w:firstLine="1911" w:firstLineChars="595"/>
        <w:rPr>
          <w:rFonts w:ascii="宋体" w:hAnsi="宋体" w:cs="宋体"/>
          <w:color w:val="auto"/>
          <w:sz w:val="24"/>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BEEED9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70076E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09686C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412D7E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192E61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78A328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09870AC">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26C6AB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F0D93B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0AA2949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783A10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33F45F4">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CBDDD7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A60E71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437B192">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432FAF9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7FF3D0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CD9BADE">
      <w:pPr>
        <w:spacing w:line="360" w:lineRule="auto"/>
        <w:jc w:val="center"/>
        <w:outlineLvl w:val="0"/>
        <w:rPr>
          <w:rFonts w:ascii="宋体" w:hAnsi="宋体" w:cs="宋体"/>
          <w:b/>
          <w:color w:val="auto"/>
          <w:kern w:val="0"/>
          <w:sz w:val="36"/>
          <w:szCs w:val="36"/>
          <w:highlight w:val="none"/>
        </w:rPr>
      </w:pPr>
    </w:p>
    <w:p w14:paraId="26182862">
      <w:pPr>
        <w:numPr>
          <w:ilvl w:val="0"/>
          <w:numId w:val="1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6280A36D">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41D77FD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4C6A7A1D">
      <w:pPr>
        <w:snapToGrid w:val="0"/>
        <w:spacing w:line="360" w:lineRule="auto"/>
        <w:ind w:right="480"/>
        <w:jc w:val="center"/>
        <w:rPr>
          <w:rFonts w:ascii="宋体" w:hAnsi="宋体" w:cs="宋体"/>
          <w:b/>
          <w:color w:val="auto"/>
          <w:kern w:val="0"/>
          <w:sz w:val="32"/>
          <w:szCs w:val="32"/>
          <w:highlight w:val="none"/>
        </w:rPr>
      </w:pPr>
    </w:p>
    <w:p w14:paraId="0D7EAD49">
      <w:pPr>
        <w:snapToGrid w:val="0"/>
        <w:spacing w:line="360" w:lineRule="auto"/>
        <w:ind w:right="480"/>
        <w:jc w:val="center"/>
        <w:rPr>
          <w:rFonts w:ascii="宋体" w:hAnsi="宋体" w:cs="宋体"/>
          <w:b/>
          <w:color w:val="auto"/>
          <w:kern w:val="0"/>
          <w:sz w:val="32"/>
          <w:szCs w:val="32"/>
          <w:highlight w:val="none"/>
        </w:rPr>
      </w:pPr>
    </w:p>
    <w:p w14:paraId="0226B690">
      <w:pPr>
        <w:snapToGrid w:val="0"/>
        <w:spacing w:line="360" w:lineRule="auto"/>
        <w:ind w:right="480"/>
        <w:jc w:val="center"/>
        <w:rPr>
          <w:rFonts w:ascii="宋体" w:hAnsi="宋体" w:cs="宋体"/>
          <w:b/>
          <w:color w:val="auto"/>
          <w:kern w:val="0"/>
          <w:sz w:val="32"/>
          <w:szCs w:val="32"/>
          <w:highlight w:val="none"/>
        </w:rPr>
      </w:pPr>
    </w:p>
    <w:p w14:paraId="4939701D">
      <w:pPr>
        <w:snapToGrid w:val="0"/>
        <w:spacing w:line="360" w:lineRule="auto"/>
        <w:ind w:right="480"/>
        <w:jc w:val="center"/>
        <w:rPr>
          <w:rFonts w:ascii="宋体" w:hAnsi="宋体" w:cs="宋体"/>
          <w:b/>
          <w:color w:val="auto"/>
          <w:kern w:val="0"/>
          <w:sz w:val="32"/>
          <w:szCs w:val="32"/>
          <w:highlight w:val="none"/>
        </w:rPr>
      </w:pPr>
    </w:p>
    <w:p w14:paraId="541A18FE">
      <w:pPr>
        <w:snapToGrid w:val="0"/>
        <w:spacing w:line="360" w:lineRule="auto"/>
        <w:ind w:right="480"/>
        <w:jc w:val="center"/>
        <w:rPr>
          <w:rFonts w:ascii="宋体" w:hAnsi="宋体" w:cs="宋体"/>
          <w:b/>
          <w:color w:val="auto"/>
          <w:kern w:val="0"/>
          <w:sz w:val="32"/>
          <w:szCs w:val="32"/>
          <w:highlight w:val="none"/>
        </w:rPr>
      </w:pPr>
    </w:p>
    <w:p w14:paraId="72F09208">
      <w:pPr>
        <w:snapToGrid w:val="0"/>
        <w:spacing w:line="360" w:lineRule="auto"/>
        <w:ind w:right="480"/>
        <w:jc w:val="center"/>
        <w:rPr>
          <w:rFonts w:ascii="宋体" w:hAnsi="宋体" w:cs="宋体"/>
          <w:b/>
          <w:color w:val="auto"/>
          <w:kern w:val="0"/>
          <w:sz w:val="32"/>
          <w:szCs w:val="32"/>
          <w:highlight w:val="none"/>
        </w:rPr>
      </w:pPr>
    </w:p>
    <w:p w14:paraId="0695E7A4">
      <w:pPr>
        <w:snapToGrid w:val="0"/>
        <w:spacing w:line="360" w:lineRule="auto"/>
        <w:ind w:right="480"/>
        <w:jc w:val="center"/>
        <w:rPr>
          <w:rFonts w:ascii="宋体" w:hAnsi="宋体" w:cs="宋体"/>
          <w:b/>
          <w:color w:val="auto"/>
          <w:kern w:val="0"/>
          <w:sz w:val="32"/>
          <w:szCs w:val="32"/>
          <w:highlight w:val="none"/>
        </w:rPr>
      </w:pPr>
    </w:p>
    <w:p w14:paraId="382F4E06">
      <w:pPr>
        <w:snapToGrid w:val="0"/>
        <w:spacing w:line="360" w:lineRule="auto"/>
        <w:ind w:right="480"/>
        <w:jc w:val="center"/>
        <w:rPr>
          <w:rFonts w:ascii="宋体" w:hAnsi="宋体" w:cs="宋体"/>
          <w:b/>
          <w:color w:val="auto"/>
          <w:kern w:val="0"/>
          <w:sz w:val="32"/>
          <w:szCs w:val="32"/>
          <w:highlight w:val="none"/>
        </w:rPr>
      </w:pPr>
    </w:p>
    <w:p w14:paraId="169C8E78">
      <w:pPr>
        <w:snapToGrid w:val="0"/>
        <w:spacing w:line="360" w:lineRule="auto"/>
        <w:ind w:right="480"/>
        <w:jc w:val="center"/>
        <w:rPr>
          <w:rFonts w:ascii="宋体" w:hAnsi="宋体" w:cs="宋体"/>
          <w:b/>
          <w:color w:val="auto"/>
          <w:kern w:val="0"/>
          <w:sz w:val="32"/>
          <w:szCs w:val="32"/>
          <w:highlight w:val="none"/>
        </w:rPr>
      </w:pPr>
    </w:p>
    <w:p w14:paraId="66BB76FF">
      <w:pPr>
        <w:snapToGrid w:val="0"/>
        <w:spacing w:line="360" w:lineRule="auto"/>
        <w:ind w:right="480"/>
        <w:jc w:val="center"/>
        <w:rPr>
          <w:rFonts w:ascii="宋体" w:hAnsi="宋体" w:cs="宋体"/>
          <w:b/>
          <w:color w:val="auto"/>
          <w:kern w:val="0"/>
          <w:sz w:val="32"/>
          <w:szCs w:val="32"/>
          <w:highlight w:val="none"/>
        </w:rPr>
      </w:pPr>
    </w:p>
    <w:p w14:paraId="665468F2">
      <w:pPr>
        <w:snapToGrid w:val="0"/>
        <w:spacing w:line="360" w:lineRule="auto"/>
        <w:ind w:right="480"/>
        <w:jc w:val="center"/>
        <w:rPr>
          <w:rFonts w:ascii="宋体" w:hAnsi="宋体" w:cs="宋体"/>
          <w:b/>
          <w:color w:val="auto"/>
          <w:kern w:val="0"/>
          <w:sz w:val="32"/>
          <w:szCs w:val="32"/>
          <w:highlight w:val="none"/>
        </w:rPr>
      </w:pPr>
    </w:p>
    <w:p w14:paraId="730C1B6B">
      <w:pPr>
        <w:snapToGrid w:val="0"/>
        <w:spacing w:line="360" w:lineRule="auto"/>
        <w:ind w:right="480"/>
        <w:jc w:val="center"/>
        <w:rPr>
          <w:rFonts w:ascii="宋体" w:hAnsi="宋体" w:cs="宋体"/>
          <w:b/>
          <w:color w:val="auto"/>
          <w:kern w:val="0"/>
          <w:sz w:val="32"/>
          <w:szCs w:val="32"/>
          <w:highlight w:val="none"/>
        </w:rPr>
      </w:pPr>
    </w:p>
    <w:p w14:paraId="2B3F06C7">
      <w:pPr>
        <w:pStyle w:val="690"/>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68F25B6">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583116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7AFECD7">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7DAE8759">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7A67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B2A42E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2DC09F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61692A88">
            <w:pPr>
              <w:spacing w:line="360" w:lineRule="auto"/>
              <w:jc w:val="center"/>
              <w:rPr>
                <w:rFonts w:ascii="宋体" w:hAnsi="宋体" w:cs="宋体"/>
                <w:b/>
                <w:color w:val="auto"/>
                <w:sz w:val="24"/>
                <w:highlight w:val="none"/>
              </w:rPr>
            </w:pPr>
          </w:p>
          <w:p w14:paraId="29D1944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03E4EFF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2DEBE0F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3AC811B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32D4BE3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6277C2D2">
            <w:pPr>
              <w:spacing w:line="360" w:lineRule="auto"/>
              <w:jc w:val="center"/>
              <w:rPr>
                <w:rFonts w:ascii="宋体" w:hAnsi="宋体" w:cs="宋体"/>
                <w:b/>
                <w:color w:val="auto"/>
                <w:sz w:val="24"/>
                <w:highlight w:val="none"/>
              </w:rPr>
            </w:pPr>
          </w:p>
          <w:p w14:paraId="613A842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664A57F">
            <w:pPr>
              <w:spacing w:line="360" w:lineRule="auto"/>
              <w:jc w:val="center"/>
              <w:rPr>
                <w:rFonts w:ascii="宋体" w:hAnsi="宋体" w:cs="宋体"/>
                <w:b/>
                <w:color w:val="auto"/>
                <w:sz w:val="24"/>
                <w:highlight w:val="none"/>
              </w:rPr>
            </w:pPr>
          </w:p>
        </w:tc>
      </w:tr>
      <w:tr w14:paraId="2C19C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7887B2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5B6DA43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0378821E">
            <w:pPr>
              <w:snapToGrid w:val="0"/>
              <w:spacing w:line="360" w:lineRule="auto"/>
              <w:jc w:val="center"/>
              <w:rPr>
                <w:rFonts w:ascii="宋体" w:hAnsi="宋体" w:cs="宋体"/>
                <w:color w:val="auto"/>
                <w:sz w:val="24"/>
                <w:highlight w:val="none"/>
              </w:rPr>
            </w:pPr>
          </w:p>
        </w:tc>
        <w:tc>
          <w:tcPr>
            <w:tcW w:w="3118" w:type="dxa"/>
            <w:vAlign w:val="center"/>
          </w:tcPr>
          <w:p w14:paraId="22453171">
            <w:pPr>
              <w:snapToGrid w:val="0"/>
              <w:spacing w:line="360" w:lineRule="auto"/>
              <w:jc w:val="center"/>
              <w:rPr>
                <w:rFonts w:ascii="宋体" w:hAnsi="宋体" w:cs="宋体"/>
                <w:color w:val="auto"/>
                <w:sz w:val="24"/>
                <w:highlight w:val="none"/>
              </w:rPr>
            </w:pPr>
          </w:p>
        </w:tc>
        <w:tc>
          <w:tcPr>
            <w:tcW w:w="993" w:type="dxa"/>
            <w:vAlign w:val="center"/>
          </w:tcPr>
          <w:p w14:paraId="277C5E23">
            <w:pPr>
              <w:snapToGrid w:val="0"/>
              <w:spacing w:line="360" w:lineRule="auto"/>
              <w:jc w:val="center"/>
              <w:rPr>
                <w:rFonts w:ascii="宋体" w:hAnsi="宋体" w:cs="宋体"/>
                <w:color w:val="auto"/>
                <w:sz w:val="24"/>
                <w:highlight w:val="none"/>
              </w:rPr>
            </w:pPr>
          </w:p>
        </w:tc>
        <w:tc>
          <w:tcPr>
            <w:tcW w:w="1559" w:type="dxa"/>
            <w:vAlign w:val="center"/>
          </w:tcPr>
          <w:p w14:paraId="76FC9453">
            <w:pPr>
              <w:spacing w:line="360" w:lineRule="auto"/>
              <w:jc w:val="center"/>
              <w:rPr>
                <w:rFonts w:ascii="宋体" w:hAnsi="宋体" w:cs="宋体"/>
                <w:color w:val="auto"/>
                <w:sz w:val="24"/>
                <w:highlight w:val="none"/>
              </w:rPr>
            </w:pPr>
          </w:p>
        </w:tc>
        <w:tc>
          <w:tcPr>
            <w:tcW w:w="1984" w:type="dxa"/>
            <w:vAlign w:val="center"/>
          </w:tcPr>
          <w:p w14:paraId="7C0A928B">
            <w:pPr>
              <w:spacing w:line="360" w:lineRule="auto"/>
              <w:jc w:val="center"/>
              <w:rPr>
                <w:rFonts w:ascii="宋体" w:hAnsi="宋体" w:cs="宋体"/>
                <w:color w:val="auto"/>
                <w:sz w:val="24"/>
                <w:highlight w:val="none"/>
              </w:rPr>
            </w:pPr>
          </w:p>
        </w:tc>
        <w:tc>
          <w:tcPr>
            <w:tcW w:w="3119" w:type="dxa"/>
            <w:vAlign w:val="center"/>
          </w:tcPr>
          <w:p w14:paraId="08E9773B">
            <w:pPr>
              <w:spacing w:line="360" w:lineRule="auto"/>
              <w:jc w:val="center"/>
              <w:rPr>
                <w:rFonts w:ascii="宋体" w:hAnsi="宋体" w:cs="宋体"/>
                <w:color w:val="auto"/>
                <w:sz w:val="24"/>
                <w:highlight w:val="none"/>
              </w:rPr>
            </w:pPr>
          </w:p>
        </w:tc>
      </w:tr>
      <w:tr w14:paraId="5C18F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A14121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4DF4BB7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60DAFB1A">
            <w:pPr>
              <w:snapToGrid w:val="0"/>
              <w:spacing w:line="360" w:lineRule="auto"/>
              <w:jc w:val="center"/>
              <w:rPr>
                <w:rFonts w:ascii="宋体" w:hAnsi="宋体" w:cs="宋体"/>
                <w:color w:val="auto"/>
                <w:sz w:val="24"/>
                <w:highlight w:val="none"/>
              </w:rPr>
            </w:pPr>
          </w:p>
        </w:tc>
        <w:tc>
          <w:tcPr>
            <w:tcW w:w="3118" w:type="dxa"/>
            <w:vAlign w:val="center"/>
          </w:tcPr>
          <w:p w14:paraId="5768A78B">
            <w:pPr>
              <w:snapToGrid w:val="0"/>
              <w:spacing w:line="360" w:lineRule="auto"/>
              <w:jc w:val="center"/>
              <w:rPr>
                <w:rFonts w:ascii="宋体" w:hAnsi="宋体" w:cs="宋体"/>
                <w:color w:val="auto"/>
                <w:sz w:val="24"/>
                <w:highlight w:val="none"/>
              </w:rPr>
            </w:pPr>
          </w:p>
        </w:tc>
        <w:tc>
          <w:tcPr>
            <w:tcW w:w="993" w:type="dxa"/>
            <w:vAlign w:val="center"/>
          </w:tcPr>
          <w:p w14:paraId="6EEE08AB">
            <w:pPr>
              <w:snapToGrid w:val="0"/>
              <w:spacing w:line="360" w:lineRule="auto"/>
              <w:jc w:val="center"/>
              <w:rPr>
                <w:rFonts w:ascii="宋体" w:hAnsi="宋体" w:cs="宋体"/>
                <w:color w:val="auto"/>
                <w:sz w:val="24"/>
                <w:highlight w:val="none"/>
              </w:rPr>
            </w:pPr>
          </w:p>
        </w:tc>
        <w:tc>
          <w:tcPr>
            <w:tcW w:w="1559" w:type="dxa"/>
            <w:vAlign w:val="center"/>
          </w:tcPr>
          <w:p w14:paraId="7B15EBF9">
            <w:pPr>
              <w:spacing w:line="360" w:lineRule="auto"/>
              <w:jc w:val="center"/>
              <w:rPr>
                <w:rFonts w:ascii="宋体" w:hAnsi="宋体" w:cs="宋体"/>
                <w:color w:val="auto"/>
                <w:sz w:val="24"/>
                <w:highlight w:val="none"/>
              </w:rPr>
            </w:pPr>
          </w:p>
        </w:tc>
        <w:tc>
          <w:tcPr>
            <w:tcW w:w="1984" w:type="dxa"/>
            <w:vAlign w:val="center"/>
          </w:tcPr>
          <w:p w14:paraId="4B8B1961">
            <w:pPr>
              <w:spacing w:line="360" w:lineRule="auto"/>
              <w:jc w:val="center"/>
              <w:rPr>
                <w:rFonts w:ascii="宋体" w:hAnsi="宋体" w:cs="宋体"/>
                <w:color w:val="auto"/>
                <w:sz w:val="24"/>
                <w:highlight w:val="none"/>
              </w:rPr>
            </w:pPr>
          </w:p>
        </w:tc>
        <w:tc>
          <w:tcPr>
            <w:tcW w:w="3119" w:type="dxa"/>
            <w:vAlign w:val="center"/>
          </w:tcPr>
          <w:p w14:paraId="0E5DE217">
            <w:pPr>
              <w:spacing w:line="360" w:lineRule="auto"/>
              <w:jc w:val="center"/>
              <w:rPr>
                <w:rFonts w:ascii="宋体" w:hAnsi="宋体" w:cs="宋体"/>
                <w:color w:val="auto"/>
                <w:sz w:val="24"/>
                <w:highlight w:val="none"/>
              </w:rPr>
            </w:pPr>
          </w:p>
        </w:tc>
      </w:tr>
      <w:tr w14:paraId="547E0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EDDB5C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21B9CDDC">
            <w:pPr>
              <w:snapToGrid w:val="0"/>
              <w:spacing w:line="360" w:lineRule="auto"/>
              <w:jc w:val="center"/>
              <w:rPr>
                <w:rFonts w:ascii="宋体" w:hAnsi="宋体" w:cs="宋体"/>
                <w:color w:val="auto"/>
                <w:sz w:val="24"/>
                <w:highlight w:val="none"/>
              </w:rPr>
            </w:pPr>
          </w:p>
        </w:tc>
        <w:tc>
          <w:tcPr>
            <w:tcW w:w="1843" w:type="dxa"/>
            <w:vAlign w:val="center"/>
          </w:tcPr>
          <w:p w14:paraId="7DE316FD">
            <w:pPr>
              <w:snapToGrid w:val="0"/>
              <w:spacing w:line="360" w:lineRule="auto"/>
              <w:jc w:val="center"/>
              <w:rPr>
                <w:rFonts w:ascii="宋体" w:hAnsi="宋体" w:cs="宋体"/>
                <w:color w:val="auto"/>
                <w:sz w:val="24"/>
                <w:highlight w:val="none"/>
              </w:rPr>
            </w:pPr>
          </w:p>
        </w:tc>
        <w:tc>
          <w:tcPr>
            <w:tcW w:w="3118" w:type="dxa"/>
            <w:vAlign w:val="center"/>
          </w:tcPr>
          <w:p w14:paraId="504EDCB7">
            <w:pPr>
              <w:snapToGrid w:val="0"/>
              <w:spacing w:line="360" w:lineRule="auto"/>
              <w:jc w:val="center"/>
              <w:rPr>
                <w:rFonts w:ascii="宋体" w:hAnsi="宋体" w:cs="宋体"/>
                <w:color w:val="auto"/>
                <w:sz w:val="24"/>
                <w:highlight w:val="none"/>
              </w:rPr>
            </w:pPr>
          </w:p>
        </w:tc>
        <w:tc>
          <w:tcPr>
            <w:tcW w:w="993" w:type="dxa"/>
            <w:vAlign w:val="center"/>
          </w:tcPr>
          <w:p w14:paraId="30A52C3B">
            <w:pPr>
              <w:snapToGrid w:val="0"/>
              <w:spacing w:line="360" w:lineRule="auto"/>
              <w:jc w:val="center"/>
              <w:rPr>
                <w:rFonts w:ascii="宋体" w:hAnsi="宋体" w:cs="宋体"/>
                <w:color w:val="auto"/>
                <w:sz w:val="24"/>
                <w:highlight w:val="none"/>
              </w:rPr>
            </w:pPr>
          </w:p>
        </w:tc>
        <w:tc>
          <w:tcPr>
            <w:tcW w:w="1559" w:type="dxa"/>
            <w:vAlign w:val="center"/>
          </w:tcPr>
          <w:p w14:paraId="15A90148">
            <w:pPr>
              <w:spacing w:line="360" w:lineRule="auto"/>
              <w:jc w:val="center"/>
              <w:rPr>
                <w:rFonts w:ascii="宋体" w:hAnsi="宋体" w:cs="宋体"/>
                <w:color w:val="auto"/>
                <w:sz w:val="24"/>
                <w:highlight w:val="none"/>
              </w:rPr>
            </w:pPr>
          </w:p>
        </w:tc>
        <w:tc>
          <w:tcPr>
            <w:tcW w:w="1984" w:type="dxa"/>
            <w:vAlign w:val="center"/>
          </w:tcPr>
          <w:p w14:paraId="6318A836">
            <w:pPr>
              <w:spacing w:line="360" w:lineRule="auto"/>
              <w:jc w:val="center"/>
              <w:rPr>
                <w:rFonts w:ascii="宋体" w:hAnsi="宋体" w:cs="宋体"/>
                <w:color w:val="auto"/>
                <w:sz w:val="24"/>
                <w:highlight w:val="none"/>
              </w:rPr>
            </w:pPr>
          </w:p>
        </w:tc>
        <w:tc>
          <w:tcPr>
            <w:tcW w:w="3119" w:type="dxa"/>
            <w:vAlign w:val="center"/>
          </w:tcPr>
          <w:p w14:paraId="4E7356AB">
            <w:pPr>
              <w:spacing w:line="360" w:lineRule="auto"/>
              <w:jc w:val="center"/>
              <w:rPr>
                <w:rFonts w:ascii="宋体" w:hAnsi="宋体" w:cs="宋体"/>
                <w:color w:val="auto"/>
                <w:sz w:val="24"/>
                <w:highlight w:val="none"/>
              </w:rPr>
            </w:pPr>
          </w:p>
        </w:tc>
      </w:tr>
      <w:tr w14:paraId="7E6D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64C4199">
            <w:pPr>
              <w:spacing w:line="360" w:lineRule="auto"/>
              <w:jc w:val="center"/>
              <w:rPr>
                <w:rFonts w:ascii="宋体" w:hAnsi="宋体" w:cs="宋体"/>
                <w:color w:val="auto"/>
                <w:sz w:val="24"/>
                <w:highlight w:val="none"/>
              </w:rPr>
            </w:pPr>
          </w:p>
        </w:tc>
        <w:tc>
          <w:tcPr>
            <w:tcW w:w="1417" w:type="dxa"/>
            <w:vAlign w:val="center"/>
          </w:tcPr>
          <w:p w14:paraId="53D038FE">
            <w:pPr>
              <w:snapToGrid w:val="0"/>
              <w:spacing w:line="360" w:lineRule="auto"/>
              <w:jc w:val="center"/>
              <w:rPr>
                <w:rFonts w:ascii="宋体" w:hAnsi="宋体" w:cs="宋体"/>
                <w:color w:val="auto"/>
                <w:sz w:val="24"/>
                <w:highlight w:val="none"/>
              </w:rPr>
            </w:pPr>
          </w:p>
        </w:tc>
        <w:tc>
          <w:tcPr>
            <w:tcW w:w="1843" w:type="dxa"/>
            <w:vAlign w:val="center"/>
          </w:tcPr>
          <w:p w14:paraId="07766585">
            <w:pPr>
              <w:snapToGrid w:val="0"/>
              <w:spacing w:line="360" w:lineRule="auto"/>
              <w:jc w:val="center"/>
              <w:rPr>
                <w:rFonts w:ascii="宋体" w:hAnsi="宋体" w:cs="宋体"/>
                <w:color w:val="auto"/>
                <w:sz w:val="24"/>
                <w:highlight w:val="none"/>
              </w:rPr>
            </w:pPr>
          </w:p>
        </w:tc>
        <w:tc>
          <w:tcPr>
            <w:tcW w:w="3118" w:type="dxa"/>
            <w:vAlign w:val="center"/>
          </w:tcPr>
          <w:p w14:paraId="0C35FBB5">
            <w:pPr>
              <w:snapToGrid w:val="0"/>
              <w:spacing w:line="360" w:lineRule="auto"/>
              <w:jc w:val="center"/>
              <w:rPr>
                <w:rFonts w:ascii="宋体" w:hAnsi="宋体" w:cs="宋体"/>
                <w:color w:val="auto"/>
                <w:sz w:val="24"/>
                <w:highlight w:val="none"/>
              </w:rPr>
            </w:pPr>
          </w:p>
        </w:tc>
        <w:tc>
          <w:tcPr>
            <w:tcW w:w="993" w:type="dxa"/>
            <w:vAlign w:val="center"/>
          </w:tcPr>
          <w:p w14:paraId="2EFF5CD1">
            <w:pPr>
              <w:snapToGrid w:val="0"/>
              <w:spacing w:line="360" w:lineRule="auto"/>
              <w:jc w:val="center"/>
              <w:rPr>
                <w:rFonts w:ascii="宋体" w:hAnsi="宋体" w:cs="宋体"/>
                <w:color w:val="auto"/>
                <w:sz w:val="24"/>
                <w:highlight w:val="none"/>
              </w:rPr>
            </w:pPr>
          </w:p>
        </w:tc>
        <w:tc>
          <w:tcPr>
            <w:tcW w:w="1559" w:type="dxa"/>
            <w:vAlign w:val="center"/>
          </w:tcPr>
          <w:p w14:paraId="0340C9F7">
            <w:pPr>
              <w:spacing w:line="360" w:lineRule="auto"/>
              <w:jc w:val="center"/>
              <w:rPr>
                <w:rFonts w:ascii="宋体" w:hAnsi="宋体" w:cs="宋体"/>
                <w:color w:val="auto"/>
                <w:sz w:val="24"/>
                <w:highlight w:val="none"/>
              </w:rPr>
            </w:pPr>
          </w:p>
        </w:tc>
        <w:tc>
          <w:tcPr>
            <w:tcW w:w="1984" w:type="dxa"/>
            <w:vAlign w:val="center"/>
          </w:tcPr>
          <w:p w14:paraId="08ACA7E8">
            <w:pPr>
              <w:spacing w:line="360" w:lineRule="auto"/>
              <w:jc w:val="center"/>
              <w:rPr>
                <w:rFonts w:ascii="宋体" w:hAnsi="宋体" w:cs="宋体"/>
                <w:color w:val="auto"/>
                <w:sz w:val="24"/>
                <w:highlight w:val="none"/>
              </w:rPr>
            </w:pPr>
          </w:p>
        </w:tc>
        <w:tc>
          <w:tcPr>
            <w:tcW w:w="3119" w:type="dxa"/>
            <w:vAlign w:val="center"/>
          </w:tcPr>
          <w:p w14:paraId="643A5793">
            <w:pPr>
              <w:spacing w:line="360" w:lineRule="auto"/>
              <w:jc w:val="center"/>
              <w:rPr>
                <w:rFonts w:ascii="宋体" w:hAnsi="宋体" w:cs="宋体"/>
                <w:color w:val="auto"/>
                <w:sz w:val="24"/>
                <w:highlight w:val="none"/>
              </w:rPr>
            </w:pPr>
          </w:p>
        </w:tc>
      </w:tr>
      <w:tr w14:paraId="3744D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6DB621A">
            <w:pPr>
              <w:spacing w:line="360" w:lineRule="auto"/>
              <w:jc w:val="center"/>
              <w:rPr>
                <w:rFonts w:ascii="宋体" w:hAnsi="宋体" w:cs="宋体"/>
                <w:color w:val="auto"/>
                <w:sz w:val="24"/>
                <w:highlight w:val="none"/>
              </w:rPr>
            </w:pPr>
          </w:p>
        </w:tc>
        <w:tc>
          <w:tcPr>
            <w:tcW w:w="1417" w:type="dxa"/>
            <w:vAlign w:val="center"/>
          </w:tcPr>
          <w:p w14:paraId="25F6FFA5">
            <w:pPr>
              <w:snapToGrid w:val="0"/>
              <w:spacing w:line="360" w:lineRule="auto"/>
              <w:jc w:val="center"/>
              <w:rPr>
                <w:rFonts w:ascii="宋体" w:hAnsi="宋体" w:cs="宋体"/>
                <w:color w:val="auto"/>
                <w:sz w:val="24"/>
                <w:highlight w:val="none"/>
              </w:rPr>
            </w:pPr>
          </w:p>
        </w:tc>
        <w:tc>
          <w:tcPr>
            <w:tcW w:w="1843" w:type="dxa"/>
            <w:vAlign w:val="center"/>
          </w:tcPr>
          <w:p w14:paraId="5F8711BA">
            <w:pPr>
              <w:snapToGrid w:val="0"/>
              <w:spacing w:line="360" w:lineRule="auto"/>
              <w:jc w:val="center"/>
              <w:rPr>
                <w:rFonts w:ascii="宋体" w:hAnsi="宋体" w:cs="宋体"/>
                <w:color w:val="auto"/>
                <w:sz w:val="24"/>
                <w:highlight w:val="none"/>
              </w:rPr>
            </w:pPr>
          </w:p>
        </w:tc>
        <w:tc>
          <w:tcPr>
            <w:tcW w:w="3118" w:type="dxa"/>
            <w:vAlign w:val="center"/>
          </w:tcPr>
          <w:p w14:paraId="3CA0FF2E">
            <w:pPr>
              <w:snapToGrid w:val="0"/>
              <w:spacing w:line="360" w:lineRule="auto"/>
              <w:jc w:val="center"/>
              <w:rPr>
                <w:rFonts w:ascii="宋体" w:hAnsi="宋体" w:cs="宋体"/>
                <w:color w:val="auto"/>
                <w:sz w:val="24"/>
                <w:highlight w:val="none"/>
              </w:rPr>
            </w:pPr>
          </w:p>
        </w:tc>
        <w:tc>
          <w:tcPr>
            <w:tcW w:w="993" w:type="dxa"/>
            <w:vAlign w:val="center"/>
          </w:tcPr>
          <w:p w14:paraId="639A6D78">
            <w:pPr>
              <w:snapToGrid w:val="0"/>
              <w:spacing w:line="360" w:lineRule="auto"/>
              <w:jc w:val="center"/>
              <w:rPr>
                <w:rFonts w:ascii="宋体" w:hAnsi="宋体" w:cs="宋体"/>
                <w:color w:val="auto"/>
                <w:sz w:val="24"/>
                <w:highlight w:val="none"/>
              </w:rPr>
            </w:pPr>
          </w:p>
        </w:tc>
        <w:tc>
          <w:tcPr>
            <w:tcW w:w="1559" w:type="dxa"/>
            <w:vAlign w:val="center"/>
          </w:tcPr>
          <w:p w14:paraId="6903E5C1">
            <w:pPr>
              <w:spacing w:line="360" w:lineRule="auto"/>
              <w:jc w:val="center"/>
              <w:rPr>
                <w:rFonts w:ascii="宋体" w:hAnsi="宋体" w:cs="宋体"/>
                <w:color w:val="auto"/>
                <w:sz w:val="24"/>
                <w:highlight w:val="none"/>
              </w:rPr>
            </w:pPr>
          </w:p>
        </w:tc>
        <w:tc>
          <w:tcPr>
            <w:tcW w:w="1984" w:type="dxa"/>
            <w:vAlign w:val="center"/>
          </w:tcPr>
          <w:p w14:paraId="6A72C31A">
            <w:pPr>
              <w:spacing w:line="360" w:lineRule="auto"/>
              <w:jc w:val="center"/>
              <w:rPr>
                <w:rFonts w:ascii="宋体" w:hAnsi="宋体" w:cs="宋体"/>
                <w:color w:val="auto"/>
                <w:sz w:val="24"/>
                <w:highlight w:val="none"/>
              </w:rPr>
            </w:pPr>
          </w:p>
        </w:tc>
        <w:tc>
          <w:tcPr>
            <w:tcW w:w="3119" w:type="dxa"/>
            <w:vAlign w:val="center"/>
          </w:tcPr>
          <w:p w14:paraId="692D4409">
            <w:pPr>
              <w:spacing w:line="360" w:lineRule="auto"/>
              <w:jc w:val="center"/>
              <w:rPr>
                <w:rFonts w:ascii="宋体" w:hAnsi="宋体" w:cs="宋体"/>
                <w:color w:val="auto"/>
                <w:sz w:val="24"/>
                <w:highlight w:val="none"/>
              </w:rPr>
            </w:pPr>
          </w:p>
        </w:tc>
      </w:tr>
      <w:tr w14:paraId="369D3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8AD0A0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698C8C79">
            <w:pPr>
              <w:spacing w:line="360" w:lineRule="auto"/>
              <w:jc w:val="center"/>
              <w:rPr>
                <w:rFonts w:ascii="宋体" w:hAnsi="宋体" w:cs="宋体"/>
                <w:color w:val="auto"/>
                <w:sz w:val="24"/>
                <w:highlight w:val="none"/>
              </w:rPr>
            </w:pPr>
          </w:p>
        </w:tc>
      </w:tr>
      <w:tr w14:paraId="3A6D4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EE6B6D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4D734359">
            <w:pPr>
              <w:spacing w:line="360" w:lineRule="auto"/>
              <w:jc w:val="center"/>
              <w:rPr>
                <w:rFonts w:ascii="宋体" w:hAnsi="宋体" w:cs="宋体"/>
                <w:color w:val="auto"/>
                <w:sz w:val="24"/>
                <w:highlight w:val="none"/>
              </w:rPr>
            </w:pPr>
          </w:p>
        </w:tc>
      </w:tr>
    </w:tbl>
    <w:p w14:paraId="3A0C2ABE">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64574A9">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0736318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546FF8C">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164CFD20">
      <w:pPr>
        <w:rPr>
          <w:rFonts w:ascii="宋体" w:hAnsi="宋体" w:eastAsia="宋体" w:cs="宋体"/>
          <w:color w:val="auto"/>
          <w:kern w:val="2"/>
          <w:sz w:val="32"/>
          <w:szCs w:val="32"/>
          <w:highlight w:val="none"/>
        </w:rPr>
      </w:pPr>
      <w:r>
        <w:rPr>
          <w:rFonts w:ascii="宋体" w:hAnsi="宋体" w:eastAsia="宋体" w:cs="宋体"/>
          <w:color w:val="auto"/>
          <w:kern w:val="2"/>
          <w:sz w:val="32"/>
          <w:szCs w:val="32"/>
          <w:highlight w:val="none"/>
        </w:rPr>
        <w:br w:type="page"/>
      </w:r>
    </w:p>
    <w:p w14:paraId="37F22867">
      <w:pPr>
        <w:pStyle w:val="690"/>
        <w:keepNext w:val="0"/>
        <w:pageBreakBefore w:val="0"/>
        <w:tabs>
          <w:tab w:val="clear" w:pos="720"/>
        </w:tabs>
        <w:snapToGrid w:val="0"/>
        <w:spacing w:before="120" w:after="120"/>
        <w:ind w:firstLine="643"/>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196607D6">
      <w:pPr>
        <w:pStyle w:val="690"/>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71C264FC">
      <w:pPr>
        <w:pStyle w:val="690"/>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5F19FF30">
      <w:pPr>
        <w:pStyle w:val="690"/>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highlight w:val="none"/>
        </w:rPr>
      </w:pPr>
    </w:p>
    <w:p w14:paraId="43E18875">
      <w:pPr>
        <w:pStyle w:val="690"/>
        <w:keepNext w:val="0"/>
        <w:pageBreakBefore w:val="0"/>
        <w:tabs>
          <w:tab w:val="clear" w:pos="720"/>
        </w:tabs>
        <w:snapToGrid w:val="0"/>
        <w:spacing w:before="120" w:after="120"/>
        <w:jc w:val="center"/>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547" w:name="_Hlk101259491"/>
      <w:r>
        <w:rPr>
          <w:rFonts w:hint="eastAsia" w:ascii="宋体" w:hAnsi="宋体" w:eastAsia="宋体" w:cs="宋体"/>
          <w:color w:val="auto"/>
          <w:sz w:val="32"/>
          <w:szCs w:val="32"/>
          <w:highlight w:val="none"/>
        </w:rPr>
        <w:t>（如果有）</w:t>
      </w:r>
      <w:bookmarkEnd w:id="547"/>
    </w:p>
    <w:p w14:paraId="28ECD851">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FB24281">
      <w:pPr>
        <w:spacing w:line="360" w:lineRule="auto"/>
        <w:ind w:right="420"/>
        <w:rPr>
          <w:rFonts w:ascii="宋体" w:hAnsi="宋体" w:cs="宋体"/>
          <w:b/>
          <w:color w:val="auto"/>
          <w:kern w:val="0"/>
          <w:sz w:val="36"/>
          <w:szCs w:val="36"/>
          <w:highlight w:val="none"/>
        </w:rPr>
      </w:pPr>
    </w:p>
    <w:p w14:paraId="02EE19DA">
      <w:pPr>
        <w:pStyle w:val="2"/>
        <w:keepNext w:val="0"/>
        <w:keepLines w:val="0"/>
        <w:pageBreakBefore/>
        <w:widowControl/>
        <w:spacing w:before="100" w:beforeAutospacing="1" w:after="100" w:afterAutospacing="1" w:line="360" w:lineRule="auto"/>
        <w:ind w:left="0" w:leftChars="0" w:firstLine="0" w:firstLineChars="0"/>
        <w:jc w:val="center"/>
        <w:rPr>
          <w:rFonts w:ascii="宋体" w:hAnsi="宋体" w:cs="宋体"/>
          <w:color w:val="auto"/>
          <w:sz w:val="32"/>
          <w:szCs w:val="32"/>
          <w:highlight w:val="none"/>
        </w:rPr>
      </w:pPr>
      <w:bookmarkStart w:id="548" w:name="_Toc465665161"/>
      <w:r>
        <w:rPr>
          <w:rFonts w:hint="eastAsia" w:ascii="宋体" w:hAnsi="宋体" w:cs="宋体"/>
          <w:color w:val="auto"/>
          <w:sz w:val="32"/>
          <w:szCs w:val="32"/>
          <w:highlight w:val="none"/>
        </w:rPr>
        <w:t>附件</w:t>
      </w:r>
      <w:bookmarkEnd w:id="548"/>
    </w:p>
    <w:p w14:paraId="7F458D1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6213457">
      <w:pPr>
        <w:spacing w:line="360" w:lineRule="auto"/>
        <w:jc w:val="center"/>
        <w:rPr>
          <w:rFonts w:ascii="宋体" w:hAnsi="宋体" w:cs="宋体"/>
          <w:b/>
          <w:color w:val="auto"/>
          <w:spacing w:val="6"/>
          <w:sz w:val="32"/>
          <w:szCs w:val="32"/>
          <w:highlight w:val="none"/>
        </w:rPr>
      </w:pPr>
      <w:bookmarkStart w:id="549" w:name="OLE_LINK13"/>
      <w:bookmarkStart w:id="550" w:name="OLE_LINK14"/>
      <w:r>
        <w:rPr>
          <w:rFonts w:hint="eastAsia" w:ascii="宋体" w:hAnsi="宋体" w:cs="宋体"/>
          <w:b/>
          <w:color w:val="auto"/>
          <w:spacing w:val="6"/>
          <w:sz w:val="32"/>
          <w:szCs w:val="32"/>
          <w:highlight w:val="none"/>
        </w:rPr>
        <w:t>残疾人福利性单位声明函</w:t>
      </w:r>
    </w:p>
    <w:bookmarkEnd w:id="549"/>
    <w:bookmarkEnd w:id="550"/>
    <w:p w14:paraId="784F3FB2">
      <w:pPr>
        <w:spacing w:line="360" w:lineRule="auto"/>
        <w:rPr>
          <w:rFonts w:ascii="宋体" w:hAnsi="宋体" w:cs="宋体"/>
          <w:b/>
          <w:color w:val="auto"/>
          <w:spacing w:val="6"/>
          <w:sz w:val="30"/>
          <w:szCs w:val="30"/>
          <w:highlight w:val="none"/>
        </w:rPr>
      </w:pPr>
    </w:p>
    <w:p w14:paraId="6A7438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7CE0D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B8ACC51">
      <w:pPr>
        <w:spacing w:line="360" w:lineRule="auto"/>
        <w:ind w:firstLine="480" w:firstLineChars="200"/>
        <w:rPr>
          <w:rFonts w:ascii="宋体" w:hAnsi="宋体" w:cs="宋体"/>
          <w:color w:val="auto"/>
          <w:sz w:val="24"/>
          <w:highlight w:val="none"/>
        </w:rPr>
      </w:pPr>
    </w:p>
    <w:p w14:paraId="136FAEAE">
      <w:pPr>
        <w:spacing w:line="360" w:lineRule="auto"/>
        <w:ind w:firstLine="480" w:firstLineChars="200"/>
        <w:rPr>
          <w:rFonts w:ascii="宋体" w:hAnsi="宋体" w:cs="宋体"/>
          <w:color w:val="auto"/>
          <w:sz w:val="24"/>
          <w:highlight w:val="none"/>
        </w:rPr>
      </w:pPr>
    </w:p>
    <w:p w14:paraId="2E4F0C3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955ABA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C1C9FF0">
      <w:pPr>
        <w:spacing w:line="360" w:lineRule="auto"/>
        <w:ind w:firstLine="480" w:firstLineChars="200"/>
        <w:rPr>
          <w:rFonts w:ascii="宋体" w:hAnsi="宋体" w:cs="宋体"/>
          <w:color w:val="auto"/>
          <w:sz w:val="24"/>
          <w:highlight w:val="none"/>
        </w:rPr>
      </w:pPr>
    </w:p>
    <w:p w14:paraId="6BC95861">
      <w:pPr>
        <w:spacing w:line="360" w:lineRule="auto"/>
        <w:ind w:firstLine="420" w:firstLineChars="200"/>
        <w:rPr>
          <w:rFonts w:ascii="宋体" w:hAnsi="宋体" w:cs="宋体"/>
          <w:color w:val="auto"/>
          <w:highlight w:val="none"/>
        </w:rPr>
      </w:pPr>
    </w:p>
    <w:p w14:paraId="72991390">
      <w:pPr>
        <w:spacing w:line="360" w:lineRule="auto"/>
        <w:ind w:firstLine="420" w:firstLineChars="200"/>
        <w:rPr>
          <w:rFonts w:ascii="宋体" w:hAnsi="宋体" w:cs="宋体"/>
          <w:color w:val="auto"/>
          <w:highlight w:val="none"/>
        </w:rPr>
      </w:pPr>
    </w:p>
    <w:p w14:paraId="04699BAC">
      <w:pPr>
        <w:spacing w:line="360" w:lineRule="auto"/>
        <w:ind w:firstLine="420" w:firstLineChars="200"/>
        <w:rPr>
          <w:rFonts w:ascii="宋体" w:hAnsi="宋体" w:cs="宋体"/>
          <w:color w:val="auto"/>
          <w:highlight w:val="none"/>
        </w:rPr>
      </w:pPr>
    </w:p>
    <w:p w14:paraId="1A02F1F6">
      <w:pPr>
        <w:spacing w:line="360" w:lineRule="auto"/>
        <w:ind w:firstLine="420" w:firstLineChars="200"/>
        <w:rPr>
          <w:rFonts w:ascii="宋体" w:hAnsi="宋体" w:cs="宋体"/>
          <w:color w:val="auto"/>
          <w:highlight w:val="none"/>
        </w:rPr>
      </w:pPr>
    </w:p>
    <w:p w14:paraId="1367A8F4">
      <w:pPr>
        <w:spacing w:line="360" w:lineRule="auto"/>
        <w:rPr>
          <w:rFonts w:ascii="宋体" w:hAnsi="宋体" w:cs="宋体"/>
          <w:b/>
          <w:color w:val="auto"/>
          <w:sz w:val="24"/>
          <w:highlight w:val="none"/>
        </w:rPr>
      </w:pPr>
    </w:p>
    <w:p w14:paraId="614EE740">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332552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3FFF653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1DF6B0B">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23AB20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27A389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AE4A7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B02C44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40928B6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E4CAEC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6C2281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4763BC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A04C57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31EFC0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33E788A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24E629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CFA073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93673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4FF7D7">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CB5C48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360758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7E677D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3D3B42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748099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63E357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BC77D9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C16E1F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73CFE64">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951F9C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4C554E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DFB101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FD2847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F5F699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D6E512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B562E85">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39D8A64">
      <w:pPr>
        <w:spacing w:line="360" w:lineRule="auto"/>
        <w:jc w:val="center"/>
        <w:rPr>
          <w:rFonts w:ascii="宋体" w:hAnsi="宋体" w:cs="宋体"/>
          <w:b/>
          <w:color w:val="auto"/>
          <w:sz w:val="24"/>
          <w:highlight w:val="none"/>
        </w:rPr>
      </w:pPr>
      <w:r>
        <w:rPr>
          <w:rFonts w:hint="eastAsia" w:ascii="宋体" w:hAnsi="宋体" w:cs="宋体"/>
          <w:b/>
          <w:color w:val="auto"/>
          <w:spacing w:val="6"/>
          <w:sz w:val="32"/>
          <w:szCs w:val="32"/>
          <w:highlight w:val="none"/>
        </w:rPr>
        <w:t>附件3：投诉书范本及制作说明</w:t>
      </w:r>
    </w:p>
    <w:p w14:paraId="70F7842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34FEE1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8E9F5B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9B8647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98863D">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65DB0AA">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1AD7ED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ECE0950">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B7F1BB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734853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5EB40C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DFFD0C3">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C89283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D00068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884A5D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6FFC5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7F3D89C">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EA962A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5BDA7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DD3EB1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FCF84E3">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1E0BF04">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F3C4B0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C8D4921">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0BD46A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85A6C4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20054F9">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BCC406E">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215E9D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43DEC2E">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1EFCD7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0B40A4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69C482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650CB3C">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201C60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750E500">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D38B5B9">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92AF216">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2309700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6E57B6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9B015B0">
      <w:pPr>
        <w:spacing w:line="360" w:lineRule="auto"/>
        <w:rPr>
          <w:rFonts w:ascii="宋体" w:hAnsi="宋体" w:cs="宋体"/>
          <w:b/>
          <w:color w:val="auto"/>
          <w:sz w:val="24"/>
          <w:highlight w:val="none"/>
        </w:rPr>
      </w:pPr>
    </w:p>
    <w:p w14:paraId="30FE433E">
      <w:pPr>
        <w:spacing w:line="360" w:lineRule="auto"/>
        <w:rPr>
          <w:rFonts w:ascii="宋体" w:hAnsi="宋体" w:cs="宋体"/>
          <w:b/>
          <w:color w:val="auto"/>
          <w:sz w:val="24"/>
          <w:highlight w:val="none"/>
        </w:rPr>
      </w:pPr>
    </w:p>
    <w:p w14:paraId="315B7D33">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1E46E3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AC1DBA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3BEBCE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9FBCA4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E78455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41EFC3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96B731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053A347">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6AAC335">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A1E9D8D">
      <w:pPr>
        <w:spacing w:line="360" w:lineRule="auto"/>
        <w:rPr>
          <w:rFonts w:ascii="宋体" w:hAnsi="宋体" w:cs="宋体"/>
          <w:color w:val="auto"/>
          <w:sz w:val="24"/>
          <w:highlight w:val="none"/>
          <w:u w:val="single"/>
        </w:rPr>
      </w:pPr>
    </w:p>
    <w:p w14:paraId="43B66773">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165BE3A">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4EBF4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2588673">
      <w:pPr>
        <w:spacing w:line="360" w:lineRule="auto"/>
        <w:ind w:firstLine="494"/>
        <w:rPr>
          <w:rFonts w:ascii="宋体" w:hAnsi="宋体" w:cs="宋体"/>
          <w:color w:val="auto"/>
          <w:sz w:val="24"/>
          <w:highlight w:val="none"/>
        </w:rPr>
      </w:pPr>
    </w:p>
    <w:p w14:paraId="7B70DF47">
      <w:pPr>
        <w:spacing w:line="360" w:lineRule="auto"/>
        <w:ind w:firstLine="494"/>
        <w:rPr>
          <w:rFonts w:ascii="宋体" w:hAnsi="宋体" w:cs="宋体"/>
          <w:color w:val="auto"/>
          <w:sz w:val="24"/>
          <w:highlight w:val="none"/>
        </w:rPr>
      </w:pPr>
    </w:p>
    <w:p w14:paraId="4681B418">
      <w:pPr>
        <w:spacing w:line="360" w:lineRule="auto"/>
        <w:ind w:firstLine="494"/>
        <w:rPr>
          <w:rFonts w:ascii="宋体" w:hAnsi="宋体" w:cs="宋体"/>
          <w:color w:val="auto"/>
          <w:sz w:val="24"/>
          <w:highlight w:val="none"/>
        </w:rPr>
      </w:pPr>
    </w:p>
    <w:p w14:paraId="7671A9E8">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5D4EF7EF">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486F4AA">
      <w:pPr>
        <w:rPr>
          <w:rFonts w:ascii="宋体" w:hAnsi="宋体" w:cs="宋体"/>
          <w:color w:val="auto"/>
          <w:sz w:val="24"/>
          <w:highlight w:val="none"/>
        </w:rPr>
      </w:pPr>
      <w:r>
        <w:rPr>
          <w:rFonts w:hint="eastAsia" w:ascii="宋体" w:hAnsi="宋体" w:cs="宋体"/>
          <w:b/>
          <w:bCs/>
          <w:color w:val="auto"/>
          <w:sz w:val="24"/>
          <w:highlight w:val="none"/>
        </w:rPr>
        <w:t>附：</w:t>
      </w:r>
    </w:p>
    <w:p w14:paraId="2DABF0B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BE0A0EB">
      <w:pPr>
        <w:autoSpaceDE w:val="0"/>
        <w:autoSpaceDN w:val="0"/>
        <w:jc w:val="center"/>
        <w:rPr>
          <w:rFonts w:ascii="宋体" w:hAnsi="宋体" w:cs="宋体"/>
          <w:b/>
          <w:color w:val="auto"/>
          <w:spacing w:val="6"/>
          <w:sz w:val="32"/>
          <w:szCs w:val="32"/>
          <w:highlight w:val="none"/>
        </w:rPr>
      </w:pPr>
    </w:p>
    <w:p w14:paraId="752B5DE4">
      <w:pPr>
        <w:autoSpaceDE w:val="0"/>
        <w:autoSpaceDN w:val="0"/>
        <w:jc w:val="center"/>
        <w:rPr>
          <w:rFonts w:ascii="宋体" w:hAnsi="宋体" w:cs="宋体"/>
          <w:b/>
          <w:color w:val="auto"/>
          <w:spacing w:val="6"/>
          <w:sz w:val="32"/>
          <w:szCs w:val="32"/>
          <w:highlight w:val="none"/>
        </w:rPr>
      </w:pPr>
    </w:p>
    <w:p w14:paraId="64E6D46E">
      <w:pPr>
        <w:autoSpaceDE w:val="0"/>
        <w:autoSpaceDN w:val="0"/>
        <w:jc w:val="center"/>
        <w:rPr>
          <w:rFonts w:ascii="宋体" w:hAnsi="宋体" w:cs="宋体"/>
          <w:b/>
          <w:color w:val="auto"/>
          <w:spacing w:val="6"/>
          <w:sz w:val="32"/>
          <w:szCs w:val="32"/>
          <w:highlight w:val="none"/>
        </w:rPr>
      </w:pPr>
    </w:p>
    <w:p w14:paraId="21761254">
      <w:pPr>
        <w:autoSpaceDE w:val="0"/>
        <w:autoSpaceDN w:val="0"/>
        <w:jc w:val="center"/>
        <w:rPr>
          <w:rFonts w:ascii="宋体" w:hAnsi="宋体" w:cs="宋体"/>
          <w:b/>
          <w:color w:val="auto"/>
          <w:spacing w:val="6"/>
          <w:sz w:val="32"/>
          <w:szCs w:val="32"/>
          <w:highlight w:val="none"/>
        </w:rPr>
      </w:pPr>
    </w:p>
    <w:p w14:paraId="05B02672">
      <w:pPr>
        <w:autoSpaceDE w:val="0"/>
        <w:autoSpaceDN w:val="0"/>
        <w:jc w:val="center"/>
        <w:rPr>
          <w:rFonts w:ascii="宋体" w:hAnsi="宋体" w:cs="宋体"/>
          <w:b/>
          <w:color w:val="auto"/>
          <w:spacing w:val="6"/>
          <w:sz w:val="32"/>
          <w:szCs w:val="32"/>
          <w:highlight w:val="none"/>
        </w:rPr>
      </w:pPr>
    </w:p>
    <w:p w14:paraId="73A82586">
      <w:pPr>
        <w:autoSpaceDE w:val="0"/>
        <w:autoSpaceDN w:val="0"/>
        <w:jc w:val="center"/>
        <w:rPr>
          <w:rFonts w:ascii="宋体" w:hAnsi="宋体" w:cs="宋体"/>
          <w:b/>
          <w:color w:val="auto"/>
          <w:spacing w:val="6"/>
          <w:sz w:val="32"/>
          <w:szCs w:val="32"/>
          <w:highlight w:val="none"/>
        </w:rPr>
      </w:pPr>
    </w:p>
    <w:p w14:paraId="75AAA0B0">
      <w:pPr>
        <w:autoSpaceDE w:val="0"/>
        <w:autoSpaceDN w:val="0"/>
        <w:jc w:val="center"/>
        <w:rPr>
          <w:rFonts w:ascii="宋体" w:hAnsi="宋体" w:cs="宋体"/>
          <w:b/>
          <w:color w:val="auto"/>
          <w:spacing w:val="6"/>
          <w:sz w:val="32"/>
          <w:szCs w:val="32"/>
          <w:highlight w:val="none"/>
        </w:rPr>
      </w:pPr>
    </w:p>
    <w:p w14:paraId="22AA5DF5">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70D17D4">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4D1105A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118AEDA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2EBD71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B09D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1C07CB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E206983">
      <w:pPr>
        <w:snapToGrid w:val="0"/>
        <w:spacing w:line="360" w:lineRule="auto"/>
        <w:ind w:firstLine="576"/>
        <w:rPr>
          <w:rFonts w:ascii="宋体" w:hAnsi="宋体" w:cs="宋体"/>
          <w:color w:val="auto"/>
          <w:kern w:val="0"/>
          <w:sz w:val="24"/>
          <w:highlight w:val="none"/>
          <w:lang w:val="zh-CN"/>
        </w:rPr>
      </w:pPr>
      <w:bookmarkStart w:id="551"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6BE65F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8C927E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51"/>
    <w:p w14:paraId="175D5E4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14:paraId="40A76400">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5666C96">
      <w:pPr>
        <w:snapToGrid w:val="0"/>
        <w:spacing w:line="360" w:lineRule="auto"/>
        <w:ind w:firstLine="576"/>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14748223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237E29D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75E6BA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BD22C8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E63ABE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FA227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E29C20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1C9825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A45161B">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352EA5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7E34D1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104D75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9A5FBAB">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78E231A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B9A394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75AFED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4879FC3A">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0586D5AE">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60FF8E01">
      <w:pPr>
        <w:pStyle w:val="3"/>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147B932">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14:paraId="1C6C83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lang w:val="en-US" w:eastAsia="zh-CN"/>
        </w:rPr>
        <w:t>根据项目具体情况二选一填写）。</w:t>
      </w:r>
    </w:p>
    <w:p w14:paraId="16CAE822">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85F666A">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bookmarkStart w:id="55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552"/>
    </w:p>
    <w:p w14:paraId="1A098F6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AA6952F">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419A18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6376BE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B063A7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545562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A98D453">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9624E6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8B3E6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5A15FB5">
      <w:pPr>
        <w:snapToGrid w:val="0"/>
        <w:spacing w:line="360" w:lineRule="auto"/>
        <w:ind w:left="770" w:leftChars="342" w:hanging="52" w:hangingChars="25"/>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八、其他</w:t>
      </w:r>
    </w:p>
    <w:p w14:paraId="390655C3">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5624232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1D5C000">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8A6E642">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B98A0D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ADF83D2">
      <w:pPr>
        <w:rPr>
          <w:rFonts w:hint="eastAsia" w:ascii="宋体" w:hAnsi="宋体" w:cs="宋体"/>
          <w:b/>
          <w:color w:val="auto"/>
          <w:kern w:val="0"/>
          <w:sz w:val="44"/>
          <w:szCs w:val="44"/>
          <w:highlight w:val="none"/>
        </w:rPr>
      </w:pPr>
      <w:r>
        <w:rPr>
          <w:rFonts w:hint="eastAsia" w:ascii="宋体" w:hAnsi="宋体" w:cs="宋体"/>
          <w:b/>
          <w:color w:val="auto"/>
          <w:kern w:val="0"/>
          <w:sz w:val="44"/>
          <w:szCs w:val="44"/>
          <w:highlight w:val="none"/>
        </w:rPr>
        <w:br w:type="page"/>
      </w:r>
    </w:p>
    <w:p w14:paraId="5A9CAF16">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附件7：中小企业声明函</w:t>
      </w:r>
    </w:p>
    <w:p w14:paraId="6948667E">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305C21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0F05CC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6D66AE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7292F2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271D59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0CE02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F28E88E">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7F1D34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F86F31A">
      <w:pPr>
        <w:spacing w:line="360" w:lineRule="auto"/>
        <w:ind w:right="420" w:firstLine="480" w:firstLineChars="200"/>
        <w:rPr>
          <w:rFonts w:hint="eastAsia"/>
          <w:color w:val="auto"/>
          <w:highlight w:val="none"/>
          <w:lang w:eastAsia="zh-CN"/>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5B84CA94">
      <w:pPr>
        <w:spacing w:line="360" w:lineRule="auto"/>
        <w:ind w:right="420" w:firstLine="480" w:firstLineChars="200"/>
        <w:rPr>
          <w:rFonts w:ascii="宋体" w:hAnsi="宋体" w:cs="宋体"/>
          <w:b/>
          <w:color w:val="auto"/>
          <w:sz w:val="32"/>
          <w:szCs w:val="32"/>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24DBF43">
      <w:pPr>
        <w:pStyle w:val="3"/>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14:paraId="27E977E8">
      <w:pPr>
        <w:spacing w:line="360" w:lineRule="auto"/>
        <w:rPr>
          <w:rFonts w:hint="eastAsia"/>
          <w:color w:val="auto"/>
          <w:highlight w:val="none"/>
        </w:rPr>
      </w:pPr>
      <w:r>
        <w:rPr>
          <w:rFonts w:hint="eastAsia" w:ascii="宋体" w:hAnsi="宋体" w:eastAsia="宋体" w:cs="宋体"/>
          <w:color w:val="auto"/>
          <w:kern w:val="0"/>
          <w:sz w:val="24"/>
          <w:szCs w:val="24"/>
          <w:highlight w:val="none"/>
        </w:rPr>
        <w:t>各行业划型标准为：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013B72ED">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样品（演示）授权委托书</w:t>
      </w:r>
    </w:p>
    <w:p w14:paraId="2503B188">
      <w:pPr>
        <w:jc w:val="center"/>
        <w:rPr>
          <w:color w:val="auto"/>
          <w:sz w:val="40"/>
          <w:highlight w:val="none"/>
        </w:rPr>
      </w:pPr>
      <w:r>
        <w:rPr>
          <w:rFonts w:hint="eastAsia"/>
          <w:color w:val="auto"/>
          <w:sz w:val="40"/>
          <w:highlight w:val="none"/>
        </w:rPr>
        <w:t>样品（演示）授权委托书</w:t>
      </w:r>
    </w:p>
    <w:p w14:paraId="147BA016">
      <w:pPr>
        <w:jc w:val="center"/>
        <w:rPr>
          <w:color w:val="auto"/>
          <w:sz w:val="40"/>
          <w:highlight w:val="none"/>
        </w:rPr>
      </w:pPr>
    </w:p>
    <w:p w14:paraId="1903B519">
      <w:pPr>
        <w:snapToGrid w:val="0"/>
        <w:spacing w:line="360" w:lineRule="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14:paraId="356F9209">
      <w:pPr>
        <w:snapToGrid w:val="0"/>
        <w:spacing w:line="360" w:lineRule="auto"/>
        <w:ind w:left="254" w:leftChars="121" w:firstLine="420" w:firstLineChars="200"/>
        <w:rPr>
          <w:rFonts w:cs="仿宋"/>
          <w:color w:val="auto"/>
          <w:highlight w:val="none"/>
          <w:u w:val="single"/>
          <w:lang w:val="zh-CN"/>
        </w:rPr>
      </w:pPr>
      <w:r>
        <w:rPr>
          <w:rFonts w:hint="eastAsia" w:cs="仿宋"/>
          <w:color w:val="auto"/>
          <w:highlight w:val="none"/>
          <w:lang w:val="zh-CN"/>
        </w:rPr>
        <w:t>兹委派</w:t>
      </w:r>
      <w:r>
        <w:rPr>
          <w:rFonts w:hint="eastAsia" w:cs="仿宋"/>
          <w:color w:val="auto"/>
          <w:highlight w:val="none"/>
          <w:u w:val="single"/>
          <w:lang w:val="zh-CN"/>
        </w:rPr>
        <w:t xml:space="preserve">                </w:t>
      </w:r>
      <w:r>
        <w:rPr>
          <w:rFonts w:hint="eastAsia" w:cs="仿宋"/>
          <w:color w:val="auto"/>
          <w:highlight w:val="none"/>
          <w:lang w:val="zh-CN"/>
        </w:rPr>
        <w:t>先生/女士，身份证号：</w:t>
      </w:r>
      <w:r>
        <w:rPr>
          <w:rFonts w:hint="eastAsia" w:cs="仿宋"/>
          <w:color w:val="auto"/>
          <w:highlight w:val="none"/>
          <w:u w:val="single"/>
          <w:lang w:val="zh-CN"/>
        </w:rPr>
        <w:t xml:space="preserve"> </w:t>
      </w:r>
      <w:r>
        <w:rPr>
          <w:rFonts w:cs="仿宋"/>
          <w:color w:val="auto"/>
          <w:highlight w:val="none"/>
          <w:u w:val="single"/>
          <w:lang w:val="zh-CN"/>
        </w:rPr>
        <w:t xml:space="preserve">                  </w:t>
      </w:r>
    </w:p>
    <w:p w14:paraId="551CA5D6">
      <w:pPr>
        <w:snapToGrid w:val="0"/>
        <w:spacing w:line="360" w:lineRule="auto"/>
        <w:ind w:left="254" w:leftChars="121" w:firstLine="420" w:firstLineChars="200"/>
        <w:rPr>
          <w:rFonts w:cs="仿宋"/>
          <w:color w:val="auto"/>
          <w:highlight w:val="none"/>
        </w:rPr>
      </w:pPr>
      <w:r>
        <w:rPr>
          <w:rFonts w:hint="eastAsia" w:cs="仿宋"/>
          <w:color w:val="auto"/>
          <w:highlight w:val="none"/>
          <w:lang w:val="zh-CN"/>
        </w:rPr>
        <w:t>手机：</w:t>
      </w:r>
      <w:r>
        <w:rPr>
          <w:rFonts w:hint="eastAsia" w:cs="仿宋"/>
          <w:color w:val="auto"/>
          <w:highlight w:val="none"/>
          <w:u w:val="single"/>
          <w:lang w:val="zh-CN"/>
        </w:rPr>
        <w:t xml:space="preserve">      </w:t>
      </w:r>
      <w:r>
        <w:rPr>
          <w:rFonts w:cs="仿宋"/>
          <w:color w:val="auto"/>
          <w:highlight w:val="none"/>
          <w:u w:val="single"/>
          <w:lang w:val="zh-CN"/>
        </w:rPr>
        <w:t xml:space="preserve">     </w:t>
      </w:r>
      <w:r>
        <w:rPr>
          <w:rFonts w:hint="eastAsia" w:cs="仿宋"/>
          <w:color w:val="auto"/>
          <w:highlight w:val="none"/>
          <w:u w:val="single"/>
          <w:lang w:val="zh-CN"/>
        </w:rPr>
        <w:t xml:space="preserve">  </w:t>
      </w:r>
      <w:r>
        <w:rPr>
          <w:rFonts w:hint="eastAsia" w:cs="仿宋"/>
          <w:color w:val="auto"/>
          <w:highlight w:val="none"/>
          <w:lang w:val="zh-CN"/>
        </w:rPr>
        <w:t>，代表我公司前来递交</w:t>
      </w:r>
      <w:r>
        <w:rPr>
          <w:rFonts w:cs="仿宋"/>
          <w:color w:val="auto"/>
          <w:highlight w:val="none"/>
          <w:u w:val="single"/>
          <w:lang w:val="zh-CN"/>
        </w:rPr>
        <w:t xml:space="preserve">                           </w:t>
      </w:r>
      <w:r>
        <w:rPr>
          <w:rFonts w:hint="eastAsia" w:cs="仿宋"/>
          <w:color w:val="auto"/>
          <w:highlight w:val="none"/>
          <w:u w:val="single"/>
          <w:lang w:val="zh-CN"/>
        </w:rPr>
        <w:t>采购项目</w:t>
      </w:r>
      <w:r>
        <w:rPr>
          <w:rFonts w:hint="eastAsia" w:cs="仿宋"/>
          <w:color w:val="auto"/>
          <w:highlight w:val="none"/>
          <w:lang w:val="zh-CN"/>
        </w:rPr>
        <w:t>【项目编号：</w:t>
      </w:r>
      <w:r>
        <w:rPr>
          <w:rFonts w:cs="仿宋"/>
          <w:color w:val="auto"/>
          <w:highlight w:val="none"/>
          <w:lang w:val="zh-CN"/>
        </w:rPr>
        <w:t xml:space="preserve">              </w:t>
      </w:r>
      <w:r>
        <w:rPr>
          <w:rFonts w:hint="eastAsia" w:cs="仿宋"/>
          <w:color w:val="auto"/>
          <w:highlight w:val="none"/>
          <w:lang w:val="zh-CN"/>
        </w:rPr>
        <w:t xml:space="preserve">】（标项号： </w:t>
      </w:r>
      <w:r>
        <w:rPr>
          <w:rFonts w:cs="仿宋"/>
          <w:color w:val="auto"/>
          <w:highlight w:val="none"/>
          <w:lang w:val="zh-CN"/>
        </w:rPr>
        <w:t xml:space="preserve"> </w:t>
      </w:r>
      <w:r>
        <w:rPr>
          <w:rFonts w:hint="eastAsia" w:cs="仿宋"/>
          <w:color w:val="auto"/>
          <w:highlight w:val="none"/>
          <w:lang w:val="zh-CN"/>
        </w:rPr>
        <w:t>）投标样品或参加演示，并全权负责标后取回样品等其他处理事宜。</w:t>
      </w:r>
    </w:p>
    <w:p w14:paraId="254B5FC2">
      <w:pPr>
        <w:snapToGrid w:val="0"/>
        <w:spacing w:line="360" w:lineRule="auto"/>
        <w:rPr>
          <w:rFonts w:cs="仿宋"/>
          <w:color w:val="auto"/>
          <w:highlight w:val="none"/>
          <w:lang w:val="zh-CN"/>
        </w:rPr>
      </w:pPr>
      <w:r>
        <w:rPr>
          <w:rFonts w:hint="eastAsia" w:cs="仿宋"/>
          <w:color w:val="auto"/>
          <w:highlight w:val="none"/>
          <w:lang w:val="zh-CN"/>
        </w:rPr>
        <w:t xml:space="preserve">  </w:t>
      </w:r>
    </w:p>
    <w:p w14:paraId="4C9AAF9A">
      <w:pPr>
        <w:snapToGrid w:val="0"/>
        <w:spacing w:line="360" w:lineRule="auto"/>
        <w:rPr>
          <w:rFonts w:cs="仿宋"/>
          <w:color w:val="auto"/>
          <w:highlight w:val="none"/>
        </w:rPr>
      </w:pPr>
      <w:r>
        <w:rPr>
          <w:rFonts w:hint="eastAsia" w:cs="仿宋"/>
          <w:color w:val="auto"/>
          <w:highlight w:val="none"/>
          <w:lang w:val="zh-CN"/>
        </w:rPr>
        <w:t xml:space="preserve">    特此告知。</w:t>
      </w:r>
    </w:p>
    <w:p w14:paraId="1C73BBB3">
      <w:pPr>
        <w:snapToGrid w:val="0"/>
        <w:spacing w:line="360" w:lineRule="auto"/>
        <w:rPr>
          <w:rFonts w:cs="仿宋"/>
          <w:color w:val="auto"/>
          <w:highlight w:val="none"/>
        </w:rPr>
      </w:pPr>
      <w:r>
        <w:rPr>
          <w:rFonts w:hint="eastAsia" w:cs="仿宋"/>
          <w:color w:val="auto"/>
          <w:highlight w:val="none"/>
          <w:lang w:val="zh-CN"/>
        </w:rPr>
        <w:t xml:space="preserve">                                                  投标人名称(公章)：</w:t>
      </w:r>
    </w:p>
    <w:p w14:paraId="2505633E">
      <w:pPr>
        <w:snapToGrid w:val="0"/>
        <w:spacing w:line="360" w:lineRule="auto"/>
        <w:rPr>
          <w:rFonts w:cs="仿宋"/>
          <w:color w:val="auto"/>
          <w:highlight w:val="none"/>
        </w:rPr>
      </w:pPr>
      <w:r>
        <w:rPr>
          <w:rFonts w:hint="eastAsia" w:cs="仿宋"/>
          <w:color w:val="auto"/>
          <w:highlight w:val="none"/>
          <w:lang w:val="zh-CN"/>
        </w:rPr>
        <w:t xml:space="preserve">                                                  </w:t>
      </w:r>
    </w:p>
    <w:p w14:paraId="4403B4FC">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14:paraId="2129DFF1">
      <w:pPr>
        <w:snapToGrid w:val="0"/>
        <w:spacing w:line="360" w:lineRule="auto"/>
        <w:ind w:right="240"/>
        <w:jc w:val="right"/>
        <w:rPr>
          <w:rFonts w:cs="仿宋"/>
          <w:color w:val="auto"/>
          <w:highlight w:val="none"/>
          <w:lang w:val="zh-CN"/>
        </w:rPr>
      </w:pPr>
    </w:p>
    <w:p w14:paraId="3A94D560">
      <w:pPr>
        <w:snapToGrid w:val="0"/>
        <w:spacing w:line="360" w:lineRule="auto"/>
        <w:ind w:right="1920"/>
        <w:rPr>
          <w:rFonts w:cs="仿宋"/>
          <w:color w:val="auto"/>
          <w:highlight w:val="none"/>
          <w:lang w:val="zh-CN"/>
        </w:rPr>
      </w:pPr>
    </w:p>
    <w:p w14:paraId="340A4517">
      <w:pPr>
        <w:snapToGrid w:val="0"/>
        <w:spacing w:line="360" w:lineRule="auto"/>
        <w:ind w:right="240"/>
        <w:jc w:val="right"/>
        <w:rPr>
          <w:rFonts w:cs="仿宋"/>
          <w:color w:val="auto"/>
          <w:highlight w:val="none"/>
          <w:lang w:val="zh-CN"/>
        </w:rPr>
      </w:pPr>
    </w:p>
    <w:p w14:paraId="62C304B0">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14:paraId="1A9A6192">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14:paraId="72EC83E4">
      <w:pPr>
        <w:spacing w:line="360" w:lineRule="auto"/>
        <w:rPr>
          <w:rFonts w:ascii="宋体" w:hAnsi="宋体" w:cs="宋体"/>
          <w:bCs/>
          <w:color w:val="auto"/>
          <w:sz w:val="24"/>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8B9A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F2626">
    <w:pPr>
      <w:pStyle w:val="39"/>
      <w:framePr w:wrap="around" w:vAnchor="text" w:hAnchor="margin" w:xAlign="right" w:y="1"/>
      <w:rPr>
        <w:rStyle w:val="72"/>
      </w:rPr>
    </w:pPr>
    <w:r>
      <w:fldChar w:fldCharType="begin"/>
    </w:r>
    <w:r>
      <w:rPr>
        <w:rStyle w:val="72"/>
      </w:rPr>
      <w:instrText xml:space="preserve">PAGE  </w:instrText>
    </w:r>
    <w:r>
      <w:fldChar w:fldCharType="end"/>
    </w:r>
  </w:p>
  <w:p w14:paraId="375B46B9">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0C87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77C3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7C05EA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0B3F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55D186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FE14F">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8D499">
    <w:pPr>
      <w:pStyle w:val="39"/>
      <w:framePr w:wrap="around" w:vAnchor="text" w:hAnchor="margin" w:xAlign="right" w:y="1"/>
      <w:rPr>
        <w:rStyle w:val="72"/>
      </w:rPr>
    </w:pPr>
    <w:r>
      <w:fldChar w:fldCharType="begin"/>
    </w:r>
    <w:r>
      <w:rPr>
        <w:rStyle w:val="72"/>
      </w:rPr>
      <w:instrText xml:space="preserve">PAGE  </w:instrText>
    </w:r>
    <w:r>
      <w:fldChar w:fldCharType="end"/>
    </w:r>
  </w:p>
  <w:p w14:paraId="48EB848B">
    <w:pPr>
      <w:pStyle w:val="3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9003B">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3" w:name="_Toc36110187"/>
    <w:bookmarkStart w:id="554" w:name="_Toc91899912"/>
    <w:bookmarkStart w:id="555" w:name="_Toc164085800"/>
    <w:bookmarkStart w:id="556" w:name="_Toc131845147"/>
    <w:r>
      <w:rPr>
        <w:rFonts w:hint="eastAsia" w:ascii="仿宋_GB2312" w:eastAsia="仿宋_GB2312"/>
        <w:kern w:val="0"/>
        <w:szCs w:val="21"/>
      </w:rPr>
      <w:t xml:space="preserve"> 页</w:t>
    </w:r>
    <w:bookmarkEnd w:id="553"/>
    <w:bookmarkEnd w:id="554"/>
    <w:bookmarkEnd w:id="555"/>
    <w:bookmarkEnd w:id="55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EBFBA">
    <w:pPr>
      <w:pStyle w:val="40"/>
      <w:pBdr>
        <w:bottom w:val="single" w:color="auto" w:sz="6" w:space="4"/>
      </w:pBdr>
      <w:jc w:val="right"/>
    </w:pPr>
    <w:r>
      <w:t></w:t>
    </w:r>
    <w:r>
      <w:rPr>
        <w:rFonts w:hint="eastAsia"/>
      </w:rPr>
      <w:t xml:space="preserve">             </w:t>
    </w:r>
    <w:r>
      <w:t>杭州市政府采购公开招标文件</w:t>
    </w:r>
  </w:p>
  <w:p w14:paraId="147F44DF">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A0448">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6A3C8">
    <w:pPr>
      <w:pStyle w:val="40"/>
      <w:jc w:val="right"/>
      <w:rPr>
        <w:rFonts w:ascii="仿宋_GB2312" w:eastAsia="仿宋_GB2312"/>
        <w:b/>
        <w:i/>
        <w:u w:val="single"/>
      </w:rPr>
    </w:pPr>
    <w:r>
      <w:rPr>
        <w:rFonts w:hint="eastAsia"/>
      </w:rPr>
      <w:t xml:space="preserve">                                  </w:t>
    </w:r>
    <w:r>
      <w:t>杭州市政府采购公开招标文件</w:t>
    </w:r>
  </w:p>
  <w:p w14:paraId="4E1286E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67450">
    <w:pPr>
      <w:pStyle w:val="40"/>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429D9">
    <w:pPr>
      <w:pStyle w:val="40"/>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AE09F">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EFBE0E82"/>
    <w:multiLevelType w:val="singleLevel"/>
    <w:tmpl w:val="EFBE0E82"/>
    <w:lvl w:ilvl="0" w:tentative="0">
      <w:start w:val="16"/>
      <w:numFmt w:val="decimal"/>
      <w:suff w:val="space"/>
      <w:lvlText w:val="%1."/>
      <w:lvlJc w:val="left"/>
    </w:lvl>
  </w:abstractNum>
  <w:abstractNum w:abstractNumId="4">
    <w:nsid w:val="F79E0EA8"/>
    <w:multiLevelType w:val="singleLevel"/>
    <w:tmpl w:val="F79E0EA8"/>
    <w:lvl w:ilvl="0" w:tentative="0">
      <w:start w:val="13"/>
      <w:numFmt w:val="decimal"/>
      <w:suff w:val="space"/>
      <w:lvlText w:val="%1."/>
      <w:lvlJc w:val="left"/>
    </w:lvl>
  </w:abstractNum>
  <w:abstractNum w:abstractNumId="5">
    <w:nsid w:val="FDE4442F"/>
    <w:multiLevelType w:val="singleLevel"/>
    <w:tmpl w:val="FDE4442F"/>
    <w:lvl w:ilvl="0" w:tentative="0">
      <w:start w:val="11"/>
      <w:numFmt w:val="decimal"/>
      <w:suff w:val="space"/>
      <w:lvlText w:val="%1."/>
      <w:lvlJc w:val="left"/>
    </w:lvl>
  </w:abstractNum>
  <w:abstractNum w:abstractNumId="6">
    <w:nsid w:val="FEBA56D7"/>
    <w:multiLevelType w:val="singleLevel"/>
    <w:tmpl w:val="FEBA56D7"/>
    <w:lvl w:ilvl="0" w:tentative="0">
      <w:start w:val="1"/>
      <w:numFmt w:val="chineseCounting"/>
      <w:suff w:val="space"/>
      <w:lvlText w:val="第%1部分"/>
      <w:lvlJc w:val="left"/>
      <w:rPr>
        <w:rFonts w:hint="eastAsia"/>
      </w:rPr>
    </w:lvl>
  </w:abstractNum>
  <w:abstractNum w:abstractNumId="7">
    <w:nsid w:val="FFE5FEDD"/>
    <w:multiLevelType w:val="singleLevel"/>
    <w:tmpl w:val="FFE5FEDD"/>
    <w:lvl w:ilvl="0" w:tentative="0">
      <w:start w:val="1"/>
      <w:numFmt w:val="decimal"/>
      <w:suff w:val="nothing"/>
      <w:lvlText w:val="（%1）"/>
      <w:lvlJc w:val="left"/>
    </w:lvl>
  </w:abstractNum>
  <w:abstractNum w:abstractNumId="8">
    <w:nsid w:val="FFEFBFBE"/>
    <w:multiLevelType w:val="singleLevel"/>
    <w:tmpl w:val="FFEFBFBE"/>
    <w:lvl w:ilvl="0" w:tentative="0">
      <w:start w:val="4"/>
      <w:numFmt w:val="decimal"/>
      <w:lvlText w:val="%1."/>
      <w:lvlJc w:val="left"/>
      <w:pPr>
        <w:tabs>
          <w:tab w:val="left" w:pos="312"/>
        </w:tabs>
      </w:pPr>
    </w:lvl>
  </w:abstractNum>
  <w:abstractNum w:abstractNumId="9">
    <w:nsid w:val="57FF7EC6"/>
    <w:multiLevelType w:val="singleLevel"/>
    <w:tmpl w:val="57FF7EC6"/>
    <w:lvl w:ilvl="0" w:tentative="0">
      <w:start w:val="15"/>
      <w:numFmt w:val="decimal"/>
      <w:suff w:val="space"/>
      <w:lvlText w:val="%1."/>
      <w:lvlJc w:val="left"/>
    </w:lvl>
  </w:abstractNum>
  <w:abstractNum w:abstractNumId="10">
    <w:nsid w:val="7E56A5EF"/>
    <w:multiLevelType w:val="singleLevel"/>
    <w:tmpl w:val="7E56A5EF"/>
    <w:lvl w:ilvl="0" w:tentative="0">
      <w:start w:val="2"/>
      <w:numFmt w:val="decimal"/>
      <w:suff w:val="nothing"/>
      <w:lvlText w:val="%1、"/>
      <w:lvlJc w:val="left"/>
    </w:lvl>
  </w:abstractNum>
  <w:num w:numId="1">
    <w:abstractNumId w:val="8"/>
  </w:num>
  <w:num w:numId="2">
    <w:abstractNumId w:val="2"/>
  </w:num>
  <w:num w:numId="3">
    <w:abstractNumId w:val="5"/>
  </w:num>
  <w:num w:numId="4">
    <w:abstractNumId w:val="4"/>
  </w:num>
  <w:num w:numId="5">
    <w:abstractNumId w:val="9"/>
  </w:num>
  <w:num w:numId="6">
    <w:abstractNumId w:val="3"/>
  </w:num>
  <w:num w:numId="7">
    <w:abstractNumId w:val="0"/>
  </w:num>
  <w:num w:numId="8">
    <w:abstractNumId w:val="10"/>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B74E41"/>
    <w:rsid w:val="03D556C5"/>
    <w:rsid w:val="03DD35E4"/>
    <w:rsid w:val="03EE3EEF"/>
    <w:rsid w:val="04076900"/>
    <w:rsid w:val="041A5A3B"/>
    <w:rsid w:val="042311BA"/>
    <w:rsid w:val="042B157A"/>
    <w:rsid w:val="04824B9E"/>
    <w:rsid w:val="048F763B"/>
    <w:rsid w:val="049F330E"/>
    <w:rsid w:val="04AA775C"/>
    <w:rsid w:val="04AF1889"/>
    <w:rsid w:val="04F66F48"/>
    <w:rsid w:val="05251E14"/>
    <w:rsid w:val="05A16594"/>
    <w:rsid w:val="05A33A8F"/>
    <w:rsid w:val="05A7762D"/>
    <w:rsid w:val="060E5941"/>
    <w:rsid w:val="06110FAF"/>
    <w:rsid w:val="06493CA7"/>
    <w:rsid w:val="065A6178"/>
    <w:rsid w:val="066F1CF3"/>
    <w:rsid w:val="06930BB8"/>
    <w:rsid w:val="06A92350"/>
    <w:rsid w:val="07245D42"/>
    <w:rsid w:val="07264C62"/>
    <w:rsid w:val="0779354C"/>
    <w:rsid w:val="08061376"/>
    <w:rsid w:val="08452D77"/>
    <w:rsid w:val="086401F8"/>
    <w:rsid w:val="08751CAA"/>
    <w:rsid w:val="087E0664"/>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9D041D"/>
    <w:rsid w:val="0AA374A5"/>
    <w:rsid w:val="0AAB7649"/>
    <w:rsid w:val="0ABC5606"/>
    <w:rsid w:val="0AF73FD1"/>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AA755C"/>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D63300"/>
    <w:rsid w:val="0DF50604"/>
    <w:rsid w:val="0DF702FE"/>
    <w:rsid w:val="0E060E51"/>
    <w:rsid w:val="0E4E33A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C6AD8"/>
    <w:rsid w:val="110F1D40"/>
    <w:rsid w:val="11266F33"/>
    <w:rsid w:val="118963A1"/>
    <w:rsid w:val="11C6522A"/>
    <w:rsid w:val="11E104CC"/>
    <w:rsid w:val="11E20309"/>
    <w:rsid w:val="12255233"/>
    <w:rsid w:val="12530213"/>
    <w:rsid w:val="127723A9"/>
    <w:rsid w:val="12862074"/>
    <w:rsid w:val="12883966"/>
    <w:rsid w:val="129E45B4"/>
    <w:rsid w:val="12D81596"/>
    <w:rsid w:val="12F20E03"/>
    <w:rsid w:val="13072A44"/>
    <w:rsid w:val="135F4BE2"/>
    <w:rsid w:val="139B1A0A"/>
    <w:rsid w:val="139D25C7"/>
    <w:rsid w:val="13BF3CE4"/>
    <w:rsid w:val="141008D8"/>
    <w:rsid w:val="14125FE6"/>
    <w:rsid w:val="1415556D"/>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650755"/>
    <w:rsid w:val="1870062C"/>
    <w:rsid w:val="18744F9D"/>
    <w:rsid w:val="187B448D"/>
    <w:rsid w:val="18817102"/>
    <w:rsid w:val="18830A15"/>
    <w:rsid w:val="18852B28"/>
    <w:rsid w:val="188B5321"/>
    <w:rsid w:val="19563CB9"/>
    <w:rsid w:val="19932372"/>
    <w:rsid w:val="19A20DD5"/>
    <w:rsid w:val="19A838D1"/>
    <w:rsid w:val="19AE03F1"/>
    <w:rsid w:val="19CB7B6C"/>
    <w:rsid w:val="1A071A03"/>
    <w:rsid w:val="1A1F16AE"/>
    <w:rsid w:val="1A3B5C77"/>
    <w:rsid w:val="1A984BAD"/>
    <w:rsid w:val="1AB8220E"/>
    <w:rsid w:val="1AE4166C"/>
    <w:rsid w:val="1AF06CFB"/>
    <w:rsid w:val="1AF11B8D"/>
    <w:rsid w:val="1B11359C"/>
    <w:rsid w:val="1B2A271F"/>
    <w:rsid w:val="1B530544"/>
    <w:rsid w:val="1B682381"/>
    <w:rsid w:val="1B713184"/>
    <w:rsid w:val="1BA209CF"/>
    <w:rsid w:val="1BB4777D"/>
    <w:rsid w:val="1BD75AB8"/>
    <w:rsid w:val="1C0459C2"/>
    <w:rsid w:val="1C1B3B4A"/>
    <w:rsid w:val="1C88086E"/>
    <w:rsid w:val="1D266CE1"/>
    <w:rsid w:val="1D3963AF"/>
    <w:rsid w:val="1D6A673C"/>
    <w:rsid w:val="1D9247AE"/>
    <w:rsid w:val="1DB567EC"/>
    <w:rsid w:val="1DEF6D8A"/>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5D622D"/>
    <w:rsid w:val="208921B3"/>
    <w:rsid w:val="208D5628"/>
    <w:rsid w:val="20973DEB"/>
    <w:rsid w:val="20B26522"/>
    <w:rsid w:val="20B44310"/>
    <w:rsid w:val="20E73D48"/>
    <w:rsid w:val="211116EB"/>
    <w:rsid w:val="216133FC"/>
    <w:rsid w:val="21D56769"/>
    <w:rsid w:val="21E52EF3"/>
    <w:rsid w:val="21FB5D7B"/>
    <w:rsid w:val="22015E94"/>
    <w:rsid w:val="220B1C3D"/>
    <w:rsid w:val="221D1D20"/>
    <w:rsid w:val="22334A87"/>
    <w:rsid w:val="227A4A01"/>
    <w:rsid w:val="22BE6801"/>
    <w:rsid w:val="233500BF"/>
    <w:rsid w:val="23377FF7"/>
    <w:rsid w:val="236B425F"/>
    <w:rsid w:val="23836192"/>
    <w:rsid w:val="23901F29"/>
    <w:rsid w:val="239C0061"/>
    <w:rsid w:val="23B908A4"/>
    <w:rsid w:val="23BA7198"/>
    <w:rsid w:val="23E95BEF"/>
    <w:rsid w:val="23FD0064"/>
    <w:rsid w:val="245375B0"/>
    <w:rsid w:val="24642C0A"/>
    <w:rsid w:val="24980E91"/>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E67BCF"/>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BD40A5"/>
    <w:rsid w:val="2FD25781"/>
    <w:rsid w:val="2FDC745C"/>
    <w:rsid w:val="2FFD7934"/>
    <w:rsid w:val="30733ACD"/>
    <w:rsid w:val="308C3862"/>
    <w:rsid w:val="309379D8"/>
    <w:rsid w:val="30A270F7"/>
    <w:rsid w:val="30DF1478"/>
    <w:rsid w:val="30EC586F"/>
    <w:rsid w:val="310E70FE"/>
    <w:rsid w:val="319C6071"/>
    <w:rsid w:val="31AC537E"/>
    <w:rsid w:val="31E3679B"/>
    <w:rsid w:val="31E732FD"/>
    <w:rsid w:val="31F52018"/>
    <w:rsid w:val="32517576"/>
    <w:rsid w:val="32BE5C2C"/>
    <w:rsid w:val="32FB6478"/>
    <w:rsid w:val="33263B3F"/>
    <w:rsid w:val="336963EB"/>
    <w:rsid w:val="33816EEB"/>
    <w:rsid w:val="33E724DA"/>
    <w:rsid w:val="33EB55CD"/>
    <w:rsid w:val="33EC4C02"/>
    <w:rsid w:val="340D2360"/>
    <w:rsid w:val="3410665D"/>
    <w:rsid w:val="34211214"/>
    <w:rsid w:val="342E63AB"/>
    <w:rsid w:val="34950E68"/>
    <w:rsid w:val="34986E94"/>
    <w:rsid w:val="34AF62C9"/>
    <w:rsid w:val="34CB4388"/>
    <w:rsid w:val="34FA6E12"/>
    <w:rsid w:val="354D7158"/>
    <w:rsid w:val="358D5588"/>
    <w:rsid w:val="359327BC"/>
    <w:rsid w:val="35DF5492"/>
    <w:rsid w:val="363A3B40"/>
    <w:rsid w:val="365302AE"/>
    <w:rsid w:val="36607A0A"/>
    <w:rsid w:val="366E227C"/>
    <w:rsid w:val="366F2E0D"/>
    <w:rsid w:val="367B6A5C"/>
    <w:rsid w:val="36A74ADA"/>
    <w:rsid w:val="36AD60D5"/>
    <w:rsid w:val="36B224F9"/>
    <w:rsid w:val="36EC0CC9"/>
    <w:rsid w:val="373F410B"/>
    <w:rsid w:val="376D4844"/>
    <w:rsid w:val="37EE7094"/>
    <w:rsid w:val="37FD3DDA"/>
    <w:rsid w:val="38296C89"/>
    <w:rsid w:val="383002EB"/>
    <w:rsid w:val="38586797"/>
    <w:rsid w:val="385D15DF"/>
    <w:rsid w:val="38BC0149"/>
    <w:rsid w:val="38D87D1C"/>
    <w:rsid w:val="39636459"/>
    <w:rsid w:val="396B7F6C"/>
    <w:rsid w:val="39B417A9"/>
    <w:rsid w:val="39BD325A"/>
    <w:rsid w:val="39EF48D5"/>
    <w:rsid w:val="39FC5695"/>
    <w:rsid w:val="3A006D8E"/>
    <w:rsid w:val="3A136626"/>
    <w:rsid w:val="3A1E0383"/>
    <w:rsid w:val="3A3651E5"/>
    <w:rsid w:val="3A744481"/>
    <w:rsid w:val="3A8C7BEF"/>
    <w:rsid w:val="3A906246"/>
    <w:rsid w:val="3B2349B7"/>
    <w:rsid w:val="3B616CFF"/>
    <w:rsid w:val="3B6259F6"/>
    <w:rsid w:val="3B976654"/>
    <w:rsid w:val="3BC01EFC"/>
    <w:rsid w:val="3BCA786A"/>
    <w:rsid w:val="3BD31E2F"/>
    <w:rsid w:val="3BF15831"/>
    <w:rsid w:val="3C0331F7"/>
    <w:rsid w:val="3C105946"/>
    <w:rsid w:val="3C471448"/>
    <w:rsid w:val="3C5F759A"/>
    <w:rsid w:val="3C6C525A"/>
    <w:rsid w:val="3CCE23CB"/>
    <w:rsid w:val="3CD17D17"/>
    <w:rsid w:val="3D3C7F39"/>
    <w:rsid w:val="3D440F09"/>
    <w:rsid w:val="3D4504A0"/>
    <w:rsid w:val="3D8734BB"/>
    <w:rsid w:val="3D9616FC"/>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F65D3"/>
    <w:rsid w:val="4019356B"/>
    <w:rsid w:val="40592157"/>
    <w:rsid w:val="406E1CAE"/>
    <w:rsid w:val="40A0133A"/>
    <w:rsid w:val="40C31A53"/>
    <w:rsid w:val="40FB4B2A"/>
    <w:rsid w:val="40FE01E6"/>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4B50AC"/>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DE1EAC"/>
    <w:rsid w:val="4E391564"/>
    <w:rsid w:val="4E793892"/>
    <w:rsid w:val="4E800872"/>
    <w:rsid w:val="4EC569ED"/>
    <w:rsid w:val="4ED50EA1"/>
    <w:rsid w:val="4EEC050C"/>
    <w:rsid w:val="4F104EC3"/>
    <w:rsid w:val="4F47354A"/>
    <w:rsid w:val="4F911C54"/>
    <w:rsid w:val="4FBF1507"/>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2FF7816"/>
    <w:rsid w:val="53097272"/>
    <w:rsid w:val="530B3D85"/>
    <w:rsid w:val="53544462"/>
    <w:rsid w:val="53794678"/>
    <w:rsid w:val="5397158E"/>
    <w:rsid w:val="53A72B6C"/>
    <w:rsid w:val="54013861"/>
    <w:rsid w:val="54487265"/>
    <w:rsid w:val="544D6070"/>
    <w:rsid w:val="54544735"/>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B338B"/>
    <w:rsid w:val="566B6D1E"/>
    <w:rsid w:val="56D71D4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210A23"/>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E71988"/>
    <w:rsid w:val="5B2E1A1D"/>
    <w:rsid w:val="5B843A1C"/>
    <w:rsid w:val="5B873E3F"/>
    <w:rsid w:val="5C02690E"/>
    <w:rsid w:val="5C0B1214"/>
    <w:rsid w:val="5C196DA7"/>
    <w:rsid w:val="5C2A048C"/>
    <w:rsid w:val="5C327B4C"/>
    <w:rsid w:val="5C80234E"/>
    <w:rsid w:val="5C8A680C"/>
    <w:rsid w:val="5D0C4701"/>
    <w:rsid w:val="5D0F0395"/>
    <w:rsid w:val="5D1DE5DA"/>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482646"/>
    <w:rsid w:val="5F6277C6"/>
    <w:rsid w:val="5F6D0B1D"/>
    <w:rsid w:val="5F7B12E5"/>
    <w:rsid w:val="5F8D0B82"/>
    <w:rsid w:val="5FA40637"/>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C64CD9"/>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23585"/>
    <w:rsid w:val="65854376"/>
    <w:rsid w:val="658767BE"/>
    <w:rsid w:val="65892531"/>
    <w:rsid w:val="66195831"/>
    <w:rsid w:val="662E75B1"/>
    <w:rsid w:val="66342C2E"/>
    <w:rsid w:val="663E784C"/>
    <w:rsid w:val="668B6A45"/>
    <w:rsid w:val="672F3F24"/>
    <w:rsid w:val="673E055F"/>
    <w:rsid w:val="67551CE3"/>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F444F"/>
    <w:rsid w:val="68B96DBB"/>
    <w:rsid w:val="68BC0EE4"/>
    <w:rsid w:val="68BC69A9"/>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C1CF3"/>
    <w:rsid w:val="6C016069"/>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F2B3A"/>
    <w:rsid w:val="6ED446C5"/>
    <w:rsid w:val="6F2A7D94"/>
    <w:rsid w:val="6F8331F1"/>
    <w:rsid w:val="6FAE1A09"/>
    <w:rsid w:val="6FD75BF8"/>
    <w:rsid w:val="70713D1E"/>
    <w:rsid w:val="707723D0"/>
    <w:rsid w:val="70F5661B"/>
    <w:rsid w:val="71210DBE"/>
    <w:rsid w:val="71360107"/>
    <w:rsid w:val="713B688E"/>
    <w:rsid w:val="716F4C2B"/>
    <w:rsid w:val="719F449E"/>
    <w:rsid w:val="71D43752"/>
    <w:rsid w:val="71F1796A"/>
    <w:rsid w:val="71F7F5A0"/>
    <w:rsid w:val="72154626"/>
    <w:rsid w:val="72262B5D"/>
    <w:rsid w:val="72283FF7"/>
    <w:rsid w:val="722E7212"/>
    <w:rsid w:val="723A0474"/>
    <w:rsid w:val="725923E4"/>
    <w:rsid w:val="72864BF7"/>
    <w:rsid w:val="729023FC"/>
    <w:rsid w:val="73C0646E"/>
    <w:rsid w:val="73C365B7"/>
    <w:rsid w:val="742222F5"/>
    <w:rsid w:val="74476126"/>
    <w:rsid w:val="74706664"/>
    <w:rsid w:val="747F3682"/>
    <w:rsid w:val="749C4185"/>
    <w:rsid w:val="74C257AA"/>
    <w:rsid w:val="74F0120D"/>
    <w:rsid w:val="75067759"/>
    <w:rsid w:val="751002ED"/>
    <w:rsid w:val="752E6DCD"/>
    <w:rsid w:val="7551380D"/>
    <w:rsid w:val="75600BE5"/>
    <w:rsid w:val="7564475C"/>
    <w:rsid w:val="7583797F"/>
    <w:rsid w:val="75D20F1D"/>
    <w:rsid w:val="75DA2C18"/>
    <w:rsid w:val="75F54412"/>
    <w:rsid w:val="761D08E0"/>
    <w:rsid w:val="765D347C"/>
    <w:rsid w:val="76826699"/>
    <w:rsid w:val="76873BC1"/>
    <w:rsid w:val="76C87133"/>
    <w:rsid w:val="76CD08D5"/>
    <w:rsid w:val="76DB4B92"/>
    <w:rsid w:val="76FF5330"/>
    <w:rsid w:val="77052AA4"/>
    <w:rsid w:val="77136511"/>
    <w:rsid w:val="77167A87"/>
    <w:rsid w:val="77340A39"/>
    <w:rsid w:val="77351FD0"/>
    <w:rsid w:val="77472422"/>
    <w:rsid w:val="777F31F2"/>
    <w:rsid w:val="77BF3265"/>
    <w:rsid w:val="77D1700D"/>
    <w:rsid w:val="77EA74CC"/>
    <w:rsid w:val="77EC04CC"/>
    <w:rsid w:val="78775729"/>
    <w:rsid w:val="78A42DB0"/>
    <w:rsid w:val="78A656AB"/>
    <w:rsid w:val="78B2245C"/>
    <w:rsid w:val="78E172CC"/>
    <w:rsid w:val="78EA1D1F"/>
    <w:rsid w:val="78F90487"/>
    <w:rsid w:val="7904172F"/>
    <w:rsid w:val="790F7E27"/>
    <w:rsid w:val="792A231A"/>
    <w:rsid w:val="79316829"/>
    <w:rsid w:val="79635B60"/>
    <w:rsid w:val="797E66A9"/>
    <w:rsid w:val="798518A4"/>
    <w:rsid w:val="79A97383"/>
    <w:rsid w:val="79E27E8B"/>
    <w:rsid w:val="79F850CE"/>
    <w:rsid w:val="79FD443C"/>
    <w:rsid w:val="79FFDFAF"/>
    <w:rsid w:val="7A1A51CB"/>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7E7D48"/>
    <w:rsid w:val="7BEE0103"/>
    <w:rsid w:val="7C0A0FE4"/>
    <w:rsid w:val="7C254906"/>
    <w:rsid w:val="7C590818"/>
    <w:rsid w:val="7C6732F0"/>
    <w:rsid w:val="7C7C10F6"/>
    <w:rsid w:val="7C853BEA"/>
    <w:rsid w:val="7C881368"/>
    <w:rsid w:val="7CE27788"/>
    <w:rsid w:val="7D0C32F1"/>
    <w:rsid w:val="7D0F408D"/>
    <w:rsid w:val="7D491C6C"/>
    <w:rsid w:val="7D5429C0"/>
    <w:rsid w:val="7D6E6D43"/>
    <w:rsid w:val="7DB57A34"/>
    <w:rsid w:val="7DE60973"/>
    <w:rsid w:val="7DEF0916"/>
    <w:rsid w:val="7E1E5218"/>
    <w:rsid w:val="7E75F580"/>
    <w:rsid w:val="7E957AB5"/>
    <w:rsid w:val="7E9A4E1F"/>
    <w:rsid w:val="7EA7723A"/>
    <w:rsid w:val="7EBE8AB3"/>
    <w:rsid w:val="7EF56FBB"/>
    <w:rsid w:val="7F0768EB"/>
    <w:rsid w:val="7F143BEC"/>
    <w:rsid w:val="7F6F5EBE"/>
    <w:rsid w:val="7F715AF2"/>
    <w:rsid w:val="7F886E69"/>
    <w:rsid w:val="7F9DEFDD"/>
    <w:rsid w:val="7FDF7E14"/>
    <w:rsid w:val="7FFF15E6"/>
    <w:rsid w:val="9C2DC1F0"/>
    <w:rsid w:val="9EFF1932"/>
    <w:rsid w:val="BB7FA927"/>
    <w:rsid w:val="BE17C5AF"/>
    <w:rsid w:val="CBAF19EA"/>
    <w:rsid w:val="CD7FFC07"/>
    <w:rsid w:val="D3D67078"/>
    <w:rsid w:val="DBE228F9"/>
    <w:rsid w:val="DDBBFFF0"/>
    <w:rsid w:val="DEFB09E1"/>
    <w:rsid w:val="DFDB6642"/>
    <w:rsid w:val="DFF7C2A0"/>
    <w:rsid w:val="EFFFB235"/>
    <w:rsid w:val="F5FFD31F"/>
    <w:rsid w:val="F63D9962"/>
    <w:rsid w:val="F7FF2692"/>
    <w:rsid w:val="FA7FF16F"/>
    <w:rsid w:val="FAFF2305"/>
    <w:rsid w:val="FBDC34C1"/>
    <w:rsid w:val="FCFFC6AD"/>
    <w:rsid w:val="FD679D53"/>
    <w:rsid w:val="FE7FD5FC"/>
    <w:rsid w:val="FF1FA7A0"/>
    <w:rsid w:val="FFB7044D"/>
    <w:rsid w:val="FFEA6C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5"/>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79"/>
    <w:qFormat/>
    <w:uiPriority w:val="0"/>
    <w:rPr>
      <w:rFonts w:ascii="仿宋_GB2312"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79"/>
    <w:next w:val="79"/>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79"/>
    <w:next w:val="79"/>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 w:type="paragraph" w:customStyle="1" w:styleId="966">
    <w:name w:val="正文12345"/>
    <w:basedOn w:val="1"/>
    <w:qFormat/>
    <w:uiPriority w:val="99"/>
    <w:pPr>
      <w:spacing w:line="400" w:lineRule="exact"/>
      <w:ind w:firstLine="200" w:firstLineChars="200"/>
      <w:jc w:val="left"/>
    </w:pPr>
    <w:rPr>
      <w:rFonts w:ascii="仿宋_GB2312" w:hAnsi="宋体" w:cs="宋体"/>
      <w:kern w:val="0"/>
      <w:sz w:val="24"/>
    </w:rPr>
  </w:style>
  <w:style w:type="character" w:customStyle="1" w:styleId="967">
    <w:name w:val="l-btn-empty"/>
    <w:basedOn w:val="69"/>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84</Pages>
  <Words>28930</Words>
  <Characters>31526</Characters>
  <Lines>279</Lines>
  <Paragraphs>78</Paragraphs>
  <TotalTime>43</TotalTime>
  <ScaleCrop>false</ScaleCrop>
  <LinksUpToDate>false</LinksUpToDate>
  <CharactersWithSpaces>32054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2021-08-06T00:22:00Z</dcterms:created>
  <dc:creator>玥</dc:creator>
  <cp:lastModifiedBy>A小把胡子A 13335718896</cp:lastModifiedBy>
  <cp:lastPrinted>2024-10-22T17:29:00Z</cp:lastPrinted>
  <dcterms:modified xsi:type="dcterms:W3CDTF">2025-06-26T07:16:07Z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7F20495D950B414D9C451FFAA668F375_13</vt:lpwstr>
  </property>
  <property fmtid="{D5CDD505-2E9C-101B-9397-08002B2CF9AE}" pid="5" name="KSOTemplateDocerSaveRecord">
    <vt:lpwstr>eyJoZGlkIjoiMjQ5YWM0YjY1YmUyMGM5ZTgzY2MxMGNmNjM1MDRjNjYiLCJ1c2VySWQiOiI5OTI5OTgxOTgifQ==</vt:lpwstr>
  </property>
</Properties>
</file>