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548AC0">
      <w:pPr>
        <w:adjustRightInd/>
        <w:spacing w:line="360" w:lineRule="auto"/>
        <w:jc w:val="center"/>
        <w:rPr>
          <w:rFonts w:ascii="宋体" w:hAnsi="宋体" w:cs="宋体"/>
          <w:b/>
          <w:color w:val="auto"/>
          <w:sz w:val="48"/>
          <w:szCs w:val="48"/>
          <w:highlight w:val="none"/>
        </w:rPr>
      </w:pPr>
    </w:p>
    <w:p w14:paraId="5FCB41F8">
      <w:pPr>
        <w:adjustRightInd/>
        <w:spacing w:line="360" w:lineRule="auto"/>
        <w:jc w:val="center"/>
        <w:rPr>
          <w:rFonts w:hint="eastAsia" w:ascii="宋体" w:hAnsi="宋体" w:eastAsia="宋体" w:cs="宋体"/>
          <w:b/>
          <w:color w:val="auto"/>
          <w:sz w:val="44"/>
          <w:szCs w:val="44"/>
          <w:highlight w:val="none"/>
          <w:lang w:eastAsia="zh-CN"/>
        </w:rPr>
      </w:pPr>
      <w:r>
        <w:rPr>
          <w:rFonts w:hint="eastAsia" w:ascii="宋体" w:hAnsi="宋体" w:cs="宋体"/>
          <w:color w:val="auto"/>
          <w:sz w:val="48"/>
          <w:szCs w:val="48"/>
          <w:highlight w:val="none"/>
          <w:lang w:eastAsia="zh-CN"/>
        </w:rPr>
        <w:t>杭州市胜利实验笕成小学品质提升工程（二期）</w:t>
      </w:r>
    </w:p>
    <w:p w14:paraId="43CD043F">
      <w:pPr>
        <w:adjustRightInd/>
        <w:spacing w:line="360" w:lineRule="auto"/>
        <w:jc w:val="center"/>
        <w:rPr>
          <w:rFonts w:hint="eastAsia" w:ascii="宋体" w:hAnsi="宋体" w:cs="宋体"/>
          <w:color w:val="auto"/>
          <w:sz w:val="48"/>
          <w:szCs w:val="48"/>
          <w:highlight w:val="none"/>
        </w:rPr>
      </w:pPr>
      <w:r>
        <w:rPr>
          <w:rFonts w:hint="eastAsia" w:ascii="宋体" w:hAnsi="宋体" w:cs="宋体"/>
          <w:b/>
          <w:color w:val="auto"/>
          <w:sz w:val="44"/>
          <w:szCs w:val="44"/>
          <w:highlight w:val="none"/>
        </w:rPr>
        <w:t>（电子交易）</w:t>
      </w:r>
    </w:p>
    <w:p w14:paraId="6755EBFE">
      <w:pPr>
        <w:adjustRightInd/>
        <w:spacing w:line="360" w:lineRule="auto"/>
        <w:jc w:val="center"/>
        <w:rPr>
          <w:rFonts w:hint="default" w:ascii="宋体" w:hAnsi="宋体" w:eastAsia="宋体" w:cs="宋体"/>
          <w:color w:val="auto"/>
          <w:sz w:val="40"/>
          <w:szCs w:val="40"/>
          <w:highlight w:val="none"/>
          <w:lang w:val="en-US" w:eastAsia="zh-CN"/>
        </w:rPr>
      </w:pPr>
      <w:r>
        <w:rPr>
          <w:rFonts w:hint="eastAsia" w:ascii="宋体" w:hAnsi="宋体" w:cs="宋体"/>
          <w:color w:val="auto"/>
          <w:sz w:val="40"/>
          <w:szCs w:val="40"/>
          <w:highlight w:val="none"/>
        </w:rPr>
        <w:t>编号:</w:t>
      </w:r>
      <w:r>
        <w:rPr>
          <w:rFonts w:hint="eastAsia" w:ascii="宋体" w:hAnsi="宋体" w:cs="宋体"/>
          <w:color w:val="auto"/>
          <w:sz w:val="40"/>
          <w:szCs w:val="40"/>
          <w:highlight w:val="none"/>
          <w:lang w:val="en-US" w:eastAsia="zh-CN"/>
        </w:rPr>
        <w:t>HZGS-20250624001</w:t>
      </w:r>
    </w:p>
    <w:p w14:paraId="63720DBB">
      <w:pPr>
        <w:adjustRightInd/>
        <w:spacing w:line="360" w:lineRule="auto"/>
        <w:jc w:val="center"/>
        <w:rPr>
          <w:rFonts w:hint="eastAsia" w:ascii="宋体" w:hAnsi="宋体" w:cs="宋体"/>
          <w:color w:val="auto"/>
          <w:sz w:val="48"/>
          <w:szCs w:val="48"/>
          <w:highlight w:val="none"/>
        </w:rPr>
      </w:pPr>
    </w:p>
    <w:p w14:paraId="7762FEC3">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竞</w:t>
      </w:r>
    </w:p>
    <w:p w14:paraId="09F281FC">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争</w:t>
      </w:r>
    </w:p>
    <w:p w14:paraId="16E8B2C7">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性</w:t>
      </w:r>
    </w:p>
    <w:p w14:paraId="29A39C8E">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磋</w:t>
      </w:r>
    </w:p>
    <w:p w14:paraId="79DA303B">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商</w:t>
      </w:r>
    </w:p>
    <w:p w14:paraId="6003F9D0">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文</w:t>
      </w:r>
    </w:p>
    <w:p w14:paraId="6177BBE7">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件</w:t>
      </w:r>
    </w:p>
    <w:p w14:paraId="2813FB8A">
      <w:pPr>
        <w:pStyle w:val="79"/>
        <w:rPr>
          <w:rFonts w:hint="eastAsia" w:ascii="宋体" w:hAnsi="宋体" w:cs="宋体"/>
          <w:color w:val="auto"/>
          <w:sz w:val="48"/>
          <w:szCs w:val="48"/>
          <w:highlight w:val="none"/>
        </w:rPr>
      </w:pPr>
    </w:p>
    <w:p w14:paraId="635C6448">
      <w:pPr>
        <w:pStyle w:val="79"/>
        <w:rPr>
          <w:rFonts w:hint="eastAsia" w:ascii="宋体" w:hAnsi="宋体" w:cs="宋体"/>
          <w:color w:val="auto"/>
          <w:sz w:val="48"/>
          <w:szCs w:val="48"/>
          <w:highlight w:val="none"/>
        </w:rPr>
      </w:pPr>
    </w:p>
    <w:p w14:paraId="477B848B">
      <w:pPr>
        <w:snapToGrid w:val="0"/>
        <w:spacing w:line="360" w:lineRule="auto"/>
        <w:jc w:val="center"/>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lang w:val="en-US" w:eastAsia="zh-CN"/>
        </w:rPr>
        <w:t>杭州市胜利实验笕成小学</w:t>
      </w:r>
    </w:p>
    <w:p w14:paraId="3CEC253A">
      <w:pPr>
        <w:spacing w:line="360" w:lineRule="auto"/>
        <w:jc w:val="center"/>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杭州广厦建筑咨询有限公司</w:t>
      </w:r>
    </w:p>
    <w:p w14:paraId="08D8B6B8">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lang w:val="en-US" w:eastAsia="zh-CN"/>
        </w:rPr>
        <w:t>2025</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06</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24</w:t>
      </w:r>
      <w:r>
        <w:rPr>
          <w:rFonts w:hint="eastAsia" w:ascii="宋体" w:hAnsi="宋体" w:cs="宋体"/>
          <w:bCs/>
          <w:color w:val="auto"/>
          <w:sz w:val="32"/>
          <w:szCs w:val="32"/>
          <w:highlight w:val="none"/>
        </w:rPr>
        <w:t>日</w:t>
      </w:r>
    </w:p>
    <w:p w14:paraId="3284AE63">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356165FC">
      <w:pPr>
        <w:spacing w:line="360" w:lineRule="auto"/>
        <w:jc w:val="center"/>
        <w:rPr>
          <w:rFonts w:ascii="宋体" w:hAnsi="宋体" w:cs="宋体"/>
          <w:color w:val="auto"/>
          <w:sz w:val="24"/>
          <w:highlight w:val="none"/>
        </w:rPr>
      </w:pPr>
    </w:p>
    <w:p w14:paraId="2D381D2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0FA935CF">
      <w:pPr>
        <w:spacing w:line="360" w:lineRule="auto"/>
        <w:rPr>
          <w:rFonts w:ascii="宋体" w:hAnsi="宋体" w:cs="宋体"/>
          <w:color w:val="auto"/>
          <w:sz w:val="32"/>
          <w:szCs w:val="32"/>
          <w:highlight w:val="none"/>
        </w:rPr>
      </w:pPr>
    </w:p>
    <w:p w14:paraId="257C6D45">
      <w:pPr>
        <w:spacing w:line="360" w:lineRule="auto"/>
        <w:rPr>
          <w:rFonts w:ascii="宋体" w:hAnsi="宋体" w:cs="宋体"/>
          <w:color w:val="auto"/>
          <w:sz w:val="32"/>
          <w:szCs w:val="32"/>
          <w:highlight w:val="none"/>
        </w:rPr>
      </w:pPr>
    </w:p>
    <w:p w14:paraId="1593225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竞争性磋商公告</w:t>
      </w:r>
    </w:p>
    <w:p w14:paraId="64F1E07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供应商须知</w:t>
      </w:r>
    </w:p>
    <w:p w14:paraId="4A03B5B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5C55B6D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评审办法</w:t>
      </w:r>
    </w:p>
    <w:p w14:paraId="3F63725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7E9AF1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59DB279">
      <w:pPr>
        <w:spacing w:line="360" w:lineRule="auto"/>
        <w:ind w:firstLine="1280" w:firstLineChars="400"/>
        <w:rPr>
          <w:rFonts w:ascii="宋体" w:hAnsi="宋体" w:cs="宋体"/>
          <w:color w:val="auto"/>
          <w:sz w:val="32"/>
          <w:szCs w:val="32"/>
          <w:highlight w:val="none"/>
        </w:rPr>
      </w:pPr>
    </w:p>
    <w:p w14:paraId="76870372">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9282CF7">
      <w:pPr>
        <w:spacing w:line="360" w:lineRule="auto"/>
        <w:ind w:firstLine="549" w:firstLineChars="229"/>
        <w:rPr>
          <w:rFonts w:ascii="宋体" w:hAnsi="宋体" w:cs="宋体"/>
          <w:color w:val="auto"/>
          <w:sz w:val="24"/>
          <w:highlight w:val="none"/>
        </w:rPr>
      </w:pPr>
    </w:p>
    <w:p w14:paraId="3265EC67">
      <w:pPr>
        <w:spacing w:line="360" w:lineRule="auto"/>
        <w:ind w:firstLine="549" w:firstLineChars="229"/>
        <w:rPr>
          <w:rFonts w:ascii="宋体" w:hAnsi="宋体" w:cs="宋体"/>
          <w:color w:val="auto"/>
          <w:sz w:val="24"/>
          <w:highlight w:val="none"/>
        </w:rPr>
      </w:pPr>
    </w:p>
    <w:p w14:paraId="32A86F4F">
      <w:pPr>
        <w:spacing w:line="360" w:lineRule="auto"/>
        <w:ind w:firstLine="549" w:firstLineChars="229"/>
        <w:rPr>
          <w:rFonts w:ascii="宋体" w:hAnsi="宋体" w:cs="宋体"/>
          <w:color w:val="auto"/>
          <w:sz w:val="24"/>
          <w:highlight w:val="none"/>
        </w:rPr>
      </w:pPr>
    </w:p>
    <w:p w14:paraId="3976C189">
      <w:pPr>
        <w:spacing w:line="360" w:lineRule="auto"/>
        <w:ind w:firstLine="549" w:firstLineChars="229"/>
        <w:rPr>
          <w:rFonts w:ascii="宋体" w:hAnsi="宋体" w:cs="宋体"/>
          <w:color w:val="auto"/>
          <w:sz w:val="24"/>
          <w:highlight w:val="none"/>
        </w:rPr>
      </w:pPr>
    </w:p>
    <w:p w14:paraId="31C95E4F">
      <w:pPr>
        <w:spacing w:line="360" w:lineRule="auto"/>
        <w:ind w:firstLine="549" w:firstLineChars="229"/>
        <w:rPr>
          <w:rFonts w:ascii="宋体" w:hAnsi="宋体" w:cs="宋体"/>
          <w:color w:val="auto"/>
          <w:sz w:val="24"/>
          <w:highlight w:val="none"/>
        </w:rPr>
      </w:pPr>
    </w:p>
    <w:p w14:paraId="679C9843">
      <w:pPr>
        <w:spacing w:line="360" w:lineRule="auto"/>
        <w:ind w:firstLine="549" w:firstLineChars="229"/>
        <w:rPr>
          <w:rFonts w:ascii="宋体" w:hAnsi="宋体" w:cs="宋体"/>
          <w:color w:val="auto"/>
          <w:sz w:val="24"/>
          <w:highlight w:val="none"/>
        </w:rPr>
      </w:pPr>
    </w:p>
    <w:p w14:paraId="4F6FC5E8">
      <w:pPr>
        <w:spacing w:line="360" w:lineRule="auto"/>
        <w:ind w:firstLine="549" w:firstLineChars="229"/>
        <w:rPr>
          <w:rFonts w:ascii="宋体" w:hAnsi="宋体" w:cs="宋体"/>
          <w:color w:val="auto"/>
          <w:sz w:val="24"/>
          <w:highlight w:val="none"/>
        </w:rPr>
      </w:pPr>
    </w:p>
    <w:p w14:paraId="5ED83DF8">
      <w:pPr>
        <w:spacing w:line="360" w:lineRule="auto"/>
        <w:ind w:firstLine="549" w:firstLineChars="229"/>
        <w:rPr>
          <w:rFonts w:ascii="宋体" w:hAnsi="宋体" w:cs="宋体"/>
          <w:color w:val="auto"/>
          <w:sz w:val="24"/>
          <w:highlight w:val="none"/>
        </w:rPr>
      </w:pPr>
    </w:p>
    <w:p w14:paraId="000E2795">
      <w:pPr>
        <w:spacing w:line="360" w:lineRule="auto"/>
        <w:ind w:firstLine="549" w:firstLineChars="229"/>
        <w:rPr>
          <w:rFonts w:ascii="宋体" w:hAnsi="宋体" w:cs="宋体"/>
          <w:color w:val="auto"/>
          <w:sz w:val="24"/>
          <w:highlight w:val="none"/>
        </w:rPr>
      </w:pPr>
    </w:p>
    <w:p w14:paraId="1F5456DF">
      <w:pPr>
        <w:spacing w:line="360" w:lineRule="auto"/>
        <w:ind w:firstLine="549" w:firstLineChars="229"/>
        <w:rPr>
          <w:rFonts w:ascii="宋体" w:hAnsi="宋体" w:cs="宋体"/>
          <w:color w:val="auto"/>
          <w:sz w:val="24"/>
          <w:highlight w:val="none"/>
        </w:rPr>
      </w:pPr>
    </w:p>
    <w:p w14:paraId="63D05FD4">
      <w:pPr>
        <w:spacing w:line="360" w:lineRule="auto"/>
        <w:ind w:firstLine="549" w:firstLineChars="229"/>
        <w:rPr>
          <w:rFonts w:ascii="宋体" w:hAnsi="宋体" w:cs="宋体"/>
          <w:color w:val="auto"/>
          <w:sz w:val="24"/>
          <w:highlight w:val="none"/>
        </w:rPr>
      </w:pPr>
    </w:p>
    <w:p w14:paraId="2D4B33FC">
      <w:pPr>
        <w:spacing w:line="360" w:lineRule="auto"/>
        <w:ind w:firstLine="549" w:firstLineChars="229"/>
        <w:rPr>
          <w:rFonts w:ascii="宋体" w:hAnsi="宋体" w:cs="宋体"/>
          <w:color w:val="auto"/>
          <w:sz w:val="24"/>
          <w:highlight w:val="none"/>
        </w:rPr>
      </w:pPr>
    </w:p>
    <w:p w14:paraId="76F49541">
      <w:pPr>
        <w:spacing w:line="360" w:lineRule="auto"/>
        <w:rPr>
          <w:rFonts w:ascii="宋体" w:hAnsi="宋体" w:cs="宋体"/>
          <w:color w:val="auto"/>
          <w:sz w:val="24"/>
          <w:highlight w:val="none"/>
        </w:rPr>
      </w:pPr>
    </w:p>
    <w:p w14:paraId="3B8DF407">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竞争性磋商公告</w:t>
      </w:r>
    </w:p>
    <w:p w14:paraId="527FD528">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项目概况</w:t>
      </w:r>
      <w:r>
        <w:rPr>
          <w:rFonts w:hint="eastAsia" w:ascii="宋体" w:hAnsi="宋体" w:cs="宋体"/>
          <w:color w:val="auto"/>
          <w:sz w:val="24"/>
          <w:highlight w:val="none"/>
          <w:lang w:eastAsia="zh-CN"/>
        </w:rPr>
        <w:t>：</w:t>
      </w:r>
    </w:p>
    <w:p w14:paraId="21C479C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杭州市胜利实验笕成小学品质提升工程（二期）</w:t>
      </w:r>
      <w:r>
        <w:rPr>
          <w:rFonts w:hint="eastAsia" w:ascii="宋体" w:hAnsi="宋体" w:cs="宋体"/>
          <w:color w:val="auto"/>
          <w:sz w:val="24"/>
          <w:highlight w:val="none"/>
        </w:rPr>
        <w:t>采购项目的潜在供应商应在政采云平台（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https://www.zcygov.cn/）获取（下载）采购文件，并于</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u w:val="singl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提交（上传）响应文件。</w:t>
      </w:r>
    </w:p>
    <w:p w14:paraId="4611FBC4">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3EAD6B4">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项目编号：</w:t>
      </w:r>
    </w:p>
    <w:p w14:paraId="5CFE6294">
      <w:pPr>
        <w:snapToGrid w:val="0"/>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b/>
          <w:color w:val="auto"/>
          <w:sz w:val="24"/>
          <w:highlight w:val="none"/>
          <w:lang w:eastAsia="zh-CN"/>
        </w:rPr>
        <w:t>杭州市胜利实验笕成小学品质提升工程（二期）</w:t>
      </w:r>
    </w:p>
    <w:p w14:paraId="2B322989">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预算金额（元）：</w:t>
      </w:r>
      <w:r>
        <w:rPr>
          <w:rFonts w:hint="eastAsia" w:ascii="宋体" w:hAnsi="宋体" w:cs="宋体"/>
          <w:b/>
          <w:color w:val="auto"/>
          <w:sz w:val="24"/>
          <w:highlight w:val="none"/>
          <w:lang w:val="en-US" w:eastAsia="zh-CN"/>
        </w:rPr>
        <w:t>3706688元</w:t>
      </w:r>
      <w:r>
        <w:rPr>
          <w:rFonts w:hint="eastAsia" w:ascii="宋体" w:hAnsi="宋体" w:cs="宋体"/>
          <w:color w:val="auto"/>
          <w:sz w:val="24"/>
          <w:highlight w:val="none"/>
        </w:rPr>
        <w:t xml:space="preserve">  </w:t>
      </w:r>
    </w:p>
    <w:p w14:paraId="24363695">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3706688元</w:t>
      </w:r>
      <w:r>
        <w:rPr>
          <w:rFonts w:hint="eastAsia" w:ascii="宋体" w:hAnsi="宋体" w:cs="宋体"/>
          <w:color w:val="auto"/>
          <w:sz w:val="24"/>
          <w:highlight w:val="none"/>
        </w:rPr>
        <w:t xml:space="preserve">  </w:t>
      </w:r>
    </w:p>
    <w:p w14:paraId="74C14250">
      <w:pPr>
        <w:pStyle w:val="5"/>
        <w:spacing w:line="360" w:lineRule="auto"/>
        <w:ind w:firstLine="482" w:firstLineChars="200"/>
        <w:rPr>
          <w:rFonts w:hAnsi="宋体" w:cs="宋体"/>
          <w:b w:val="0"/>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lang w:eastAsia="zh-CN"/>
        </w:rPr>
        <w:t>杭州市胜利实验笕成小学品质提升工程（二期）</w:t>
      </w:r>
      <w:r>
        <w:rPr>
          <w:rFonts w:hint="eastAsia" w:hAnsi="宋体" w:cs="宋体"/>
          <w:b w:val="0"/>
          <w:bCs/>
          <w:snapToGrid/>
          <w:color w:val="auto"/>
          <w:kern w:val="2"/>
          <w:sz w:val="24"/>
          <w:szCs w:val="24"/>
          <w:highlight w:val="none"/>
        </w:rPr>
        <w:t>主要内容：</w:t>
      </w:r>
      <w:r>
        <w:rPr>
          <w:rFonts w:hint="eastAsia" w:ascii="宋体" w:hAnsi="宋体" w:eastAsia="宋体" w:cs="宋体"/>
          <w:color w:val="auto"/>
          <w:spacing w:val="0"/>
          <w:sz w:val="24"/>
          <w:szCs w:val="24"/>
          <w:highlight w:val="none"/>
          <w:lang w:val="en-US" w:eastAsia="zh-CN"/>
        </w:rPr>
        <w:t>施工图纸及工程量清单</w:t>
      </w:r>
      <w:r>
        <w:rPr>
          <w:rFonts w:hint="eastAsia" w:hAnsi="宋体" w:cs="宋体"/>
          <w:b w:val="0"/>
          <w:bCs/>
          <w:snapToGrid/>
          <w:color w:val="auto"/>
          <w:kern w:val="2"/>
          <w:sz w:val="24"/>
          <w:szCs w:val="24"/>
          <w:highlight w:val="none"/>
        </w:rPr>
        <w:t>。详见采购文件第三部分采购需求。</w:t>
      </w:r>
    </w:p>
    <w:p w14:paraId="01233AD2">
      <w:pPr>
        <w:pStyle w:val="131"/>
        <w:snapToGrid w:val="0"/>
        <w:spacing w:before="0"/>
        <w:ind w:firstLine="482"/>
        <w:outlineLvl w:val="2"/>
        <w:rPr>
          <w:rFonts w:hint="default" w:ascii="宋体" w:hAnsi="宋体" w:eastAsia="宋体" w:cs="宋体"/>
          <w:color w:val="auto"/>
          <w:highlight w:val="none"/>
          <w:lang w:val="en-US" w:eastAsia="zh-CN"/>
        </w:rPr>
      </w:pPr>
      <w:r>
        <w:rPr>
          <w:rFonts w:hint="eastAsia" w:ascii="宋体" w:hAnsi="宋体" w:cs="宋体"/>
          <w:b/>
          <w:color w:val="auto"/>
          <w:highlight w:val="none"/>
        </w:rPr>
        <w:t>合同履约期限：</w:t>
      </w:r>
      <w:r>
        <w:rPr>
          <w:rFonts w:hint="eastAsia" w:ascii="宋体" w:hAnsi="宋体" w:cs="宋体"/>
          <w:b/>
          <w:color w:val="auto"/>
          <w:highlight w:val="none"/>
          <w:lang w:val="en-US" w:eastAsia="zh-CN"/>
        </w:rPr>
        <w:t>工期为 40日历天。</w:t>
      </w:r>
    </w:p>
    <w:p w14:paraId="1313D475">
      <w:pPr>
        <w:pStyle w:val="5"/>
        <w:spacing w:line="360" w:lineRule="auto"/>
        <w:ind w:firstLine="482" w:firstLineChars="200"/>
        <w:rPr>
          <w:rFonts w:hAnsi="宋体" w:cs="宋体"/>
          <w:b/>
          <w:color w:val="auto"/>
          <w:sz w:val="24"/>
          <w:highlight w:val="none"/>
        </w:rPr>
      </w:pPr>
      <w:r>
        <w:rPr>
          <w:rFonts w:hint="eastAsia" w:hAnsi="宋体" w:cs="宋体"/>
          <w:b/>
          <w:color w:val="auto"/>
          <w:sz w:val="24"/>
          <w:highlight w:val="none"/>
        </w:rPr>
        <w:t>本项目接受联合体：</w:t>
      </w:r>
    </w:p>
    <w:p w14:paraId="508A3C73">
      <w:pPr>
        <w:pStyle w:val="5"/>
        <w:spacing w:line="360" w:lineRule="auto"/>
        <w:ind w:firstLine="480" w:firstLineChars="200"/>
        <w:rPr>
          <w:rFonts w:hAnsi="宋体" w:cs="宋体"/>
          <w:color w:val="auto"/>
          <w:sz w:val="24"/>
          <w:highlight w:val="none"/>
        </w:rPr>
      </w:pP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color w:val="auto"/>
          <w:sz w:val="24"/>
          <w:highlight w:val="none"/>
        </w:rPr>
        <w:t>是；</w:t>
      </w:r>
    </w:p>
    <w:p w14:paraId="170C0F19">
      <w:pPr>
        <w:pStyle w:val="5"/>
        <w:spacing w:line="360" w:lineRule="auto"/>
        <w:ind w:firstLine="480" w:firstLineChars="200"/>
        <w:rPr>
          <w:rFonts w:hAnsi="宋体" w:cs="宋体"/>
          <w:color w:val="auto"/>
          <w:kern w:val="0"/>
          <w:sz w:val="24"/>
          <w:highlight w:val="none"/>
        </w:rPr>
      </w:pPr>
      <w:sdt>
        <w:sdtPr>
          <w:rPr>
            <w:rFonts w:hint="eastAsia" w:hAnsi="宋体" w:cs="宋体"/>
            <w:color w:val="auto"/>
            <w:kern w:val="0"/>
            <w:sz w:val="24"/>
            <w:highlight w:val="none"/>
          </w:rPr>
          <w:id w:val="87168129"/>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Ansi="宋体" w:cs="宋体"/>
              <w:color w:val="auto"/>
              <w:kern w:val="0"/>
              <w:sz w:val="24"/>
              <w:highlight w:val="none"/>
            </w:rPr>
            <w:t>☐</w:t>
          </w:r>
        </w:sdtContent>
      </w:sdt>
      <w:r>
        <w:rPr>
          <w:rFonts w:hint="eastAsia" w:hAnsi="宋体" w:cs="宋体"/>
          <w:color w:val="auto"/>
          <w:sz w:val="24"/>
          <w:highlight w:val="none"/>
        </w:rPr>
        <w:t>否</w:t>
      </w:r>
      <w:r>
        <w:rPr>
          <w:rFonts w:hint="eastAsia" w:hAnsi="宋体" w:cs="宋体"/>
          <w:color w:val="auto"/>
          <w:kern w:val="0"/>
          <w:sz w:val="24"/>
          <w:highlight w:val="none"/>
        </w:rPr>
        <w:t>，不接受联合体理由：</w:t>
      </w:r>
      <w:r>
        <w:rPr>
          <w:rFonts w:hAnsi="宋体" w:cs="宋体"/>
          <w:color w:val="auto"/>
          <w:kern w:val="0"/>
          <w:sz w:val="24"/>
          <w:highlight w:val="none"/>
          <w:u w:val="single"/>
        </w:rPr>
        <w:t xml:space="preserve">              </w:t>
      </w:r>
      <w:r>
        <w:rPr>
          <w:rFonts w:hint="eastAsia" w:hAnsi="宋体" w:cs="宋体"/>
          <w:color w:val="auto"/>
          <w:kern w:val="0"/>
          <w:sz w:val="24"/>
          <w:highlight w:val="none"/>
        </w:rPr>
        <w:t>。</w:t>
      </w:r>
    </w:p>
    <w:p w14:paraId="730DF591">
      <w:pPr>
        <w:pStyle w:val="131"/>
        <w:snapToGrid w:val="0"/>
        <w:spacing w:before="0"/>
        <w:ind w:firstLine="482"/>
        <w:outlineLvl w:val="2"/>
        <w:rPr>
          <w:rFonts w:ascii="宋体" w:hAnsi="宋体" w:cs="宋体"/>
          <w:b/>
          <w:color w:val="auto"/>
          <w:highlight w:val="none"/>
        </w:rPr>
      </w:pPr>
      <w:r>
        <w:rPr>
          <w:rFonts w:hint="eastAsia" w:ascii="宋体" w:hAnsi="宋体" w:cs="宋体"/>
          <w:b/>
          <w:color w:val="auto"/>
          <w:highlight w:val="none"/>
        </w:rPr>
        <w:t>注：不得限制大中型企业与小微企业组成联合体参与。</w:t>
      </w:r>
    </w:p>
    <w:p w14:paraId="0A150137">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193B3F13">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FC1F253">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以联合体形式参与的，提供联合协议(本项目不接受联合体或者供应商不以联合体形式参与的，则不需要提供) ；</w:t>
      </w:r>
    </w:p>
    <w:p w14:paraId="46974C92">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39ACC80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60915949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792B61B">
      <w:pPr>
        <w:rPr>
          <w:rFonts w:ascii="宋体" w:hAnsi="宋体" w:cs="宋体"/>
          <w:color w:val="auto"/>
          <w:sz w:val="24"/>
          <w:highlight w:val="none"/>
        </w:rPr>
      </w:pPr>
      <w:sdt>
        <w:sdtPr>
          <w:rPr>
            <w:rFonts w:hint="eastAsia" w:ascii="宋体" w:hAnsi="宋体" w:cs="宋体"/>
            <w:color w:val="auto"/>
            <w:kern w:val="0"/>
            <w:sz w:val="24"/>
            <w:highlight w:val="none"/>
          </w:rPr>
          <w:id w:val="22816380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工程全部由符合政策要求的中小企业承建，提供中小企业声明函；</w:t>
      </w:r>
    </w:p>
    <w:p w14:paraId="5E3F6773">
      <w:pPr>
        <w:rPr>
          <w:rFonts w:ascii="宋体" w:hAnsi="宋体" w:cs="宋体"/>
          <w:color w:val="auto"/>
          <w:sz w:val="24"/>
          <w:highlight w:val="none"/>
        </w:rPr>
      </w:pPr>
      <w:r>
        <w:rPr>
          <w:rFonts w:ascii="宋体" w:hAnsi="宋体" w:cs="宋体"/>
          <w:color w:val="auto"/>
          <w:sz w:val="24"/>
          <w:highlight w:val="none"/>
        </w:rPr>
        <w:br w:type="page"/>
      </w:r>
    </w:p>
    <w:p w14:paraId="5FCD3D1F">
      <w:pPr>
        <w:snapToGrid w:val="0"/>
        <w:spacing w:line="360" w:lineRule="auto"/>
        <w:ind w:firstLine="480" w:firstLineChars="200"/>
        <w:rPr>
          <w:rFonts w:hint="eastAsia" w:ascii="宋体" w:hAnsi="宋体" w:eastAsia="宋体" w:cs="宋体"/>
          <w:color w:val="auto"/>
          <w:sz w:val="24"/>
          <w:highlight w:val="none"/>
          <w:lang w:val="en-US" w:eastAsia="zh-CN"/>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5409016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具备建筑工程施工总承包三级及以上资质</w:t>
      </w:r>
      <w:r>
        <w:rPr>
          <w:rFonts w:hint="eastAsia" w:ascii="宋体" w:hAnsi="宋体" w:cs="宋体"/>
          <w:color w:val="auto"/>
          <w:sz w:val="24"/>
          <w:highlight w:val="none"/>
        </w:rPr>
        <w:t>；</w:t>
      </w:r>
    </w:p>
    <w:p w14:paraId="5BAAEDC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）具有有效期内的《安全生产许可证》；</w:t>
      </w:r>
    </w:p>
    <w:p w14:paraId="29C3C7D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）项目负责人具有注册在投标单位的</w:t>
      </w:r>
      <w:r>
        <w:rPr>
          <w:rFonts w:hint="eastAsia" w:ascii="宋体" w:hAnsi="宋体" w:cs="宋体"/>
          <w:color w:val="auto"/>
          <w:sz w:val="24"/>
          <w:highlight w:val="none"/>
          <w:lang w:val="en-US" w:eastAsia="zh-CN"/>
        </w:rPr>
        <w:t>建筑</w:t>
      </w:r>
      <w:r>
        <w:rPr>
          <w:rFonts w:hint="eastAsia" w:ascii="宋体" w:hAnsi="宋体" w:cs="宋体"/>
          <w:color w:val="auto"/>
          <w:sz w:val="24"/>
          <w:highlight w:val="none"/>
        </w:rPr>
        <w:t>工程贰级及以上建造师注册证书；</w:t>
      </w:r>
    </w:p>
    <w:p w14:paraId="1192433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）拟派现场安全生产专职管理人员具有“三类人员”有效C类证书；</w:t>
      </w:r>
    </w:p>
    <w:p w14:paraId="3BE7F34D">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5109C03">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三、获取采购文件 </w:t>
      </w:r>
    </w:p>
    <w:p w14:paraId="29ED548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687251A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08E08F6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03BEDDC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5E96B6DF">
      <w:pPr>
        <w:spacing w:line="360" w:lineRule="auto"/>
        <w:rPr>
          <w:rFonts w:ascii="宋体" w:hAnsi="宋体" w:cs="宋体"/>
          <w:b/>
          <w:color w:val="auto"/>
          <w:sz w:val="24"/>
          <w:highlight w:val="none"/>
        </w:rPr>
      </w:pPr>
      <w:r>
        <w:rPr>
          <w:rFonts w:hint="eastAsia" w:ascii="宋体" w:hAnsi="宋体" w:cs="宋体"/>
          <w:b/>
          <w:color w:val="auto"/>
          <w:sz w:val="24"/>
          <w:highlight w:val="none"/>
        </w:rPr>
        <w:t>四、响应文件提交（上传）</w:t>
      </w:r>
    </w:p>
    <w:p w14:paraId="4043681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color w:val="auto"/>
          <w:sz w:val="24"/>
          <w:highlight w:val="none"/>
        </w:rPr>
        <w:t>（北京时间）</w:t>
      </w:r>
    </w:p>
    <w:p w14:paraId="5DD1BE4A">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16078876">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五、响应文件开启 </w:t>
      </w:r>
    </w:p>
    <w:p w14:paraId="4467A5E0">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开启时间：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p>
    <w:p w14:paraId="76A4734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政采云平台（https://www.zcygov.cn/）</w:t>
      </w:r>
    </w:p>
    <w:p w14:paraId="1EECE604">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六、公告期限 </w:t>
      </w:r>
    </w:p>
    <w:p w14:paraId="32865F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自本公告发布之日起3个工作日。</w:t>
      </w:r>
    </w:p>
    <w:p w14:paraId="5DB9B494">
      <w:pPr>
        <w:spacing w:line="360" w:lineRule="auto"/>
        <w:rPr>
          <w:rFonts w:ascii="宋体" w:hAnsi="宋体" w:cs="宋体"/>
          <w:b/>
          <w:color w:val="auto"/>
          <w:sz w:val="24"/>
          <w:highlight w:val="none"/>
        </w:rPr>
      </w:pPr>
      <w:r>
        <w:rPr>
          <w:rFonts w:hint="eastAsia" w:ascii="宋体" w:hAnsi="宋体" w:cs="宋体"/>
          <w:b/>
          <w:color w:val="auto"/>
          <w:sz w:val="24"/>
          <w:highlight w:val="none"/>
        </w:rPr>
        <w:t>七、其他补充事宜</w:t>
      </w:r>
    </w:p>
    <w:p w14:paraId="585AA08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w:t>
      </w:r>
      <w:r>
        <w:rPr>
          <w:rFonts w:ascii="华文中宋" w:hAnsi="华文中宋" w:eastAsia="华文中宋" w:cs="华文中宋"/>
          <w:color w:val="auto"/>
          <w:sz w:val="24"/>
          <w:highlight w:val="none"/>
          <w:shd w:val="clear" w:color="auto" w:fill="FFFFFF"/>
        </w:rPr>
        <w:t>浙江省财政厅关于进一步加大政府采购 支持中小企业力度 助力扎实稳住经济 的通知</w:t>
      </w:r>
      <w:r>
        <w:rPr>
          <w:rFonts w:hint="eastAsia" w:ascii="华文中宋" w:hAnsi="华文中宋" w:eastAsia="华文中宋" w:cs="华文中宋"/>
          <w:color w:val="auto"/>
          <w:sz w:val="24"/>
          <w:highlight w:val="none"/>
          <w:shd w:val="clear" w:color="auto" w:fill="FFFFFF"/>
        </w:rPr>
        <w:t>》（浙财采监〔2022〕8号）</w:t>
      </w:r>
      <w:r>
        <w:rPr>
          <w:rFonts w:hint="eastAsia" w:ascii="宋体" w:hAnsi="宋体" w:cs="宋体"/>
          <w:color w:val="auto"/>
          <w:sz w:val="24"/>
          <w:highlight w:val="none"/>
        </w:rPr>
        <w:t>已分别于2022年1月29日、2022年2月1日和2022年7月1日开始实施，此前有关规定与上述文件内容不一致的，按上述文件要求执行。</w:t>
      </w:r>
    </w:p>
    <w:p w14:paraId="552B19D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F264E8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38A586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6CF34778">
      <w:pPr>
        <w:spacing w:line="360" w:lineRule="auto"/>
        <w:rPr>
          <w:rFonts w:ascii="宋体" w:hAnsi="宋体" w:cs="宋体"/>
          <w:b/>
          <w:color w:val="auto"/>
          <w:sz w:val="24"/>
          <w:highlight w:val="none"/>
        </w:rPr>
      </w:pPr>
      <w:r>
        <w:rPr>
          <w:rFonts w:hint="eastAsia" w:ascii="宋体" w:hAnsi="宋体" w:cs="宋体"/>
          <w:b/>
          <w:color w:val="auto"/>
          <w:sz w:val="24"/>
          <w:highlight w:val="none"/>
        </w:rPr>
        <w:t>八、对本次采购提出询问、质疑、投诉，请按以下方式联系</w:t>
      </w:r>
    </w:p>
    <w:p w14:paraId="6C8B0B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14:paraId="56E94F4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val="en-US" w:eastAsia="zh-CN"/>
        </w:rPr>
        <w:t>杭州市胜利实验笕成小学</w:t>
      </w:r>
      <w:r>
        <w:rPr>
          <w:rFonts w:hint="eastAsia" w:ascii="宋体" w:hAnsi="宋体" w:cs="宋体"/>
          <w:color w:val="auto"/>
          <w:sz w:val="24"/>
          <w:highlight w:val="none"/>
        </w:rPr>
        <w:t xml:space="preserve"> </w:t>
      </w:r>
    </w:p>
    <w:p w14:paraId="4815C7B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lang w:val="en-US" w:eastAsia="zh-CN"/>
        </w:rPr>
        <w:t>杭州市上城区源聚支路5号</w:t>
      </w:r>
      <w:r>
        <w:rPr>
          <w:rFonts w:hint="eastAsia" w:ascii="宋体" w:hAnsi="宋体" w:cs="宋体"/>
          <w:color w:val="auto"/>
          <w:sz w:val="24"/>
          <w:highlight w:val="none"/>
        </w:rPr>
        <w:t xml:space="preserve">      </w:t>
      </w:r>
    </w:p>
    <w:p w14:paraId="719B920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 /</w:t>
      </w:r>
    </w:p>
    <w:p w14:paraId="6FF91D99">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李老师</w:t>
      </w:r>
    </w:p>
    <w:p w14:paraId="4EE0E28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项目联系方式（询问）：0571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82382285</w:t>
      </w:r>
    </w:p>
    <w:p w14:paraId="14B49176">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余老师</w:t>
      </w:r>
    </w:p>
    <w:p w14:paraId="0B67687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质疑联系方式：0571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81382282</w:t>
      </w:r>
    </w:p>
    <w:p w14:paraId="4C2A1A6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14:paraId="3D16F57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称：杭州广厦建筑咨询有限公司</w:t>
      </w:r>
    </w:p>
    <w:p w14:paraId="2605F6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地    址：杭州市秋涛北路332号佰富时代中心2幢10楼      </w:t>
      </w:r>
    </w:p>
    <w:p w14:paraId="5F34E5C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孔工</w:t>
      </w:r>
      <w:r>
        <w:rPr>
          <w:rFonts w:hint="eastAsia" w:ascii="宋体" w:hAnsi="宋体" w:cs="宋体"/>
          <w:color w:val="auto"/>
          <w:sz w:val="24"/>
          <w:highlight w:val="none"/>
        </w:rPr>
        <w:t xml:space="preserve">      </w:t>
      </w:r>
    </w:p>
    <w:p w14:paraId="764DDB95">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13575789786</w:t>
      </w:r>
    </w:p>
    <w:p w14:paraId="37BA6C7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蒋工</w:t>
      </w:r>
      <w:r>
        <w:rPr>
          <w:rFonts w:hint="eastAsia" w:ascii="宋体" w:hAnsi="宋体" w:cs="宋体"/>
          <w:color w:val="auto"/>
          <w:sz w:val="24"/>
          <w:highlight w:val="none"/>
        </w:rPr>
        <w:t xml:space="preserve">             </w:t>
      </w:r>
    </w:p>
    <w:p w14:paraId="16AB9C40">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15706871603</w:t>
      </w:r>
    </w:p>
    <w:p w14:paraId="7A721B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3.同级政府采购监督管理部门            </w:t>
      </w:r>
    </w:p>
    <w:p w14:paraId="53DF9C7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称：杭州市财政局政府采购监管处 /浙江省政府采购行政裁决服务中心（杭州）</w:t>
      </w:r>
    </w:p>
    <w:p w14:paraId="1D5BEDB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highlight w:val="none"/>
        </w:rPr>
        <w:t xml:space="preserve"> </w:t>
      </w:r>
    </w:p>
    <w:p w14:paraId="1042B46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6623F68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35F7FCF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color w:val="auto"/>
          <w:sz w:val="24"/>
          <w:highlight w:val="none"/>
        </w:rPr>
        <w:t>95763</w:t>
      </w:r>
      <w:r>
        <w:rPr>
          <w:rFonts w:hint="eastAsia" w:ascii="宋体" w:hAnsi="宋体" w:cs="宋体"/>
          <w:color w:val="auto"/>
          <w:sz w:val="24"/>
          <w:highlight w:val="none"/>
        </w:rPr>
        <w:t>获取热线服务帮助。</w:t>
      </w:r>
    </w:p>
    <w:p w14:paraId="52193045">
      <w:pPr>
        <w:snapToGrid w:val="0"/>
        <w:spacing w:line="360" w:lineRule="auto"/>
        <w:ind w:firstLine="480" w:firstLineChars="200"/>
        <w:rPr>
          <w:rFonts w:ascii="宋体" w:hAnsi="宋体" w:cs="宋体"/>
          <w:color w:val="auto"/>
          <w:sz w:val="24"/>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宋体" w:hAnsi="宋体" w:cs="宋体"/>
          <w:color w:val="auto"/>
          <w:sz w:val="24"/>
          <w:highlight w:val="none"/>
        </w:rPr>
        <w:t>CA问题联系电话（人工）：汇信CA 400-888-4636；天谷CA 400-087-8198。</w:t>
      </w:r>
    </w:p>
    <w:p w14:paraId="33A47C6D">
      <w:pPr>
        <w:pStyle w:val="34"/>
        <w:spacing w:line="360" w:lineRule="auto"/>
        <w:jc w:val="center"/>
        <w:rPr>
          <w:rFonts w:hAnsi="宋体" w:cs="宋体"/>
          <w:b/>
          <w:snapToGrid/>
          <w:color w:val="auto"/>
          <w:sz w:val="36"/>
          <w:szCs w:val="20"/>
          <w:highlight w:val="none"/>
        </w:rPr>
      </w:pPr>
      <w:r>
        <w:rPr>
          <w:rFonts w:hint="eastAsia" w:hAnsi="宋体" w:cs="宋体"/>
          <w:b/>
          <w:snapToGrid/>
          <w:color w:val="auto"/>
          <w:sz w:val="36"/>
          <w:szCs w:val="20"/>
          <w:highlight w:val="none"/>
        </w:rPr>
        <w:t>第二部分</w:t>
      </w:r>
      <w:bookmarkEnd w:id="8"/>
      <w:r>
        <w:rPr>
          <w:rFonts w:hint="eastAsia" w:hAnsi="宋体" w:cs="宋体"/>
          <w:b/>
          <w:snapToGrid/>
          <w:color w:val="auto"/>
          <w:sz w:val="36"/>
          <w:szCs w:val="20"/>
          <w:highlight w:val="none"/>
        </w:rPr>
        <w:t xml:space="preserve"> 供应商须知</w:t>
      </w:r>
      <w:bookmarkEnd w:id="9"/>
    </w:p>
    <w:p w14:paraId="085AC70A">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28605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59E5D2D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093" w:type="dxa"/>
            <w:vAlign w:val="center"/>
          </w:tcPr>
          <w:p w14:paraId="783723A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927" w:type="dxa"/>
            <w:vAlign w:val="center"/>
          </w:tcPr>
          <w:p w14:paraId="426A7CF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40A0E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A280E3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093" w:type="dxa"/>
            <w:vAlign w:val="center"/>
          </w:tcPr>
          <w:p w14:paraId="0748A07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927" w:type="dxa"/>
            <w:vAlign w:val="center"/>
          </w:tcPr>
          <w:p w14:paraId="072BFF44">
            <w:pPr>
              <w:spacing w:line="360" w:lineRule="auto"/>
              <w:rPr>
                <w:rFonts w:ascii="宋体" w:hAnsi="宋体" w:cs="宋体"/>
                <w:color w:val="auto"/>
                <w:sz w:val="24"/>
                <w:highlight w:val="none"/>
              </w:rPr>
            </w:pPr>
            <w:r>
              <w:rPr>
                <w:rFonts w:hint="eastAsia" w:ascii="宋体" w:hAnsi="宋体" w:cs="宋体"/>
                <w:color w:val="auto"/>
                <w:kern w:val="0"/>
                <w:sz w:val="24"/>
                <w:highlight w:val="none"/>
              </w:rPr>
              <w:t>工程</w:t>
            </w:r>
            <w:r>
              <w:rPr>
                <w:rFonts w:hint="eastAsia" w:ascii="宋体" w:hAnsi="宋体" w:cs="宋体"/>
                <w:color w:val="auto"/>
                <w:sz w:val="24"/>
                <w:highlight w:val="none"/>
              </w:rPr>
              <w:t>类</w:t>
            </w:r>
          </w:p>
        </w:tc>
      </w:tr>
      <w:tr w14:paraId="3A7EA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ADFFF7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093" w:type="dxa"/>
            <w:vAlign w:val="center"/>
          </w:tcPr>
          <w:p w14:paraId="1167759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927" w:type="dxa"/>
            <w:vAlign w:val="center"/>
          </w:tcPr>
          <w:p w14:paraId="310E5C70">
            <w:pPr>
              <w:pStyle w:val="3"/>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lang w:eastAsia="zh-CN"/>
              </w:rPr>
              <w:t>杭州市胜利实验笕成小学品质提升工程（二期）</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建筑业 </w:t>
            </w:r>
            <w:r>
              <w:rPr>
                <w:rFonts w:hint="eastAsia" w:ascii="宋体" w:hAnsi="宋体" w:cs="宋体"/>
                <w:color w:val="auto"/>
                <w:kern w:val="0"/>
                <w:sz w:val="24"/>
                <w:highlight w:val="none"/>
              </w:rPr>
              <w:t>行业；</w:t>
            </w:r>
          </w:p>
          <w:p w14:paraId="61990839">
            <w:pPr>
              <w:pStyle w:val="3"/>
              <w:ind w:left="0" w:firstLine="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第（三）项规定：建筑业行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6FF7A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294D14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2093" w:type="dxa"/>
            <w:vAlign w:val="center"/>
          </w:tcPr>
          <w:p w14:paraId="4B87063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927" w:type="dxa"/>
            <w:vAlign w:val="center"/>
          </w:tcPr>
          <w:p w14:paraId="78E0C16A">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3934812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tc>
      </w:tr>
      <w:tr w14:paraId="459F5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7BDB36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2093" w:type="dxa"/>
            <w:vAlign w:val="center"/>
          </w:tcPr>
          <w:p w14:paraId="15ADB07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927" w:type="dxa"/>
            <w:vAlign w:val="center"/>
          </w:tcPr>
          <w:p w14:paraId="79C855EA">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83050787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tc>
      </w:tr>
      <w:tr w14:paraId="0FF0A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9672A0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2093" w:type="dxa"/>
            <w:vAlign w:val="center"/>
          </w:tcPr>
          <w:p w14:paraId="58863AB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磋商前答疑会或现场考察</w:t>
            </w:r>
          </w:p>
        </w:tc>
        <w:tc>
          <w:tcPr>
            <w:tcW w:w="6927" w:type="dxa"/>
            <w:vAlign w:val="center"/>
          </w:tcPr>
          <w:p w14:paraId="481BB1C7">
            <w:pPr>
              <w:pStyle w:val="79"/>
              <w:spacing w:line="360" w:lineRule="auto"/>
              <w:ind w:firstLine="0" w:firstLineChars="0"/>
              <w:rPr>
                <w:color w:val="auto"/>
                <w:highlight w:val="none"/>
              </w:rPr>
            </w:pPr>
            <w:sdt>
              <w:sdtPr>
                <w:rPr>
                  <w:rFonts w:hint="eastAsia" w:ascii="宋体" w:hAnsi="宋体" w:cs="宋体"/>
                  <w:color w:val="auto"/>
                  <w:kern w:val="0"/>
                  <w:sz w:val="24"/>
                  <w:highlight w:val="none"/>
                </w:rPr>
                <w:id w:val="68869213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tc>
      </w:tr>
      <w:tr w14:paraId="4382D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F557B2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2093" w:type="dxa"/>
            <w:vAlign w:val="center"/>
          </w:tcPr>
          <w:p w14:paraId="7915F2C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927" w:type="dxa"/>
            <w:vAlign w:val="center"/>
          </w:tcPr>
          <w:p w14:paraId="034265B8">
            <w:pPr>
              <w:spacing w:line="360" w:lineRule="auto"/>
              <w:rPr>
                <w:rFonts w:ascii="宋体" w:hAnsi="宋体" w:cs="宋体"/>
                <w:b/>
                <w:color w:val="auto"/>
                <w:sz w:val="24"/>
                <w:highlight w:val="none"/>
              </w:rPr>
            </w:pPr>
            <w:sdt>
              <w:sdtPr>
                <w:rPr>
                  <w:rFonts w:hint="eastAsia" w:ascii="宋体" w:hAnsi="宋体" w:cs="宋体"/>
                  <w:color w:val="auto"/>
                  <w:kern w:val="0"/>
                  <w:sz w:val="24"/>
                  <w:highlight w:val="none"/>
                </w:rPr>
                <w:id w:val="58621118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tc>
      </w:tr>
      <w:tr w14:paraId="4F256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5EE219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2093" w:type="dxa"/>
            <w:vAlign w:val="center"/>
          </w:tcPr>
          <w:p w14:paraId="5D5B6012">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927" w:type="dxa"/>
            <w:vAlign w:val="center"/>
          </w:tcPr>
          <w:p w14:paraId="05450C96">
            <w:pPr>
              <w:snapToGrid w:val="0"/>
              <w:spacing w:line="360" w:lineRule="auto"/>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50545689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tc>
      </w:tr>
      <w:tr w14:paraId="37625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7F94635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2093" w:type="dxa"/>
            <w:vMerge w:val="restart"/>
            <w:vAlign w:val="center"/>
          </w:tcPr>
          <w:p w14:paraId="7542C44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供应商应当提供的资格、资信证明文件</w:t>
            </w:r>
          </w:p>
        </w:tc>
        <w:tc>
          <w:tcPr>
            <w:tcW w:w="6927" w:type="dxa"/>
            <w:vAlign w:val="center"/>
          </w:tcPr>
          <w:p w14:paraId="54E0E0E3">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（1）资格证明文件：见采购文件第二部分11.1。</w:t>
            </w:r>
          </w:p>
          <w:p w14:paraId="027E458C">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供应商未提供有效的资格证明文件的，视为供应商不具备采购文件中规定的资格要求，响应文件无效。</w:t>
            </w:r>
          </w:p>
        </w:tc>
      </w:tr>
      <w:tr w14:paraId="62DFF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10E37744">
            <w:pPr>
              <w:snapToGrid w:val="0"/>
              <w:spacing w:line="360" w:lineRule="auto"/>
              <w:jc w:val="center"/>
              <w:rPr>
                <w:rFonts w:ascii="宋体" w:hAnsi="宋体" w:cs="宋体"/>
                <w:color w:val="auto"/>
                <w:sz w:val="24"/>
                <w:highlight w:val="none"/>
              </w:rPr>
            </w:pPr>
          </w:p>
        </w:tc>
        <w:tc>
          <w:tcPr>
            <w:tcW w:w="2093" w:type="dxa"/>
            <w:vMerge w:val="continue"/>
            <w:vAlign w:val="center"/>
          </w:tcPr>
          <w:p w14:paraId="6134DFB7">
            <w:pPr>
              <w:snapToGrid w:val="0"/>
              <w:spacing w:line="360" w:lineRule="auto"/>
              <w:jc w:val="center"/>
              <w:rPr>
                <w:rFonts w:ascii="宋体" w:hAnsi="宋体" w:cs="宋体"/>
                <w:b/>
                <w:color w:val="auto"/>
                <w:sz w:val="24"/>
                <w:highlight w:val="none"/>
              </w:rPr>
            </w:pPr>
          </w:p>
        </w:tc>
        <w:tc>
          <w:tcPr>
            <w:tcW w:w="6927" w:type="dxa"/>
            <w:vAlign w:val="center"/>
          </w:tcPr>
          <w:p w14:paraId="7D25C5B4">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（2）资信证明文件：根据采购文件第四部分评审标准提供。</w:t>
            </w:r>
          </w:p>
        </w:tc>
      </w:tr>
      <w:tr w14:paraId="748CB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7E217D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2093" w:type="dxa"/>
            <w:vAlign w:val="center"/>
          </w:tcPr>
          <w:p w14:paraId="6FCE3FF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927" w:type="dxa"/>
            <w:vAlign w:val="center"/>
          </w:tcPr>
          <w:p w14:paraId="7E097CB9">
            <w:pPr>
              <w:snapToGrid w:val="0"/>
              <w:spacing w:line="360" w:lineRule="auto"/>
              <w:rPr>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4449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2C589C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2093" w:type="dxa"/>
            <w:vAlign w:val="center"/>
          </w:tcPr>
          <w:p w14:paraId="1DF773F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927" w:type="dxa"/>
            <w:vAlign w:val="center"/>
          </w:tcPr>
          <w:p w14:paraId="28FAEFBE">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color w:val="auto"/>
                <w:sz w:val="24"/>
                <w:highlight w:val="none"/>
              </w:rPr>
              <w:t>报价单是报价的唯一载体</w:t>
            </w:r>
            <w:r>
              <w:rPr>
                <w:rFonts w:hint="eastAsia" w:ascii="宋体" w:hAnsi="宋体" w:cs="宋体"/>
                <w:color w:val="auto"/>
                <w:kern w:val="0"/>
                <w:sz w:val="24"/>
                <w:highlight w:val="none"/>
                <w:lang w:val="zh-CN"/>
              </w:rPr>
              <w:t>。响应文件中价格全部采用人民币报价。采购文件未列明，而供应商认为必需的费用也需列入报价。</w:t>
            </w:r>
            <w:r>
              <w:rPr>
                <w:rFonts w:hint="eastAsia" w:ascii="宋体" w:hAnsi="宋体" w:cs="宋体"/>
                <w:b/>
                <w:color w:val="auto"/>
                <w:kern w:val="0"/>
                <w:sz w:val="24"/>
                <w:highlight w:val="none"/>
                <w:lang w:val="zh-CN"/>
              </w:rPr>
              <w:t>提醒：验收时检测费用由采购人承担，不包含在总价中。</w:t>
            </w:r>
          </w:p>
          <w:p w14:paraId="1E850AF4">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最后报价出现下列情形的，响应文件无效：</w:t>
            </w:r>
          </w:p>
          <w:p w14:paraId="3E70D585">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响应文件出现不是唯一的、有选择性最后报价的；</w:t>
            </w:r>
          </w:p>
          <w:p w14:paraId="4235191C">
            <w:pPr>
              <w:snapToGrid w:val="0"/>
              <w:spacing w:line="360" w:lineRule="auto"/>
              <w:jc w:val="left"/>
              <w:rPr>
                <w:color w:val="auto"/>
                <w:highlight w:val="none"/>
              </w:rPr>
            </w:pPr>
            <w:r>
              <w:rPr>
                <w:rFonts w:hint="eastAsia" w:ascii="宋体" w:hAnsi="宋体" w:cs="宋体"/>
                <w:b/>
                <w:color w:val="auto"/>
                <w:kern w:val="0"/>
                <w:sz w:val="24"/>
                <w:highlight w:val="none"/>
                <w:lang w:val="zh-CN"/>
              </w:rPr>
              <w:t>最后报价超过采购文件中规定的预算金额或者最高限价的;</w:t>
            </w:r>
          </w:p>
          <w:p w14:paraId="21AAEA73">
            <w:pPr>
              <w:spacing w:line="360" w:lineRule="auto"/>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1F17FCFD">
            <w:pPr>
              <w:spacing w:line="360" w:lineRule="auto"/>
              <w:rPr>
                <w:rFonts w:ascii="宋体" w:hAnsi="宋体" w:cs="宋体"/>
                <w:color w:val="auto"/>
                <w:sz w:val="24"/>
                <w:highlight w:val="none"/>
              </w:rPr>
            </w:pPr>
            <w:r>
              <w:rPr>
                <w:rFonts w:hint="eastAsia" w:ascii="宋体" w:hAnsi="宋体" w:cs="宋体"/>
                <w:b/>
                <w:color w:val="auto"/>
                <w:kern w:val="0"/>
                <w:sz w:val="24"/>
                <w:highlight w:val="none"/>
              </w:rPr>
              <w:t>供应商对根据修正原则修正后的报价不确认的</w:t>
            </w:r>
            <w:r>
              <w:rPr>
                <w:rFonts w:hint="eastAsia" w:ascii="宋体" w:hAnsi="宋体" w:cs="宋体"/>
                <w:b/>
                <w:color w:val="auto"/>
                <w:sz w:val="24"/>
                <w:highlight w:val="none"/>
              </w:rPr>
              <w:t>。</w:t>
            </w:r>
          </w:p>
        </w:tc>
      </w:tr>
      <w:tr w14:paraId="7F752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4" w:hRule="atLeast"/>
        </w:trPr>
        <w:tc>
          <w:tcPr>
            <w:tcW w:w="714" w:type="dxa"/>
            <w:vAlign w:val="center"/>
          </w:tcPr>
          <w:p w14:paraId="66B97BE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2093" w:type="dxa"/>
            <w:vAlign w:val="center"/>
          </w:tcPr>
          <w:p w14:paraId="7A5274B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927" w:type="dxa"/>
            <w:vAlign w:val="center"/>
          </w:tcPr>
          <w:p w14:paraId="2452DC67">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5823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5DE26C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2093" w:type="dxa"/>
            <w:vAlign w:val="center"/>
          </w:tcPr>
          <w:p w14:paraId="4E6B85F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备份响应文件送达地点和签收人员</w:t>
            </w:r>
          </w:p>
        </w:tc>
        <w:tc>
          <w:tcPr>
            <w:tcW w:w="6927" w:type="dxa"/>
            <w:vAlign w:val="center"/>
          </w:tcPr>
          <w:p w14:paraId="25D27C33">
            <w:pPr>
              <w:pStyle w:val="34"/>
              <w:spacing w:line="360" w:lineRule="auto"/>
              <w:rPr>
                <w:rFonts w:hAnsi="宋体" w:cs="宋体"/>
                <w:color w:val="auto"/>
                <w:kern w:val="28"/>
                <w:sz w:val="24"/>
                <w:szCs w:val="24"/>
                <w:highlight w:val="none"/>
              </w:rPr>
            </w:pPr>
            <w:r>
              <w:rPr>
                <w:rFonts w:hint="eastAsia" w:hAnsi="宋体" w:cs="宋体"/>
                <w:color w:val="auto"/>
                <w:kern w:val="28"/>
                <w:sz w:val="24"/>
                <w:szCs w:val="24"/>
                <w:highlight w:val="none"/>
              </w:rPr>
              <w:t>备份响应文件送达地点：</w:t>
            </w:r>
            <w:r>
              <w:rPr>
                <w:rFonts w:hint="eastAsia" w:hAnsi="宋体" w:cs="宋体"/>
                <w:color w:val="auto"/>
                <w:kern w:val="28"/>
                <w:sz w:val="24"/>
                <w:szCs w:val="24"/>
                <w:highlight w:val="none"/>
                <w:u w:val="single"/>
              </w:rPr>
              <w:t>杭州市秋涛北路332号佰富时代中心2幢10楼</w:t>
            </w:r>
            <w:r>
              <w:rPr>
                <w:rFonts w:hint="eastAsia" w:hAnsi="宋体" w:cs="宋体"/>
                <w:color w:val="auto"/>
                <w:kern w:val="28"/>
                <w:sz w:val="24"/>
                <w:szCs w:val="24"/>
                <w:highlight w:val="none"/>
                <w:u w:val="single"/>
                <w:lang w:val="en-US" w:eastAsia="zh-CN"/>
              </w:rPr>
              <w:t>1010</w:t>
            </w:r>
            <w:r>
              <w:rPr>
                <w:rFonts w:hint="eastAsia" w:hAnsi="宋体" w:cs="宋体"/>
                <w:color w:val="auto"/>
                <w:kern w:val="28"/>
                <w:sz w:val="24"/>
                <w:szCs w:val="24"/>
                <w:highlight w:val="none"/>
              </w:rPr>
              <w:t>；</w:t>
            </w:r>
          </w:p>
          <w:p w14:paraId="5088C7A8">
            <w:pPr>
              <w:pStyle w:val="34"/>
              <w:spacing w:line="360" w:lineRule="auto"/>
              <w:rPr>
                <w:rFonts w:hAnsi="宋体" w:cs="宋体"/>
                <w:color w:val="auto"/>
                <w:sz w:val="24"/>
                <w:szCs w:val="24"/>
                <w:highlight w:val="none"/>
              </w:rPr>
            </w:pPr>
            <w:r>
              <w:rPr>
                <w:rFonts w:hint="eastAsia" w:hAnsi="宋体" w:cs="宋体"/>
                <w:color w:val="auto"/>
                <w:kern w:val="28"/>
                <w:sz w:val="24"/>
                <w:szCs w:val="24"/>
                <w:highlight w:val="none"/>
              </w:rPr>
              <w:t>备份响应文件签收人员联系电话：</w:t>
            </w:r>
            <w:r>
              <w:rPr>
                <w:rFonts w:hint="eastAsia" w:hAnsi="宋体" w:cs="Arial"/>
                <w:color w:val="auto"/>
                <w:highlight w:val="none"/>
                <w:u w:val="single"/>
                <w:lang w:val="en-US" w:eastAsia="zh-CN"/>
              </w:rPr>
              <w:t>13575789786</w:t>
            </w:r>
            <w:r>
              <w:rPr>
                <w:rFonts w:hint="eastAsia" w:hAnsi="宋体" w:cs="宋体"/>
                <w:color w:val="auto"/>
                <w:sz w:val="24"/>
                <w:szCs w:val="24"/>
                <w:highlight w:val="none"/>
              </w:rPr>
              <w:t>。</w:t>
            </w:r>
          </w:p>
          <w:p w14:paraId="339F717B">
            <w:pPr>
              <w:pStyle w:val="34"/>
              <w:spacing w:line="360" w:lineRule="auto"/>
              <w:rPr>
                <w:rFonts w:hAnsi="宋体" w:cs="宋体"/>
                <w:color w:val="auto"/>
                <w:kern w:val="28"/>
                <w:sz w:val="24"/>
                <w:highlight w:val="none"/>
              </w:rPr>
            </w:pP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不强制或变相强制供应商提交备份响应文件。</w:t>
            </w:r>
          </w:p>
        </w:tc>
      </w:tr>
      <w:tr w14:paraId="2A757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7E1DE0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2093" w:type="dxa"/>
            <w:vAlign w:val="center"/>
          </w:tcPr>
          <w:p w14:paraId="6E8D561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其它说明</w:t>
            </w:r>
          </w:p>
        </w:tc>
        <w:tc>
          <w:tcPr>
            <w:tcW w:w="6927" w:type="dxa"/>
            <w:vAlign w:val="center"/>
          </w:tcPr>
          <w:p w14:paraId="2B804AC3">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color w:val="auto"/>
                <w:kern w:val="0"/>
                <w:sz w:val="24"/>
                <w:highlight w:val="none"/>
              </w:rPr>
              <w:t>。</w:t>
            </w:r>
          </w:p>
        </w:tc>
      </w:tr>
      <w:tr w14:paraId="6B465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top"/>
          </w:tcPr>
          <w:p w14:paraId="01BB005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14</w:t>
            </w:r>
          </w:p>
        </w:tc>
        <w:tc>
          <w:tcPr>
            <w:tcW w:w="2093" w:type="dxa"/>
            <w:vAlign w:val="center"/>
          </w:tcPr>
          <w:p w14:paraId="46F67D2D">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lang w:val="en" w:eastAsia="zh-CN"/>
              </w:rPr>
              <w:t>成交候选人数量</w:t>
            </w:r>
          </w:p>
        </w:tc>
        <w:tc>
          <w:tcPr>
            <w:tcW w:w="6927" w:type="dxa"/>
            <w:vAlign w:val="center"/>
          </w:tcPr>
          <w:p w14:paraId="12DBCE42">
            <w:pPr>
              <w:spacing w:line="360" w:lineRule="auto"/>
              <w:rPr>
                <w:rFonts w:ascii="宋体" w:hAnsi="宋体" w:cs="宋体"/>
                <w:snapToGrid w:val="0"/>
                <w:color w:val="auto"/>
                <w:kern w:val="28"/>
                <w:sz w:val="24"/>
                <w:highlight w:val="none"/>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3个</w:t>
            </w:r>
            <w:r>
              <w:rPr>
                <w:rFonts w:hint="eastAsia" w:ascii="宋体" w:hAnsi="宋体" w:cs="宋体"/>
                <w:color w:val="auto"/>
                <w:kern w:val="0"/>
                <w:sz w:val="24"/>
                <w:highlight w:val="none"/>
                <w:lang w:val="en" w:eastAsia="zh-CN"/>
              </w:rPr>
              <w:t>。</w:t>
            </w:r>
          </w:p>
        </w:tc>
      </w:tr>
      <w:tr w14:paraId="2B0D1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top"/>
          </w:tcPr>
          <w:p w14:paraId="07B5A213">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15</w:t>
            </w:r>
          </w:p>
        </w:tc>
        <w:tc>
          <w:tcPr>
            <w:tcW w:w="2093" w:type="dxa"/>
            <w:vAlign w:val="center"/>
          </w:tcPr>
          <w:p w14:paraId="5423B125">
            <w:pPr>
              <w:snapToGrid w:val="0"/>
              <w:spacing w:line="360" w:lineRule="auto"/>
              <w:jc w:val="center"/>
              <w:rPr>
                <w:rFonts w:hint="eastAsia" w:ascii="宋体" w:hAnsi="宋体" w:cs="宋体"/>
                <w:b/>
                <w:color w:val="auto"/>
                <w:sz w:val="24"/>
                <w:highlight w:val="none"/>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927" w:type="dxa"/>
            <w:vAlign w:val="center"/>
          </w:tcPr>
          <w:p w14:paraId="55CD4040">
            <w:pPr>
              <w:spacing w:line="360" w:lineRule="auto"/>
              <w:rPr>
                <w:rFonts w:hint="default" w:ascii="宋体" w:hAnsi="宋体" w:eastAsia="宋体" w:cs="宋体"/>
                <w:snapToGrid w:val="0"/>
                <w:color w:val="auto"/>
                <w:kern w:val="28"/>
                <w:sz w:val="24"/>
                <w:highlight w:val="none"/>
                <w:lang w:val="en-US" w:eastAsia="zh-CN"/>
              </w:rPr>
            </w:pPr>
            <w:r>
              <w:rPr>
                <w:rFonts w:hint="eastAsia" w:ascii="宋体" w:hAnsi="宋体" w:cs="宋体"/>
                <w:snapToGrid w:val="0"/>
                <w:color w:val="auto"/>
                <w:kern w:val="28"/>
                <w:sz w:val="24"/>
                <w:highlight w:val="none"/>
                <w:lang w:val="en-US" w:eastAsia="zh-CN"/>
              </w:rPr>
              <w:t>采购代理服务费由中标（成交）供应商支付，包含招标代理服务费和工程造价咨询服务费：招标代理服务费按《国家计委关于印发 &lt;招标代理服务收费管理暂行办法&gt;的通知》（计价格[2002]1980号）和《国家发展改革委关于降低部分建设项目收费标准规范收费行为等有关问题的通知》（发改价格[2011]534号）文件规定的的收费标准×60%进行收取，以单个标段中标（成交）价为计费基数。招标代理服务的收费不含工程造价咨询服务费（工程量清单及预算、招标控制价的编制和审核等费用）和专家评审费，不足8500元，按8500元；工程造价咨询服务费按《浙江省建设工程造价咨询服务基准收费标准》（浙价服[2009]84号）文件规定的“工程量清单及预算、控制价的编制或审核”的收费标准×60%进行收取，以审定的预算为计费基数，不足3000元，按3000元。</w:t>
            </w:r>
          </w:p>
        </w:tc>
      </w:tr>
    </w:tbl>
    <w:p w14:paraId="3DDF9EE7">
      <w:pPr>
        <w:snapToGrid w:val="0"/>
        <w:spacing w:line="360" w:lineRule="auto"/>
        <w:jc w:val="center"/>
        <w:rPr>
          <w:rFonts w:ascii="宋体" w:hAnsi="宋体" w:cs="宋体"/>
          <w:b/>
          <w:color w:val="auto"/>
          <w:sz w:val="32"/>
          <w:szCs w:val="20"/>
          <w:highlight w:val="none"/>
        </w:rPr>
      </w:pPr>
    </w:p>
    <w:bookmarkEnd w:id="10"/>
    <w:p w14:paraId="5BFEF9FF">
      <w:pPr>
        <w:widowControl/>
        <w:adjustRightInd/>
        <w:jc w:val="left"/>
        <w:rPr>
          <w:rFonts w:ascii="宋体" w:hAnsi="宋体" w:cs="宋体"/>
          <w:b/>
          <w:color w:val="auto"/>
          <w:sz w:val="32"/>
          <w:szCs w:val="20"/>
          <w:highlight w:val="none"/>
        </w:rPr>
      </w:pPr>
      <w:bookmarkStart w:id="12" w:name="第三部分"/>
      <w:bookmarkStart w:id="13" w:name="_Toc164416483"/>
      <w:r>
        <w:rPr>
          <w:rFonts w:hint="eastAsia" w:ascii="宋体" w:hAnsi="宋体" w:cs="宋体"/>
          <w:b/>
          <w:color w:val="auto"/>
          <w:sz w:val="32"/>
          <w:szCs w:val="20"/>
          <w:highlight w:val="none"/>
        </w:rPr>
        <w:br w:type="page"/>
      </w:r>
    </w:p>
    <w:p w14:paraId="3880117A">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1A3D0D3F">
      <w:pPr>
        <w:snapToGrid w:val="0"/>
        <w:spacing w:line="360" w:lineRule="auto"/>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36C8768D">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本采购文件适用于该项目的采购邀请、响应文件提交、响应文件开启、资格审查及信用信息查询、磋商、评审、成交供应商确定、合同、验收等行为（法律、法规另有规定的，从其规定）。</w:t>
      </w:r>
    </w:p>
    <w:p w14:paraId="13F38EDC">
      <w:pPr>
        <w:snapToGrid w:val="0"/>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2.定义</w:t>
      </w:r>
    </w:p>
    <w:p w14:paraId="5F9C3CC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“采购人”系指竞争性磋商公告中载明的本项目的采购人。</w:t>
      </w:r>
    </w:p>
    <w:p w14:paraId="3A597DF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”系指竞争性磋商公告中载明的本项目的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68965EC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“供应商”系指是指提交响应文件和报价、参与竞争性磋商采购活动的法人、其他组织或者自然人。</w:t>
      </w:r>
    </w:p>
    <w:p w14:paraId="72DA904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0DA3FD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46CF4B0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3C8521F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系指不适用本项目的要求，“※”系指磋商过程中可能实质性变动的内容。</w:t>
      </w:r>
    </w:p>
    <w:p w14:paraId="5DF6030B">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42CD824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803858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支持绿色发展</w:t>
      </w:r>
    </w:p>
    <w:p w14:paraId="629F8979">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auto"/>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14:paraId="0E81F65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3.2.2纳入政府采购管理的修缮、装修类项目采购建材的，鼓励采购单位将绿色建材性能、指标等作为实质性条件纳入采购文件和合同，具体性能指标要求参考相关绿色建材政府采购需求标准。</w:t>
      </w:r>
    </w:p>
    <w:p w14:paraId="65F595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4217FC2">
      <w:pPr>
        <w:pStyle w:val="3"/>
        <w:tabs>
          <w:tab w:val="left" w:pos="0"/>
          <w:tab w:val="clear" w:pos="432"/>
        </w:tabs>
        <w:ind w:left="0" w:firstLine="480" w:firstLineChars="200"/>
        <w:rPr>
          <w:color w:val="auto"/>
          <w:highlight w:val="none"/>
          <w:lang w:val="en-US"/>
        </w:rPr>
      </w:pPr>
      <w:r>
        <w:rPr>
          <w:rFonts w:ascii="宋体" w:hAnsi="宋体" w:eastAsia="宋体" w:cs="宋体"/>
          <w:b w:val="0"/>
          <w:bCs w:val="0"/>
          <w:color w:val="auto"/>
          <w:sz w:val="24"/>
          <w:szCs w:val="24"/>
          <w:highlight w:val="none"/>
          <w:lang w:val="en-US"/>
        </w:rPr>
        <w:t xml:space="preserve">3.2.4 </w:t>
      </w:r>
      <w:r>
        <w:rPr>
          <w:rFonts w:hint="eastAsia" w:ascii="宋体" w:hAnsi="宋体" w:eastAsia="宋体" w:cs="宋体"/>
          <w:b w:val="0"/>
          <w:bCs w:val="0"/>
          <w:color w:val="auto"/>
          <w:sz w:val="24"/>
          <w:szCs w:val="24"/>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50AD77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3.3支持中小企业发展</w:t>
      </w:r>
    </w:p>
    <w:p w14:paraId="6AF6F9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E44F1D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2EE5E43F">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在政府采购活动中，供应商提供的工程符合下列情形的，享受中小企业扶持政策：</w:t>
      </w:r>
      <w:r>
        <w:rPr>
          <w:rFonts w:ascii="宋体" w:hAnsi="宋体" w:cs="宋体"/>
          <w:color w:val="auto"/>
          <w:sz w:val="24"/>
          <w:highlight w:val="none"/>
        </w:rPr>
        <w:t>在工程采购项目中，工程由中小企业承建，即工程施工单位为中小企业</w:t>
      </w:r>
      <w:r>
        <w:rPr>
          <w:rFonts w:hint="eastAsia" w:ascii="宋体" w:hAnsi="宋体" w:cs="宋体"/>
          <w:color w:val="auto"/>
          <w:kern w:val="0"/>
          <w:sz w:val="24"/>
          <w:highlight w:val="none"/>
        </w:rPr>
        <w:t>。</w:t>
      </w:r>
    </w:p>
    <w:p w14:paraId="13E0DBF7">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AD997B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4" w:name="_Hlk101132181"/>
      <w:r>
        <w:rPr>
          <w:rFonts w:hint="eastAsia" w:ascii="宋体" w:hAnsi="宋体" w:cs="宋体"/>
          <w:color w:val="auto"/>
          <w:sz w:val="24"/>
          <w:highlight w:val="none"/>
        </w:rPr>
        <w:t>联合协议或者分包意向协议约定小微企业的合同份额占到合同总金额30%以上的</w:t>
      </w:r>
      <w:bookmarkEnd w:id="14"/>
      <w:r>
        <w:rPr>
          <w:rFonts w:hint="eastAsia" w:ascii="宋体" w:hAnsi="宋体" w:cs="宋体"/>
          <w:color w:val="auto"/>
          <w:sz w:val="24"/>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14:paraId="4FE4709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0F8C9FB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44596C">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w:t>
      </w:r>
      <w:r>
        <w:rPr>
          <w:rFonts w:hint="eastAsia" w:cs="宋体" w:asciiTheme="minorEastAsia" w:hAnsiTheme="minorEastAsia" w:eastAsiaTheme="minorEastAsia"/>
          <w:color w:val="auto"/>
          <w:sz w:val="24"/>
          <w:highlight w:val="none"/>
          <w:lang w:val="en" w:eastAsia="zh-CN"/>
        </w:rPr>
        <w:t>《中小企业声明函》填写企业类型错误，导致该企业享受本不能享受的中小企业扶持政策，响应无效并依法承担法律责任</w:t>
      </w:r>
      <w:r>
        <w:rPr>
          <w:rFonts w:hint="eastAsia" w:cs="宋体" w:asciiTheme="minorEastAsia" w:hAnsiTheme="minorEastAsia" w:eastAsiaTheme="minorEastAsia"/>
          <w:color w:val="auto"/>
          <w:sz w:val="24"/>
          <w:highlight w:val="none"/>
        </w:rPr>
        <w:t>。</w:t>
      </w:r>
    </w:p>
    <w:p w14:paraId="458197D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01CCB7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33131D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7AB80564">
      <w:pPr>
        <w:pStyle w:val="3"/>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3.4.</w:t>
      </w:r>
      <w:r>
        <w:rPr>
          <w:rFonts w:hint="eastAsia" w:ascii="宋体" w:hAnsi="宋体" w:eastAsia="宋体" w:cs="仿宋"/>
          <w:b w:val="0"/>
          <w:bCs w:val="0"/>
          <w:color w:val="auto"/>
          <w:sz w:val="24"/>
          <w:szCs w:val="24"/>
          <w:highlight w:val="none"/>
          <w:lang w:val="en-US" w:eastAsia="zh-CN"/>
        </w:rPr>
        <w:t>2</w:t>
      </w:r>
      <w:r>
        <w:rPr>
          <w:rFonts w:hint="eastAsia" w:ascii="宋体" w:hAnsi="宋体" w:eastAsia="宋体" w:cs="仿宋"/>
          <w:b w:val="0"/>
          <w:bCs w:val="0"/>
          <w:color w:val="auto"/>
          <w:sz w:val="24"/>
          <w:szCs w:val="24"/>
          <w:highlight w:val="none"/>
          <w:lang w:val="en-US"/>
        </w:rPr>
        <w:t xml:space="preserve">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477A26C3">
      <w:pPr>
        <w:snapToGrid w:val="0"/>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B0376C7">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color w:val="auto"/>
          <w:sz w:val="24"/>
          <w:highlight w:val="none"/>
        </w:rPr>
        <w:t>、补偿救济</w:t>
      </w:r>
    </w:p>
    <w:p w14:paraId="0FA23D17">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4.1在线询问、质疑、投诉</w:t>
      </w:r>
    </w:p>
    <w:p w14:paraId="0F94E02E">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6448B42">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0A6EAB20">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97BE157">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1902AE29">
      <w:pPr>
        <w:pStyle w:val="34"/>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.1提出质疑的供应商应当是参与所质疑项目采购活动的供应商。潜在供应商已依法获取其可质疑的采购文件的，可以对该文件提出质疑。</w:t>
      </w:r>
    </w:p>
    <w:p w14:paraId="35C24E4B">
      <w:pPr>
        <w:pStyle w:val="34"/>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.2供应商认为采购文件、采购过程和成交结果使自己的权益受到损害的，可以在知道或者应知其权益受到损害之日起七个工作日内，以书面形式向采购人或者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1F96D0D4">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4.3.2.1对采购文件提出质疑的，质疑期限为供应商获得采购文件之日或者采购文件公告期限届满之日起计算。</w:t>
      </w:r>
    </w:p>
    <w:p w14:paraId="55D85D75">
      <w:pPr>
        <w:pStyle w:val="34"/>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w:t>
      </w:r>
    </w:p>
    <w:p w14:paraId="4EC5AD10">
      <w:pPr>
        <w:pStyle w:val="34"/>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4.3.2.3对采购结果提出质疑的，质疑期限自采购结果公告期限届满之日起计算。</w:t>
      </w:r>
    </w:p>
    <w:p w14:paraId="0A838284">
      <w:pPr>
        <w:pStyle w:val="34"/>
        <w:snapToGrid w:val="0"/>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1C875E39">
      <w:pPr>
        <w:pStyle w:val="34"/>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14:paraId="00B35998">
      <w:pPr>
        <w:pStyle w:val="34"/>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14:paraId="7A8BC04B">
      <w:pPr>
        <w:pStyle w:val="34"/>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14:paraId="6AB807D6">
      <w:pPr>
        <w:pStyle w:val="34"/>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4.3.3.4事实依据；</w:t>
      </w:r>
    </w:p>
    <w:p w14:paraId="268CD41E">
      <w:pPr>
        <w:pStyle w:val="34"/>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14:paraId="0967BED4">
      <w:pPr>
        <w:pStyle w:val="34"/>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194A653D">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C443F50">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质疑函范本及制作说明详见附件2。</w:t>
      </w:r>
    </w:p>
    <w:p w14:paraId="235B4411">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4.3.4对同一采购程序环节的质疑，供应商须在法定质疑期内一次性提出。</w:t>
      </w:r>
    </w:p>
    <w:p w14:paraId="4E9E14B9">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5187DFAC">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5787ADD0">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06E1155C">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3D4BBD98">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69D1BB36">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4.4.3供应商投诉应当有明确的请求和必要的证明材料。</w:t>
      </w:r>
    </w:p>
    <w:p w14:paraId="58BE01E7">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4.4.4以联合体形式参加政府采购活动的，其投诉应当由组成联合体的所有供应商共同提出。</w:t>
      </w:r>
    </w:p>
    <w:p w14:paraId="214FC93C">
      <w:pPr>
        <w:pStyle w:val="889"/>
        <w:shd w:val="clear" w:color="auto" w:fill="FFFFFF"/>
        <w:snapToGrid w:val="0"/>
        <w:spacing w:after="240" w:afterAutospacing="0" w:line="360" w:lineRule="auto"/>
        <w:ind w:firstLine="480" w:firstLineChars="200"/>
        <w:contextualSpacing/>
        <w:rPr>
          <w:rFonts w:hint="eastAsia" w:eastAsia="宋体"/>
          <w:color w:val="auto"/>
          <w:highlight w:val="none"/>
          <w:lang w:val="en-US" w:eastAsia="zh-CN"/>
        </w:rPr>
      </w:pPr>
      <w:r>
        <w:rPr>
          <w:rFonts w:hint="eastAsia" w:asciiTheme="minorEastAsia" w:hAnsiTheme="minorEastAsia" w:eastAsiaTheme="minorEastAsia"/>
          <w:color w:val="auto"/>
          <w:highlight w:val="none"/>
        </w:rPr>
        <w:t>4.</w:t>
      </w:r>
      <w:r>
        <w:rPr>
          <w:rFonts w:hint="eastAsia" w:asciiTheme="minorEastAsia" w:hAnsiTheme="minorEastAsia" w:eastAsiaTheme="minorEastAsia"/>
          <w:color w:val="auto"/>
          <w:highlight w:val="none"/>
          <w:lang w:val="en-US" w:eastAsia="zh-CN"/>
        </w:rPr>
        <w:t>4</w:t>
      </w:r>
      <w:r>
        <w:rPr>
          <w:rFonts w:hint="eastAsia" w:asciiTheme="minorEastAsia" w:hAnsiTheme="minorEastAsia" w:eastAsiaTheme="minorEastAsia"/>
          <w:color w:val="auto"/>
          <w:highlight w:val="none"/>
        </w:rPr>
        <w:t>.5</w:t>
      </w:r>
      <w:r>
        <w:rPr>
          <w:rFonts w:hint="eastAsia"/>
          <w:color w:val="auto"/>
          <w:highlight w:val="none"/>
        </w:rPr>
        <w:t>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仿宋"/>
          <w:color w:val="auto"/>
          <w:sz w:val="24"/>
          <w:highlight w:val="none"/>
        </w:rPr>
        <w:t>。</w:t>
      </w:r>
    </w:p>
    <w:p w14:paraId="2A946174">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4DAA85B4">
      <w:pPr>
        <w:adjustRightInd w:val="0"/>
        <w:snapToGrid w:val="0"/>
        <w:spacing w:line="360" w:lineRule="auto"/>
        <w:ind w:firstLine="480" w:firstLineChars="200"/>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02FEA4B4">
      <w:pPr>
        <w:pStyle w:val="889"/>
        <w:shd w:val="clear" w:color="auto" w:fill="FFFFFF"/>
        <w:adjustRightInd w:val="0"/>
        <w:snapToGrid w:val="0"/>
        <w:spacing w:before="0" w:beforeAutospacing="0" w:after="0" w:afterAutospacing="0" w:line="360" w:lineRule="auto"/>
        <w:ind w:firstLine="480" w:firstLineChars="200"/>
        <w:contextualSpacing/>
        <w:rPr>
          <w:rFonts w:ascii="宋体" w:hAnsi="宋体" w:cs="宋体"/>
          <w:color w:val="auto"/>
          <w:sz w:val="18"/>
          <w:szCs w:val="18"/>
          <w:highlight w:val="none"/>
        </w:rPr>
      </w:pPr>
      <w:r>
        <w:rPr>
          <w:rFonts w:hint="eastAsia"/>
          <w:color w:val="auto"/>
          <w:highlight w:val="none"/>
        </w:rPr>
        <w:t>投诉书范本及制作说明详见附件3。</w:t>
      </w:r>
    </w:p>
    <w:p w14:paraId="7B9523FB">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二、采购文件的构成、澄清、修改</w:t>
      </w:r>
    </w:p>
    <w:p w14:paraId="3BC50491">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5．采购文件的构成</w:t>
      </w:r>
    </w:p>
    <w:p w14:paraId="1BEE6326">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采购文件包括下列文件及附件：</w:t>
      </w:r>
    </w:p>
    <w:p w14:paraId="667752C2">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5.1.1竞争性磋商公告；</w:t>
      </w:r>
    </w:p>
    <w:p w14:paraId="727BEED6">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5.1.2供应商须知；</w:t>
      </w:r>
    </w:p>
    <w:p w14:paraId="4E057601">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29C9A604">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5.1.4评审办法；</w:t>
      </w:r>
    </w:p>
    <w:p w14:paraId="3524385F">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3CC73559">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3876F97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澄清或者修改的内容为采购文件的组成部分</w:t>
      </w:r>
      <w:r>
        <w:rPr>
          <w:rFonts w:hint="eastAsia" w:ascii="宋体" w:hAnsi="宋体" w:cs="宋体"/>
          <w:color w:val="auto"/>
          <w:sz w:val="24"/>
          <w:highlight w:val="none"/>
        </w:rPr>
        <w:t>。</w:t>
      </w:r>
    </w:p>
    <w:p w14:paraId="241963A8">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采购文件的澄清、修改</w:t>
      </w:r>
    </w:p>
    <w:p w14:paraId="09C74BE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6.1已获取采购文件的潜在供应商，若有问题需要澄清，应于响应文件提交（上传）截止时间前，以书面形式向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46CB26CD">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3B379D83">
      <w:pPr>
        <w:pStyle w:val="23"/>
        <w:rPr>
          <w:rFonts w:hAnsi="宋体" w:cs="宋体"/>
          <w:color w:val="auto"/>
          <w:sz w:val="18"/>
          <w:szCs w:val="18"/>
          <w:highlight w:val="none"/>
          <w:lang w:val="en-US"/>
        </w:rPr>
      </w:pPr>
    </w:p>
    <w:p w14:paraId="08EAEBA5">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三、提交响应文件</w:t>
      </w:r>
    </w:p>
    <w:p w14:paraId="25D7BED8">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采购文件的获取</w:t>
      </w:r>
    </w:p>
    <w:p w14:paraId="5353A6E8">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详见竞争性磋商公告中获取采购文件的时间期限、地点、方式及采购文件售价。</w:t>
      </w:r>
    </w:p>
    <w:p w14:paraId="58883666">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8.磋商前答疑会或现场考察</w:t>
      </w:r>
    </w:p>
    <w:p w14:paraId="6B51A41B">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采购人组织潜在供应商现场考察或者召开磋商前答疑会的，潜在供应商按第二部分供应商须知前附表的规定参加现场考察或者磋商前答疑会。</w:t>
      </w:r>
    </w:p>
    <w:p w14:paraId="70C795E8">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9.磋商保证金</w:t>
      </w:r>
    </w:p>
    <w:p w14:paraId="4C0A0BB4">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本项目不需缴纳磋商保证金。</w:t>
      </w:r>
    </w:p>
    <w:p w14:paraId="258AD01C">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响应文件的语言</w:t>
      </w:r>
    </w:p>
    <w:p w14:paraId="21A9C8E1">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响应文件及供应商与采购有关的来往通知、函件和文件均应使用中文。</w:t>
      </w:r>
    </w:p>
    <w:p w14:paraId="6F71CC65">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响应文件的组成</w:t>
      </w:r>
    </w:p>
    <w:p w14:paraId="0AE97AC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4157EF8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3B5B36D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5" w:name="_Hlk101259339"/>
      <w:r>
        <w:rPr>
          <w:rFonts w:hint="eastAsia" w:ascii="宋体" w:hAnsi="宋体" w:cs="宋体"/>
          <w:snapToGrid w:val="0"/>
          <w:color w:val="auto"/>
          <w:kern w:val="28"/>
          <w:sz w:val="24"/>
          <w:szCs w:val="20"/>
          <w:highlight w:val="none"/>
        </w:rPr>
        <w:t>联合协议</w:t>
      </w:r>
      <w:bookmarkStart w:id="16" w:name="_Hlk101257010"/>
      <w:r>
        <w:rPr>
          <w:rFonts w:hint="eastAsia" w:ascii="宋体" w:hAnsi="宋体" w:cs="宋体"/>
          <w:snapToGrid w:val="0"/>
          <w:color w:val="auto"/>
          <w:kern w:val="28"/>
          <w:sz w:val="24"/>
          <w:szCs w:val="20"/>
          <w:highlight w:val="none"/>
        </w:rPr>
        <w:t>（如果有)</w:t>
      </w:r>
      <w:bookmarkEnd w:id="15"/>
      <w:bookmarkEnd w:id="16"/>
      <w:r>
        <w:rPr>
          <w:rFonts w:hint="eastAsia" w:ascii="宋体" w:hAnsi="宋体" w:cs="宋体"/>
          <w:snapToGrid w:val="0"/>
          <w:color w:val="auto"/>
          <w:kern w:val="28"/>
          <w:sz w:val="24"/>
          <w:szCs w:val="20"/>
          <w:highlight w:val="none"/>
        </w:rPr>
        <w:t>；</w:t>
      </w:r>
    </w:p>
    <w:p w14:paraId="5C627DA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833199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CB1A823">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D68960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11.2.1响应函；</w:t>
      </w:r>
      <w:r>
        <w:rPr>
          <w:rFonts w:hint="eastAsia" w:ascii="宋体" w:hAnsi="宋体" w:cs="宋体"/>
          <w:color w:val="auto"/>
          <w:sz w:val="24"/>
          <w:highlight w:val="none"/>
          <w:lang w:val="zh-CN"/>
        </w:rPr>
        <w:t xml:space="preserve"> </w:t>
      </w:r>
    </w:p>
    <w:p w14:paraId="302C6B5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143C92C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11.2.3分包意向协议（如果有)；</w:t>
      </w:r>
    </w:p>
    <w:p w14:paraId="487BF25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11.2.4符合性审查资料；</w:t>
      </w:r>
    </w:p>
    <w:p w14:paraId="73933AF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11.2.5评审标准相应的商务技术资料；</w:t>
      </w:r>
    </w:p>
    <w:p w14:paraId="0B28361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11.2.6商务技术偏离表；</w:t>
      </w:r>
    </w:p>
    <w:p w14:paraId="182A2759">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261EDA9F">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7249936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11.3.1报价单；</w:t>
      </w:r>
    </w:p>
    <w:p w14:paraId="11B11AF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11.3.2已标价工程量清单；</w:t>
      </w:r>
    </w:p>
    <w:p w14:paraId="7187AE61">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11.3.3中小企业声明函。</w:t>
      </w:r>
    </w:p>
    <w:p w14:paraId="173AB0DF">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响应文件含有采购人不能接受的附加条件的，响应文件无效；</w:t>
      </w:r>
    </w:p>
    <w:p w14:paraId="669F5441">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供应商提供虚假材料的，响应文件无效。</w:t>
      </w:r>
    </w:p>
    <w:p w14:paraId="3E57F5DC">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供应商可事先在公开官网查询、核对相关证书和报告内容，确保投标（响应）文件资料准确无误。供应商应对响应文件中材料的真实性、合法性负责。</w:t>
      </w:r>
    </w:p>
    <w:p w14:paraId="79A7F602">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响应文件的编制</w:t>
      </w:r>
    </w:p>
    <w:p w14:paraId="6E53F577">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10403B8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40ADDCE5">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315B3C2">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13.响应文件的签署、盖章</w:t>
      </w:r>
    </w:p>
    <w:p w14:paraId="4D086772">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13.1响应文件按照采购文件第六部分格式要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▲供应商的响应文件未按照采购文件要求签署、盖章的，其响应文件无效</w:t>
      </w:r>
      <w:r>
        <w:rPr>
          <w:rFonts w:hint="eastAsia" w:ascii="宋体" w:hAnsi="宋体" w:cs="宋体"/>
          <w:color w:val="auto"/>
          <w:szCs w:val="24"/>
          <w:highlight w:val="none"/>
        </w:rPr>
        <w:t>。</w:t>
      </w:r>
    </w:p>
    <w:p w14:paraId="3CC483F0">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196CE33F">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13.3采购文件对响应文件签署、盖章的要求适用于电子签名。</w:t>
      </w:r>
    </w:p>
    <w:p w14:paraId="04813BFC">
      <w:pPr>
        <w:pStyle w:val="131"/>
        <w:snapToGrid w:val="0"/>
        <w:spacing w:before="0"/>
        <w:ind w:firstLine="0" w:firstLineChars="0"/>
        <w:rPr>
          <w:rFonts w:ascii="宋体" w:hAnsi="宋体" w:cs="宋体"/>
          <w:b/>
          <w:color w:val="auto"/>
          <w:szCs w:val="24"/>
          <w:highlight w:val="none"/>
        </w:rPr>
      </w:pPr>
    </w:p>
    <w:p w14:paraId="4FA2F12E">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响应文件的提交、补充、修改、撤回</w:t>
      </w:r>
    </w:p>
    <w:p w14:paraId="49A2A3D1">
      <w:pPr>
        <w:pStyle w:val="131"/>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43ABBC9C">
      <w:pPr>
        <w:pStyle w:val="131"/>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35C6880F">
      <w:pPr>
        <w:pStyle w:val="131"/>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可以视情况延长响应文件提交的截止时间。在上述情况下，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与供应商以前在响应文件提交截止时间方面的全部权利、责任和义务，将适用于延长至新的响应文件提交截止时间。</w:t>
      </w:r>
    </w:p>
    <w:p w14:paraId="351447D3">
      <w:pPr>
        <w:pStyle w:val="34"/>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15.备份响应文件</w:t>
      </w:r>
    </w:p>
    <w:p w14:paraId="75544BDB">
      <w:pPr>
        <w:pStyle w:val="34"/>
        <w:snapToGrid w:val="0"/>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不强制或变相强制供应商提交备份响应文件。</w:t>
      </w:r>
    </w:p>
    <w:p w14:paraId="2F4961CB">
      <w:pPr>
        <w:pStyle w:val="34"/>
        <w:snapToGrid w:val="0"/>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15.2备份响应文件须在“政采云投标客户端”制作生成，并储存在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存储、密封规定的备份响应文件将被视为无效或者被拒绝接收。</w:t>
      </w:r>
    </w:p>
    <w:p w14:paraId="2EB16337">
      <w:pPr>
        <w:pStyle w:val="34"/>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15.3直接提交备份响应文件的，供应商应于响应文件提交（上传）截止时间前在竞争性磋商公告中载明的响应文件开启地点将备份响应文件提交给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将拒绝接受逾期送达的备份响应文件。</w:t>
      </w:r>
    </w:p>
    <w:p w14:paraId="532976F8">
      <w:pPr>
        <w:pStyle w:val="34"/>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auto"/>
          <w:sz w:val="24"/>
          <w:szCs w:val="24"/>
          <w:highlight w:val="none"/>
        </w:rPr>
        <w:t>采购文件第二部分供应商须知前附表规定的备份响应文件送达地点；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将拒绝接受逾期送达的备份响应文件。邮寄过程中，电子备份响应文件发生泄露、遗失、损坏或延期送达等情况的，由供应商自行负责。</w:t>
      </w:r>
    </w:p>
    <w:p w14:paraId="2BE01B02">
      <w:pPr>
        <w:pStyle w:val="34"/>
        <w:snapToGrid w:val="0"/>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15.5供应商仅提交备份响应文件，未在电子交易平台传输递交响应文件的，响应文件无效。</w:t>
      </w:r>
    </w:p>
    <w:p w14:paraId="40577DFD">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16.响应文件的无效处理</w:t>
      </w:r>
    </w:p>
    <w:p w14:paraId="61E804F1">
      <w:pPr>
        <w:pStyle w:val="26"/>
        <w:spacing w:line="360" w:lineRule="auto"/>
        <w:ind w:firstLine="360" w:firstLineChars="150"/>
        <w:rPr>
          <w:rFonts w:cs="宋体"/>
          <w:color w:val="auto"/>
          <w:szCs w:val="21"/>
          <w:highlight w:val="none"/>
        </w:rPr>
      </w:pPr>
      <w:r>
        <w:rPr>
          <w:rFonts w:hint="eastAsia" w:cs="宋体"/>
          <w:color w:val="auto"/>
          <w:szCs w:val="21"/>
          <w:highlight w:val="none"/>
        </w:rPr>
        <w:t>有采购文件第四部分</w:t>
      </w:r>
      <w:r>
        <w:rPr>
          <w:rFonts w:hint="eastAsia" w:cs="宋体"/>
          <w:color w:val="auto"/>
          <w:highlight w:val="none"/>
        </w:rPr>
        <w:t>4.2规定</w:t>
      </w:r>
      <w:r>
        <w:rPr>
          <w:rFonts w:hint="eastAsia" w:cs="宋体"/>
          <w:color w:val="auto"/>
          <w:szCs w:val="21"/>
          <w:highlight w:val="none"/>
        </w:rPr>
        <w:t>的情形之一的，响应文件无效：</w:t>
      </w:r>
    </w:p>
    <w:p w14:paraId="57DBC14D">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17.响应文件有效期</w:t>
      </w:r>
    </w:p>
    <w:p w14:paraId="14D3D68F">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17.1响应文件有效期为从提交响应文件的截止之日起90天。▲</w:t>
      </w:r>
      <w:r>
        <w:rPr>
          <w:rFonts w:hint="eastAsia" w:ascii="宋体" w:hAnsi="宋体" w:cs="宋体"/>
          <w:b/>
          <w:color w:val="auto"/>
          <w:sz w:val="24"/>
          <w:szCs w:val="20"/>
          <w:highlight w:val="none"/>
        </w:rPr>
        <w:t>供应商的响应文件中承</w:t>
      </w:r>
      <w:r>
        <w:rPr>
          <w:rFonts w:hint="eastAsia" w:ascii="宋体" w:hAnsi="宋体" w:cs="宋体"/>
          <w:b/>
          <w:color w:val="auto"/>
          <w:sz w:val="24"/>
          <w:szCs w:val="21"/>
          <w:highlight w:val="none"/>
        </w:rPr>
        <w:t>诺的响应文件有效期少于采购文件中载明的响应文件有效期的，响应文件无效。</w:t>
      </w:r>
    </w:p>
    <w:p w14:paraId="44C4F022">
      <w:pPr>
        <w:pStyle w:val="131"/>
        <w:spacing w:before="0"/>
        <w:ind w:firstLine="480"/>
        <w:rPr>
          <w:rFonts w:ascii="宋体" w:hAnsi="宋体" w:cs="宋体"/>
          <w:color w:val="auto"/>
          <w:highlight w:val="none"/>
        </w:rPr>
      </w:pPr>
      <w:r>
        <w:rPr>
          <w:rFonts w:hint="eastAsia" w:ascii="宋体" w:hAnsi="宋体" w:cs="宋体"/>
          <w:color w:val="auto"/>
          <w:highlight w:val="none"/>
        </w:rPr>
        <w:t>17.2响应文件合格投递后，自响应文件提交截止时间起，在响应文件有效期内有效。</w:t>
      </w:r>
    </w:p>
    <w:p w14:paraId="51147B23">
      <w:pPr>
        <w:pStyle w:val="131"/>
        <w:spacing w:before="0"/>
        <w:ind w:firstLine="480"/>
        <w:rPr>
          <w:rFonts w:ascii="宋体" w:hAnsi="宋体" w:cs="宋体"/>
          <w:b/>
          <w:color w:val="auto"/>
          <w:sz w:val="32"/>
          <w:highlight w:val="none"/>
        </w:rPr>
      </w:pPr>
      <w:r>
        <w:rPr>
          <w:rFonts w:hint="eastAsia" w:ascii="宋体" w:hAnsi="宋体" w:cs="宋体"/>
          <w:color w:val="auto"/>
          <w:highlight w:val="none"/>
        </w:rPr>
        <w:t>17.3在原定响应文件有效期满之前，如果出现特殊情况，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可以以书面形式通知供应商延长响应文件有效期。供应商同意延长的，不得要求或被允许修改其响应文件，供应商拒绝延长的，其响应文件无效</w:t>
      </w:r>
    </w:p>
    <w:p w14:paraId="45C7E013">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四、响应文件开启、资格审查与信用信息查询</w:t>
      </w:r>
    </w:p>
    <w:p w14:paraId="34C38DC5">
      <w:pPr>
        <w:pStyle w:val="557"/>
        <w:spacing w:before="0" w:line="360" w:lineRule="auto"/>
        <w:ind w:left="0" w:firstLine="0"/>
        <w:contextualSpacing/>
        <w:rPr>
          <w:rFonts w:ascii="宋体" w:hAnsi="宋体" w:cs="宋体"/>
          <w:color w:val="auto"/>
          <w:sz w:val="24"/>
          <w:highlight w:val="none"/>
        </w:rPr>
      </w:pPr>
      <w:r>
        <w:rPr>
          <w:rFonts w:hint="eastAsia" w:ascii="宋体" w:hAnsi="宋体" w:cs="宋体"/>
          <w:b/>
          <w:color w:val="auto"/>
          <w:sz w:val="24"/>
          <w:szCs w:val="24"/>
          <w:highlight w:val="none"/>
        </w:rPr>
        <w:t>18.响应文件开启</w:t>
      </w:r>
      <w:r>
        <w:rPr>
          <w:rFonts w:hint="eastAsia" w:ascii="宋体" w:hAnsi="宋体" w:cs="宋体"/>
          <w:color w:val="auto"/>
          <w:sz w:val="24"/>
          <w:highlight w:val="none"/>
        </w:rPr>
        <w:t xml:space="preserve"> </w:t>
      </w:r>
    </w:p>
    <w:p w14:paraId="45030AEF">
      <w:pPr>
        <w:pStyle w:val="557"/>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按照采购文件规定的时间通过电子交易平台组织响应文件开启，所有供应商均应当准时在线参加。供应商不足3家的，不得开启。</w:t>
      </w:r>
    </w:p>
    <w:p w14:paraId="19D5FEF0">
      <w:pPr>
        <w:pStyle w:val="557"/>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18.2响应文件开启时，电子交易平台按响应文件开启时间自动提取所有响应文件。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依托电子交易平台发起开始解密指令，供应商按照平台提示和采购文件的规定在半小时内完成在线解密。</w:t>
      </w:r>
    </w:p>
    <w:p w14:paraId="16EB664C">
      <w:pPr>
        <w:pStyle w:val="557"/>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18.3</w:t>
      </w:r>
      <w:r>
        <w:rPr>
          <w:rFonts w:hint="eastAsia" w:ascii="宋体" w:hAnsi="宋体" w:cs="宋体"/>
          <w:b/>
          <w:bCs/>
          <w:color w:val="auto"/>
          <w:sz w:val="24"/>
          <w:highlight w:val="none"/>
        </w:rPr>
        <w:t>响应文件未按时解密，供应商提供了备份响应文件的，以备份响应文件作为依据，否则视为响应文件撤回。响应文件已按时解密的，备份响应文件自动失效。</w:t>
      </w:r>
    </w:p>
    <w:p w14:paraId="1DBB44BA">
      <w:pPr>
        <w:pStyle w:val="557"/>
        <w:spacing w:before="0" w:line="360" w:lineRule="auto"/>
        <w:ind w:left="0" w:firstLine="0"/>
        <w:contextualSpacing/>
        <w:rPr>
          <w:rFonts w:ascii="宋体" w:hAnsi="宋体" w:cs="宋体"/>
          <w:b/>
          <w:color w:val="auto"/>
          <w:sz w:val="24"/>
          <w:szCs w:val="24"/>
          <w:highlight w:val="none"/>
        </w:rPr>
      </w:pPr>
      <w:r>
        <w:rPr>
          <w:rFonts w:hint="eastAsia" w:ascii="宋体" w:hAnsi="宋体" w:cs="宋体"/>
          <w:b/>
          <w:color w:val="auto"/>
          <w:sz w:val="24"/>
          <w:szCs w:val="24"/>
          <w:highlight w:val="none"/>
        </w:rPr>
        <w:t>19、资格审查</w:t>
      </w:r>
    </w:p>
    <w:p w14:paraId="79789D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或磋商小组依据法律法规和采购文件的规定，对供应商的资格进行审查。</w:t>
      </w:r>
    </w:p>
    <w:p w14:paraId="662F9981">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供应商未按照采购文件要求提供与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供应商不具备采购文件中规定的资格要求，其响应文件无效。</w:t>
      </w:r>
    </w:p>
    <w:p w14:paraId="720BF6A8">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对未通过资格审查的供应商，采购人或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5AD18DEF">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合格供应商不足3家的，不再评审。</w:t>
      </w:r>
    </w:p>
    <w:p w14:paraId="1E65B4DE">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18BDD043">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将在资格审查时通过“信用中国”网站(www.creditchina.gov.cn)、中国政府采购网(www.ccgp.gov.cn)渠道查询供应商接受资格审查时的信用记录。</w:t>
      </w:r>
    </w:p>
    <w:p w14:paraId="3C28207C">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20.2信用信息查询记录和证据留存的具体方式：现场查询的供应商的信用记录、查询结果经确认后将与采购文件一起存档。</w:t>
      </w:r>
    </w:p>
    <w:p w14:paraId="08FE3D39">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20.3信用信息的使用规则：经查询列入失信被执行人名单、重大税收违法案件当事人名单、政府采购严重违法失信行为记录名单的供应商将被拒绝参与政府采购活动。</w:t>
      </w:r>
    </w:p>
    <w:p w14:paraId="66A7A1A4">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24F6540D">
      <w:pPr>
        <w:pStyle w:val="131"/>
        <w:spacing w:before="0"/>
        <w:ind w:firstLine="0" w:firstLineChars="0"/>
        <w:rPr>
          <w:rFonts w:ascii="宋体" w:hAnsi="宋体" w:cs="宋体"/>
          <w:color w:val="auto"/>
          <w:kern w:val="0"/>
          <w:szCs w:val="24"/>
          <w:highlight w:val="none"/>
        </w:rPr>
      </w:pPr>
    </w:p>
    <w:p w14:paraId="6973DF51">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五、评审</w:t>
      </w:r>
    </w:p>
    <w:p w14:paraId="2AF61797">
      <w:pPr>
        <w:spacing w:line="360" w:lineRule="auto"/>
        <w:rPr>
          <w:rFonts w:ascii="宋体" w:hAnsi="宋体" w:cs="宋体"/>
          <w:b/>
          <w:color w:val="auto"/>
          <w:sz w:val="24"/>
          <w:highlight w:val="none"/>
        </w:rPr>
      </w:pPr>
      <w:bookmarkStart w:id="17"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auto"/>
          <w:sz w:val="24"/>
          <w:highlight w:val="none"/>
        </w:rPr>
        <w:t>详见采购文件第四部分评审办法。</w:t>
      </w:r>
    </w:p>
    <w:p w14:paraId="22754A65">
      <w:pPr>
        <w:spacing w:line="360" w:lineRule="auto"/>
        <w:rPr>
          <w:rFonts w:ascii="宋体" w:hAnsi="宋体" w:cs="宋体"/>
          <w:b/>
          <w:color w:val="auto"/>
          <w:sz w:val="24"/>
          <w:highlight w:val="none"/>
        </w:rPr>
      </w:pPr>
    </w:p>
    <w:p w14:paraId="6B310591">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六、成交供应商确定</w:t>
      </w:r>
    </w:p>
    <w:p w14:paraId="687020F4">
      <w:pPr>
        <w:pStyle w:val="26"/>
        <w:spacing w:line="360" w:lineRule="auto"/>
        <w:ind w:left="479" w:hanging="479" w:hangingChars="199"/>
        <w:rPr>
          <w:rFonts w:cs="宋体"/>
          <w:b/>
          <w:color w:val="auto"/>
          <w:highlight w:val="none"/>
        </w:rPr>
      </w:pPr>
      <w:r>
        <w:rPr>
          <w:rFonts w:hint="eastAsia" w:cs="宋体"/>
          <w:b/>
          <w:color w:val="auto"/>
          <w:highlight w:val="none"/>
        </w:rPr>
        <w:t>22. 确定成交供应商</w:t>
      </w:r>
    </w:p>
    <w:p w14:paraId="67A80751">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0C9DAE0E">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成交通知与成交结果公告</w:t>
      </w:r>
    </w:p>
    <w:p w14:paraId="320DFD0C">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23.1自成交供应商确定之日起1个工作日内，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通过电子交易平台向成交供应商发出成交通知书，同时编制发布采购结果公告。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也可以以纸质形式进行成交通知。</w:t>
      </w:r>
    </w:p>
    <w:p w14:paraId="04067398">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23.2成交结果公告内容包括采购人及其委托的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22A7C64C">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00E4310C">
      <w:pPr>
        <w:widowControl/>
        <w:shd w:val="clear" w:color="auto" w:fill="FFFFFF"/>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lang w:val="en-US" w:eastAsia="zh-CN"/>
        </w:rPr>
        <w:t>23.4</w:t>
      </w:r>
      <w:r>
        <w:rPr>
          <w:rFonts w:hint="eastAsia" w:ascii="宋体" w:hAnsi="宋体" w:eastAsia="宋体" w:cs="宋体"/>
          <w:b w:val="0"/>
          <w:bCs/>
          <w:color w:val="auto"/>
          <w:sz w:val="24"/>
          <w:szCs w:val="24"/>
          <w:highlight w:val="none"/>
        </w:rPr>
        <w:t>由于</w:t>
      </w:r>
      <w:r>
        <w:rPr>
          <w:rFonts w:hint="eastAsia" w:ascii="宋体" w:hAnsi="宋体" w:eastAsia="宋体" w:cs="宋体"/>
          <w:bCs/>
          <w:color w:val="auto"/>
          <w:sz w:val="24"/>
          <w:szCs w:val="24"/>
          <w:highlight w:val="none"/>
        </w:rPr>
        <w:t>成交供应商原因导致重新采购的，应当承担支付代理费和专家评审费等费用在内的赔偿责任。</w:t>
      </w:r>
    </w:p>
    <w:p w14:paraId="1D3C3428">
      <w:pPr>
        <w:snapToGrid w:val="0"/>
        <w:spacing w:line="360" w:lineRule="auto"/>
        <w:ind w:left="120" w:leftChars="57" w:firstLine="482" w:firstLineChars="150"/>
        <w:jc w:val="center"/>
        <w:rPr>
          <w:rFonts w:ascii="宋体" w:hAnsi="宋体" w:cs="宋体"/>
          <w:b/>
          <w:color w:val="auto"/>
          <w:sz w:val="32"/>
          <w:highlight w:val="none"/>
        </w:rPr>
      </w:pPr>
    </w:p>
    <w:p w14:paraId="4975CE3E">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七、合同授予</w:t>
      </w:r>
    </w:p>
    <w:p w14:paraId="4A06CA2D">
      <w:pPr>
        <w:pStyle w:val="26"/>
        <w:snapToGrid w:val="0"/>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15DF5686">
      <w:pPr>
        <w:pStyle w:val="26"/>
        <w:snapToGrid w:val="0"/>
        <w:spacing w:line="360" w:lineRule="auto"/>
        <w:ind w:left="479" w:hanging="479" w:hangingChars="199"/>
        <w:rPr>
          <w:rFonts w:cs="宋体"/>
          <w:b/>
          <w:color w:val="auto"/>
          <w:highlight w:val="none"/>
        </w:rPr>
      </w:pPr>
      <w:r>
        <w:rPr>
          <w:rFonts w:hint="eastAsia" w:cs="宋体"/>
          <w:b/>
          <w:color w:val="auto"/>
          <w:highlight w:val="none"/>
        </w:rPr>
        <w:t>25. 合同的签订</w:t>
      </w:r>
    </w:p>
    <w:p w14:paraId="68AE143F">
      <w:pPr>
        <w:widowControl/>
        <w:shd w:val="clear" w:color="auto" w:fill="FFFFFF"/>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3D074ABC">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45E35E30">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752252A8">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1B59A8CD">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25.5采购合同由采购人与成交供应商根据采购文件、响应文件等内容通过政府采购电子交易平台在线签订，自动备案。</w:t>
      </w:r>
    </w:p>
    <w:p w14:paraId="638FC5AD">
      <w:pPr>
        <w:pStyle w:val="26"/>
        <w:snapToGrid w:val="0"/>
        <w:spacing w:line="360" w:lineRule="auto"/>
        <w:ind w:left="479" w:hanging="479" w:hangingChars="199"/>
        <w:rPr>
          <w:rFonts w:cs="宋体"/>
          <w:b/>
          <w:color w:val="auto"/>
          <w:highlight w:val="none"/>
        </w:rPr>
      </w:pPr>
      <w:r>
        <w:rPr>
          <w:rFonts w:hint="eastAsia" w:cs="宋体"/>
          <w:b/>
          <w:color w:val="auto"/>
          <w:highlight w:val="none"/>
        </w:rPr>
        <w:t>26. 履约保证金</w:t>
      </w:r>
    </w:p>
    <w:p w14:paraId="1D422CAC">
      <w:pPr>
        <w:tabs>
          <w:tab w:val="left" w:pos="0"/>
        </w:tabs>
        <w:snapToGrid w:val="0"/>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cs="宋体"/>
          <w:color w:val="auto"/>
          <w:sz w:val="24"/>
          <w:highlight w:val="none"/>
        </w:rPr>
        <w:t>。杭州市政府采购网公布的供应商履约评价为满分的供应商，采购单位应当免收履约保证金。确需收取履约保证金的，履约保证金缴纳最高比例由不超过</w:t>
      </w:r>
      <w:r>
        <w:rPr>
          <w:rFonts w:hint="eastAsia" w:ascii="宋体" w:hAnsi="宋体" w:cs="宋体"/>
          <w:color w:val="auto"/>
          <w:kern w:val="2"/>
          <w:sz w:val="24"/>
          <w:highlight w:val="none"/>
        </w:rPr>
        <w:t>合同金额的</w:t>
      </w:r>
      <w:r>
        <w:rPr>
          <w:rFonts w:ascii="宋体" w:hAnsi="宋体" w:cs="宋体"/>
          <w:color w:val="auto"/>
          <w:kern w:val="2"/>
          <w:sz w:val="24"/>
          <w:highlight w:val="none"/>
        </w:rPr>
        <w:t>1%</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采购单位鼓励供应商采取履约保函形式提供信用保证；供应商提供保函的，采购单位不得拒收。项目验收结束后应及时退还，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7018198C">
      <w:pPr>
        <w:pStyle w:val="3"/>
        <w:snapToGrid w:val="0"/>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21BD6B82">
      <w:pPr>
        <w:pStyle w:val="3"/>
        <w:rPr>
          <w:color w:val="auto"/>
          <w:highlight w:val="none"/>
        </w:rPr>
      </w:pPr>
      <w:r>
        <w:rPr>
          <w:rFonts w:ascii="宋体" w:hAnsi="宋体" w:eastAsia="宋体" w:cs="Times New Roman"/>
          <w:b/>
          <w:bCs/>
          <w:color w:val="auto"/>
          <w:kern w:val="2"/>
          <w:sz w:val="24"/>
          <w:szCs w:val="32"/>
          <w:highlight w:val="none"/>
          <w:lang w:val="en-US"/>
        </w:rPr>
        <w:t>27.预付款</w:t>
      </w:r>
    </w:p>
    <w:p w14:paraId="7AA8E11D">
      <w:pPr>
        <w:adjustRightInd/>
        <w:spacing w:line="360" w:lineRule="auto"/>
        <w:ind w:firstLine="480" w:firstLineChars="200"/>
        <w:rPr>
          <w:rFonts w:ascii="宋体" w:hAnsi="宋体" w:cs="宋体"/>
          <w:b/>
          <w:color w:val="auto"/>
          <w:sz w:val="32"/>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069C2720">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八、电子交易活动的中止</w:t>
      </w:r>
    </w:p>
    <w:p w14:paraId="6D94CDB6">
      <w:pPr>
        <w:pStyle w:val="131"/>
        <w:snapToGrid w:val="0"/>
        <w:spacing w:before="0"/>
        <w:ind w:firstLine="0" w:firstLineChars="0"/>
        <w:rPr>
          <w:rFonts w:ascii="宋体" w:hAnsi="宋体" w:cs="宋体"/>
          <w:color w:val="auto"/>
          <w:highlight w:val="none"/>
        </w:rPr>
      </w:pPr>
      <w:r>
        <w:rPr>
          <w:rFonts w:ascii="宋体" w:hAnsi="宋体" w:cs="宋体"/>
          <w:b/>
          <w:bCs/>
          <w:color w:val="auto"/>
          <w:kern w:val="2"/>
          <w:szCs w:val="20"/>
          <w:highlight w:val="none"/>
        </w:rPr>
        <w:t>2</w:t>
      </w:r>
      <w:r>
        <w:rPr>
          <w:rFonts w:ascii="宋体" w:hAnsi="宋体" w:cs="宋体"/>
          <w:b/>
          <w:bCs/>
          <w:color w:val="auto"/>
          <w:kern w:val="2"/>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54F7300">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2FEA4B8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2779F831">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9684998">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75EDD0D3">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319177AC">
      <w:pPr>
        <w:pStyle w:val="131"/>
        <w:snapToGrid w:val="0"/>
        <w:spacing w:before="0"/>
        <w:ind w:firstLine="0" w:firstLineChars="0"/>
        <w:rPr>
          <w:rFonts w:ascii="宋体" w:hAnsi="宋体" w:cs="宋体"/>
          <w:color w:val="auto"/>
          <w:sz w:val="24"/>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496ED7D">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九、验收</w:t>
      </w:r>
    </w:p>
    <w:p w14:paraId="32321451">
      <w:pPr>
        <w:pStyle w:val="26"/>
        <w:spacing w:line="360" w:lineRule="auto"/>
        <w:ind w:firstLine="0" w:firstLineChars="0"/>
        <w:rPr>
          <w:rFonts w:cs="宋体"/>
          <w:b/>
          <w:color w:val="auto"/>
          <w:highlight w:val="none"/>
        </w:rPr>
      </w:pPr>
      <w:r>
        <w:rPr>
          <w:rFonts w:hint="eastAsia" w:cs="宋体"/>
          <w:b/>
          <w:color w:val="auto"/>
          <w:highlight w:val="none"/>
        </w:rPr>
        <w:t>30.验收</w:t>
      </w:r>
    </w:p>
    <w:p w14:paraId="62265F6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ADD4C45">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30.2采购人可以邀请参加本项目的其他供应商或者第三方机构参与验收。参与验收的供应商或者第三方机构的意见作为验收书的参考资料一并存档。</w:t>
      </w:r>
    </w:p>
    <w:p w14:paraId="264BE12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82F356D">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14:paraId="4DA239AD">
      <w:pPr>
        <w:pStyle w:val="3"/>
        <w:adjustRightInd w:val="0"/>
        <w:snapToGrid w:val="0"/>
        <w:ind w:left="0" w:firstLine="480" w:firstLineChars="200"/>
        <w:rPr>
          <w:rFonts w:ascii="宋体" w:hAnsi="宋体" w:eastAsia="宋体" w:cs="宋体"/>
          <w:b w:val="0"/>
          <w:bCs w:val="0"/>
          <w:color w:val="auto"/>
          <w:kern w:val="0"/>
          <w:sz w:val="24"/>
          <w:szCs w:val="24"/>
          <w:highlight w:val="none"/>
          <w:lang w:val="en-US"/>
        </w:rPr>
      </w:pPr>
      <w:bookmarkStart w:id="18" w:name="_Hlt74707468"/>
      <w:bookmarkEnd w:id="18"/>
      <w:bookmarkStart w:id="19" w:name="_Hlt68072998"/>
      <w:bookmarkEnd w:id="19"/>
      <w:bookmarkStart w:id="20" w:name="_Hlt74714665"/>
      <w:bookmarkEnd w:id="20"/>
      <w:bookmarkStart w:id="21" w:name="_Hlt74729768"/>
      <w:bookmarkEnd w:id="21"/>
      <w:bookmarkStart w:id="22" w:name="_Hlt74730295"/>
      <w:bookmarkEnd w:id="22"/>
      <w:bookmarkStart w:id="23" w:name="_Hlt75236101"/>
      <w:bookmarkEnd w:id="23"/>
      <w:bookmarkStart w:id="24" w:name="_Hlt68403820"/>
      <w:bookmarkEnd w:id="24"/>
      <w:bookmarkStart w:id="25" w:name="_Hlt68072990"/>
      <w:bookmarkEnd w:id="25"/>
      <w:bookmarkStart w:id="26" w:name="_Hlt75236011"/>
      <w:bookmarkEnd w:id="26"/>
      <w:bookmarkStart w:id="27" w:name="_Hlt68073093"/>
      <w:bookmarkEnd w:id="27"/>
      <w:bookmarkStart w:id="28" w:name="_Hlt68057669"/>
      <w:bookmarkEnd w:id="28"/>
      <w:bookmarkStart w:id="29" w:name="_Hlt75236290"/>
      <w:bookmarkEnd w:id="29"/>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305E3F97">
      <w:pPr>
        <w:pStyle w:val="80"/>
        <w:rPr>
          <w:color w:val="auto"/>
          <w:highlight w:val="none"/>
        </w:rPr>
        <w:sectPr>
          <w:pgSz w:w="11906" w:h="16838"/>
          <w:pgMar w:top="1440" w:right="1080" w:bottom="1440" w:left="1080" w:header="851" w:footer="992" w:gutter="0"/>
          <w:cols w:space="720" w:num="1"/>
          <w:titlePg/>
          <w:docGrid w:linePitch="312" w:charSpace="0"/>
        </w:sectPr>
      </w:pPr>
    </w:p>
    <w:bookmarkEnd w:id="12"/>
    <w:bookmarkEnd w:id="13"/>
    <w:p w14:paraId="60696D02">
      <w:pPr>
        <w:pStyle w:val="34"/>
        <w:spacing w:line="360" w:lineRule="auto"/>
        <w:jc w:val="center"/>
        <w:rPr>
          <w:rFonts w:hAnsi="宋体" w:cs="宋体"/>
          <w:b/>
          <w:snapToGrid/>
          <w:color w:val="auto"/>
          <w:sz w:val="36"/>
          <w:szCs w:val="20"/>
          <w:highlight w:val="none"/>
        </w:rPr>
      </w:pPr>
      <w:bookmarkStart w:id="30" w:name="第四部分"/>
      <w:r>
        <w:rPr>
          <w:rFonts w:hint="eastAsia" w:hAnsi="宋体" w:cs="宋体"/>
          <w:b/>
          <w:snapToGrid/>
          <w:color w:val="auto"/>
          <w:sz w:val="36"/>
          <w:szCs w:val="20"/>
          <w:highlight w:val="none"/>
        </w:rPr>
        <w:t>第三部分 采购需求</w:t>
      </w:r>
    </w:p>
    <w:p w14:paraId="5074DA87">
      <w:pPr>
        <w:spacing w:line="360" w:lineRule="auto"/>
        <w:jc w:val="left"/>
        <w:rPr>
          <w:rFonts w:ascii="宋体" w:hAnsi="宋体" w:cs="仿宋_GB2312"/>
          <w:b/>
          <w:bCs/>
          <w:color w:val="auto"/>
          <w:sz w:val="24"/>
          <w:highlight w:val="none"/>
        </w:rPr>
      </w:pPr>
      <w:r>
        <w:rPr>
          <w:rFonts w:hint="eastAsia" w:ascii="宋体" w:hAnsi="宋体" w:cs="仿宋_GB2312"/>
          <w:b/>
          <w:bCs/>
          <w:color w:val="auto"/>
          <w:sz w:val="24"/>
          <w:highlight w:val="none"/>
        </w:rPr>
        <w:t>一、工程概况</w:t>
      </w:r>
    </w:p>
    <w:p w14:paraId="79BDD43B">
      <w:pPr>
        <w:pStyle w:val="26"/>
        <w:spacing w:before="120" w:beforeLines="50" w:after="120" w:afterLines="50" w:line="360" w:lineRule="auto"/>
        <w:ind w:firstLine="480" w:firstLineChars="200"/>
        <w:rPr>
          <w:rFonts w:hint="eastAsia" w:hAnsi="宋体" w:eastAsia="宋体"/>
          <w:bCs/>
          <w:color w:val="auto"/>
          <w:sz w:val="24"/>
          <w:szCs w:val="24"/>
          <w:highlight w:val="none"/>
          <w:lang w:eastAsia="zh-CN"/>
        </w:rPr>
      </w:pPr>
      <w:r>
        <w:rPr>
          <w:rFonts w:hint="eastAsia" w:hAnsi="宋体"/>
          <w:bCs/>
          <w:color w:val="auto"/>
          <w:sz w:val="24"/>
          <w:szCs w:val="24"/>
          <w:highlight w:val="none"/>
          <w:lang w:val="en-US" w:eastAsia="zh-CN"/>
        </w:rPr>
        <w:t>项目</w:t>
      </w:r>
      <w:r>
        <w:rPr>
          <w:rFonts w:hint="eastAsia" w:hAnsi="宋体"/>
          <w:bCs/>
          <w:color w:val="auto"/>
          <w:sz w:val="24"/>
          <w:szCs w:val="24"/>
          <w:highlight w:val="none"/>
        </w:rPr>
        <w:t>名称：</w:t>
      </w:r>
      <w:r>
        <w:rPr>
          <w:rFonts w:hint="eastAsia"/>
          <w:bCs/>
          <w:color w:val="auto"/>
          <w:sz w:val="24"/>
          <w:szCs w:val="24"/>
          <w:highlight w:val="none"/>
          <w:lang w:eastAsia="zh-CN"/>
        </w:rPr>
        <w:t>杭州市胜利实验笕成小学品质提升工程（二期）</w:t>
      </w:r>
    </w:p>
    <w:p w14:paraId="5E171523">
      <w:pPr>
        <w:pStyle w:val="26"/>
        <w:spacing w:before="120" w:beforeLines="50" w:after="120" w:afterLines="50" w:line="360" w:lineRule="auto"/>
        <w:ind w:firstLine="480" w:firstLineChars="200"/>
        <w:rPr>
          <w:rFonts w:hint="eastAsia" w:hAnsi="宋体"/>
          <w:bCs/>
          <w:color w:val="auto"/>
          <w:sz w:val="24"/>
          <w:szCs w:val="24"/>
          <w:highlight w:val="none"/>
          <w:lang w:val="en-US" w:eastAsia="zh-CN"/>
        </w:rPr>
      </w:pPr>
      <w:r>
        <w:rPr>
          <w:rFonts w:hint="eastAsia"/>
          <w:bCs/>
          <w:color w:val="auto"/>
          <w:sz w:val="24"/>
          <w:szCs w:val="24"/>
          <w:highlight w:val="none"/>
          <w:lang w:val="en-US" w:eastAsia="zh-CN"/>
        </w:rPr>
        <w:t>采购内容</w:t>
      </w:r>
      <w:r>
        <w:rPr>
          <w:rFonts w:hint="eastAsia" w:hAnsi="宋体"/>
          <w:bCs/>
          <w:color w:val="auto"/>
          <w:sz w:val="24"/>
          <w:szCs w:val="24"/>
          <w:highlight w:val="none"/>
          <w:lang w:val="en-US" w:eastAsia="zh-CN"/>
        </w:rPr>
        <w:t>:</w:t>
      </w:r>
      <w:r>
        <w:rPr>
          <w:rFonts w:hint="eastAsia"/>
          <w:bCs/>
          <w:color w:val="auto"/>
          <w:sz w:val="24"/>
          <w:szCs w:val="24"/>
          <w:highlight w:val="none"/>
          <w:lang w:val="en-US" w:eastAsia="zh-CN"/>
        </w:rPr>
        <w:t>杭州市胜利实验笕成小学品质提升工程（二期）</w:t>
      </w:r>
      <w:r>
        <w:rPr>
          <w:rFonts w:hint="eastAsia" w:hAnsi="宋体"/>
          <w:bCs/>
          <w:color w:val="auto"/>
          <w:sz w:val="24"/>
          <w:szCs w:val="24"/>
          <w:highlight w:val="none"/>
          <w:lang w:val="en-US" w:eastAsia="zh-CN"/>
        </w:rPr>
        <w:t> </w:t>
      </w:r>
    </w:p>
    <w:p w14:paraId="4F2604CF">
      <w:pPr>
        <w:pStyle w:val="26"/>
        <w:spacing w:before="120" w:beforeLines="50" w:after="120" w:afterLines="50" w:line="360" w:lineRule="auto"/>
        <w:ind w:firstLine="480" w:firstLineChars="200"/>
        <w:rPr>
          <w:rFonts w:hint="default" w:hAnsi="宋体"/>
          <w:bCs/>
          <w:color w:val="auto"/>
          <w:sz w:val="24"/>
          <w:szCs w:val="24"/>
          <w:highlight w:val="none"/>
          <w:lang w:val="en-US" w:eastAsia="zh-CN"/>
        </w:rPr>
      </w:pPr>
      <w:r>
        <w:rPr>
          <w:rFonts w:hint="eastAsia" w:hAnsi="宋体"/>
          <w:bCs/>
          <w:color w:val="auto"/>
          <w:sz w:val="24"/>
          <w:szCs w:val="24"/>
          <w:highlight w:val="none"/>
          <w:lang w:val="en-US" w:eastAsia="zh-CN"/>
        </w:rPr>
        <w:t>预算金额（元）：370668</w:t>
      </w:r>
      <w:r>
        <w:rPr>
          <w:rFonts w:hint="eastAsia"/>
          <w:bCs/>
          <w:color w:val="auto"/>
          <w:sz w:val="24"/>
          <w:szCs w:val="24"/>
          <w:highlight w:val="none"/>
          <w:lang w:val="en-US" w:eastAsia="zh-CN"/>
        </w:rPr>
        <w:t>8</w:t>
      </w:r>
    </w:p>
    <w:p w14:paraId="0966DED0">
      <w:pPr>
        <w:pStyle w:val="26"/>
        <w:spacing w:before="120" w:beforeLines="50" w:after="120" w:afterLines="50" w:line="360" w:lineRule="auto"/>
        <w:ind w:firstLine="480" w:firstLineChars="200"/>
        <w:rPr>
          <w:rFonts w:ascii="宋体" w:hAnsi="宋体"/>
          <w:color w:val="auto"/>
          <w:sz w:val="24"/>
          <w:highlight w:val="none"/>
          <w:u w:val="none"/>
        </w:rPr>
      </w:pPr>
      <w:r>
        <w:rPr>
          <w:rFonts w:hint="eastAsia" w:hAnsi="宋体"/>
          <w:bCs/>
          <w:color w:val="auto"/>
          <w:sz w:val="24"/>
          <w:szCs w:val="24"/>
          <w:highlight w:val="none"/>
          <w:lang w:val="en-US" w:eastAsia="zh-CN"/>
        </w:rPr>
        <w:t>主要维修改造区域包括</w:t>
      </w:r>
      <w:r>
        <w:rPr>
          <w:rFonts w:hint="eastAsia"/>
          <w:bCs/>
          <w:color w:val="auto"/>
          <w:sz w:val="24"/>
          <w:szCs w:val="24"/>
          <w:highlight w:val="none"/>
          <w:lang w:val="en-US" w:eastAsia="zh-CN"/>
        </w:rPr>
        <w:t>杭州市胜利实验笕成小学品质提升工程</w:t>
      </w:r>
      <w:r>
        <w:rPr>
          <w:rFonts w:hint="eastAsia"/>
          <w:bCs/>
          <w:color w:val="auto"/>
          <w:sz w:val="24"/>
          <w:szCs w:val="24"/>
          <w:highlight w:val="none"/>
          <w:lang w:eastAsia="zh-CN"/>
        </w:rPr>
        <w:t>，</w:t>
      </w:r>
      <w:r>
        <w:rPr>
          <w:rFonts w:hint="eastAsia" w:ascii="宋体" w:hAnsi="宋体"/>
          <w:color w:val="auto"/>
          <w:sz w:val="24"/>
          <w:highlight w:val="none"/>
          <w:u w:val="none"/>
        </w:rPr>
        <w:t>改善学校场地环境，给学生提供更加优越的场地。</w:t>
      </w:r>
    </w:p>
    <w:p w14:paraId="1B346AB0">
      <w:pPr>
        <w:spacing w:line="360" w:lineRule="auto"/>
        <w:jc w:val="left"/>
        <w:rPr>
          <w:rFonts w:ascii="宋体" w:hAnsi="宋体" w:cs="仿宋_GB2312"/>
          <w:color w:val="auto"/>
          <w:sz w:val="24"/>
          <w:highlight w:val="none"/>
        </w:rPr>
      </w:pPr>
      <w:r>
        <w:rPr>
          <w:rFonts w:hint="eastAsia" w:ascii="宋体" w:hAnsi="宋体" w:cs="仿宋_GB2312"/>
          <w:b/>
          <w:bCs/>
          <w:color w:val="auto"/>
          <w:sz w:val="24"/>
          <w:highlight w:val="none"/>
        </w:rPr>
        <w:t xml:space="preserve">二、工程内容 </w:t>
      </w:r>
    </w:p>
    <w:p w14:paraId="44583012">
      <w:pPr>
        <w:spacing w:line="360" w:lineRule="auto"/>
        <w:ind w:left="210" w:leftChars="100"/>
        <w:jc w:val="left"/>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rPr>
        <w:t>1.工程名称</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u w:val="none"/>
          <w:lang w:eastAsia="zh-CN"/>
        </w:rPr>
        <w:t>杭州市胜利实验笕成小学品质提升工程（二期）；</w:t>
      </w:r>
    </w:p>
    <w:p w14:paraId="5064CE6B">
      <w:pPr>
        <w:spacing w:line="360" w:lineRule="auto"/>
        <w:ind w:left="210" w:leftChars="100"/>
        <w:jc w:val="left"/>
        <w:rPr>
          <w:rFonts w:hint="default" w:ascii="宋体" w:hAnsi="宋体"/>
          <w:color w:val="auto"/>
          <w:sz w:val="24"/>
          <w:highlight w:val="none"/>
          <w:u w:val="none"/>
          <w:lang w:val="en-US" w:eastAsia="zh-CN"/>
        </w:rPr>
      </w:pPr>
      <w:r>
        <w:rPr>
          <w:rFonts w:hint="eastAsia" w:ascii="宋体" w:hAnsi="宋体" w:cs="仿宋_GB2312"/>
          <w:color w:val="auto"/>
          <w:sz w:val="24"/>
          <w:highlight w:val="none"/>
        </w:rPr>
        <w:t>2.现场条件</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lang w:val="en-US" w:eastAsia="zh-CN"/>
        </w:rPr>
        <w:t>实</w:t>
      </w:r>
      <w:r>
        <w:rPr>
          <w:rFonts w:hint="eastAsia" w:ascii="宋体" w:hAnsi="宋体" w:cs="仿宋_GB2312"/>
          <w:color w:val="auto"/>
          <w:sz w:val="24"/>
          <w:highlight w:val="none"/>
          <w:u w:val="none"/>
          <w:lang w:val="en-US" w:eastAsia="zh-CN"/>
        </w:rPr>
        <w:t>际以</w:t>
      </w:r>
      <w:r>
        <w:rPr>
          <w:rFonts w:hint="eastAsia" w:ascii="宋体" w:hAnsi="宋体"/>
          <w:color w:val="auto"/>
          <w:sz w:val="24"/>
          <w:highlight w:val="none"/>
          <w:u w:val="none"/>
          <w:lang w:val="en-US" w:eastAsia="zh-CN"/>
        </w:rPr>
        <w:t>现场根据为准；</w:t>
      </w:r>
    </w:p>
    <w:p w14:paraId="7FB3F6CB">
      <w:pPr>
        <w:spacing w:line="360" w:lineRule="auto"/>
        <w:ind w:left="210" w:leftChars="100"/>
        <w:jc w:val="left"/>
        <w:rPr>
          <w:rFonts w:hint="default" w:ascii="宋体" w:hAnsi="宋体" w:eastAsia="宋体"/>
          <w:color w:val="auto"/>
          <w:sz w:val="24"/>
          <w:highlight w:val="none"/>
          <w:u w:val="single"/>
          <w:lang w:val="en-US" w:eastAsia="zh-CN"/>
        </w:rPr>
      </w:pPr>
      <w:r>
        <w:rPr>
          <w:rFonts w:hint="eastAsia" w:ascii="宋体" w:hAnsi="宋体" w:cs="仿宋_GB2312"/>
          <w:color w:val="auto"/>
          <w:sz w:val="24"/>
          <w:highlight w:val="none"/>
        </w:rPr>
        <w:t>3.工程承包范围</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lang w:val="en-US" w:eastAsia="zh-CN"/>
        </w:rPr>
        <w:t>以工程量清单及施工图纸为准。</w:t>
      </w:r>
    </w:p>
    <w:p w14:paraId="06835E95">
      <w:pPr>
        <w:spacing w:line="360" w:lineRule="auto"/>
        <w:ind w:left="210" w:leftChars="100"/>
        <w:jc w:val="left"/>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rPr>
        <w:t>4.工程质量标准</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lang w:val="en-US" w:eastAsia="zh-CN"/>
        </w:rPr>
        <w:t>符合国家验收合格标准。</w:t>
      </w:r>
    </w:p>
    <w:p w14:paraId="02321803">
      <w:pPr>
        <w:spacing w:line="360" w:lineRule="auto"/>
        <w:ind w:left="210" w:leftChars="100"/>
        <w:jc w:val="left"/>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rPr>
        <w:t>5.工程施工要求</w:t>
      </w:r>
      <w:r>
        <w:rPr>
          <w:rFonts w:hint="eastAsia" w:ascii="宋体" w:hAnsi="宋体" w:cs="仿宋_GB2312"/>
          <w:color w:val="auto"/>
          <w:sz w:val="24"/>
          <w:highlight w:val="none"/>
          <w:lang w:eastAsia="zh-CN"/>
        </w:rPr>
        <w:t>：</w:t>
      </w:r>
    </w:p>
    <w:p w14:paraId="6DB5FD4E">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u w:val="single"/>
        </w:rPr>
        <w:t>1、本工程施工严格按照规范要求进行施工，达到各项拟定的设计指标。</w:t>
      </w:r>
    </w:p>
    <w:p w14:paraId="0363ABCB">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u w:val="single"/>
        </w:rPr>
        <w:t>2、本工程施工按《建筑工程施工质量验收统一标准》（GB50300-2013）、《民用建筑工程室内环境污染控制规范》（GB50325—2010）等进行施工和验收。</w:t>
      </w:r>
    </w:p>
    <w:p w14:paraId="136BBD34">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u w:val="single"/>
        </w:rPr>
        <w:t>3、在免费保修期内，中标人对有缺陷的部位必须无偿地给予修理与更换，并承担一切由此引起的对招标人或第三者的直接损失，除非该缺陷是由于人为破坏或合同规定的不可抗因素造成的损坏。</w:t>
      </w:r>
    </w:p>
    <w:p w14:paraId="002960B5">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u w:val="single"/>
        </w:rPr>
        <w:t>4、中标人必须对所承包的工程的质量负全部责任，其责任不因其他材料生产商提供的保证书而减轻或更改。</w:t>
      </w:r>
    </w:p>
    <w:p w14:paraId="20D2B1E3">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u w:val="single"/>
        </w:rPr>
        <w:t>5、施工时注意做好必要的劳动保护工作。</w:t>
      </w:r>
    </w:p>
    <w:p w14:paraId="47601DDC">
      <w:pPr>
        <w:spacing w:line="360" w:lineRule="auto"/>
        <w:ind w:firstLine="480" w:firstLineChars="200"/>
        <w:jc w:val="left"/>
        <w:rPr>
          <w:rFonts w:hint="eastAsia" w:ascii="宋体" w:hAnsi="宋体" w:eastAsia="宋体"/>
          <w:b/>
          <w:bCs/>
          <w:color w:val="auto"/>
          <w:sz w:val="24"/>
          <w:highlight w:val="none"/>
          <w:u w:val="single"/>
          <w:lang w:val="en-US" w:eastAsia="zh-CN"/>
        </w:rPr>
      </w:pPr>
      <w:r>
        <w:rPr>
          <w:rFonts w:hint="eastAsia" w:ascii="宋体" w:hAnsi="宋体"/>
          <w:color w:val="auto"/>
          <w:sz w:val="24"/>
          <w:highlight w:val="none"/>
          <w:u w:val="single"/>
          <w:lang w:val="en-US" w:eastAsia="zh-CN"/>
        </w:rPr>
        <w:t>6、</w:t>
      </w:r>
      <w:r>
        <w:rPr>
          <w:rFonts w:hint="eastAsia" w:ascii="宋体" w:hAnsi="宋体" w:cs="仿宋_GB2312"/>
          <w:b/>
          <w:bCs/>
          <w:color w:val="auto"/>
          <w:sz w:val="24"/>
          <w:highlight w:val="none"/>
          <w:u w:val="single"/>
        </w:rPr>
        <w:t>运动场地等应严格按照国家标准《中小学合成材料面层田径场地》（GB/T43564-2023）；《中小学合成材料面层篮球动场地》（GB/T43565-2023）；《中小学人造草面层足球场地》（GB/T43566-2023）等有关规范和标准执行。选取由国家质监部门备案的、具有CMA资质认证的第三方检测机构对施工前原材料和竣工后成品进行检测，并采用由学校、施工、监理、家长代表等共同参与的见证检测，其指标必须按上述标准检测合格后方可进行施工，完工后的成品按上述标准检测合格后，再组织竣工验收。所有检测的费用由采购人承担。另外，合成材料面层铺设完工后应设置永久性标志牌（内容包括场地名称、项目负责单位、建设单位、施工单位、监理单位、主要原材料生产单位、竣工时间、通过验收时间、验收依据）</w:t>
      </w:r>
    </w:p>
    <w:p w14:paraId="3F4E2A2F">
      <w:pPr>
        <w:spacing w:line="360" w:lineRule="auto"/>
        <w:ind w:left="210" w:leftChars="100"/>
        <w:jc w:val="left"/>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rPr>
        <w:t>6.工程管理要求</w:t>
      </w:r>
      <w:r>
        <w:rPr>
          <w:rFonts w:hint="eastAsia" w:ascii="宋体" w:hAnsi="宋体" w:cs="仿宋_GB2312"/>
          <w:color w:val="auto"/>
          <w:sz w:val="24"/>
          <w:highlight w:val="none"/>
          <w:lang w:eastAsia="zh-CN"/>
        </w:rPr>
        <w:t>：</w:t>
      </w:r>
    </w:p>
    <w:p w14:paraId="35B46FAB">
      <w:pPr>
        <w:spacing w:line="360" w:lineRule="auto"/>
        <w:ind w:left="210" w:leftChars="100" w:firstLine="480" w:firstLineChars="200"/>
        <w:jc w:val="left"/>
        <w:rPr>
          <w:rFonts w:hint="eastAsia" w:ascii="宋体" w:hAnsi="宋体" w:cs="仿宋_GB2312"/>
          <w:color w:val="auto"/>
          <w:sz w:val="24"/>
          <w:highlight w:val="none"/>
          <w:u w:val="single"/>
        </w:rPr>
      </w:pPr>
      <w:r>
        <w:rPr>
          <w:rFonts w:hint="eastAsia" w:ascii="宋体" w:hAnsi="宋体" w:cs="仿宋_GB2312"/>
          <w:color w:val="auto"/>
          <w:sz w:val="24"/>
          <w:highlight w:val="none"/>
          <w:u w:val="single"/>
        </w:rPr>
        <w:t>1、依据设计施工图纸和技术文件要求，本工程项目的材料、设备、施工必须达到以下现行中华人民共和国及省、市、行业的一切有关法规、规范的要求，如下述标准及规范要求有出入则以较严格者为准。</w:t>
      </w:r>
    </w:p>
    <w:p w14:paraId="3D81C6EA">
      <w:pPr>
        <w:spacing w:line="360" w:lineRule="auto"/>
        <w:ind w:left="210" w:leftChars="100"/>
        <w:jc w:val="left"/>
        <w:rPr>
          <w:rFonts w:hint="eastAsia" w:ascii="宋体" w:hAnsi="宋体" w:cs="仿宋_GB2312"/>
          <w:color w:val="auto"/>
          <w:sz w:val="24"/>
          <w:highlight w:val="none"/>
          <w:u w:val="single"/>
        </w:rPr>
      </w:pPr>
      <w:r>
        <w:rPr>
          <w:rFonts w:hint="eastAsia" w:ascii="宋体" w:hAnsi="宋体" w:cs="仿宋_GB2312"/>
          <w:color w:val="auto"/>
          <w:sz w:val="24"/>
          <w:highlight w:val="none"/>
          <w:u w:val="single"/>
        </w:rPr>
        <w:t xml:space="preserve">《建筑设计防火规范》（GB50016-2006） </w:t>
      </w:r>
    </w:p>
    <w:p w14:paraId="6017AF9A">
      <w:pPr>
        <w:spacing w:line="360" w:lineRule="auto"/>
        <w:ind w:left="210" w:leftChars="100"/>
        <w:jc w:val="left"/>
        <w:rPr>
          <w:rFonts w:hint="eastAsia" w:ascii="宋体" w:hAnsi="宋体" w:cs="仿宋_GB2312"/>
          <w:color w:val="auto"/>
          <w:sz w:val="24"/>
          <w:highlight w:val="none"/>
          <w:u w:val="single"/>
        </w:rPr>
      </w:pPr>
      <w:r>
        <w:rPr>
          <w:rFonts w:hint="eastAsia" w:ascii="宋体" w:hAnsi="宋体" w:cs="仿宋_GB2312"/>
          <w:color w:val="auto"/>
          <w:sz w:val="24"/>
          <w:highlight w:val="none"/>
          <w:u w:val="single"/>
        </w:rPr>
        <w:t>《建筑内部装修设计防火规范》GB 50222--95（2001修订版）</w:t>
      </w:r>
    </w:p>
    <w:p w14:paraId="4A5F54EA">
      <w:pPr>
        <w:spacing w:line="360" w:lineRule="auto"/>
        <w:ind w:left="210" w:leftChars="100"/>
        <w:jc w:val="left"/>
        <w:rPr>
          <w:rFonts w:hint="eastAsia" w:ascii="宋体" w:hAnsi="宋体" w:cs="仿宋_GB2312"/>
          <w:color w:val="auto"/>
          <w:sz w:val="24"/>
          <w:highlight w:val="none"/>
          <w:u w:val="single"/>
        </w:rPr>
      </w:pPr>
      <w:r>
        <w:rPr>
          <w:rFonts w:hint="eastAsia" w:ascii="宋体" w:hAnsi="宋体" w:cs="仿宋_GB2312"/>
          <w:color w:val="auto"/>
          <w:sz w:val="24"/>
          <w:highlight w:val="none"/>
          <w:u w:val="single"/>
        </w:rPr>
        <w:t>《建筑装饰防火施工及验收规范》（GB50354-2005）</w:t>
      </w:r>
    </w:p>
    <w:p w14:paraId="14EA0653">
      <w:pPr>
        <w:spacing w:line="360" w:lineRule="auto"/>
        <w:ind w:left="210" w:leftChars="100"/>
        <w:jc w:val="left"/>
        <w:rPr>
          <w:rFonts w:hint="eastAsia" w:ascii="宋体" w:hAnsi="宋体" w:cs="仿宋_GB2312"/>
          <w:color w:val="auto"/>
          <w:sz w:val="24"/>
          <w:highlight w:val="none"/>
          <w:u w:val="single"/>
        </w:rPr>
      </w:pPr>
      <w:r>
        <w:rPr>
          <w:rFonts w:hint="eastAsia" w:ascii="宋体" w:hAnsi="宋体" w:cs="仿宋_GB2312"/>
          <w:color w:val="auto"/>
          <w:sz w:val="24"/>
          <w:highlight w:val="none"/>
          <w:u w:val="single"/>
        </w:rPr>
        <w:t>《建筑装饰装修工程质量验收规范》（GB50210-2001）</w:t>
      </w:r>
    </w:p>
    <w:p w14:paraId="19175089">
      <w:pPr>
        <w:spacing w:line="360" w:lineRule="auto"/>
        <w:ind w:left="210" w:leftChars="100"/>
        <w:jc w:val="left"/>
        <w:rPr>
          <w:rFonts w:hint="eastAsia" w:ascii="宋体" w:hAnsi="宋体" w:cs="仿宋_GB2312"/>
          <w:color w:val="auto"/>
          <w:sz w:val="24"/>
          <w:highlight w:val="none"/>
          <w:u w:val="single"/>
        </w:rPr>
      </w:pPr>
      <w:r>
        <w:rPr>
          <w:rFonts w:hint="eastAsia" w:ascii="宋体" w:hAnsi="宋体" w:cs="仿宋_GB2312"/>
          <w:color w:val="auto"/>
          <w:sz w:val="24"/>
          <w:highlight w:val="none"/>
          <w:u w:val="single"/>
        </w:rPr>
        <w:t>《室内装饰工程质量规范》（QB1838-93）</w:t>
      </w:r>
    </w:p>
    <w:p w14:paraId="0807D8A1">
      <w:pPr>
        <w:spacing w:line="360" w:lineRule="auto"/>
        <w:ind w:left="210" w:leftChars="100"/>
        <w:jc w:val="left"/>
        <w:rPr>
          <w:rFonts w:hint="eastAsia" w:ascii="宋体" w:hAnsi="宋体" w:cs="仿宋_GB2312"/>
          <w:color w:val="auto"/>
          <w:sz w:val="24"/>
          <w:highlight w:val="none"/>
          <w:u w:val="single"/>
        </w:rPr>
      </w:pPr>
      <w:r>
        <w:rPr>
          <w:rFonts w:hint="eastAsia" w:ascii="宋体" w:hAnsi="宋体" w:cs="仿宋_GB2312"/>
          <w:color w:val="auto"/>
          <w:sz w:val="24"/>
          <w:highlight w:val="none"/>
          <w:u w:val="single"/>
        </w:rPr>
        <w:t>《民用建筑工程室内环境污染控制规范》GB50325—2010</w:t>
      </w:r>
    </w:p>
    <w:p w14:paraId="2ACE04E0">
      <w:pPr>
        <w:spacing w:line="360" w:lineRule="auto"/>
        <w:ind w:left="210" w:leftChars="100"/>
        <w:jc w:val="left"/>
        <w:rPr>
          <w:rFonts w:hint="eastAsia" w:ascii="宋体" w:hAnsi="宋体" w:cs="仿宋_GB2312"/>
          <w:color w:val="auto"/>
          <w:sz w:val="24"/>
          <w:highlight w:val="none"/>
          <w:u w:val="single"/>
        </w:rPr>
      </w:pPr>
      <w:r>
        <w:rPr>
          <w:rFonts w:hint="eastAsia" w:ascii="宋体" w:hAnsi="宋体" w:cs="仿宋_GB2312"/>
          <w:color w:val="auto"/>
          <w:sz w:val="24"/>
          <w:highlight w:val="none"/>
          <w:u w:val="single"/>
        </w:rPr>
        <w:t>《办公建筑设计规范》JGJ67--2006</w:t>
      </w:r>
    </w:p>
    <w:p w14:paraId="3190F81A">
      <w:pPr>
        <w:spacing w:line="360" w:lineRule="auto"/>
        <w:ind w:left="210" w:leftChars="100"/>
        <w:jc w:val="left"/>
        <w:rPr>
          <w:rFonts w:hint="eastAsia" w:ascii="宋体" w:hAnsi="宋体" w:cs="仿宋_GB2312"/>
          <w:color w:val="auto"/>
          <w:sz w:val="24"/>
          <w:highlight w:val="none"/>
          <w:u w:val="single"/>
        </w:rPr>
      </w:pPr>
      <w:r>
        <w:rPr>
          <w:rFonts w:hint="eastAsia" w:ascii="宋体" w:hAnsi="宋体" w:cs="仿宋_GB2312"/>
          <w:color w:val="auto"/>
          <w:sz w:val="24"/>
          <w:highlight w:val="none"/>
          <w:u w:val="single"/>
        </w:rPr>
        <w:t>《聚合物水泥防水涂料》JC/T894-2001</w:t>
      </w:r>
    </w:p>
    <w:p w14:paraId="0A947E73">
      <w:pPr>
        <w:spacing w:line="360" w:lineRule="auto"/>
        <w:ind w:left="210" w:leftChars="100"/>
        <w:jc w:val="left"/>
        <w:rPr>
          <w:rFonts w:hint="eastAsia" w:ascii="宋体" w:hAnsi="宋体" w:cs="仿宋_GB2312"/>
          <w:color w:val="auto"/>
          <w:sz w:val="24"/>
          <w:highlight w:val="none"/>
          <w:u w:val="single"/>
        </w:rPr>
      </w:pPr>
      <w:r>
        <w:rPr>
          <w:rFonts w:hint="eastAsia" w:ascii="宋体" w:hAnsi="宋体" w:cs="仿宋_GB2312"/>
          <w:color w:val="auto"/>
          <w:sz w:val="24"/>
          <w:highlight w:val="none"/>
          <w:u w:val="single"/>
        </w:rPr>
        <w:t>《建筑防水涂料试验方法》GB/T16777-1997</w:t>
      </w:r>
    </w:p>
    <w:p w14:paraId="3C812D12">
      <w:pPr>
        <w:spacing w:line="360" w:lineRule="auto"/>
        <w:ind w:left="210" w:leftChars="100"/>
        <w:jc w:val="left"/>
        <w:rPr>
          <w:rFonts w:hint="eastAsia" w:ascii="宋体" w:hAnsi="宋体" w:cs="仿宋_GB2312"/>
          <w:color w:val="auto"/>
          <w:sz w:val="24"/>
          <w:highlight w:val="none"/>
          <w:u w:val="single"/>
        </w:rPr>
      </w:pPr>
      <w:r>
        <w:rPr>
          <w:rFonts w:hint="eastAsia" w:ascii="宋体" w:hAnsi="宋体" w:cs="仿宋_GB2312"/>
          <w:color w:val="auto"/>
          <w:sz w:val="24"/>
          <w:highlight w:val="none"/>
          <w:u w:val="single"/>
        </w:rPr>
        <w:t xml:space="preserve">《建筑钢结构焊接技术规程》JGJ81-2002 </w:t>
      </w:r>
    </w:p>
    <w:p w14:paraId="75B2D67B">
      <w:pPr>
        <w:spacing w:line="360" w:lineRule="auto"/>
        <w:ind w:left="210" w:leftChars="100"/>
        <w:jc w:val="left"/>
        <w:rPr>
          <w:rFonts w:hint="eastAsia" w:ascii="宋体" w:hAnsi="宋体" w:cs="仿宋_GB2312"/>
          <w:color w:val="auto"/>
          <w:sz w:val="24"/>
          <w:highlight w:val="none"/>
          <w:u w:val="single"/>
        </w:rPr>
      </w:pPr>
      <w:r>
        <w:rPr>
          <w:rFonts w:hint="eastAsia" w:ascii="宋体" w:hAnsi="宋体" w:cs="仿宋_GB2312"/>
          <w:color w:val="auto"/>
          <w:sz w:val="24"/>
          <w:highlight w:val="none"/>
          <w:u w:val="single"/>
        </w:rPr>
        <w:t>《高层民用建筑结构节点构造详》01SG519-1</w:t>
      </w:r>
    </w:p>
    <w:p w14:paraId="612AEF1F">
      <w:pPr>
        <w:spacing w:line="360" w:lineRule="auto"/>
        <w:ind w:left="210" w:leftChars="100"/>
        <w:jc w:val="left"/>
        <w:rPr>
          <w:rFonts w:hint="eastAsia" w:ascii="宋体" w:hAnsi="宋体" w:cs="仿宋_GB2312"/>
          <w:color w:val="auto"/>
          <w:sz w:val="24"/>
          <w:highlight w:val="none"/>
          <w:u w:val="single"/>
        </w:rPr>
      </w:pPr>
      <w:r>
        <w:rPr>
          <w:rFonts w:hint="eastAsia" w:ascii="宋体" w:hAnsi="宋体" w:cs="仿宋_GB2312"/>
          <w:color w:val="auto"/>
          <w:sz w:val="24"/>
          <w:highlight w:val="none"/>
          <w:u w:val="single"/>
        </w:rPr>
        <w:t>《市政工程施工、养护及污水处理工人技术等级标准》（CJJ18-88）</w:t>
      </w:r>
    </w:p>
    <w:p w14:paraId="66784BBE">
      <w:pPr>
        <w:spacing w:line="360" w:lineRule="auto"/>
        <w:ind w:left="210" w:leftChars="100"/>
        <w:jc w:val="left"/>
        <w:rPr>
          <w:rFonts w:hint="eastAsia" w:ascii="宋体" w:hAnsi="宋体" w:cs="仿宋_GB2312"/>
          <w:color w:val="auto"/>
          <w:sz w:val="24"/>
          <w:highlight w:val="none"/>
          <w:u w:val="single"/>
        </w:rPr>
      </w:pPr>
      <w:r>
        <w:rPr>
          <w:rFonts w:hint="eastAsia" w:ascii="宋体" w:hAnsi="宋体" w:cs="仿宋_GB2312"/>
          <w:color w:val="auto"/>
          <w:sz w:val="24"/>
          <w:highlight w:val="none"/>
          <w:u w:val="single"/>
        </w:rPr>
        <w:t xml:space="preserve">伸缩缝节点参照 《内装修03J502-1》 </w:t>
      </w:r>
    </w:p>
    <w:p w14:paraId="4EC0F3CC">
      <w:pPr>
        <w:spacing w:line="360" w:lineRule="auto"/>
        <w:ind w:left="210" w:leftChars="100"/>
        <w:jc w:val="left"/>
        <w:rPr>
          <w:rFonts w:hint="eastAsia" w:ascii="宋体" w:hAnsi="宋体" w:cs="仿宋_GB2312"/>
          <w:color w:val="auto"/>
          <w:sz w:val="24"/>
          <w:highlight w:val="none"/>
          <w:u w:val="single"/>
        </w:rPr>
      </w:pPr>
      <w:r>
        <w:rPr>
          <w:rFonts w:hint="eastAsia" w:ascii="宋体" w:hAnsi="宋体" w:cs="仿宋_GB2312"/>
          <w:color w:val="auto"/>
          <w:sz w:val="24"/>
          <w:highlight w:val="none"/>
          <w:u w:val="single"/>
        </w:rPr>
        <w:t xml:space="preserve">《压型钢板、夹芯板屋面及墙体建筑构造》01J925-1 </w:t>
      </w:r>
    </w:p>
    <w:p w14:paraId="6002295F">
      <w:pPr>
        <w:spacing w:line="360" w:lineRule="auto"/>
        <w:ind w:left="210" w:leftChars="100"/>
        <w:jc w:val="left"/>
        <w:rPr>
          <w:rFonts w:hint="eastAsia" w:ascii="宋体" w:hAnsi="宋体" w:cs="仿宋_GB2312"/>
          <w:color w:val="auto"/>
          <w:sz w:val="24"/>
          <w:highlight w:val="none"/>
          <w:u w:val="single"/>
        </w:rPr>
      </w:pPr>
      <w:r>
        <w:rPr>
          <w:rFonts w:hint="eastAsia" w:ascii="宋体" w:hAnsi="宋体" w:cs="仿宋_GB2312"/>
          <w:color w:val="auto"/>
          <w:sz w:val="24"/>
          <w:highlight w:val="none"/>
          <w:u w:val="single"/>
        </w:rPr>
        <w:t>以及不限于上述罗列的其它的相关规范。</w:t>
      </w:r>
    </w:p>
    <w:p w14:paraId="48406592">
      <w:pPr>
        <w:spacing w:line="360" w:lineRule="auto"/>
        <w:ind w:left="210" w:leftChars="100"/>
        <w:jc w:val="left"/>
        <w:rPr>
          <w:rFonts w:hint="eastAsia" w:ascii="宋体" w:hAnsi="宋体" w:cs="仿宋_GB2312"/>
          <w:color w:val="auto"/>
          <w:sz w:val="24"/>
          <w:highlight w:val="none"/>
          <w:u w:val="single"/>
        </w:rPr>
      </w:pPr>
      <w:r>
        <w:rPr>
          <w:rFonts w:hint="eastAsia" w:ascii="宋体" w:hAnsi="宋体" w:cs="仿宋_GB2312"/>
          <w:color w:val="auto"/>
          <w:sz w:val="24"/>
          <w:highlight w:val="none"/>
          <w:u w:val="single"/>
        </w:rPr>
        <w:t xml:space="preserve"> 以上技术规范由乙方自备，如有不足之处或未能达到国家最新标准时，乙方应使施工及选用的设备和材料符合最新版本的国家标准、规范。</w:t>
      </w:r>
    </w:p>
    <w:p w14:paraId="330FE89D">
      <w:pPr>
        <w:spacing w:line="360" w:lineRule="auto"/>
        <w:ind w:left="210" w:leftChars="100" w:firstLine="480" w:firstLineChars="200"/>
        <w:jc w:val="left"/>
        <w:rPr>
          <w:rFonts w:hint="eastAsia" w:ascii="宋体" w:hAnsi="宋体" w:cs="仿宋_GB2312"/>
          <w:color w:val="auto"/>
          <w:sz w:val="24"/>
          <w:highlight w:val="none"/>
          <w:u w:val="single"/>
        </w:rPr>
      </w:pPr>
      <w:r>
        <w:rPr>
          <w:rFonts w:hint="eastAsia" w:ascii="宋体" w:hAnsi="宋体" w:cs="仿宋_GB2312"/>
          <w:color w:val="auto"/>
          <w:sz w:val="24"/>
          <w:highlight w:val="none"/>
          <w:u w:val="single"/>
        </w:rPr>
        <w:t>2、对施工工艺的特殊要求：详见施工图纸及有关规范。</w:t>
      </w:r>
    </w:p>
    <w:p w14:paraId="51F55232">
      <w:pPr>
        <w:spacing w:line="360" w:lineRule="auto"/>
        <w:ind w:left="210" w:leftChars="100" w:firstLine="480" w:firstLineChars="200"/>
        <w:jc w:val="left"/>
        <w:rPr>
          <w:rFonts w:hint="eastAsia" w:ascii="宋体" w:hAnsi="宋体" w:cs="仿宋_GB2312"/>
          <w:color w:val="auto"/>
          <w:sz w:val="24"/>
          <w:highlight w:val="none"/>
          <w:u w:val="single"/>
        </w:rPr>
      </w:pPr>
      <w:r>
        <w:rPr>
          <w:rFonts w:hint="eastAsia" w:ascii="宋体" w:hAnsi="宋体" w:cs="仿宋_GB2312"/>
          <w:color w:val="auto"/>
          <w:sz w:val="24"/>
          <w:highlight w:val="none"/>
          <w:u w:val="single"/>
        </w:rPr>
        <w:t>3、成交单位应在合同签订时提供施工组织设计；</w:t>
      </w:r>
    </w:p>
    <w:p w14:paraId="64DD8E85">
      <w:pPr>
        <w:spacing w:line="360" w:lineRule="auto"/>
        <w:ind w:left="210" w:leftChars="100" w:firstLine="480" w:firstLineChars="200"/>
        <w:jc w:val="left"/>
        <w:rPr>
          <w:rFonts w:hint="eastAsia" w:ascii="宋体" w:hAnsi="宋体" w:cs="仿宋_GB2312"/>
          <w:color w:val="auto"/>
          <w:sz w:val="24"/>
          <w:highlight w:val="none"/>
          <w:u w:val="single"/>
        </w:rPr>
      </w:pPr>
      <w:r>
        <w:rPr>
          <w:rFonts w:hint="eastAsia" w:ascii="宋体" w:hAnsi="宋体" w:cs="仿宋_GB2312"/>
          <w:color w:val="auto"/>
          <w:sz w:val="24"/>
          <w:highlight w:val="none"/>
          <w:u w:val="single"/>
          <w:lang w:val="en-US" w:eastAsia="zh-CN"/>
        </w:rPr>
        <w:t>4、</w:t>
      </w:r>
      <w:r>
        <w:rPr>
          <w:rFonts w:hint="eastAsia" w:ascii="宋体" w:hAnsi="宋体" w:cs="仿宋_GB2312"/>
          <w:color w:val="auto"/>
          <w:sz w:val="24"/>
          <w:highlight w:val="none"/>
          <w:u w:val="single"/>
        </w:rPr>
        <w:t>本工程发包范围内的工程项目，未经采购人同意一律不得分包。一经发现立即取消承包资格，作违约处理，并承担由此引起的一切经济损失。</w:t>
      </w:r>
    </w:p>
    <w:p w14:paraId="589DF66D">
      <w:pPr>
        <w:spacing w:line="360" w:lineRule="auto"/>
        <w:ind w:left="210" w:leftChars="100" w:firstLine="480" w:firstLineChars="200"/>
        <w:jc w:val="left"/>
        <w:rPr>
          <w:rFonts w:hint="eastAsia" w:ascii="宋体" w:hAnsi="宋体" w:cs="仿宋_GB2312"/>
          <w:color w:val="auto"/>
          <w:sz w:val="24"/>
          <w:highlight w:val="none"/>
          <w:u w:val="single"/>
        </w:rPr>
      </w:pPr>
      <w:r>
        <w:rPr>
          <w:rFonts w:hint="eastAsia" w:ascii="宋体" w:hAnsi="宋体" w:cs="仿宋_GB2312"/>
          <w:color w:val="auto"/>
          <w:sz w:val="24"/>
          <w:highlight w:val="none"/>
          <w:u w:val="single"/>
          <w:lang w:val="en-US" w:eastAsia="zh-CN"/>
        </w:rPr>
        <w:t>5、</w:t>
      </w:r>
      <w:r>
        <w:rPr>
          <w:rFonts w:hint="eastAsia" w:ascii="宋体" w:hAnsi="宋体" w:cs="仿宋_GB2312"/>
          <w:color w:val="auto"/>
          <w:sz w:val="24"/>
          <w:highlight w:val="none"/>
          <w:u w:val="single"/>
        </w:rPr>
        <w:t>中标人应严格按已确认施工技术方案组织施工，并无条件地接受采购人代表对施工质量的监督和管理。</w:t>
      </w:r>
    </w:p>
    <w:p w14:paraId="1F305274">
      <w:pPr>
        <w:spacing w:line="360" w:lineRule="auto"/>
        <w:ind w:left="210" w:leftChars="100" w:firstLine="480" w:firstLineChars="200"/>
        <w:jc w:val="left"/>
        <w:rPr>
          <w:rFonts w:hint="eastAsia" w:ascii="宋体" w:hAnsi="宋体" w:cs="仿宋_GB2312"/>
          <w:color w:val="auto"/>
          <w:sz w:val="24"/>
          <w:highlight w:val="none"/>
          <w:u w:val="single"/>
        </w:rPr>
      </w:pPr>
      <w:r>
        <w:rPr>
          <w:rFonts w:hint="eastAsia" w:ascii="宋体" w:hAnsi="宋体" w:cs="仿宋_GB2312"/>
          <w:color w:val="auto"/>
          <w:sz w:val="24"/>
          <w:highlight w:val="none"/>
          <w:u w:val="single"/>
          <w:lang w:val="en-US" w:eastAsia="zh-CN"/>
        </w:rPr>
        <w:t>6、</w:t>
      </w:r>
      <w:r>
        <w:rPr>
          <w:rFonts w:hint="eastAsia" w:ascii="宋体" w:hAnsi="宋体" w:cs="仿宋_GB2312"/>
          <w:color w:val="auto"/>
          <w:sz w:val="24"/>
          <w:highlight w:val="none"/>
          <w:u w:val="single"/>
        </w:rPr>
        <w:t>中标人在工程施工全过程中要认真做好产品保护。因失窃或失火造成的损失均由承包方负责，凡由此而损及采购人利益时，采购人将向中标施工单位索赔。</w:t>
      </w:r>
    </w:p>
    <w:p w14:paraId="39B9C7A1">
      <w:pPr>
        <w:spacing w:line="360" w:lineRule="auto"/>
        <w:ind w:left="210" w:leftChars="100" w:firstLine="480" w:firstLineChars="200"/>
        <w:jc w:val="left"/>
        <w:rPr>
          <w:rFonts w:hint="eastAsia" w:ascii="宋体" w:hAnsi="宋体" w:cs="仿宋_GB2312"/>
          <w:color w:val="auto"/>
          <w:sz w:val="24"/>
          <w:highlight w:val="none"/>
          <w:u w:val="single"/>
        </w:rPr>
      </w:pPr>
      <w:r>
        <w:rPr>
          <w:rFonts w:hint="eastAsia" w:ascii="宋体" w:hAnsi="宋体" w:cs="仿宋_GB2312"/>
          <w:color w:val="auto"/>
          <w:sz w:val="24"/>
          <w:highlight w:val="none"/>
          <w:u w:val="single"/>
          <w:lang w:val="en-US" w:eastAsia="zh-CN"/>
        </w:rPr>
        <w:t>7</w:t>
      </w:r>
      <w:r>
        <w:rPr>
          <w:rFonts w:hint="eastAsia" w:ascii="宋体" w:hAnsi="宋体" w:cs="仿宋_GB2312"/>
          <w:color w:val="auto"/>
          <w:sz w:val="24"/>
          <w:highlight w:val="none"/>
          <w:u w:val="single"/>
        </w:rPr>
        <w:t>、本工程施工地点在校区内，改造过程中非施工区域施工人员不得入内，改造过程中需树立警示牌，并对施工区域进行封闭维护，施工期间一切的安全责任由供应商自行承担，相关费用考虑在投标报价中。</w:t>
      </w:r>
    </w:p>
    <w:p w14:paraId="6829CD8A">
      <w:pPr>
        <w:spacing w:line="360" w:lineRule="auto"/>
        <w:ind w:left="210" w:leftChars="100" w:firstLine="480" w:firstLineChars="200"/>
        <w:jc w:val="left"/>
        <w:rPr>
          <w:rFonts w:hint="eastAsia" w:ascii="宋体" w:hAnsi="宋体" w:cs="仿宋_GB2312"/>
          <w:color w:val="auto"/>
          <w:sz w:val="24"/>
          <w:highlight w:val="none"/>
          <w:u w:val="single"/>
        </w:rPr>
      </w:pPr>
      <w:r>
        <w:rPr>
          <w:rFonts w:hint="eastAsia" w:ascii="宋体" w:hAnsi="宋体" w:cs="仿宋_GB2312"/>
          <w:color w:val="auto"/>
          <w:sz w:val="24"/>
          <w:highlight w:val="none"/>
          <w:u w:val="single"/>
          <w:lang w:val="en-US" w:eastAsia="zh-CN"/>
        </w:rPr>
        <w:t>8</w:t>
      </w:r>
      <w:r>
        <w:rPr>
          <w:rFonts w:hint="eastAsia" w:ascii="宋体" w:hAnsi="宋体" w:cs="仿宋_GB2312"/>
          <w:color w:val="auto"/>
          <w:sz w:val="24"/>
          <w:highlight w:val="none"/>
          <w:u w:val="single"/>
        </w:rPr>
        <w:t>、施工过程中需服从监理或现场管理老师管理。</w:t>
      </w:r>
    </w:p>
    <w:p w14:paraId="62881D55">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 xml:space="preserve">7.工程主要材料（设备）要求  </w:t>
      </w:r>
    </w:p>
    <w:p w14:paraId="5D15B934">
      <w:pPr>
        <w:spacing w:line="360" w:lineRule="auto"/>
        <w:ind w:firstLine="482" w:firstLineChars="200"/>
        <w:jc w:val="left"/>
        <w:rPr>
          <w:rFonts w:hint="eastAsia" w:ascii="宋体" w:hAnsi="宋体" w:cs="仿宋_GB2312"/>
          <w:b/>
          <w:bCs/>
          <w:color w:val="auto"/>
          <w:sz w:val="24"/>
          <w:highlight w:val="none"/>
          <w:u w:val="single"/>
        </w:rPr>
      </w:pPr>
      <w:r>
        <w:rPr>
          <w:rFonts w:hint="eastAsia" w:ascii="宋体" w:hAnsi="宋体" w:cs="仿宋_GB2312"/>
          <w:b/>
          <w:bCs/>
          <w:color w:val="auto"/>
          <w:sz w:val="24"/>
          <w:highlight w:val="none"/>
          <w:u w:val="single"/>
        </w:rPr>
        <w:t>1、材料选择</w:t>
      </w:r>
      <w:r>
        <w:rPr>
          <w:rFonts w:hint="eastAsia" w:ascii="宋体" w:hAnsi="宋体" w:cs="仿宋_GB2312"/>
          <w:b/>
          <w:bCs/>
          <w:color w:val="auto"/>
          <w:sz w:val="24"/>
          <w:highlight w:val="none"/>
          <w:u w:val="single"/>
          <w:lang w:eastAsia="zh-CN"/>
        </w:rPr>
        <w:t>：</w:t>
      </w:r>
      <w:r>
        <w:rPr>
          <w:rFonts w:hint="eastAsia" w:ascii="宋体" w:hAnsi="宋体" w:cs="仿宋_GB2312"/>
          <w:b/>
          <w:bCs/>
          <w:color w:val="auto"/>
          <w:sz w:val="24"/>
          <w:highlight w:val="none"/>
          <w:u w:val="single"/>
        </w:rPr>
        <w:t>本工程使用的原材料必须符合设计要求和施工规范的规定。实际施工过程中，甲方将严格检查验收进场原材料的合格证及质保书，如发现实样与质保书不符，应立即取样进行复查，对不合格的材料严禁用于本工程。本工程涉及的主要材料及零星材料，各供应商须根据招标人要求及规范进行选材并报价，所有材料要求采用在行业内有一定知名度的品牌(招标文件已定品牌的按招标文件)，材料生产厂家必须通过ISO质量认证，并符合环保要求，严禁选择不合设计要求的低档材料进行投标报价及组织施工实施。根据工程量清单中提供的表1-6“主要材料价格表”或工程量清单编制说明中的推荐品牌，供应商可在此范围内任选一种，也可选择与招标文件推荐品牌同档次及以上的产品，并将所选择的品牌及相关特性在投标文件表1-6 “主要材料价格表” 备注栏中明确。如供应商在投标文件中未明确品牌的，项目实施时发包人有权在推荐品牌中任选一种，费用不作任何调整。如供应商在推荐品牌之外选择的，则须同时在投标文件中提供相当于或优于招标人推荐品牌产品的证明材料，否则招标人不予接受。清单中计量单位为“项”的条目请投标单位自行踏勘现场慎重报价，作为专业承包商投标时有义务和责任认真踏勘施工现场，认真核对工程量清单中施工内容和工程量，对原招标图纸或文件中存在的缺陷和不足进行深化、细化、完善和调整，中标后任何因现场勘查不足、图纸、工程量清单等不足而造成的额外工程量变更均不得调整中标金额。</w:t>
      </w:r>
    </w:p>
    <w:p w14:paraId="0E9CF4D1">
      <w:pPr>
        <w:spacing w:line="360" w:lineRule="auto"/>
        <w:ind w:firstLine="482" w:firstLineChars="200"/>
        <w:jc w:val="left"/>
        <w:rPr>
          <w:rFonts w:hint="eastAsia" w:ascii="宋体" w:hAnsi="宋体" w:cs="仿宋_GB2312"/>
          <w:b/>
          <w:bCs/>
          <w:color w:val="auto"/>
          <w:sz w:val="24"/>
          <w:highlight w:val="none"/>
          <w:u w:val="single"/>
        </w:rPr>
      </w:pPr>
      <w:r>
        <w:rPr>
          <w:rFonts w:hint="eastAsia" w:ascii="宋体" w:hAnsi="宋体" w:cs="仿宋_GB2312"/>
          <w:b/>
          <w:bCs/>
          <w:color w:val="auto"/>
          <w:sz w:val="24"/>
          <w:highlight w:val="none"/>
          <w:u w:val="single"/>
        </w:rPr>
        <w:t>2、材料的质量保证</w:t>
      </w:r>
    </w:p>
    <w:p w14:paraId="34A2E269">
      <w:pPr>
        <w:spacing w:line="360" w:lineRule="auto"/>
        <w:ind w:firstLine="482" w:firstLineChars="200"/>
        <w:jc w:val="left"/>
        <w:rPr>
          <w:rFonts w:hint="eastAsia" w:ascii="宋体" w:hAnsi="宋体" w:cs="仿宋_GB2312"/>
          <w:b/>
          <w:bCs/>
          <w:color w:val="auto"/>
          <w:sz w:val="24"/>
          <w:highlight w:val="none"/>
          <w:u w:val="single"/>
        </w:rPr>
      </w:pPr>
      <w:r>
        <w:rPr>
          <w:rFonts w:hint="eastAsia" w:ascii="宋体" w:hAnsi="宋体" w:cs="仿宋_GB2312"/>
          <w:b/>
          <w:bCs/>
          <w:color w:val="auto"/>
          <w:sz w:val="24"/>
          <w:highlight w:val="none"/>
          <w:u w:val="single"/>
        </w:rPr>
        <w:t>（1）在免费保修期内，中标人对有缺陷的部位必须无偿地给予修理与更换，并承担一切由此引起的对采购人或第三者的直接损失，除非该缺陷是由于人为破坏或合同规定的不可抗因素造成的损坏。</w:t>
      </w:r>
    </w:p>
    <w:p w14:paraId="25563331">
      <w:pPr>
        <w:spacing w:line="360" w:lineRule="auto"/>
        <w:ind w:firstLine="482" w:firstLineChars="200"/>
        <w:jc w:val="left"/>
        <w:rPr>
          <w:rFonts w:ascii="宋体" w:hAnsi="宋体" w:cs="仿宋_GB2312"/>
          <w:b/>
          <w:bCs/>
          <w:color w:val="auto"/>
          <w:sz w:val="24"/>
          <w:highlight w:val="none"/>
          <w:u w:val="single"/>
        </w:rPr>
      </w:pPr>
      <w:r>
        <w:rPr>
          <w:rFonts w:hint="eastAsia" w:ascii="宋体" w:hAnsi="宋体" w:cs="仿宋_GB2312"/>
          <w:b/>
          <w:bCs/>
          <w:color w:val="auto"/>
          <w:sz w:val="24"/>
          <w:highlight w:val="none"/>
          <w:u w:val="single"/>
        </w:rPr>
        <w:t>（2）中标人必须对所承包工程的质量负全部责任，其责任不因其他材料生产商提供的保证书而减轻或更改。</w:t>
      </w:r>
    </w:p>
    <w:p w14:paraId="63E48A62">
      <w:pPr>
        <w:rPr>
          <w:rFonts w:hint="eastAsia" w:ascii="宋体" w:hAnsi="宋体" w:cs="仿宋_GB2312"/>
          <w:b/>
          <w:bCs/>
          <w:color w:val="auto"/>
          <w:sz w:val="24"/>
          <w:highlight w:val="none"/>
        </w:rPr>
      </w:pPr>
      <w:r>
        <w:rPr>
          <w:rFonts w:hint="eastAsia" w:ascii="宋体" w:hAnsi="宋体" w:cs="仿宋_GB2312"/>
          <w:b/>
          <w:bCs/>
          <w:color w:val="auto"/>
          <w:sz w:val="24"/>
          <w:highlight w:val="none"/>
        </w:rPr>
        <w:br w:type="page"/>
      </w:r>
    </w:p>
    <w:p w14:paraId="7D05B1B5">
      <w:pPr>
        <w:spacing w:line="360" w:lineRule="auto"/>
        <w:jc w:val="left"/>
        <w:rPr>
          <w:rFonts w:ascii="宋体" w:hAnsi="宋体" w:cs="仿宋_GB2312"/>
          <w:b/>
          <w:bCs/>
          <w:color w:val="auto"/>
          <w:sz w:val="24"/>
          <w:highlight w:val="none"/>
        </w:rPr>
      </w:pPr>
      <w:r>
        <w:rPr>
          <w:rFonts w:hint="eastAsia" w:ascii="宋体" w:hAnsi="宋体" w:cs="仿宋_GB2312"/>
          <w:b/>
          <w:bCs/>
          <w:color w:val="auto"/>
          <w:sz w:val="24"/>
          <w:highlight w:val="none"/>
        </w:rPr>
        <w:t>三、商务要求</w:t>
      </w:r>
    </w:p>
    <w:p w14:paraId="3BAAE7DE">
      <w:pPr>
        <w:spacing w:line="360" w:lineRule="auto"/>
        <w:ind w:left="210" w:leftChars="100"/>
        <w:jc w:val="left"/>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rPr>
        <w:t>1.工期要求：</w:t>
      </w:r>
      <w:r>
        <w:rPr>
          <w:rFonts w:hint="eastAsia" w:ascii="宋体" w:hAnsi="宋体"/>
          <w:color w:val="auto"/>
          <w:sz w:val="24"/>
          <w:highlight w:val="none"/>
          <w:u w:val="single"/>
          <w:lang w:val="en-US" w:eastAsia="zh-CN"/>
        </w:rPr>
        <w:t>40日历天</w:t>
      </w:r>
    </w:p>
    <w:p w14:paraId="2B0F8FA8">
      <w:pPr>
        <w:spacing w:line="360" w:lineRule="auto"/>
        <w:ind w:left="210" w:leftChars="100"/>
        <w:jc w:val="left"/>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rPr>
        <w:t>2.工程地点：</w:t>
      </w:r>
      <w:r>
        <w:rPr>
          <w:rFonts w:hint="eastAsia" w:ascii="宋体" w:hAnsi="宋体"/>
          <w:color w:val="auto"/>
          <w:sz w:val="24"/>
          <w:highlight w:val="none"/>
          <w:u w:val="single"/>
          <w:lang w:val="en-US" w:eastAsia="zh-CN"/>
        </w:rPr>
        <w:t>杭州市胜利实验笕成小学</w:t>
      </w:r>
    </w:p>
    <w:p w14:paraId="1704CF94">
      <w:pPr>
        <w:spacing w:line="360" w:lineRule="auto"/>
        <w:ind w:left="210" w:leftChars="100"/>
        <w:jc w:val="left"/>
        <w:rPr>
          <w:rFonts w:hint="default" w:eastAsia="宋体"/>
          <w:color w:val="auto"/>
          <w:highlight w:val="none"/>
          <w:lang w:val="en-US" w:eastAsia="zh-CN"/>
        </w:rPr>
      </w:pPr>
      <w:r>
        <w:rPr>
          <w:rFonts w:hint="eastAsia" w:ascii="宋体" w:hAnsi="宋体" w:cs="仿宋_GB2312"/>
          <w:color w:val="auto"/>
          <w:sz w:val="24"/>
          <w:highlight w:val="none"/>
        </w:rPr>
        <w:t>3.付款条件（进度和方式）</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lang w:val="en-US" w:eastAsia="zh-CN"/>
        </w:rPr>
        <w:t>详见施工合同要求。</w:t>
      </w:r>
    </w:p>
    <w:p w14:paraId="16CA97C6">
      <w:pPr>
        <w:spacing w:line="360" w:lineRule="auto"/>
        <w:jc w:val="left"/>
        <w:rPr>
          <w:rFonts w:hint="eastAsia" w:ascii="宋体" w:hAnsi="宋体" w:eastAsia="宋体" w:cs="仿宋_GB2312"/>
          <w:b/>
          <w:bCs/>
          <w:color w:val="auto"/>
          <w:sz w:val="24"/>
          <w:highlight w:val="none"/>
          <w:lang w:eastAsia="zh-CN"/>
        </w:rPr>
      </w:pPr>
      <w:r>
        <w:rPr>
          <w:rFonts w:hint="eastAsia" w:ascii="宋体" w:hAnsi="宋体" w:cs="仿宋_GB2312"/>
          <w:b/>
          <w:bCs/>
          <w:color w:val="auto"/>
          <w:sz w:val="24"/>
          <w:highlight w:val="none"/>
          <w:lang w:val="en-US" w:eastAsia="zh-CN"/>
        </w:rPr>
        <w:t>四</w:t>
      </w:r>
      <w:r>
        <w:rPr>
          <w:rFonts w:hint="eastAsia" w:ascii="宋体" w:hAnsi="宋体" w:cs="仿宋_GB2312"/>
          <w:b/>
          <w:bCs/>
          <w:color w:val="auto"/>
          <w:sz w:val="24"/>
          <w:highlight w:val="none"/>
        </w:rPr>
        <w:t>、其他要求</w:t>
      </w:r>
      <w:r>
        <w:rPr>
          <w:rFonts w:hint="eastAsia" w:ascii="宋体" w:hAnsi="宋体" w:cs="仿宋_GB2312"/>
          <w:b/>
          <w:bCs/>
          <w:color w:val="auto"/>
          <w:sz w:val="24"/>
          <w:highlight w:val="none"/>
          <w:lang w:eastAsia="zh-CN"/>
        </w:rPr>
        <w:t>：</w:t>
      </w:r>
    </w:p>
    <w:p w14:paraId="2B53CBE4">
      <w:pPr>
        <w:spacing w:line="360" w:lineRule="auto"/>
        <w:jc w:val="center"/>
        <w:rPr>
          <w:rFonts w:hint="eastAsia" w:ascii="宋体" w:hAnsi="宋体" w:cs="宋体"/>
          <w:color w:val="000000" w:themeColor="text1"/>
          <w:kern w:val="1"/>
          <w:szCs w:val="21"/>
          <w14:textFill>
            <w14:solidFill>
              <w14:schemeClr w14:val="tx1"/>
            </w14:solidFill>
          </w14:textFill>
        </w:rPr>
      </w:pPr>
      <w:r>
        <w:rPr>
          <w:rFonts w:hint="eastAsia" w:ascii="宋体" w:hAnsi="宋体" w:cs="宋体"/>
          <w:color w:val="000000" w:themeColor="text1"/>
          <w:kern w:val="1"/>
          <w:szCs w:val="21"/>
          <w14:textFill>
            <w14:solidFill>
              <w14:schemeClr w14:val="tx1"/>
            </w14:solidFill>
          </w14:textFill>
        </w:rPr>
        <w:t>推荐材料、设备品牌一览表</w:t>
      </w:r>
    </w:p>
    <w:tbl>
      <w:tblPr>
        <w:tblStyle w:val="62"/>
        <w:tblW w:w="9854" w:type="dxa"/>
        <w:tblInd w:w="0" w:type="dxa"/>
        <w:tblLayout w:type="autofit"/>
        <w:tblCellMar>
          <w:top w:w="0" w:type="dxa"/>
          <w:left w:w="108" w:type="dxa"/>
          <w:bottom w:w="0" w:type="dxa"/>
          <w:right w:w="108" w:type="dxa"/>
        </w:tblCellMar>
      </w:tblPr>
      <w:tblGrid>
        <w:gridCol w:w="960"/>
        <w:gridCol w:w="2380"/>
        <w:gridCol w:w="4150"/>
        <w:gridCol w:w="804"/>
        <w:gridCol w:w="1560"/>
      </w:tblGrid>
      <w:tr w14:paraId="7E6577A7">
        <w:tblPrEx>
          <w:tblCellMar>
            <w:top w:w="0" w:type="dxa"/>
            <w:left w:w="108" w:type="dxa"/>
            <w:bottom w:w="0" w:type="dxa"/>
            <w:right w:w="108" w:type="dxa"/>
          </w:tblCellMar>
        </w:tblPrEx>
        <w:trPr>
          <w:trHeight w:val="980" w:hRule="atLeast"/>
        </w:trPr>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89DAE6">
            <w:pPr>
              <w:widowControl/>
              <w:jc w:val="center"/>
              <w:rPr>
                <w:rFonts w:hint="eastAsia" w:ascii="宋体" w:hAnsi="宋体" w:cs="宋体"/>
                <w:color w:val="000000" w:themeColor="text1"/>
                <w:kern w:val="0"/>
                <w:szCs w:val="21"/>
                <w:shd w:val="clear" w:color="auto" w:fill="auto"/>
                <w14:textFill>
                  <w14:solidFill>
                    <w14:schemeClr w14:val="tx1"/>
                  </w14:solidFill>
                </w14:textFill>
              </w:rPr>
            </w:pPr>
            <w:r>
              <w:rPr>
                <w:rFonts w:hint="eastAsia" w:ascii="宋体" w:hAnsi="宋体" w:cs="宋体"/>
                <w:color w:val="000000" w:themeColor="text1"/>
                <w:kern w:val="0"/>
                <w:szCs w:val="21"/>
                <w:shd w:val="clear" w:color="auto" w:fill="auto"/>
                <w14:textFill>
                  <w14:solidFill>
                    <w14:schemeClr w14:val="tx1"/>
                  </w14:solidFill>
                </w14:textFill>
              </w:rPr>
              <w:t>序号</w:t>
            </w:r>
          </w:p>
        </w:tc>
        <w:tc>
          <w:tcPr>
            <w:tcW w:w="2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F04E47">
            <w:pPr>
              <w:widowControl/>
              <w:jc w:val="center"/>
              <w:rPr>
                <w:rFonts w:hint="eastAsia" w:ascii="宋体" w:hAnsi="宋体" w:cs="宋体"/>
                <w:color w:val="000000" w:themeColor="text1"/>
                <w:kern w:val="0"/>
                <w:szCs w:val="21"/>
                <w:shd w:val="clear" w:color="auto" w:fill="auto"/>
                <w14:textFill>
                  <w14:solidFill>
                    <w14:schemeClr w14:val="tx1"/>
                  </w14:solidFill>
                </w14:textFill>
              </w:rPr>
            </w:pPr>
            <w:r>
              <w:rPr>
                <w:rFonts w:hint="eastAsia" w:ascii="宋体" w:hAnsi="宋体" w:cs="宋体"/>
                <w:color w:val="000000" w:themeColor="text1"/>
                <w:kern w:val="0"/>
                <w:szCs w:val="21"/>
                <w:shd w:val="clear" w:color="auto" w:fill="auto"/>
                <w14:textFill>
                  <w14:solidFill>
                    <w14:schemeClr w14:val="tx1"/>
                  </w14:solidFill>
                </w14:textFill>
              </w:rPr>
              <w:t>材料名称</w:t>
            </w:r>
          </w:p>
        </w:tc>
        <w:tc>
          <w:tcPr>
            <w:tcW w:w="41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FAF07C">
            <w:pPr>
              <w:widowControl/>
              <w:jc w:val="center"/>
              <w:rPr>
                <w:rFonts w:hint="eastAsia" w:ascii="宋体" w:hAnsi="宋体" w:cs="宋体"/>
                <w:color w:val="000000" w:themeColor="text1"/>
                <w:kern w:val="0"/>
                <w:szCs w:val="21"/>
                <w:shd w:val="clear" w:color="auto" w:fill="auto"/>
                <w14:textFill>
                  <w14:solidFill>
                    <w14:schemeClr w14:val="tx1"/>
                  </w14:solidFill>
                </w14:textFill>
              </w:rPr>
            </w:pPr>
            <w:r>
              <w:rPr>
                <w:rFonts w:hint="eastAsia" w:ascii="宋体" w:hAnsi="宋体" w:cs="宋体"/>
                <w:color w:val="000000" w:themeColor="text1"/>
                <w:kern w:val="0"/>
                <w:szCs w:val="21"/>
                <w:shd w:val="clear" w:color="auto" w:fill="auto"/>
                <w14:textFill>
                  <w14:solidFill>
                    <w14:schemeClr w14:val="tx1"/>
                  </w14:solidFill>
                </w14:textFill>
              </w:rPr>
              <w:t>品牌或产地</w:t>
            </w:r>
          </w:p>
        </w:tc>
        <w:tc>
          <w:tcPr>
            <w:tcW w:w="8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3F38F6">
            <w:pPr>
              <w:widowControl/>
              <w:jc w:val="center"/>
              <w:rPr>
                <w:rFonts w:hint="eastAsia" w:ascii="宋体" w:hAnsi="宋体" w:cs="宋体"/>
                <w:color w:val="000000" w:themeColor="text1"/>
                <w:kern w:val="0"/>
                <w:szCs w:val="21"/>
                <w:shd w:val="clear" w:color="auto" w:fill="auto"/>
                <w14:textFill>
                  <w14:solidFill>
                    <w14:schemeClr w14:val="tx1"/>
                  </w14:solidFill>
                </w14:textFill>
              </w:rPr>
            </w:pPr>
            <w:r>
              <w:rPr>
                <w:rFonts w:hint="eastAsia" w:ascii="宋体" w:hAnsi="宋体" w:cs="宋体"/>
                <w:color w:val="000000" w:themeColor="text1"/>
                <w:kern w:val="0"/>
                <w:szCs w:val="21"/>
                <w:shd w:val="clear" w:color="auto" w:fill="auto"/>
                <w14:textFill>
                  <w14:solidFill>
                    <w14:schemeClr w14:val="tx1"/>
                  </w14:solidFill>
                </w14:textFill>
              </w:rPr>
              <w:t>等级</w:t>
            </w:r>
          </w:p>
        </w:tc>
        <w:tc>
          <w:tcPr>
            <w:tcW w:w="15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AAF721">
            <w:pPr>
              <w:widowControl/>
              <w:jc w:val="center"/>
              <w:rPr>
                <w:rFonts w:hint="eastAsia" w:ascii="宋体" w:hAnsi="宋体" w:cs="宋体"/>
                <w:color w:val="000000" w:themeColor="text1"/>
                <w:kern w:val="0"/>
                <w:szCs w:val="21"/>
                <w:shd w:val="clear" w:color="auto" w:fill="auto"/>
                <w14:textFill>
                  <w14:solidFill>
                    <w14:schemeClr w14:val="tx1"/>
                  </w14:solidFill>
                </w14:textFill>
              </w:rPr>
            </w:pPr>
            <w:r>
              <w:rPr>
                <w:rFonts w:hint="eastAsia" w:ascii="宋体" w:hAnsi="宋体" w:cs="宋体"/>
                <w:color w:val="000000" w:themeColor="text1"/>
                <w:kern w:val="0"/>
                <w:szCs w:val="21"/>
                <w:shd w:val="clear" w:color="auto" w:fill="auto"/>
                <w14:textFill>
                  <w14:solidFill>
                    <w14:schemeClr w14:val="tx1"/>
                  </w14:solidFill>
                </w14:textFill>
              </w:rPr>
              <w:t>备注</w:t>
            </w:r>
          </w:p>
        </w:tc>
      </w:tr>
      <w:tr w14:paraId="38751BDE">
        <w:tblPrEx>
          <w:tblCellMar>
            <w:top w:w="0" w:type="dxa"/>
            <w:left w:w="108" w:type="dxa"/>
            <w:bottom w:w="0" w:type="dxa"/>
            <w:right w:w="108" w:type="dxa"/>
          </w:tblCellMar>
        </w:tblPrEx>
        <w:trPr>
          <w:trHeight w:val="980" w:hRule="atLeast"/>
        </w:trPr>
        <w:tc>
          <w:tcPr>
            <w:tcW w:w="960" w:type="dxa"/>
            <w:tcBorders>
              <w:top w:val="single" w:color="000000" w:sz="8" w:space="0"/>
              <w:left w:val="single" w:color="000000" w:sz="8" w:space="0"/>
              <w:bottom w:val="single" w:color="000000" w:sz="8" w:space="0"/>
              <w:right w:val="single" w:color="000000" w:sz="8" w:space="0"/>
            </w:tcBorders>
            <w:shd w:val="clear" w:color="000000" w:fill="FFFFFF"/>
            <w:vAlign w:val="center"/>
          </w:tcPr>
          <w:p w14:paraId="1CE96333">
            <w:pPr>
              <w:widowControl/>
              <w:jc w:val="center"/>
              <w:rPr>
                <w:rFonts w:hint="eastAsia" w:ascii="宋体" w:hAnsi="宋体" w:cs="宋体"/>
                <w:color w:val="000000" w:themeColor="text1"/>
                <w:kern w:val="0"/>
                <w:szCs w:val="21"/>
                <w:shd w:val="clear" w:color="auto" w:fill="auto"/>
                <w14:textFill>
                  <w14:solidFill>
                    <w14:schemeClr w14:val="tx1"/>
                  </w14:solidFill>
                </w14:textFill>
              </w:rPr>
            </w:pPr>
            <w:r>
              <w:rPr>
                <w:rFonts w:hint="eastAsia" w:ascii="宋体" w:hAnsi="宋体" w:cs="宋体"/>
                <w:color w:val="000000" w:themeColor="text1"/>
                <w:kern w:val="0"/>
                <w:szCs w:val="21"/>
                <w:shd w:val="clear" w:color="auto" w:fill="auto"/>
                <w14:textFill>
                  <w14:solidFill>
                    <w14:schemeClr w14:val="tx1"/>
                  </w14:solidFill>
                </w14:textFill>
              </w:rPr>
              <w:t>1</w:t>
            </w:r>
          </w:p>
        </w:tc>
        <w:tc>
          <w:tcPr>
            <w:tcW w:w="2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7FBC02">
            <w:pPr>
              <w:widowControl/>
              <w:jc w:val="center"/>
              <w:rPr>
                <w:rFonts w:hint="default" w:ascii="宋体" w:hAnsi="宋体" w:eastAsia="宋体" w:cs="宋体"/>
                <w:color w:val="000000" w:themeColor="text1"/>
                <w:kern w:val="0"/>
                <w:szCs w:val="21"/>
                <w:shd w:val="clear" w:color="auto" w:fill="auto"/>
                <w:lang w:val="en-US" w:eastAsia="zh-CN"/>
                <w14:textFill>
                  <w14:solidFill>
                    <w14:schemeClr w14:val="tx1"/>
                  </w14:solidFill>
                </w14:textFill>
              </w:rPr>
            </w:pPr>
            <w:r>
              <w:rPr>
                <w:rFonts w:hint="eastAsia" w:ascii="宋体" w:hAnsi="宋体" w:cs="宋体"/>
                <w:color w:val="000000" w:themeColor="text1"/>
                <w:kern w:val="0"/>
                <w:szCs w:val="21"/>
                <w:shd w:val="clear" w:color="auto" w:fill="auto"/>
                <w:lang w:val="en-US" w:eastAsia="zh-CN"/>
                <w14:textFill>
                  <w14:solidFill>
                    <w14:schemeClr w14:val="tx1"/>
                  </w14:solidFill>
                </w14:textFill>
              </w:rPr>
              <w:t>地胶板</w:t>
            </w:r>
          </w:p>
        </w:tc>
        <w:tc>
          <w:tcPr>
            <w:tcW w:w="41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52FAA8">
            <w:pPr>
              <w:widowControl/>
              <w:jc w:val="center"/>
              <w:rPr>
                <w:rFonts w:hint="default" w:ascii="宋体" w:hAnsi="宋体" w:eastAsia="宋体" w:cs="宋体"/>
                <w:color w:val="000000" w:themeColor="text1"/>
                <w:kern w:val="0"/>
                <w:szCs w:val="21"/>
                <w:shd w:val="clear" w:color="auto" w:fill="auto"/>
                <w:lang w:val="en-US" w:eastAsia="zh-CN"/>
                <w14:textFill>
                  <w14:solidFill>
                    <w14:schemeClr w14:val="tx1"/>
                  </w14:solidFill>
                </w14:textFill>
              </w:rPr>
            </w:pPr>
            <w:r>
              <w:rPr>
                <w:rFonts w:hint="eastAsia" w:ascii="宋体" w:hAnsi="宋体" w:cs="宋体"/>
                <w:color w:val="000000" w:themeColor="text1"/>
                <w:kern w:val="0"/>
                <w:szCs w:val="21"/>
                <w:shd w:val="clear" w:color="auto" w:fill="auto"/>
                <w:lang w:val="en-US" w:eastAsia="zh-CN"/>
                <w14:textFill>
                  <w14:solidFill>
                    <w14:schemeClr w14:val="tx1"/>
                  </w14:solidFill>
                </w14:textFill>
              </w:rPr>
              <w:tab/>
            </w:r>
            <w:r>
              <w:rPr>
                <w:rFonts w:hint="eastAsia" w:ascii="宋体" w:hAnsi="宋体" w:cs="宋体"/>
                <w:color w:val="000000" w:themeColor="text1"/>
                <w:kern w:val="0"/>
                <w:szCs w:val="21"/>
                <w:shd w:val="clear" w:color="auto" w:fill="auto"/>
                <w:lang w:val="en-US" w:eastAsia="zh-CN"/>
                <w14:textFill>
                  <w14:solidFill>
                    <w14:schemeClr w14:val="tx1"/>
                  </w14:solidFill>
                </w14:textFill>
              </w:rPr>
              <w:t>法国杰福、盟多、宝丽龙、LG或相当于</w:t>
            </w:r>
          </w:p>
        </w:tc>
        <w:tc>
          <w:tcPr>
            <w:tcW w:w="8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EB5A62">
            <w:pPr>
              <w:widowControl/>
              <w:jc w:val="center"/>
              <w:rPr>
                <w:rFonts w:hint="eastAsia" w:ascii="宋体" w:hAnsi="宋体" w:eastAsia="宋体" w:cs="宋体"/>
                <w:color w:val="000000" w:themeColor="text1"/>
                <w:kern w:val="0"/>
                <w:szCs w:val="21"/>
                <w:shd w:val="clear" w:color="auto" w:fill="auto"/>
                <w:lang w:val="en-US" w:eastAsia="zh-CN"/>
                <w14:textFill>
                  <w14:solidFill>
                    <w14:schemeClr w14:val="tx1"/>
                  </w14:solidFill>
                </w14:textFill>
              </w:rPr>
            </w:pPr>
            <w:r>
              <w:rPr>
                <w:rFonts w:hint="eastAsia" w:ascii="宋体" w:hAnsi="宋体" w:cs="宋体"/>
                <w:color w:val="000000" w:themeColor="text1"/>
                <w:kern w:val="0"/>
                <w:szCs w:val="21"/>
                <w:shd w:val="clear" w:color="auto" w:fill="auto"/>
                <w:lang w:val="en-US" w:eastAsia="zh-CN"/>
                <w14:textFill>
                  <w14:solidFill>
                    <w14:schemeClr w14:val="tx1"/>
                  </w14:solidFill>
                </w14:textFill>
              </w:rPr>
              <w:t>优</w:t>
            </w:r>
          </w:p>
        </w:tc>
        <w:tc>
          <w:tcPr>
            <w:tcW w:w="15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0611CF">
            <w:pPr>
              <w:widowControl/>
              <w:jc w:val="center"/>
              <w:rPr>
                <w:rFonts w:hint="eastAsia" w:ascii="宋体" w:hAnsi="宋体" w:cs="宋体"/>
                <w:color w:val="000000" w:themeColor="text1"/>
                <w:kern w:val="0"/>
                <w:szCs w:val="21"/>
                <w:shd w:val="clear" w:color="auto" w:fill="auto"/>
                <w14:textFill>
                  <w14:solidFill>
                    <w14:schemeClr w14:val="tx1"/>
                  </w14:solidFill>
                </w14:textFill>
              </w:rPr>
            </w:pPr>
          </w:p>
        </w:tc>
      </w:tr>
      <w:tr w14:paraId="1EE390D6">
        <w:tblPrEx>
          <w:tblCellMar>
            <w:top w:w="0" w:type="dxa"/>
            <w:left w:w="108" w:type="dxa"/>
            <w:bottom w:w="0" w:type="dxa"/>
            <w:right w:w="108" w:type="dxa"/>
          </w:tblCellMar>
        </w:tblPrEx>
        <w:trPr>
          <w:trHeight w:val="980" w:hRule="atLeast"/>
        </w:trPr>
        <w:tc>
          <w:tcPr>
            <w:tcW w:w="960" w:type="dxa"/>
            <w:tcBorders>
              <w:top w:val="single" w:color="000000" w:sz="8" w:space="0"/>
              <w:left w:val="single" w:color="000000" w:sz="8" w:space="0"/>
              <w:bottom w:val="single" w:color="000000" w:sz="8" w:space="0"/>
              <w:right w:val="single" w:color="000000" w:sz="8" w:space="0"/>
            </w:tcBorders>
            <w:shd w:val="clear" w:color="000000" w:fill="FFFFFF"/>
            <w:vAlign w:val="center"/>
          </w:tcPr>
          <w:p w14:paraId="76F615F2">
            <w:pPr>
              <w:widowControl/>
              <w:jc w:val="center"/>
              <w:rPr>
                <w:rFonts w:hint="eastAsia" w:ascii="宋体" w:hAnsi="宋体" w:cs="宋体"/>
                <w:color w:val="000000" w:themeColor="text1"/>
                <w:kern w:val="0"/>
                <w:szCs w:val="21"/>
                <w:shd w:val="clear" w:color="auto" w:fill="auto"/>
                <w14:textFill>
                  <w14:solidFill>
                    <w14:schemeClr w14:val="tx1"/>
                  </w14:solidFill>
                </w14:textFill>
              </w:rPr>
            </w:pPr>
            <w:r>
              <w:rPr>
                <w:rFonts w:hint="eastAsia" w:ascii="宋体" w:hAnsi="宋体" w:cs="宋体"/>
                <w:color w:val="000000" w:themeColor="text1"/>
                <w:kern w:val="0"/>
                <w:szCs w:val="21"/>
                <w:shd w:val="clear" w:color="auto" w:fill="auto"/>
                <w14:textFill>
                  <w14:solidFill>
                    <w14:schemeClr w14:val="tx1"/>
                  </w14:solidFill>
                </w14:textFill>
              </w:rPr>
              <w:t>2</w:t>
            </w:r>
          </w:p>
        </w:tc>
        <w:tc>
          <w:tcPr>
            <w:tcW w:w="2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9A5111">
            <w:pPr>
              <w:widowControl/>
              <w:jc w:val="center"/>
              <w:rPr>
                <w:rFonts w:hint="default" w:ascii="宋体" w:hAnsi="宋体" w:eastAsia="宋体" w:cs="宋体"/>
                <w:color w:val="000000" w:themeColor="text1"/>
                <w:kern w:val="0"/>
                <w:szCs w:val="21"/>
                <w:shd w:val="clear" w:color="auto" w:fill="auto"/>
                <w:lang w:val="en-US" w:eastAsia="zh-CN"/>
                <w14:textFill>
                  <w14:solidFill>
                    <w14:schemeClr w14:val="tx1"/>
                  </w14:solidFill>
                </w14:textFill>
              </w:rPr>
            </w:pPr>
            <w:r>
              <w:rPr>
                <w:rFonts w:hint="eastAsia" w:ascii="宋体" w:hAnsi="宋体" w:cs="宋体"/>
                <w:color w:val="000000" w:themeColor="text1"/>
                <w:kern w:val="0"/>
                <w:szCs w:val="21"/>
                <w:shd w:val="clear" w:color="auto" w:fill="auto"/>
                <w:lang w:val="en-US" w:eastAsia="zh-CN"/>
                <w14:textFill>
                  <w14:solidFill>
                    <w14:schemeClr w14:val="tx1"/>
                  </w14:solidFill>
                </w14:textFill>
              </w:rPr>
              <w:t>石膏板</w:t>
            </w:r>
          </w:p>
        </w:tc>
        <w:tc>
          <w:tcPr>
            <w:tcW w:w="41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1A45EC">
            <w:pPr>
              <w:widowControl/>
              <w:jc w:val="center"/>
              <w:rPr>
                <w:rFonts w:hint="default" w:ascii="宋体" w:hAnsi="宋体" w:eastAsia="宋体" w:cs="宋体"/>
                <w:color w:val="000000" w:themeColor="text1"/>
                <w:kern w:val="0"/>
                <w:szCs w:val="21"/>
                <w:shd w:val="clear" w:color="auto" w:fill="auto"/>
                <w:lang w:val="en-US" w:eastAsia="zh-CN"/>
                <w14:textFill>
                  <w14:solidFill>
                    <w14:schemeClr w14:val="tx1"/>
                  </w14:solidFill>
                </w14:textFill>
              </w:rPr>
            </w:pPr>
            <w:r>
              <w:rPr>
                <w:rFonts w:hint="eastAsia" w:ascii="宋体" w:hAnsi="宋体" w:cs="宋体"/>
                <w:color w:val="000000" w:themeColor="text1"/>
                <w:kern w:val="0"/>
                <w:szCs w:val="21"/>
                <w:shd w:val="clear" w:color="auto" w:fill="auto"/>
                <w:lang w:val="en-US" w:eastAsia="zh-CN"/>
                <w14:textFill>
                  <w14:solidFill>
                    <w14:schemeClr w14:val="tx1"/>
                  </w14:solidFill>
                </w14:textFill>
              </w:rPr>
              <w:t>杰克、拉法基、龙牌、可耐福或相当于</w:t>
            </w:r>
          </w:p>
        </w:tc>
        <w:tc>
          <w:tcPr>
            <w:tcW w:w="8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8CF0BF">
            <w:pPr>
              <w:widowControl/>
              <w:jc w:val="center"/>
              <w:rPr>
                <w:rFonts w:hint="eastAsia" w:ascii="宋体" w:hAnsi="宋体" w:cs="宋体"/>
                <w:color w:val="000000" w:themeColor="text1"/>
                <w:kern w:val="0"/>
                <w:szCs w:val="21"/>
                <w:shd w:val="clear" w:color="auto" w:fill="auto"/>
                <w14:textFill>
                  <w14:solidFill>
                    <w14:schemeClr w14:val="tx1"/>
                  </w14:solidFill>
                </w14:textFill>
              </w:rPr>
            </w:pPr>
            <w:r>
              <w:rPr>
                <w:rFonts w:hint="eastAsia" w:ascii="宋体" w:hAnsi="宋体" w:cs="宋体"/>
                <w:color w:val="000000" w:themeColor="text1"/>
                <w:kern w:val="0"/>
                <w:szCs w:val="21"/>
                <w:shd w:val="clear" w:color="auto" w:fill="auto"/>
                <w:lang w:val="en-US" w:eastAsia="zh-CN"/>
                <w14:textFill>
                  <w14:solidFill>
                    <w14:schemeClr w14:val="tx1"/>
                  </w14:solidFill>
                </w14:textFill>
              </w:rPr>
              <w:t>优</w:t>
            </w:r>
          </w:p>
        </w:tc>
        <w:tc>
          <w:tcPr>
            <w:tcW w:w="15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1710AF">
            <w:pPr>
              <w:widowControl/>
              <w:jc w:val="center"/>
              <w:rPr>
                <w:rFonts w:hint="eastAsia" w:ascii="宋体" w:hAnsi="宋体" w:cs="宋体"/>
                <w:color w:val="000000" w:themeColor="text1"/>
                <w:kern w:val="0"/>
                <w:szCs w:val="21"/>
                <w:shd w:val="clear" w:color="auto" w:fill="auto"/>
                <w14:textFill>
                  <w14:solidFill>
                    <w14:schemeClr w14:val="tx1"/>
                  </w14:solidFill>
                </w14:textFill>
              </w:rPr>
            </w:pPr>
          </w:p>
        </w:tc>
      </w:tr>
      <w:tr w14:paraId="51762AF2">
        <w:tblPrEx>
          <w:tblCellMar>
            <w:top w:w="0" w:type="dxa"/>
            <w:left w:w="108" w:type="dxa"/>
            <w:bottom w:w="0" w:type="dxa"/>
            <w:right w:w="108" w:type="dxa"/>
          </w:tblCellMar>
        </w:tblPrEx>
        <w:trPr>
          <w:trHeight w:val="980" w:hRule="atLeast"/>
        </w:trPr>
        <w:tc>
          <w:tcPr>
            <w:tcW w:w="960" w:type="dxa"/>
            <w:tcBorders>
              <w:top w:val="single" w:color="000000" w:sz="8" w:space="0"/>
              <w:left w:val="single" w:color="000000" w:sz="8" w:space="0"/>
              <w:bottom w:val="single" w:color="000000" w:sz="8" w:space="0"/>
              <w:right w:val="single" w:color="000000" w:sz="8" w:space="0"/>
            </w:tcBorders>
            <w:shd w:val="clear" w:color="000000" w:fill="FFFFFF"/>
            <w:vAlign w:val="center"/>
          </w:tcPr>
          <w:p w14:paraId="07DED5D9">
            <w:pPr>
              <w:widowControl/>
              <w:jc w:val="center"/>
              <w:rPr>
                <w:rFonts w:hint="eastAsia" w:ascii="宋体" w:hAnsi="宋体" w:eastAsia="宋体" w:cs="宋体"/>
                <w:color w:val="000000" w:themeColor="text1"/>
                <w:kern w:val="0"/>
                <w:szCs w:val="21"/>
                <w:shd w:val="clear" w:color="auto" w:fill="auto"/>
                <w:lang w:val="en-US" w:eastAsia="zh-CN"/>
                <w14:textFill>
                  <w14:solidFill>
                    <w14:schemeClr w14:val="tx1"/>
                  </w14:solidFill>
                </w14:textFill>
              </w:rPr>
            </w:pPr>
            <w:r>
              <w:rPr>
                <w:rFonts w:hint="eastAsia" w:ascii="宋体" w:hAnsi="宋体" w:cs="宋体"/>
                <w:color w:val="000000" w:themeColor="text1"/>
                <w:kern w:val="0"/>
                <w:szCs w:val="21"/>
                <w:shd w:val="clear" w:color="auto" w:fill="auto"/>
                <w:lang w:val="en-US" w:eastAsia="zh-CN"/>
                <w14:textFill>
                  <w14:solidFill>
                    <w14:schemeClr w14:val="tx1"/>
                  </w14:solidFill>
                </w14:textFill>
              </w:rPr>
              <w:t>3</w:t>
            </w:r>
          </w:p>
        </w:tc>
        <w:tc>
          <w:tcPr>
            <w:tcW w:w="2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15461C">
            <w:pPr>
              <w:widowControl/>
              <w:jc w:val="center"/>
              <w:rPr>
                <w:rFonts w:hint="default" w:ascii="宋体" w:hAnsi="宋体" w:eastAsia="宋体" w:cs="宋体"/>
                <w:color w:val="000000" w:themeColor="text1"/>
                <w:kern w:val="0"/>
                <w:szCs w:val="21"/>
                <w:shd w:val="clear" w:color="auto" w:fill="auto"/>
                <w:lang w:val="en-US" w:eastAsia="zh-CN"/>
                <w14:textFill>
                  <w14:solidFill>
                    <w14:schemeClr w14:val="tx1"/>
                  </w14:solidFill>
                </w14:textFill>
              </w:rPr>
            </w:pPr>
            <w:r>
              <w:rPr>
                <w:rFonts w:hint="eastAsia" w:ascii="宋体" w:hAnsi="宋体" w:cs="宋体"/>
                <w:color w:val="000000" w:themeColor="text1"/>
                <w:kern w:val="0"/>
                <w:szCs w:val="21"/>
                <w:shd w:val="clear" w:color="auto" w:fill="auto"/>
                <w:lang w:val="en-US" w:eastAsia="zh-CN"/>
                <w14:textFill>
                  <w14:solidFill>
                    <w14:schemeClr w14:val="tx1"/>
                  </w14:solidFill>
                </w14:textFill>
              </w:rPr>
              <w:t>铝方通</w:t>
            </w:r>
          </w:p>
        </w:tc>
        <w:tc>
          <w:tcPr>
            <w:tcW w:w="41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6CC3F7">
            <w:pPr>
              <w:widowControl/>
              <w:jc w:val="center"/>
              <w:rPr>
                <w:rFonts w:hint="default" w:ascii="宋体" w:hAnsi="宋体" w:eastAsia="宋体" w:cs="宋体"/>
                <w:color w:val="000000" w:themeColor="text1"/>
                <w:kern w:val="0"/>
                <w:szCs w:val="21"/>
                <w:shd w:val="clear" w:color="auto" w:fill="auto"/>
                <w:lang w:val="en-US" w:eastAsia="zh-CN"/>
                <w14:textFill>
                  <w14:solidFill>
                    <w14:schemeClr w14:val="tx1"/>
                  </w14:solidFill>
                </w14:textFill>
              </w:rPr>
            </w:pPr>
            <w:r>
              <w:rPr>
                <w:rFonts w:hint="eastAsia" w:ascii="宋体" w:hAnsi="宋体" w:cs="宋体"/>
                <w:color w:val="000000" w:themeColor="text1"/>
                <w:kern w:val="0"/>
                <w:szCs w:val="21"/>
                <w:shd w:val="clear" w:color="auto" w:fill="auto"/>
                <w:lang w:val="en-US" w:eastAsia="zh-CN"/>
                <w14:textFill>
                  <w14:solidFill>
                    <w14:schemeClr w14:val="tx1"/>
                  </w14:solidFill>
                </w14:textFill>
              </w:rPr>
              <w:t>航昊金顶、航达、欧巴克、迪高或相当于</w:t>
            </w:r>
          </w:p>
        </w:tc>
        <w:tc>
          <w:tcPr>
            <w:tcW w:w="8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33A5C3">
            <w:pPr>
              <w:widowControl/>
              <w:jc w:val="center"/>
              <w:rPr>
                <w:rFonts w:hint="eastAsia" w:ascii="宋体" w:hAnsi="宋体" w:cs="宋体"/>
                <w:color w:val="000000" w:themeColor="text1"/>
                <w:kern w:val="0"/>
                <w:szCs w:val="21"/>
                <w:shd w:val="clear" w:color="auto" w:fill="auto"/>
                <w14:textFill>
                  <w14:solidFill>
                    <w14:schemeClr w14:val="tx1"/>
                  </w14:solidFill>
                </w14:textFill>
              </w:rPr>
            </w:pPr>
            <w:r>
              <w:rPr>
                <w:rFonts w:hint="eastAsia" w:ascii="宋体" w:hAnsi="宋体" w:cs="宋体"/>
                <w:color w:val="000000" w:themeColor="text1"/>
                <w:kern w:val="0"/>
                <w:szCs w:val="21"/>
                <w:shd w:val="clear" w:color="auto" w:fill="auto"/>
                <w:lang w:val="en-US" w:eastAsia="zh-CN"/>
                <w14:textFill>
                  <w14:solidFill>
                    <w14:schemeClr w14:val="tx1"/>
                  </w14:solidFill>
                </w14:textFill>
              </w:rPr>
              <w:t>优</w:t>
            </w:r>
          </w:p>
        </w:tc>
        <w:tc>
          <w:tcPr>
            <w:tcW w:w="15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D27E1B">
            <w:pPr>
              <w:widowControl/>
              <w:jc w:val="center"/>
              <w:rPr>
                <w:rFonts w:hint="eastAsia" w:ascii="宋体" w:hAnsi="宋体" w:cs="宋体"/>
                <w:color w:val="000000" w:themeColor="text1"/>
                <w:kern w:val="0"/>
                <w:szCs w:val="21"/>
                <w:shd w:val="clear" w:color="auto" w:fill="auto"/>
                <w14:textFill>
                  <w14:solidFill>
                    <w14:schemeClr w14:val="tx1"/>
                  </w14:solidFill>
                </w14:textFill>
              </w:rPr>
            </w:pPr>
          </w:p>
        </w:tc>
      </w:tr>
      <w:tr w14:paraId="749791EF">
        <w:tblPrEx>
          <w:tblCellMar>
            <w:top w:w="0" w:type="dxa"/>
            <w:left w:w="108" w:type="dxa"/>
            <w:bottom w:w="0" w:type="dxa"/>
            <w:right w:w="108" w:type="dxa"/>
          </w:tblCellMar>
        </w:tblPrEx>
        <w:trPr>
          <w:trHeight w:val="980" w:hRule="atLeast"/>
        </w:trPr>
        <w:tc>
          <w:tcPr>
            <w:tcW w:w="960" w:type="dxa"/>
            <w:tcBorders>
              <w:top w:val="single" w:color="000000" w:sz="8" w:space="0"/>
              <w:left w:val="single" w:color="000000" w:sz="8" w:space="0"/>
              <w:bottom w:val="single" w:color="000000" w:sz="8" w:space="0"/>
              <w:right w:val="single" w:color="000000" w:sz="8" w:space="0"/>
            </w:tcBorders>
            <w:shd w:val="clear" w:color="000000" w:fill="FFFFFF"/>
            <w:vAlign w:val="center"/>
          </w:tcPr>
          <w:p w14:paraId="69FADF95">
            <w:pPr>
              <w:widowControl/>
              <w:jc w:val="center"/>
              <w:rPr>
                <w:rFonts w:hint="eastAsia" w:ascii="宋体" w:hAnsi="宋体" w:eastAsia="宋体" w:cs="宋体"/>
                <w:color w:val="000000" w:themeColor="text1"/>
                <w:kern w:val="0"/>
                <w:szCs w:val="21"/>
                <w:shd w:val="clear" w:color="auto" w:fill="auto"/>
                <w:lang w:val="en-US" w:eastAsia="zh-CN"/>
                <w14:textFill>
                  <w14:solidFill>
                    <w14:schemeClr w14:val="tx1"/>
                  </w14:solidFill>
                </w14:textFill>
              </w:rPr>
            </w:pPr>
            <w:r>
              <w:rPr>
                <w:rFonts w:hint="eastAsia" w:ascii="宋体" w:hAnsi="宋体" w:cs="宋体"/>
                <w:color w:val="000000" w:themeColor="text1"/>
                <w:kern w:val="0"/>
                <w:szCs w:val="21"/>
                <w:shd w:val="clear" w:color="auto" w:fill="auto"/>
                <w:lang w:val="en-US" w:eastAsia="zh-CN"/>
                <w14:textFill>
                  <w14:solidFill>
                    <w14:schemeClr w14:val="tx1"/>
                  </w14:solidFill>
                </w14:textFill>
              </w:rPr>
              <w:t>4</w:t>
            </w:r>
          </w:p>
        </w:tc>
        <w:tc>
          <w:tcPr>
            <w:tcW w:w="2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B8A71A">
            <w:pPr>
              <w:widowControl/>
              <w:jc w:val="center"/>
              <w:rPr>
                <w:rFonts w:hint="default" w:ascii="宋体" w:hAnsi="宋体" w:eastAsia="宋体" w:cs="宋体"/>
                <w:color w:val="000000" w:themeColor="text1"/>
                <w:kern w:val="0"/>
                <w:szCs w:val="21"/>
                <w:shd w:val="clear" w:color="auto" w:fill="auto"/>
                <w:lang w:val="en-US" w:eastAsia="zh-CN"/>
                <w14:textFill>
                  <w14:solidFill>
                    <w14:schemeClr w14:val="tx1"/>
                  </w14:solidFill>
                </w14:textFill>
              </w:rPr>
            </w:pPr>
            <w:r>
              <w:rPr>
                <w:rFonts w:hint="eastAsia" w:ascii="宋体" w:hAnsi="宋体" w:cs="宋体"/>
                <w:color w:val="000000" w:themeColor="text1"/>
                <w:kern w:val="0"/>
                <w:szCs w:val="21"/>
                <w:shd w:val="clear" w:color="auto" w:fill="auto"/>
                <w:lang w:val="en-US" w:eastAsia="zh-CN"/>
                <w14:textFill>
                  <w14:solidFill>
                    <w14:schemeClr w14:val="tx1"/>
                  </w14:solidFill>
                </w14:textFill>
              </w:rPr>
              <w:t>电线</w:t>
            </w:r>
          </w:p>
        </w:tc>
        <w:tc>
          <w:tcPr>
            <w:tcW w:w="41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867105">
            <w:pPr>
              <w:widowControl/>
              <w:jc w:val="center"/>
              <w:rPr>
                <w:rFonts w:hint="default" w:ascii="宋体" w:hAnsi="宋体" w:eastAsia="宋体" w:cs="宋体"/>
                <w:color w:val="000000" w:themeColor="text1"/>
                <w:kern w:val="0"/>
                <w:szCs w:val="21"/>
                <w:shd w:val="clear" w:color="auto" w:fill="auto"/>
                <w:lang w:val="en-US" w:eastAsia="zh-CN"/>
                <w14:textFill>
                  <w14:solidFill>
                    <w14:schemeClr w14:val="tx1"/>
                  </w14:solidFill>
                </w14:textFill>
              </w:rPr>
            </w:pPr>
            <w:r>
              <w:rPr>
                <w:rFonts w:hint="eastAsia" w:ascii="宋体" w:hAnsi="宋体" w:cs="宋体"/>
                <w:color w:val="000000" w:themeColor="text1"/>
                <w:kern w:val="0"/>
                <w:szCs w:val="21"/>
                <w:shd w:val="clear" w:color="auto" w:fill="auto"/>
                <w:lang w:val="en-US" w:eastAsia="zh-CN"/>
                <w14:textFill>
                  <w14:solidFill>
                    <w14:schemeClr w14:val="tx1"/>
                  </w14:solidFill>
                </w14:textFill>
              </w:rPr>
              <w:t>千岛湖永通、江苏远东、浙江万马或相当于</w:t>
            </w:r>
          </w:p>
        </w:tc>
        <w:tc>
          <w:tcPr>
            <w:tcW w:w="8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24A987">
            <w:pPr>
              <w:widowControl/>
              <w:jc w:val="center"/>
              <w:rPr>
                <w:rFonts w:hint="eastAsia" w:ascii="宋体" w:hAnsi="宋体" w:cs="宋体"/>
                <w:color w:val="000000" w:themeColor="text1"/>
                <w:kern w:val="0"/>
                <w:szCs w:val="21"/>
                <w:shd w:val="clear" w:color="auto" w:fill="auto"/>
                <w14:textFill>
                  <w14:solidFill>
                    <w14:schemeClr w14:val="tx1"/>
                  </w14:solidFill>
                </w14:textFill>
              </w:rPr>
            </w:pPr>
            <w:r>
              <w:rPr>
                <w:rFonts w:hint="eastAsia" w:ascii="宋体" w:hAnsi="宋体" w:cs="宋体"/>
                <w:color w:val="000000" w:themeColor="text1"/>
                <w:kern w:val="0"/>
                <w:szCs w:val="21"/>
                <w:shd w:val="clear" w:color="auto" w:fill="auto"/>
                <w:lang w:val="en-US" w:eastAsia="zh-CN"/>
                <w14:textFill>
                  <w14:solidFill>
                    <w14:schemeClr w14:val="tx1"/>
                  </w14:solidFill>
                </w14:textFill>
              </w:rPr>
              <w:t>优</w:t>
            </w:r>
          </w:p>
        </w:tc>
        <w:tc>
          <w:tcPr>
            <w:tcW w:w="15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9FB173">
            <w:pPr>
              <w:widowControl/>
              <w:jc w:val="center"/>
              <w:rPr>
                <w:rFonts w:hint="eastAsia" w:ascii="宋体" w:hAnsi="宋体" w:cs="宋体"/>
                <w:color w:val="000000" w:themeColor="text1"/>
                <w:kern w:val="0"/>
                <w:szCs w:val="21"/>
                <w:shd w:val="clear" w:color="auto" w:fill="auto"/>
                <w14:textFill>
                  <w14:solidFill>
                    <w14:schemeClr w14:val="tx1"/>
                  </w14:solidFill>
                </w14:textFill>
              </w:rPr>
            </w:pPr>
          </w:p>
        </w:tc>
      </w:tr>
      <w:tr w14:paraId="1B534095">
        <w:tblPrEx>
          <w:tblCellMar>
            <w:top w:w="0" w:type="dxa"/>
            <w:left w:w="108" w:type="dxa"/>
            <w:bottom w:w="0" w:type="dxa"/>
            <w:right w:w="108" w:type="dxa"/>
          </w:tblCellMar>
        </w:tblPrEx>
        <w:trPr>
          <w:trHeight w:val="980" w:hRule="atLeast"/>
        </w:trPr>
        <w:tc>
          <w:tcPr>
            <w:tcW w:w="960" w:type="dxa"/>
            <w:tcBorders>
              <w:top w:val="single" w:color="000000" w:sz="8" w:space="0"/>
              <w:left w:val="single" w:color="000000" w:sz="8" w:space="0"/>
              <w:bottom w:val="single" w:color="000000" w:sz="8" w:space="0"/>
              <w:right w:val="single" w:color="000000" w:sz="8" w:space="0"/>
            </w:tcBorders>
            <w:shd w:val="clear" w:color="000000" w:fill="FFFFFF"/>
            <w:vAlign w:val="center"/>
          </w:tcPr>
          <w:p w14:paraId="5FDDE51E">
            <w:pPr>
              <w:widowControl/>
              <w:jc w:val="center"/>
              <w:rPr>
                <w:rFonts w:hint="eastAsia" w:ascii="宋体" w:hAnsi="宋体" w:eastAsia="宋体" w:cs="宋体"/>
                <w:color w:val="000000" w:themeColor="text1"/>
                <w:kern w:val="0"/>
                <w:szCs w:val="21"/>
                <w:shd w:val="clear" w:color="auto" w:fill="auto"/>
                <w:lang w:val="en-US" w:eastAsia="zh-CN"/>
                <w14:textFill>
                  <w14:solidFill>
                    <w14:schemeClr w14:val="tx1"/>
                  </w14:solidFill>
                </w14:textFill>
              </w:rPr>
            </w:pPr>
            <w:r>
              <w:rPr>
                <w:rFonts w:hint="eastAsia" w:ascii="宋体" w:hAnsi="宋体" w:cs="宋体"/>
                <w:color w:val="000000" w:themeColor="text1"/>
                <w:kern w:val="0"/>
                <w:szCs w:val="21"/>
                <w:shd w:val="clear" w:color="auto" w:fill="auto"/>
                <w:lang w:val="en-US" w:eastAsia="zh-CN"/>
                <w14:textFill>
                  <w14:solidFill>
                    <w14:schemeClr w14:val="tx1"/>
                  </w14:solidFill>
                </w14:textFill>
              </w:rPr>
              <w:t>5</w:t>
            </w:r>
          </w:p>
        </w:tc>
        <w:tc>
          <w:tcPr>
            <w:tcW w:w="2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DDB08D">
            <w:pPr>
              <w:widowControl/>
              <w:jc w:val="center"/>
              <w:rPr>
                <w:rFonts w:hint="default" w:ascii="宋体" w:hAnsi="宋体" w:eastAsia="宋体" w:cs="宋体"/>
                <w:color w:val="000000" w:themeColor="text1"/>
                <w:kern w:val="0"/>
                <w:szCs w:val="21"/>
                <w:shd w:val="clear" w:color="auto" w:fill="auto"/>
                <w:lang w:val="en-US" w:eastAsia="zh-CN"/>
                <w14:textFill>
                  <w14:solidFill>
                    <w14:schemeClr w14:val="tx1"/>
                  </w14:solidFill>
                </w14:textFill>
              </w:rPr>
            </w:pPr>
            <w:r>
              <w:rPr>
                <w:rFonts w:hint="eastAsia" w:ascii="宋体" w:hAnsi="宋体" w:cs="宋体"/>
                <w:color w:val="000000" w:themeColor="text1"/>
                <w:kern w:val="0"/>
                <w:szCs w:val="21"/>
                <w:shd w:val="clear" w:color="auto" w:fill="auto"/>
                <w:lang w:val="en-US" w:eastAsia="zh-CN"/>
                <w14:textFill>
                  <w14:solidFill>
                    <w14:schemeClr w14:val="tx1"/>
                  </w14:solidFill>
                </w14:textFill>
              </w:rPr>
              <w:t>轻钢龙骨</w:t>
            </w:r>
          </w:p>
        </w:tc>
        <w:tc>
          <w:tcPr>
            <w:tcW w:w="41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8BA41E">
            <w:pPr>
              <w:widowControl/>
              <w:jc w:val="center"/>
              <w:rPr>
                <w:rFonts w:hint="default" w:ascii="宋体" w:hAnsi="宋体" w:eastAsia="宋体" w:cs="宋体"/>
                <w:color w:val="000000" w:themeColor="text1"/>
                <w:kern w:val="0"/>
                <w:szCs w:val="21"/>
                <w:shd w:val="clear" w:color="auto" w:fill="auto"/>
                <w:lang w:val="en-US" w:eastAsia="zh-CN"/>
                <w14:textFill>
                  <w14:solidFill>
                    <w14:schemeClr w14:val="tx1"/>
                  </w14:solidFill>
                </w14:textFill>
              </w:rPr>
            </w:pPr>
            <w:r>
              <w:rPr>
                <w:rFonts w:hint="eastAsia" w:ascii="宋体" w:hAnsi="宋体" w:cs="宋体"/>
                <w:color w:val="000000" w:themeColor="text1"/>
                <w:kern w:val="0"/>
                <w:szCs w:val="21"/>
                <w:shd w:val="clear" w:color="auto" w:fill="auto"/>
                <w:lang w:val="en-US" w:eastAsia="zh-CN"/>
                <w14:textFill>
                  <w14:solidFill>
                    <w14:schemeClr w14:val="tx1"/>
                  </w14:solidFill>
                </w14:textFill>
              </w:rPr>
              <w:t>得地、可耐福、龙牌或相当于</w:t>
            </w:r>
          </w:p>
        </w:tc>
        <w:tc>
          <w:tcPr>
            <w:tcW w:w="8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5E16A8">
            <w:pPr>
              <w:widowControl/>
              <w:jc w:val="center"/>
              <w:rPr>
                <w:rFonts w:hint="eastAsia" w:ascii="宋体" w:hAnsi="宋体" w:cs="宋体"/>
                <w:color w:val="000000" w:themeColor="text1"/>
                <w:kern w:val="0"/>
                <w:szCs w:val="21"/>
                <w:shd w:val="clear" w:color="auto" w:fill="auto"/>
                <w14:textFill>
                  <w14:solidFill>
                    <w14:schemeClr w14:val="tx1"/>
                  </w14:solidFill>
                </w14:textFill>
              </w:rPr>
            </w:pPr>
            <w:r>
              <w:rPr>
                <w:rFonts w:hint="eastAsia" w:ascii="宋体" w:hAnsi="宋体" w:cs="宋体"/>
                <w:color w:val="000000" w:themeColor="text1"/>
                <w:kern w:val="0"/>
                <w:szCs w:val="21"/>
                <w:shd w:val="clear" w:color="auto" w:fill="auto"/>
                <w:lang w:val="en-US" w:eastAsia="zh-CN"/>
                <w14:textFill>
                  <w14:solidFill>
                    <w14:schemeClr w14:val="tx1"/>
                  </w14:solidFill>
                </w14:textFill>
              </w:rPr>
              <w:t>优</w:t>
            </w:r>
          </w:p>
        </w:tc>
        <w:tc>
          <w:tcPr>
            <w:tcW w:w="15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3A50D7">
            <w:pPr>
              <w:widowControl/>
              <w:jc w:val="center"/>
              <w:rPr>
                <w:rFonts w:hint="eastAsia" w:ascii="宋体" w:hAnsi="宋体" w:cs="宋体"/>
                <w:color w:val="000000" w:themeColor="text1"/>
                <w:kern w:val="0"/>
                <w:szCs w:val="21"/>
                <w:shd w:val="clear" w:color="auto" w:fill="auto"/>
                <w14:textFill>
                  <w14:solidFill>
                    <w14:schemeClr w14:val="tx1"/>
                  </w14:solidFill>
                </w14:textFill>
              </w:rPr>
            </w:pPr>
          </w:p>
        </w:tc>
      </w:tr>
      <w:tr w14:paraId="18AC47D4">
        <w:tblPrEx>
          <w:tblCellMar>
            <w:top w:w="0" w:type="dxa"/>
            <w:left w:w="108" w:type="dxa"/>
            <w:bottom w:w="0" w:type="dxa"/>
            <w:right w:w="108" w:type="dxa"/>
          </w:tblCellMar>
        </w:tblPrEx>
        <w:trPr>
          <w:trHeight w:val="980" w:hRule="atLeast"/>
        </w:trPr>
        <w:tc>
          <w:tcPr>
            <w:tcW w:w="960" w:type="dxa"/>
            <w:tcBorders>
              <w:top w:val="single" w:color="000000" w:sz="8" w:space="0"/>
              <w:left w:val="single" w:color="000000" w:sz="8" w:space="0"/>
              <w:bottom w:val="single" w:color="000000" w:sz="8" w:space="0"/>
              <w:right w:val="single" w:color="000000" w:sz="8" w:space="0"/>
            </w:tcBorders>
            <w:shd w:val="clear" w:color="000000" w:fill="FFFFFF"/>
            <w:vAlign w:val="center"/>
          </w:tcPr>
          <w:p w14:paraId="3412B97C">
            <w:pPr>
              <w:widowControl/>
              <w:jc w:val="center"/>
              <w:rPr>
                <w:rFonts w:hint="eastAsia" w:ascii="宋体" w:hAnsi="宋体" w:eastAsia="宋体" w:cs="宋体"/>
                <w:color w:val="000000" w:themeColor="text1"/>
                <w:kern w:val="0"/>
                <w:szCs w:val="21"/>
                <w:shd w:val="clear" w:color="auto" w:fill="auto"/>
                <w:lang w:val="en-US" w:eastAsia="zh-CN"/>
                <w14:textFill>
                  <w14:solidFill>
                    <w14:schemeClr w14:val="tx1"/>
                  </w14:solidFill>
                </w14:textFill>
              </w:rPr>
            </w:pPr>
            <w:r>
              <w:rPr>
                <w:rFonts w:hint="eastAsia" w:ascii="宋体" w:hAnsi="宋体" w:cs="宋体"/>
                <w:color w:val="000000" w:themeColor="text1"/>
                <w:kern w:val="0"/>
                <w:szCs w:val="21"/>
                <w:shd w:val="clear" w:color="auto" w:fill="auto"/>
                <w:lang w:val="en-US" w:eastAsia="zh-CN"/>
                <w14:textFill>
                  <w14:solidFill>
                    <w14:schemeClr w14:val="tx1"/>
                  </w14:solidFill>
                </w14:textFill>
              </w:rPr>
              <w:t>6</w:t>
            </w:r>
          </w:p>
        </w:tc>
        <w:tc>
          <w:tcPr>
            <w:tcW w:w="2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62CA8D">
            <w:pPr>
              <w:widowControl/>
              <w:jc w:val="center"/>
              <w:rPr>
                <w:rFonts w:hint="default" w:ascii="宋体" w:hAnsi="宋体" w:cs="宋体"/>
                <w:color w:val="000000" w:themeColor="text1"/>
                <w:kern w:val="0"/>
                <w:szCs w:val="21"/>
                <w:shd w:val="clear" w:color="auto" w:fill="auto"/>
                <w:lang w:val="en-US" w:eastAsia="zh-CN"/>
                <w14:textFill>
                  <w14:solidFill>
                    <w14:schemeClr w14:val="tx1"/>
                  </w14:solidFill>
                </w14:textFill>
              </w:rPr>
            </w:pPr>
            <w:r>
              <w:rPr>
                <w:rFonts w:hint="eastAsia" w:ascii="宋体" w:hAnsi="宋体" w:cs="宋体"/>
                <w:color w:val="000000" w:themeColor="text1"/>
                <w:kern w:val="0"/>
                <w:szCs w:val="21"/>
                <w:shd w:val="clear" w:color="auto" w:fill="auto"/>
                <w:lang w:val="en-US" w:eastAsia="zh-CN"/>
                <w14:textFill>
                  <w14:solidFill>
                    <w14:schemeClr w14:val="tx1"/>
                  </w14:solidFill>
                </w14:textFill>
              </w:rPr>
              <w:t>线管</w:t>
            </w:r>
          </w:p>
        </w:tc>
        <w:tc>
          <w:tcPr>
            <w:tcW w:w="41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B51767">
            <w:pPr>
              <w:widowControl/>
              <w:jc w:val="center"/>
              <w:rPr>
                <w:rFonts w:hint="default" w:ascii="宋体" w:hAnsi="宋体" w:cs="宋体"/>
                <w:color w:val="000000" w:themeColor="text1"/>
                <w:kern w:val="0"/>
                <w:szCs w:val="21"/>
                <w:shd w:val="clear" w:color="auto" w:fill="auto"/>
                <w:lang w:val="en-US" w:eastAsia="zh-CN"/>
                <w14:textFill>
                  <w14:solidFill>
                    <w14:schemeClr w14:val="tx1"/>
                  </w14:solidFill>
                </w14:textFill>
              </w:rPr>
            </w:pPr>
            <w:r>
              <w:rPr>
                <w:rFonts w:hint="eastAsia" w:ascii="宋体" w:hAnsi="宋体" w:cs="宋体"/>
                <w:color w:val="000000" w:themeColor="text1"/>
                <w:kern w:val="0"/>
                <w:szCs w:val="21"/>
                <w:shd w:val="clear" w:color="auto" w:fill="auto"/>
                <w:lang w:val="en-US" w:eastAsia="zh-CN"/>
                <w14:textFill>
                  <w14:solidFill>
                    <w14:schemeClr w14:val="tx1"/>
                  </w14:solidFill>
                </w14:textFill>
              </w:rPr>
              <w:t>中财、伟星、公元或相当于</w:t>
            </w:r>
          </w:p>
        </w:tc>
        <w:tc>
          <w:tcPr>
            <w:tcW w:w="8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F9846C">
            <w:pPr>
              <w:widowControl/>
              <w:jc w:val="center"/>
              <w:rPr>
                <w:rFonts w:hint="eastAsia" w:ascii="宋体" w:hAnsi="宋体" w:cs="宋体"/>
                <w:color w:val="000000" w:themeColor="text1"/>
                <w:kern w:val="0"/>
                <w:szCs w:val="21"/>
                <w:shd w:val="clear" w:color="auto" w:fill="auto"/>
                <w14:textFill>
                  <w14:solidFill>
                    <w14:schemeClr w14:val="tx1"/>
                  </w14:solidFill>
                </w14:textFill>
              </w:rPr>
            </w:pPr>
            <w:r>
              <w:rPr>
                <w:rFonts w:hint="eastAsia" w:ascii="宋体" w:hAnsi="宋体" w:cs="宋体"/>
                <w:color w:val="000000" w:themeColor="text1"/>
                <w:kern w:val="0"/>
                <w:szCs w:val="21"/>
                <w:shd w:val="clear" w:color="auto" w:fill="auto"/>
                <w:lang w:val="en-US" w:eastAsia="zh-CN"/>
                <w14:textFill>
                  <w14:solidFill>
                    <w14:schemeClr w14:val="tx1"/>
                  </w14:solidFill>
                </w14:textFill>
              </w:rPr>
              <w:t>优</w:t>
            </w:r>
          </w:p>
        </w:tc>
        <w:tc>
          <w:tcPr>
            <w:tcW w:w="15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1B8E61">
            <w:pPr>
              <w:widowControl/>
              <w:jc w:val="center"/>
              <w:rPr>
                <w:rFonts w:hint="eastAsia" w:ascii="宋体" w:hAnsi="宋体" w:cs="宋体"/>
                <w:color w:val="000000" w:themeColor="text1"/>
                <w:kern w:val="0"/>
                <w:szCs w:val="21"/>
                <w:shd w:val="clear" w:color="auto" w:fill="auto"/>
                <w14:textFill>
                  <w14:solidFill>
                    <w14:schemeClr w14:val="tx1"/>
                  </w14:solidFill>
                </w14:textFill>
              </w:rPr>
            </w:pPr>
          </w:p>
        </w:tc>
      </w:tr>
      <w:tr w14:paraId="599C53AE">
        <w:tblPrEx>
          <w:tblCellMar>
            <w:top w:w="0" w:type="dxa"/>
            <w:left w:w="108" w:type="dxa"/>
            <w:bottom w:w="0" w:type="dxa"/>
            <w:right w:w="108" w:type="dxa"/>
          </w:tblCellMar>
        </w:tblPrEx>
        <w:trPr>
          <w:trHeight w:val="980" w:hRule="atLeast"/>
        </w:trPr>
        <w:tc>
          <w:tcPr>
            <w:tcW w:w="960" w:type="dxa"/>
            <w:tcBorders>
              <w:top w:val="single" w:color="000000" w:sz="8" w:space="0"/>
              <w:left w:val="single" w:color="000000" w:sz="8" w:space="0"/>
              <w:bottom w:val="single" w:color="000000" w:sz="8" w:space="0"/>
              <w:right w:val="single" w:color="000000" w:sz="8" w:space="0"/>
            </w:tcBorders>
            <w:shd w:val="clear" w:color="000000" w:fill="FFFFFF"/>
            <w:vAlign w:val="center"/>
          </w:tcPr>
          <w:p w14:paraId="55387FC6">
            <w:pPr>
              <w:widowControl/>
              <w:jc w:val="center"/>
              <w:rPr>
                <w:rFonts w:hint="eastAsia" w:ascii="宋体" w:hAnsi="宋体" w:eastAsia="宋体" w:cs="宋体"/>
                <w:color w:val="000000" w:themeColor="text1"/>
                <w:kern w:val="0"/>
                <w:szCs w:val="21"/>
                <w:shd w:val="clear" w:color="auto" w:fill="auto"/>
                <w:lang w:val="en-US" w:eastAsia="zh-CN"/>
                <w14:textFill>
                  <w14:solidFill>
                    <w14:schemeClr w14:val="tx1"/>
                  </w14:solidFill>
                </w14:textFill>
              </w:rPr>
            </w:pPr>
            <w:r>
              <w:rPr>
                <w:rFonts w:hint="eastAsia" w:ascii="宋体" w:hAnsi="宋体" w:cs="宋体"/>
                <w:color w:val="000000" w:themeColor="text1"/>
                <w:kern w:val="0"/>
                <w:szCs w:val="21"/>
                <w:shd w:val="clear" w:color="auto" w:fill="auto"/>
                <w:lang w:val="en-US" w:eastAsia="zh-CN"/>
                <w14:textFill>
                  <w14:solidFill>
                    <w14:schemeClr w14:val="tx1"/>
                  </w14:solidFill>
                </w14:textFill>
              </w:rPr>
              <w:t>7</w:t>
            </w:r>
          </w:p>
        </w:tc>
        <w:tc>
          <w:tcPr>
            <w:tcW w:w="2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FE3B64">
            <w:pPr>
              <w:widowControl/>
              <w:jc w:val="center"/>
              <w:rPr>
                <w:rFonts w:hint="default" w:ascii="宋体" w:hAnsi="宋体" w:cs="宋体"/>
                <w:color w:val="000000" w:themeColor="text1"/>
                <w:kern w:val="0"/>
                <w:szCs w:val="21"/>
                <w:shd w:val="clear" w:color="auto" w:fill="auto"/>
                <w:lang w:val="en-US" w:eastAsia="zh-CN"/>
                <w14:textFill>
                  <w14:solidFill>
                    <w14:schemeClr w14:val="tx1"/>
                  </w14:solidFill>
                </w14:textFill>
              </w:rPr>
            </w:pPr>
            <w:r>
              <w:rPr>
                <w:rFonts w:hint="eastAsia" w:ascii="宋体" w:hAnsi="宋体" w:cs="宋体"/>
                <w:color w:val="000000" w:themeColor="text1"/>
                <w:kern w:val="0"/>
                <w:szCs w:val="21"/>
                <w:shd w:val="clear" w:color="auto" w:fill="auto"/>
                <w:lang w:val="en-US" w:eastAsia="zh-CN"/>
                <w14:textFill>
                  <w14:solidFill>
                    <w14:schemeClr w14:val="tx1"/>
                  </w14:solidFill>
                </w14:textFill>
              </w:rPr>
              <w:t>乳胶漆</w:t>
            </w:r>
          </w:p>
        </w:tc>
        <w:tc>
          <w:tcPr>
            <w:tcW w:w="41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736CE9">
            <w:pPr>
              <w:widowControl/>
              <w:jc w:val="center"/>
              <w:rPr>
                <w:rFonts w:hint="default" w:ascii="宋体" w:hAnsi="宋体" w:cs="宋体"/>
                <w:color w:val="000000" w:themeColor="text1"/>
                <w:kern w:val="0"/>
                <w:szCs w:val="21"/>
                <w:shd w:val="clear" w:color="auto" w:fill="auto"/>
                <w:lang w:val="en-US" w:eastAsia="zh-CN"/>
                <w14:textFill>
                  <w14:solidFill>
                    <w14:schemeClr w14:val="tx1"/>
                  </w14:solidFill>
                </w14:textFill>
              </w:rPr>
            </w:pPr>
            <w:r>
              <w:rPr>
                <w:rFonts w:hint="eastAsia" w:ascii="宋体" w:hAnsi="宋体" w:cs="宋体"/>
                <w:color w:val="000000" w:themeColor="text1"/>
                <w:kern w:val="0"/>
                <w:szCs w:val="21"/>
                <w:shd w:val="clear" w:color="auto" w:fill="auto"/>
                <w:lang w:val="en-US" w:eastAsia="zh-CN"/>
                <w14:textFill>
                  <w14:solidFill>
                    <w14:schemeClr w14:val="tx1"/>
                  </w14:solidFill>
                </w14:textFill>
              </w:rPr>
              <w:t>三棵树、嘉宝莉、立邦或相当于</w:t>
            </w:r>
          </w:p>
        </w:tc>
        <w:tc>
          <w:tcPr>
            <w:tcW w:w="8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9330A4">
            <w:pPr>
              <w:widowControl/>
              <w:jc w:val="center"/>
              <w:rPr>
                <w:rFonts w:hint="eastAsia" w:ascii="宋体" w:hAnsi="宋体" w:cs="宋体"/>
                <w:color w:val="000000" w:themeColor="text1"/>
                <w:kern w:val="0"/>
                <w:szCs w:val="21"/>
                <w:shd w:val="clear" w:color="auto" w:fill="auto"/>
                <w14:textFill>
                  <w14:solidFill>
                    <w14:schemeClr w14:val="tx1"/>
                  </w14:solidFill>
                </w14:textFill>
              </w:rPr>
            </w:pPr>
            <w:r>
              <w:rPr>
                <w:rFonts w:hint="eastAsia" w:ascii="宋体" w:hAnsi="宋体" w:cs="宋体"/>
                <w:color w:val="000000" w:themeColor="text1"/>
                <w:kern w:val="0"/>
                <w:szCs w:val="21"/>
                <w:shd w:val="clear" w:color="auto" w:fill="auto"/>
                <w:lang w:val="en-US" w:eastAsia="zh-CN"/>
                <w14:textFill>
                  <w14:solidFill>
                    <w14:schemeClr w14:val="tx1"/>
                  </w14:solidFill>
                </w14:textFill>
              </w:rPr>
              <w:t>优</w:t>
            </w:r>
          </w:p>
        </w:tc>
        <w:tc>
          <w:tcPr>
            <w:tcW w:w="15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D99551">
            <w:pPr>
              <w:widowControl/>
              <w:jc w:val="center"/>
              <w:rPr>
                <w:rFonts w:hint="eastAsia" w:ascii="宋体" w:hAnsi="宋体" w:cs="宋体"/>
                <w:color w:val="000000" w:themeColor="text1"/>
                <w:kern w:val="0"/>
                <w:szCs w:val="21"/>
                <w:shd w:val="clear" w:color="auto" w:fill="auto"/>
                <w14:textFill>
                  <w14:solidFill>
                    <w14:schemeClr w14:val="tx1"/>
                  </w14:solidFill>
                </w14:textFill>
              </w:rPr>
            </w:pPr>
          </w:p>
        </w:tc>
      </w:tr>
      <w:tr w14:paraId="1E1C73B5">
        <w:tblPrEx>
          <w:tblCellMar>
            <w:top w:w="0" w:type="dxa"/>
            <w:left w:w="108" w:type="dxa"/>
            <w:bottom w:w="0" w:type="dxa"/>
            <w:right w:w="108" w:type="dxa"/>
          </w:tblCellMar>
        </w:tblPrEx>
        <w:trPr>
          <w:trHeight w:val="980" w:hRule="atLeast"/>
        </w:trPr>
        <w:tc>
          <w:tcPr>
            <w:tcW w:w="960" w:type="dxa"/>
            <w:tcBorders>
              <w:top w:val="single" w:color="000000" w:sz="8" w:space="0"/>
              <w:left w:val="single" w:color="000000" w:sz="8" w:space="0"/>
              <w:bottom w:val="single" w:color="000000" w:sz="8" w:space="0"/>
              <w:right w:val="single" w:color="000000" w:sz="8" w:space="0"/>
            </w:tcBorders>
            <w:shd w:val="clear" w:color="000000" w:fill="FFFFFF"/>
            <w:vAlign w:val="center"/>
          </w:tcPr>
          <w:p w14:paraId="3D8C7E59">
            <w:pPr>
              <w:widowControl/>
              <w:jc w:val="center"/>
              <w:rPr>
                <w:rFonts w:hint="eastAsia" w:ascii="宋体" w:hAnsi="宋体" w:eastAsia="宋体" w:cs="宋体"/>
                <w:color w:val="000000" w:themeColor="text1"/>
                <w:kern w:val="0"/>
                <w:szCs w:val="21"/>
                <w:shd w:val="clear" w:color="auto" w:fill="auto"/>
                <w:lang w:val="en-US" w:eastAsia="zh-CN"/>
                <w14:textFill>
                  <w14:solidFill>
                    <w14:schemeClr w14:val="tx1"/>
                  </w14:solidFill>
                </w14:textFill>
              </w:rPr>
            </w:pPr>
            <w:r>
              <w:rPr>
                <w:rFonts w:hint="eastAsia" w:ascii="宋体" w:hAnsi="宋体" w:cs="宋体"/>
                <w:color w:val="000000" w:themeColor="text1"/>
                <w:kern w:val="0"/>
                <w:szCs w:val="21"/>
                <w:shd w:val="clear" w:color="auto" w:fill="auto"/>
                <w:lang w:val="en-US" w:eastAsia="zh-CN"/>
                <w14:textFill>
                  <w14:solidFill>
                    <w14:schemeClr w14:val="tx1"/>
                  </w14:solidFill>
                </w14:textFill>
              </w:rPr>
              <w:t>8</w:t>
            </w:r>
          </w:p>
        </w:tc>
        <w:tc>
          <w:tcPr>
            <w:tcW w:w="2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C599C2">
            <w:pPr>
              <w:widowControl/>
              <w:jc w:val="center"/>
              <w:rPr>
                <w:rFonts w:hint="default" w:ascii="宋体" w:hAnsi="宋体" w:cs="宋体"/>
                <w:color w:val="000000" w:themeColor="text1"/>
                <w:kern w:val="0"/>
                <w:szCs w:val="21"/>
                <w:shd w:val="clear" w:color="auto" w:fill="auto"/>
                <w:lang w:val="en-US" w:eastAsia="zh-CN"/>
                <w14:textFill>
                  <w14:solidFill>
                    <w14:schemeClr w14:val="tx1"/>
                  </w14:solidFill>
                </w14:textFill>
              </w:rPr>
            </w:pPr>
            <w:r>
              <w:rPr>
                <w:rFonts w:hint="eastAsia" w:ascii="宋体" w:hAnsi="宋体" w:cs="宋体"/>
                <w:color w:val="000000" w:themeColor="text1"/>
                <w:kern w:val="0"/>
                <w:szCs w:val="21"/>
                <w:shd w:val="clear" w:color="auto" w:fill="auto"/>
                <w:lang w:val="en-US" w:eastAsia="zh-CN"/>
                <w14:textFill>
                  <w14:solidFill>
                    <w14:schemeClr w14:val="tx1"/>
                  </w14:solidFill>
                </w14:textFill>
              </w:rPr>
              <w:t>灯具</w:t>
            </w:r>
          </w:p>
        </w:tc>
        <w:tc>
          <w:tcPr>
            <w:tcW w:w="41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D9C042">
            <w:pPr>
              <w:widowControl/>
              <w:jc w:val="center"/>
              <w:rPr>
                <w:rFonts w:hint="default" w:ascii="宋体" w:hAnsi="宋体" w:cs="宋体"/>
                <w:color w:val="000000" w:themeColor="text1"/>
                <w:kern w:val="0"/>
                <w:szCs w:val="21"/>
                <w:shd w:val="clear" w:color="auto" w:fill="auto"/>
                <w:lang w:val="en-US" w:eastAsia="zh-CN"/>
                <w14:textFill>
                  <w14:solidFill>
                    <w14:schemeClr w14:val="tx1"/>
                  </w14:solidFill>
                </w14:textFill>
              </w:rPr>
            </w:pPr>
            <w:r>
              <w:rPr>
                <w:rFonts w:hint="eastAsia" w:ascii="宋体" w:hAnsi="宋体" w:cs="宋体"/>
                <w:color w:val="000000" w:themeColor="text1"/>
                <w:kern w:val="0"/>
                <w:szCs w:val="21"/>
                <w:shd w:val="clear" w:color="auto" w:fill="auto"/>
                <w:lang w:val="en-US" w:eastAsia="zh-CN"/>
                <w14:textFill>
                  <w14:solidFill>
                    <w14:schemeClr w14:val="tx1"/>
                  </w14:solidFill>
                </w14:textFill>
              </w:rPr>
              <w:t>松下、雷士、欧普或相当于</w:t>
            </w:r>
          </w:p>
        </w:tc>
        <w:tc>
          <w:tcPr>
            <w:tcW w:w="8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69607F">
            <w:pPr>
              <w:widowControl/>
              <w:jc w:val="center"/>
              <w:rPr>
                <w:rFonts w:hint="eastAsia" w:ascii="宋体" w:hAnsi="宋体" w:cs="宋体"/>
                <w:color w:val="000000" w:themeColor="text1"/>
                <w:kern w:val="0"/>
                <w:szCs w:val="21"/>
                <w:shd w:val="clear" w:color="auto" w:fill="auto"/>
                <w14:textFill>
                  <w14:solidFill>
                    <w14:schemeClr w14:val="tx1"/>
                  </w14:solidFill>
                </w14:textFill>
              </w:rPr>
            </w:pPr>
            <w:r>
              <w:rPr>
                <w:rFonts w:hint="eastAsia" w:ascii="宋体" w:hAnsi="宋体" w:cs="宋体"/>
                <w:color w:val="000000" w:themeColor="text1"/>
                <w:kern w:val="0"/>
                <w:szCs w:val="21"/>
                <w:shd w:val="clear" w:color="auto" w:fill="auto"/>
                <w:lang w:val="en-US" w:eastAsia="zh-CN"/>
                <w14:textFill>
                  <w14:solidFill>
                    <w14:schemeClr w14:val="tx1"/>
                  </w14:solidFill>
                </w14:textFill>
              </w:rPr>
              <w:t>优</w:t>
            </w:r>
          </w:p>
        </w:tc>
        <w:tc>
          <w:tcPr>
            <w:tcW w:w="15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FA32B3">
            <w:pPr>
              <w:widowControl/>
              <w:jc w:val="center"/>
              <w:rPr>
                <w:rFonts w:hint="eastAsia" w:ascii="宋体" w:hAnsi="宋体" w:cs="宋体"/>
                <w:color w:val="000000" w:themeColor="text1"/>
                <w:kern w:val="0"/>
                <w:szCs w:val="21"/>
                <w:shd w:val="clear" w:color="auto" w:fill="auto"/>
                <w14:textFill>
                  <w14:solidFill>
                    <w14:schemeClr w14:val="tx1"/>
                  </w14:solidFill>
                </w14:textFill>
              </w:rPr>
            </w:pPr>
          </w:p>
        </w:tc>
      </w:tr>
      <w:tr w14:paraId="6D66DE54">
        <w:tblPrEx>
          <w:tblCellMar>
            <w:top w:w="0" w:type="dxa"/>
            <w:left w:w="108" w:type="dxa"/>
            <w:bottom w:w="0" w:type="dxa"/>
            <w:right w:w="108" w:type="dxa"/>
          </w:tblCellMar>
        </w:tblPrEx>
        <w:trPr>
          <w:trHeight w:val="980" w:hRule="atLeast"/>
        </w:trPr>
        <w:tc>
          <w:tcPr>
            <w:tcW w:w="960" w:type="dxa"/>
            <w:tcBorders>
              <w:top w:val="single" w:color="000000" w:sz="8" w:space="0"/>
              <w:left w:val="single" w:color="000000" w:sz="8" w:space="0"/>
              <w:bottom w:val="single" w:color="000000" w:sz="8" w:space="0"/>
              <w:right w:val="single" w:color="000000" w:sz="8" w:space="0"/>
            </w:tcBorders>
            <w:shd w:val="clear" w:color="000000" w:fill="FFFFFF"/>
            <w:vAlign w:val="center"/>
          </w:tcPr>
          <w:p w14:paraId="39F9EEA0">
            <w:pPr>
              <w:widowControl/>
              <w:jc w:val="center"/>
              <w:rPr>
                <w:rFonts w:hint="eastAsia" w:ascii="宋体" w:hAnsi="宋体" w:eastAsia="宋体" w:cs="宋体"/>
                <w:color w:val="000000" w:themeColor="text1"/>
                <w:kern w:val="0"/>
                <w:szCs w:val="21"/>
                <w:shd w:val="clear" w:color="auto" w:fill="auto"/>
                <w:lang w:val="en-US" w:eastAsia="zh-CN"/>
                <w14:textFill>
                  <w14:solidFill>
                    <w14:schemeClr w14:val="tx1"/>
                  </w14:solidFill>
                </w14:textFill>
              </w:rPr>
            </w:pPr>
            <w:r>
              <w:rPr>
                <w:rFonts w:hint="eastAsia" w:ascii="宋体" w:hAnsi="宋体" w:cs="宋体"/>
                <w:color w:val="000000" w:themeColor="text1"/>
                <w:kern w:val="0"/>
                <w:szCs w:val="21"/>
                <w:shd w:val="clear" w:color="auto" w:fill="auto"/>
                <w:lang w:val="en-US" w:eastAsia="zh-CN"/>
                <w14:textFill>
                  <w14:solidFill>
                    <w14:schemeClr w14:val="tx1"/>
                  </w14:solidFill>
                </w14:textFill>
              </w:rPr>
              <w:t>9</w:t>
            </w:r>
          </w:p>
        </w:tc>
        <w:tc>
          <w:tcPr>
            <w:tcW w:w="2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C0BC85">
            <w:pPr>
              <w:widowControl/>
              <w:jc w:val="center"/>
              <w:rPr>
                <w:rFonts w:hint="default" w:ascii="宋体" w:hAnsi="宋体" w:cs="宋体"/>
                <w:color w:val="000000" w:themeColor="text1"/>
                <w:kern w:val="0"/>
                <w:szCs w:val="21"/>
                <w:shd w:val="clear" w:color="auto" w:fill="auto"/>
                <w:lang w:val="en-US" w:eastAsia="zh-CN"/>
                <w14:textFill>
                  <w14:solidFill>
                    <w14:schemeClr w14:val="tx1"/>
                  </w14:solidFill>
                </w14:textFill>
              </w:rPr>
            </w:pPr>
            <w:r>
              <w:rPr>
                <w:rFonts w:hint="eastAsia" w:ascii="宋体" w:hAnsi="宋体" w:cs="宋体"/>
                <w:color w:val="000000" w:themeColor="text1"/>
                <w:kern w:val="0"/>
                <w:szCs w:val="21"/>
                <w:shd w:val="clear" w:color="auto" w:fill="auto"/>
                <w:lang w:val="en-US" w:eastAsia="zh-CN"/>
                <w14:textFill>
                  <w14:solidFill>
                    <w14:schemeClr w14:val="tx1"/>
                  </w14:solidFill>
                </w14:textFill>
              </w:rPr>
              <w:t>开关插座</w:t>
            </w:r>
          </w:p>
        </w:tc>
        <w:tc>
          <w:tcPr>
            <w:tcW w:w="41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A542C8">
            <w:pPr>
              <w:widowControl/>
              <w:jc w:val="center"/>
              <w:rPr>
                <w:rFonts w:hint="default" w:ascii="宋体" w:hAnsi="宋体" w:cs="宋体"/>
                <w:color w:val="000000" w:themeColor="text1"/>
                <w:kern w:val="0"/>
                <w:szCs w:val="21"/>
                <w:shd w:val="clear" w:color="auto" w:fill="auto"/>
                <w:lang w:val="en-US" w:eastAsia="zh-CN"/>
                <w14:textFill>
                  <w14:solidFill>
                    <w14:schemeClr w14:val="tx1"/>
                  </w14:solidFill>
                </w14:textFill>
              </w:rPr>
            </w:pPr>
            <w:r>
              <w:rPr>
                <w:rFonts w:hint="eastAsia" w:ascii="宋体" w:hAnsi="宋体" w:cs="宋体"/>
                <w:color w:val="000000" w:themeColor="text1"/>
                <w:kern w:val="0"/>
                <w:szCs w:val="21"/>
                <w:shd w:val="clear" w:color="auto" w:fill="auto"/>
                <w:lang w:val="en-US" w:eastAsia="zh-CN"/>
                <w14:textFill>
                  <w14:solidFill>
                    <w14:schemeClr w14:val="tx1"/>
                  </w14:solidFill>
                </w14:textFill>
              </w:rPr>
              <w:t>正泰、公牛、鸿雁或相当于</w:t>
            </w:r>
          </w:p>
        </w:tc>
        <w:tc>
          <w:tcPr>
            <w:tcW w:w="8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83C0E0">
            <w:pPr>
              <w:widowControl/>
              <w:jc w:val="center"/>
              <w:rPr>
                <w:rFonts w:hint="eastAsia" w:ascii="宋体" w:hAnsi="宋体" w:cs="宋体"/>
                <w:color w:val="000000" w:themeColor="text1"/>
                <w:kern w:val="0"/>
                <w:szCs w:val="21"/>
                <w:shd w:val="clear" w:color="auto" w:fill="auto"/>
                <w14:textFill>
                  <w14:solidFill>
                    <w14:schemeClr w14:val="tx1"/>
                  </w14:solidFill>
                </w14:textFill>
              </w:rPr>
            </w:pPr>
            <w:r>
              <w:rPr>
                <w:rFonts w:hint="eastAsia" w:ascii="宋体" w:hAnsi="宋体" w:cs="宋体"/>
                <w:color w:val="000000" w:themeColor="text1"/>
                <w:kern w:val="0"/>
                <w:szCs w:val="21"/>
                <w:shd w:val="clear" w:color="auto" w:fill="auto"/>
                <w:lang w:val="en-US" w:eastAsia="zh-CN"/>
                <w14:textFill>
                  <w14:solidFill>
                    <w14:schemeClr w14:val="tx1"/>
                  </w14:solidFill>
                </w14:textFill>
              </w:rPr>
              <w:t>优</w:t>
            </w:r>
          </w:p>
        </w:tc>
        <w:tc>
          <w:tcPr>
            <w:tcW w:w="15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2E80E2">
            <w:pPr>
              <w:widowControl/>
              <w:jc w:val="center"/>
              <w:rPr>
                <w:rFonts w:hint="eastAsia" w:ascii="宋体" w:hAnsi="宋体" w:cs="宋体"/>
                <w:color w:val="000000" w:themeColor="text1"/>
                <w:kern w:val="0"/>
                <w:szCs w:val="21"/>
                <w:shd w:val="clear" w:color="auto" w:fill="auto"/>
                <w14:textFill>
                  <w14:solidFill>
                    <w14:schemeClr w14:val="tx1"/>
                  </w14:solidFill>
                </w14:textFill>
              </w:rPr>
            </w:pPr>
          </w:p>
        </w:tc>
      </w:tr>
      <w:tr w14:paraId="4211BE9D">
        <w:tblPrEx>
          <w:tblCellMar>
            <w:top w:w="0" w:type="dxa"/>
            <w:left w:w="108" w:type="dxa"/>
            <w:bottom w:w="0" w:type="dxa"/>
            <w:right w:w="108" w:type="dxa"/>
          </w:tblCellMar>
        </w:tblPrEx>
        <w:trPr>
          <w:trHeight w:val="980" w:hRule="atLeast"/>
        </w:trPr>
        <w:tc>
          <w:tcPr>
            <w:tcW w:w="960" w:type="dxa"/>
            <w:tcBorders>
              <w:top w:val="single" w:color="000000" w:sz="8" w:space="0"/>
              <w:left w:val="single" w:color="000000" w:sz="8" w:space="0"/>
              <w:bottom w:val="single" w:color="000000" w:sz="8" w:space="0"/>
              <w:right w:val="single" w:color="000000" w:sz="8" w:space="0"/>
            </w:tcBorders>
            <w:shd w:val="clear" w:color="000000" w:fill="FFFFFF"/>
            <w:vAlign w:val="center"/>
          </w:tcPr>
          <w:p w14:paraId="206DE628">
            <w:pPr>
              <w:widowControl/>
              <w:jc w:val="center"/>
              <w:rPr>
                <w:rFonts w:hint="default" w:ascii="宋体" w:hAnsi="宋体" w:eastAsia="宋体" w:cs="宋体"/>
                <w:color w:val="000000" w:themeColor="text1"/>
                <w:kern w:val="0"/>
                <w:szCs w:val="21"/>
                <w:shd w:val="clear" w:color="auto" w:fill="auto"/>
                <w:lang w:val="en-US" w:eastAsia="zh-CN"/>
                <w14:textFill>
                  <w14:solidFill>
                    <w14:schemeClr w14:val="tx1"/>
                  </w14:solidFill>
                </w14:textFill>
              </w:rPr>
            </w:pPr>
            <w:r>
              <w:rPr>
                <w:rFonts w:hint="eastAsia" w:ascii="宋体" w:hAnsi="宋体" w:cs="宋体"/>
                <w:color w:val="000000" w:themeColor="text1"/>
                <w:kern w:val="0"/>
                <w:szCs w:val="21"/>
                <w:shd w:val="clear" w:color="auto" w:fill="auto"/>
                <w:lang w:val="en-US" w:eastAsia="zh-CN"/>
                <w14:textFill>
                  <w14:solidFill>
                    <w14:schemeClr w14:val="tx1"/>
                  </w14:solidFill>
                </w14:textFill>
              </w:rPr>
              <w:t>10</w:t>
            </w:r>
          </w:p>
        </w:tc>
        <w:tc>
          <w:tcPr>
            <w:tcW w:w="2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984A82">
            <w:pPr>
              <w:widowControl/>
              <w:jc w:val="center"/>
              <w:rPr>
                <w:rFonts w:hint="default" w:ascii="宋体" w:hAnsi="宋体" w:cs="宋体"/>
                <w:color w:val="000000" w:themeColor="text1"/>
                <w:kern w:val="0"/>
                <w:szCs w:val="21"/>
                <w:shd w:val="clear" w:color="auto" w:fill="auto"/>
                <w:lang w:val="en-US" w:eastAsia="zh-CN"/>
                <w14:textFill>
                  <w14:solidFill>
                    <w14:schemeClr w14:val="tx1"/>
                  </w14:solidFill>
                </w14:textFill>
              </w:rPr>
            </w:pPr>
            <w:r>
              <w:rPr>
                <w:rFonts w:hint="eastAsia" w:ascii="宋体" w:hAnsi="宋体" w:cs="宋体"/>
                <w:color w:val="000000" w:themeColor="text1"/>
                <w:kern w:val="0"/>
                <w:szCs w:val="21"/>
                <w:shd w:val="clear" w:color="auto" w:fill="auto"/>
                <w:lang w:val="en-US" w:eastAsia="zh-CN"/>
                <w14:textFill>
                  <w14:solidFill>
                    <w14:schemeClr w14:val="tx1"/>
                  </w14:solidFill>
                </w14:textFill>
              </w:rPr>
              <w:t>地坪漆</w:t>
            </w:r>
          </w:p>
        </w:tc>
        <w:tc>
          <w:tcPr>
            <w:tcW w:w="41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C12F4D">
            <w:pPr>
              <w:widowControl/>
              <w:jc w:val="center"/>
              <w:rPr>
                <w:rFonts w:hint="default" w:ascii="宋体" w:hAnsi="宋体" w:cs="宋体"/>
                <w:color w:val="000000" w:themeColor="text1"/>
                <w:kern w:val="0"/>
                <w:szCs w:val="21"/>
                <w:shd w:val="clear" w:color="auto" w:fill="auto"/>
                <w:lang w:val="en-US" w:eastAsia="zh-CN"/>
                <w14:textFill>
                  <w14:solidFill>
                    <w14:schemeClr w14:val="tx1"/>
                  </w14:solidFill>
                </w14:textFill>
              </w:rPr>
            </w:pPr>
            <w:r>
              <w:rPr>
                <w:rFonts w:hint="eastAsia" w:ascii="宋体" w:hAnsi="宋体" w:cs="宋体"/>
                <w:color w:val="000000" w:themeColor="text1"/>
                <w:kern w:val="0"/>
                <w:szCs w:val="21"/>
                <w:shd w:val="clear" w:color="auto" w:fill="auto"/>
                <w:lang w:val="en-US" w:eastAsia="zh-CN"/>
                <w14:textFill>
                  <w14:solidFill>
                    <w14:schemeClr w14:val="tx1"/>
                  </w14:solidFill>
                </w14:textFill>
              </w:rPr>
              <w:t>立邦、多乐士、华润或相当于</w:t>
            </w:r>
          </w:p>
        </w:tc>
        <w:tc>
          <w:tcPr>
            <w:tcW w:w="8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4E596E">
            <w:pPr>
              <w:widowControl/>
              <w:jc w:val="center"/>
              <w:rPr>
                <w:rFonts w:hint="eastAsia" w:ascii="宋体" w:hAnsi="宋体" w:cs="宋体"/>
                <w:color w:val="000000" w:themeColor="text1"/>
                <w:kern w:val="0"/>
                <w:szCs w:val="21"/>
                <w:shd w:val="clear" w:color="auto" w:fill="auto"/>
                <w14:textFill>
                  <w14:solidFill>
                    <w14:schemeClr w14:val="tx1"/>
                  </w14:solidFill>
                </w14:textFill>
              </w:rPr>
            </w:pPr>
            <w:r>
              <w:rPr>
                <w:rFonts w:hint="eastAsia" w:ascii="宋体" w:hAnsi="宋体" w:cs="宋体"/>
                <w:color w:val="000000" w:themeColor="text1"/>
                <w:kern w:val="0"/>
                <w:szCs w:val="21"/>
                <w:shd w:val="clear" w:color="auto" w:fill="auto"/>
                <w:lang w:val="en-US" w:eastAsia="zh-CN"/>
                <w14:textFill>
                  <w14:solidFill>
                    <w14:schemeClr w14:val="tx1"/>
                  </w14:solidFill>
                </w14:textFill>
              </w:rPr>
              <w:t>优</w:t>
            </w:r>
          </w:p>
        </w:tc>
        <w:tc>
          <w:tcPr>
            <w:tcW w:w="15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61264D">
            <w:pPr>
              <w:widowControl/>
              <w:jc w:val="center"/>
              <w:rPr>
                <w:rFonts w:hint="eastAsia" w:ascii="宋体" w:hAnsi="宋体" w:cs="宋体"/>
                <w:color w:val="000000" w:themeColor="text1"/>
                <w:kern w:val="0"/>
                <w:szCs w:val="21"/>
                <w:shd w:val="clear" w:color="auto" w:fill="auto"/>
                <w14:textFill>
                  <w14:solidFill>
                    <w14:schemeClr w14:val="tx1"/>
                  </w14:solidFill>
                </w14:textFill>
              </w:rPr>
            </w:pPr>
          </w:p>
        </w:tc>
      </w:tr>
      <w:tr w14:paraId="341B4BA0">
        <w:tblPrEx>
          <w:tblCellMar>
            <w:top w:w="0" w:type="dxa"/>
            <w:left w:w="108" w:type="dxa"/>
            <w:bottom w:w="0" w:type="dxa"/>
            <w:right w:w="108" w:type="dxa"/>
          </w:tblCellMar>
        </w:tblPrEx>
        <w:trPr>
          <w:trHeight w:val="980" w:hRule="atLeast"/>
        </w:trPr>
        <w:tc>
          <w:tcPr>
            <w:tcW w:w="960" w:type="dxa"/>
            <w:tcBorders>
              <w:top w:val="single" w:color="000000" w:sz="8" w:space="0"/>
              <w:left w:val="single" w:color="000000" w:sz="8" w:space="0"/>
              <w:bottom w:val="single" w:color="000000" w:sz="8" w:space="0"/>
              <w:right w:val="single" w:color="000000" w:sz="8" w:space="0"/>
            </w:tcBorders>
            <w:shd w:val="clear" w:color="000000" w:fill="FFFFFF"/>
            <w:vAlign w:val="center"/>
          </w:tcPr>
          <w:p w14:paraId="3AE2B222">
            <w:pPr>
              <w:widowControl/>
              <w:jc w:val="center"/>
              <w:rPr>
                <w:rFonts w:hint="default" w:ascii="宋体" w:hAnsi="宋体" w:eastAsia="宋体" w:cs="宋体"/>
                <w:color w:val="000000" w:themeColor="text1"/>
                <w:kern w:val="0"/>
                <w:szCs w:val="21"/>
                <w:shd w:val="clear" w:color="auto" w:fill="auto"/>
                <w:lang w:val="en-US" w:eastAsia="zh-CN"/>
                <w14:textFill>
                  <w14:solidFill>
                    <w14:schemeClr w14:val="tx1"/>
                  </w14:solidFill>
                </w14:textFill>
              </w:rPr>
            </w:pPr>
            <w:r>
              <w:rPr>
                <w:rFonts w:hint="eastAsia" w:ascii="宋体" w:hAnsi="宋体" w:cs="宋体"/>
                <w:color w:val="000000" w:themeColor="text1"/>
                <w:kern w:val="0"/>
                <w:szCs w:val="21"/>
                <w:shd w:val="clear" w:color="auto" w:fill="auto"/>
                <w:lang w:val="en-US" w:eastAsia="zh-CN"/>
                <w14:textFill>
                  <w14:solidFill>
                    <w14:schemeClr w14:val="tx1"/>
                  </w14:solidFill>
                </w14:textFill>
              </w:rPr>
              <w:t>11</w:t>
            </w:r>
          </w:p>
        </w:tc>
        <w:tc>
          <w:tcPr>
            <w:tcW w:w="2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10E92B">
            <w:pPr>
              <w:widowControl/>
              <w:jc w:val="center"/>
              <w:rPr>
                <w:rFonts w:hint="default" w:ascii="宋体" w:hAnsi="宋体" w:cs="宋体"/>
                <w:color w:val="000000" w:themeColor="text1"/>
                <w:kern w:val="0"/>
                <w:szCs w:val="21"/>
                <w:shd w:val="clear" w:color="auto" w:fill="auto"/>
                <w:lang w:val="en-US" w:eastAsia="zh-CN"/>
                <w14:textFill>
                  <w14:solidFill>
                    <w14:schemeClr w14:val="tx1"/>
                  </w14:solidFill>
                </w14:textFill>
              </w:rPr>
            </w:pPr>
            <w:r>
              <w:rPr>
                <w:rFonts w:hint="eastAsia" w:ascii="宋体" w:hAnsi="宋体" w:cs="宋体"/>
                <w:color w:val="000000" w:themeColor="text1"/>
                <w:kern w:val="0"/>
                <w:szCs w:val="21"/>
                <w:shd w:val="clear" w:color="auto" w:fill="auto"/>
                <w:lang w:val="en-US" w:eastAsia="zh-CN"/>
                <w14:textFill>
                  <w14:solidFill>
                    <w14:schemeClr w14:val="tx1"/>
                  </w14:solidFill>
                </w14:textFill>
              </w:rPr>
              <w:t>九夹板、细木工板</w:t>
            </w:r>
          </w:p>
        </w:tc>
        <w:tc>
          <w:tcPr>
            <w:tcW w:w="41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A3710B">
            <w:pPr>
              <w:widowControl/>
              <w:jc w:val="center"/>
              <w:rPr>
                <w:rFonts w:hint="default" w:ascii="宋体" w:hAnsi="宋体" w:cs="宋体"/>
                <w:color w:val="000000" w:themeColor="text1"/>
                <w:kern w:val="0"/>
                <w:szCs w:val="21"/>
                <w:shd w:val="clear" w:color="auto" w:fill="auto"/>
                <w:lang w:val="en-US" w:eastAsia="zh-CN"/>
                <w14:textFill>
                  <w14:solidFill>
                    <w14:schemeClr w14:val="tx1"/>
                  </w14:solidFill>
                </w14:textFill>
              </w:rPr>
            </w:pPr>
            <w:r>
              <w:rPr>
                <w:rFonts w:hint="eastAsia" w:ascii="宋体" w:hAnsi="宋体" w:cs="宋体"/>
                <w:color w:val="000000" w:themeColor="text1"/>
                <w:kern w:val="0"/>
                <w:szCs w:val="21"/>
                <w:shd w:val="clear" w:color="auto" w:fill="auto"/>
                <w:lang w:val="en-US" w:eastAsia="zh-CN"/>
                <w14:textFill>
                  <w14:solidFill>
                    <w14:schemeClr w14:val="tx1"/>
                  </w14:solidFill>
                </w14:textFill>
              </w:rPr>
              <w:t>千年舟、莫干山、百源或相当于</w:t>
            </w:r>
          </w:p>
        </w:tc>
        <w:tc>
          <w:tcPr>
            <w:tcW w:w="8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FCD224">
            <w:pPr>
              <w:widowControl/>
              <w:jc w:val="center"/>
              <w:rPr>
                <w:rFonts w:hint="eastAsia" w:ascii="宋体" w:hAnsi="宋体" w:cs="宋体"/>
                <w:color w:val="000000" w:themeColor="text1"/>
                <w:kern w:val="0"/>
                <w:szCs w:val="21"/>
                <w:shd w:val="clear" w:color="auto" w:fill="auto"/>
                <w14:textFill>
                  <w14:solidFill>
                    <w14:schemeClr w14:val="tx1"/>
                  </w14:solidFill>
                </w14:textFill>
              </w:rPr>
            </w:pPr>
            <w:r>
              <w:rPr>
                <w:rFonts w:hint="eastAsia" w:ascii="宋体" w:hAnsi="宋体" w:cs="宋体"/>
                <w:color w:val="000000" w:themeColor="text1"/>
                <w:kern w:val="0"/>
                <w:szCs w:val="21"/>
                <w:shd w:val="clear" w:color="auto" w:fill="auto"/>
                <w:lang w:val="en-US" w:eastAsia="zh-CN"/>
                <w14:textFill>
                  <w14:solidFill>
                    <w14:schemeClr w14:val="tx1"/>
                  </w14:solidFill>
                </w14:textFill>
              </w:rPr>
              <w:t>优</w:t>
            </w:r>
          </w:p>
        </w:tc>
        <w:tc>
          <w:tcPr>
            <w:tcW w:w="15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0C6B8B">
            <w:pPr>
              <w:widowControl/>
              <w:jc w:val="center"/>
              <w:rPr>
                <w:rFonts w:hint="eastAsia" w:ascii="宋体" w:hAnsi="宋体" w:cs="宋体"/>
                <w:color w:val="000000" w:themeColor="text1"/>
                <w:kern w:val="0"/>
                <w:szCs w:val="21"/>
                <w:shd w:val="clear" w:color="auto" w:fill="auto"/>
                <w14:textFill>
                  <w14:solidFill>
                    <w14:schemeClr w14:val="tx1"/>
                  </w14:solidFill>
                </w14:textFill>
              </w:rPr>
            </w:pPr>
          </w:p>
        </w:tc>
      </w:tr>
      <w:tr w14:paraId="1BF5C4DD">
        <w:tblPrEx>
          <w:tblCellMar>
            <w:top w:w="0" w:type="dxa"/>
            <w:left w:w="108" w:type="dxa"/>
            <w:bottom w:w="0" w:type="dxa"/>
            <w:right w:w="108" w:type="dxa"/>
          </w:tblCellMar>
        </w:tblPrEx>
        <w:trPr>
          <w:trHeight w:val="980" w:hRule="atLeast"/>
        </w:trPr>
        <w:tc>
          <w:tcPr>
            <w:tcW w:w="960" w:type="dxa"/>
            <w:tcBorders>
              <w:top w:val="single" w:color="000000" w:sz="8" w:space="0"/>
              <w:left w:val="single" w:color="000000" w:sz="8" w:space="0"/>
              <w:bottom w:val="single" w:color="000000" w:sz="8" w:space="0"/>
              <w:right w:val="single" w:color="000000" w:sz="8" w:space="0"/>
            </w:tcBorders>
            <w:shd w:val="clear" w:color="000000" w:fill="FFFFFF"/>
            <w:vAlign w:val="center"/>
          </w:tcPr>
          <w:p w14:paraId="6725395C">
            <w:pPr>
              <w:widowControl/>
              <w:jc w:val="center"/>
              <w:rPr>
                <w:rFonts w:hint="default" w:ascii="宋体" w:hAnsi="宋体" w:cs="宋体"/>
                <w:color w:val="000000" w:themeColor="text1"/>
                <w:kern w:val="0"/>
                <w:szCs w:val="21"/>
                <w:shd w:val="clear" w:color="auto" w:fill="auto"/>
                <w:lang w:val="en-US" w:eastAsia="zh-CN"/>
                <w14:textFill>
                  <w14:solidFill>
                    <w14:schemeClr w14:val="tx1"/>
                  </w14:solidFill>
                </w14:textFill>
              </w:rPr>
            </w:pPr>
            <w:r>
              <w:rPr>
                <w:rFonts w:hint="eastAsia" w:ascii="宋体" w:hAnsi="宋体" w:cs="宋体"/>
                <w:color w:val="000000" w:themeColor="text1"/>
                <w:kern w:val="0"/>
                <w:szCs w:val="21"/>
                <w:shd w:val="clear" w:color="auto" w:fill="auto"/>
                <w:lang w:val="en-US" w:eastAsia="zh-CN"/>
                <w14:textFill>
                  <w14:solidFill>
                    <w14:schemeClr w14:val="tx1"/>
                  </w14:solidFill>
                </w14:textFill>
              </w:rPr>
              <w:t>12</w:t>
            </w:r>
          </w:p>
        </w:tc>
        <w:tc>
          <w:tcPr>
            <w:tcW w:w="2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2CFDEB">
            <w:pPr>
              <w:widowControl/>
              <w:jc w:val="center"/>
              <w:rPr>
                <w:rFonts w:hint="eastAsia" w:ascii="宋体" w:hAnsi="宋体" w:cs="宋体"/>
                <w:color w:val="000000" w:themeColor="text1"/>
                <w:kern w:val="0"/>
                <w:szCs w:val="21"/>
                <w:shd w:val="clear" w:color="auto" w:fill="auto"/>
                <w:lang w:val="en-US" w:eastAsia="zh-CN"/>
                <w14:textFill>
                  <w14:solidFill>
                    <w14:schemeClr w14:val="tx1"/>
                  </w14:solidFill>
                </w14:textFill>
              </w:rPr>
            </w:pPr>
          </w:p>
          <w:p w14:paraId="24598A9E">
            <w:pPr>
              <w:bidi w:val="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石塑地板</w:t>
            </w:r>
          </w:p>
        </w:tc>
        <w:tc>
          <w:tcPr>
            <w:tcW w:w="41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D8FF7D">
            <w:pPr>
              <w:tabs>
                <w:tab w:val="left" w:pos="3011"/>
              </w:tabs>
              <w:bidi w:val="0"/>
              <w:jc w:val="center"/>
              <w:rPr>
                <w:rFonts w:hint="eastAsia" w:ascii="Times New Roman" w:hAnsi="Times New Roman" w:eastAsia="宋体" w:cs="Times New Roman"/>
                <w:kern w:val="2"/>
                <w:sz w:val="21"/>
                <w:szCs w:val="24"/>
                <w:lang w:val="en-US" w:eastAsia="zh-CN" w:bidi="ar-SA"/>
              </w:rPr>
            </w:pPr>
            <w:r>
              <w:rPr>
                <w:rFonts w:hint="eastAsia" w:ascii="宋体" w:hAnsi="宋体" w:cs="宋体"/>
                <w:color w:val="000000" w:themeColor="text1"/>
                <w:kern w:val="0"/>
                <w:szCs w:val="21"/>
                <w:shd w:val="clear" w:color="auto" w:fill="auto"/>
                <w:lang w:val="en-US" w:eastAsia="zh-CN"/>
                <w14:textFill>
                  <w14:solidFill>
                    <w14:schemeClr w14:val="tx1"/>
                  </w14:solidFill>
                </w14:textFill>
              </w:rPr>
              <w:t>美利肯，华丽，福勒或相当于</w:t>
            </w:r>
          </w:p>
        </w:tc>
        <w:tc>
          <w:tcPr>
            <w:tcW w:w="8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A1CC91">
            <w:pPr>
              <w:widowControl/>
              <w:jc w:val="center"/>
              <w:rPr>
                <w:rFonts w:hint="eastAsia" w:ascii="宋体" w:hAnsi="宋体" w:cs="宋体"/>
                <w:color w:val="000000" w:themeColor="text1"/>
                <w:kern w:val="0"/>
                <w:szCs w:val="21"/>
                <w:shd w:val="clear" w:color="auto" w:fill="auto"/>
                <w:lang w:val="en-US" w:eastAsia="zh-CN"/>
                <w14:textFill>
                  <w14:solidFill>
                    <w14:schemeClr w14:val="tx1"/>
                  </w14:solidFill>
                </w14:textFill>
              </w:rPr>
            </w:pPr>
            <w:r>
              <w:rPr>
                <w:rFonts w:hint="eastAsia" w:ascii="宋体" w:hAnsi="宋体" w:cs="宋体"/>
                <w:color w:val="000000" w:themeColor="text1"/>
                <w:kern w:val="0"/>
                <w:szCs w:val="21"/>
                <w:shd w:val="clear" w:color="auto" w:fill="auto"/>
                <w:lang w:val="en-US" w:eastAsia="zh-CN"/>
                <w14:textFill>
                  <w14:solidFill>
                    <w14:schemeClr w14:val="tx1"/>
                  </w14:solidFill>
                </w14:textFill>
              </w:rPr>
              <w:t>优</w:t>
            </w:r>
          </w:p>
        </w:tc>
        <w:tc>
          <w:tcPr>
            <w:tcW w:w="15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F7E746">
            <w:pPr>
              <w:widowControl/>
              <w:jc w:val="center"/>
              <w:rPr>
                <w:rFonts w:hint="eastAsia" w:ascii="宋体" w:hAnsi="宋体" w:cs="宋体"/>
                <w:color w:val="000000" w:themeColor="text1"/>
                <w:kern w:val="0"/>
                <w:szCs w:val="21"/>
                <w:shd w:val="clear" w:color="auto" w:fill="auto"/>
                <w14:textFill>
                  <w14:solidFill>
                    <w14:schemeClr w14:val="tx1"/>
                  </w14:solidFill>
                </w14:textFill>
              </w:rPr>
            </w:pPr>
          </w:p>
        </w:tc>
      </w:tr>
    </w:tbl>
    <w:p w14:paraId="6A897983">
      <w:pPr>
        <w:snapToGrid w:val="0"/>
        <w:spacing w:line="360" w:lineRule="auto"/>
        <w:jc w:val="center"/>
        <w:rPr>
          <w:rFonts w:ascii="宋体" w:hAnsi="宋体" w:cs="宋体"/>
          <w:b/>
          <w:color w:val="auto"/>
          <w:sz w:val="36"/>
          <w:szCs w:val="20"/>
          <w:highlight w:val="none"/>
        </w:rPr>
      </w:pPr>
      <w:r>
        <w:rPr>
          <w:rFonts w:hint="eastAsia" w:ascii="宋体" w:hAnsi="宋体" w:cs="宋体"/>
          <w:b/>
          <w:color w:val="auto"/>
          <w:sz w:val="24"/>
          <w:highlight w:val="none"/>
        </w:rPr>
        <w:br w:type="page"/>
      </w:r>
      <w:r>
        <w:rPr>
          <w:rFonts w:hint="eastAsia" w:ascii="宋体" w:hAnsi="宋体" w:cs="宋体"/>
          <w:b/>
          <w:color w:val="auto"/>
          <w:sz w:val="36"/>
          <w:szCs w:val="20"/>
          <w:highlight w:val="none"/>
        </w:rPr>
        <w:t>第四部分</w:t>
      </w:r>
      <w:bookmarkStart w:id="31" w:name="_Toc184314419"/>
      <w:bookmarkEnd w:id="31"/>
      <w:bookmarkStart w:id="32" w:name="_Toc184310344"/>
      <w:bookmarkEnd w:id="32"/>
      <w:bookmarkStart w:id="33" w:name="_Toc184312083"/>
      <w:bookmarkEnd w:id="33"/>
      <w:bookmarkStart w:id="34" w:name="_Toc184313261"/>
      <w:bookmarkEnd w:id="34"/>
      <w:bookmarkStart w:id="35" w:name="_Toc184308077"/>
      <w:bookmarkEnd w:id="35"/>
      <w:bookmarkStart w:id="36" w:name="_Toc184314438"/>
      <w:bookmarkEnd w:id="36"/>
      <w:bookmarkStart w:id="37" w:name="_Toc184312127"/>
      <w:bookmarkEnd w:id="37"/>
      <w:bookmarkStart w:id="38" w:name="_Toc184310307"/>
      <w:bookmarkEnd w:id="38"/>
      <w:bookmarkStart w:id="39" w:name="_Toc184308075"/>
      <w:bookmarkEnd w:id="39"/>
      <w:bookmarkStart w:id="40" w:name="_Toc184310286"/>
      <w:bookmarkEnd w:id="40"/>
      <w:bookmarkStart w:id="41" w:name="_Toc184310325"/>
      <w:bookmarkEnd w:id="41"/>
      <w:bookmarkStart w:id="42" w:name="_Toc184314478"/>
      <w:bookmarkEnd w:id="42"/>
      <w:bookmarkStart w:id="43" w:name="_Toc184313291"/>
      <w:bookmarkEnd w:id="43"/>
      <w:bookmarkStart w:id="44" w:name="_Toc184314430"/>
      <w:bookmarkEnd w:id="44"/>
      <w:bookmarkStart w:id="45" w:name="_Toc184308105"/>
      <w:bookmarkEnd w:id="45"/>
      <w:bookmarkStart w:id="46" w:name="_Toc184313301"/>
      <w:bookmarkEnd w:id="46"/>
      <w:bookmarkStart w:id="47" w:name="_Toc184308039"/>
      <w:bookmarkEnd w:id="47"/>
      <w:bookmarkStart w:id="48" w:name="_Toc184314418"/>
      <w:bookmarkEnd w:id="48"/>
      <w:bookmarkStart w:id="49" w:name="_Toc184312124"/>
      <w:bookmarkEnd w:id="49"/>
      <w:bookmarkStart w:id="50" w:name="_Toc184310294"/>
      <w:bookmarkEnd w:id="50"/>
      <w:bookmarkStart w:id="51" w:name="_Toc184310302"/>
      <w:bookmarkEnd w:id="51"/>
      <w:bookmarkStart w:id="52" w:name="_Toc184310313"/>
      <w:bookmarkEnd w:id="52"/>
      <w:bookmarkStart w:id="53" w:name="_Toc184310282"/>
      <w:bookmarkEnd w:id="53"/>
      <w:bookmarkStart w:id="54" w:name="_Toc184308056"/>
      <w:bookmarkEnd w:id="54"/>
      <w:bookmarkStart w:id="55" w:name="_Toc184310322"/>
      <w:bookmarkEnd w:id="55"/>
      <w:bookmarkStart w:id="56" w:name="_Toc184308089"/>
      <w:bookmarkEnd w:id="56"/>
      <w:bookmarkStart w:id="57" w:name="_Toc184308103"/>
      <w:bookmarkEnd w:id="57"/>
      <w:bookmarkStart w:id="58" w:name="_Toc184312110"/>
      <w:bookmarkEnd w:id="58"/>
      <w:bookmarkStart w:id="59" w:name="_Toc184308071"/>
      <w:bookmarkEnd w:id="59"/>
      <w:bookmarkStart w:id="60" w:name="_Toc184314413"/>
      <w:bookmarkEnd w:id="60"/>
      <w:bookmarkStart w:id="61" w:name="_Toc184312130"/>
      <w:bookmarkEnd w:id="61"/>
      <w:bookmarkStart w:id="62" w:name="_Toc184314471"/>
      <w:bookmarkEnd w:id="62"/>
      <w:bookmarkStart w:id="63" w:name="_Toc184310305"/>
      <w:bookmarkEnd w:id="63"/>
      <w:bookmarkStart w:id="64" w:name="_Toc184313280"/>
      <w:bookmarkEnd w:id="64"/>
      <w:bookmarkStart w:id="65" w:name="_Toc184312100"/>
      <w:bookmarkEnd w:id="65"/>
      <w:bookmarkStart w:id="66" w:name="_Toc184312069"/>
      <w:bookmarkEnd w:id="66"/>
      <w:bookmarkStart w:id="67" w:name="_Toc184312136"/>
      <w:bookmarkEnd w:id="67"/>
      <w:bookmarkStart w:id="68" w:name="_Toc184310337"/>
      <w:bookmarkEnd w:id="68"/>
      <w:bookmarkStart w:id="69" w:name="_Toc184313244"/>
      <w:bookmarkEnd w:id="69"/>
      <w:bookmarkStart w:id="70" w:name="_Toc184312076"/>
      <w:bookmarkEnd w:id="70"/>
      <w:bookmarkStart w:id="71" w:name="_Toc184308088"/>
      <w:bookmarkEnd w:id="71"/>
      <w:bookmarkStart w:id="72" w:name="_Toc184308045"/>
      <w:bookmarkEnd w:id="72"/>
      <w:bookmarkStart w:id="73" w:name="_Toc184310291"/>
      <w:bookmarkEnd w:id="73"/>
      <w:bookmarkStart w:id="74" w:name="_Toc184313294"/>
      <w:bookmarkEnd w:id="74"/>
      <w:bookmarkStart w:id="75" w:name="_Toc184314482"/>
      <w:bookmarkEnd w:id="75"/>
      <w:bookmarkStart w:id="76" w:name="_Toc184310316"/>
      <w:bookmarkEnd w:id="76"/>
      <w:bookmarkStart w:id="77" w:name="_Toc184308081"/>
      <w:bookmarkEnd w:id="77"/>
      <w:bookmarkStart w:id="78" w:name="_Toc184313303"/>
      <w:bookmarkEnd w:id="78"/>
      <w:bookmarkStart w:id="79" w:name="_Toc184312082"/>
      <w:bookmarkEnd w:id="79"/>
      <w:bookmarkStart w:id="80" w:name="_Toc184312115"/>
      <w:bookmarkEnd w:id="80"/>
      <w:bookmarkStart w:id="81" w:name="_Toc184314442"/>
      <w:bookmarkEnd w:id="81"/>
      <w:bookmarkStart w:id="82" w:name="_Toc184308099"/>
      <w:bookmarkEnd w:id="82"/>
      <w:bookmarkStart w:id="83" w:name="_Toc184308055"/>
      <w:bookmarkEnd w:id="83"/>
      <w:bookmarkStart w:id="84" w:name="_Toc184308078"/>
      <w:bookmarkEnd w:id="84"/>
      <w:bookmarkStart w:id="85" w:name="_Toc184313279"/>
      <w:bookmarkEnd w:id="85"/>
      <w:bookmarkStart w:id="86" w:name="_Toc184312105"/>
      <w:bookmarkEnd w:id="86"/>
      <w:bookmarkStart w:id="87" w:name="_Toc184310324"/>
      <w:bookmarkEnd w:id="87"/>
      <w:bookmarkStart w:id="88" w:name="_Toc184312121"/>
      <w:bookmarkEnd w:id="88"/>
      <w:bookmarkStart w:id="89" w:name="_Toc184310334"/>
      <w:bookmarkEnd w:id="89"/>
      <w:bookmarkStart w:id="90" w:name="_Toc184314420"/>
      <w:bookmarkEnd w:id="90"/>
      <w:bookmarkStart w:id="91" w:name="_Toc184310331"/>
      <w:bookmarkEnd w:id="91"/>
      <w:bookmarkStart w:id="92" w:name="_Toc184312135"/>
      <w:bookmarkEnd w:id="92"/>
      <w:bookmarkStart w:id="93" w:name="_Toc184314417"/>
      <w:bookmarkEnd w:id="93"/>
      <w:bookmarkStart w:id="94" w:name="_Toc184313275"/>
      <w:bookmarkEnd w:id="94"/>
      <w:bookmarkStart w:id="95" w:name="_Toc184310310"/>
      <w:bookmarkEnd w:id="95"/>
      <w:bookmarkStart w:id="96" w:name="_Toc184313268"/>
      <w:bookmarkEnd w:id="96"/>
      <w:bookmarkStart w:id="97" w:name="_Toc184310343"/>
      <w:bookmarkEnd w:id="97"/>
      <w:bookmarkStart w:id="98" w:name="_Toc184313298"/>
      <w:bookmarkEnd w:id="98"/>
      <w:bookmarkStart w:id="99" w:name="_Toc184310292"/>
      <w:bookmarkEnd w:id="99"/>
      <w:bookmarkStart w:id="100" w:name="_Toc184313290"/>
      <w:bookmarkEnd w:id="100"/>
      <w:bookmarkStart w:id="101" w:name="_Toc184308067"/>
      <w:bookmarkEnd w:id="101"/>
      <w:bookmarkStart w:id="102" w:name="_Toc184314434"/>
      <w:bookmarkEnd w:id="102"/>
      <w:bookmarkStart w:id="103" w:name="_Toc184310296"/>
      <w:bookmarkEnd w:id="103"/>
      <w:bookmarkStart w:id="104" w:name="_Toc184312084"/>
      <w:bookmarkEnd w:id="104"/>
      <w:bookmarkStart w:id="105" w:name="_Toc184312119"/>
      <w:bookmarkEnd w:id="105"/>
      <w:bookmarkStart w:id="106" w:name="_Toc184310297"/>
      <w:bookmarkEnd w:id="106"/>
      <w:bookmarkStart w:id="107" w:name="_Toc184310304"/>
      <w:bookmarkEnd w:id="107"/>
      <w:bookmarkStart w:id="108" w:name="_Toc184310321"/>
      <w:bookmarkEnd w:id="108"/>
      <w:bookmarkStart w:id="109" w:name="_Toc184310328"/>
      <w:bookmarkEnd w:id="109"/>
      <w:bookmarkStart w:id="110" w:name="_Toc184312117"/>
      <w:bookmarkEnd w:id="110"/>
      <w:bookmarkStart w:id="111" w:name="_Toc184313287"/>
      <w:bookmarkEnd w:id="111"/>
      <w:bookmarkStart w:id="112" w:name="_Toc184312079"/>
      <w:bookmarkEnd w:id="112"/>
      <w:bookmarkStart w:id="113" w:name="_Toc184312073"/>
      <w:bookmarkEnd w:id="113"/>
      <w:bookmarkStart w:id="114" w:name="_Toc184314426"/>
      <w:bookmarkEnd w:id="114"/>
      <w:bookmarkStart w:id="115" w:name="_Toc184314480"/>
      <w:bookmarkEnd w:id="115"/>
      <w:bookmarkStart w:id="116" w:name="_Toc184308038"/>
      <w:bookmarkEnd w:id="116"/>
      <w:bookmarkStart w:id="117" w:name="_Toc184308107"/>
      <w:bookmarkEnd w:id="117"/>
      <w:bookmarkStart w:id="118" w:name="_Toc184312101"/>
      <w:bookmarkEnd w:id="118"/>
      <w:bookmarkStart w:id="119" w:name="_Toc184313254"/>
      <w:bookmarkEnd w:id="119"/>
      <w:bookmarkStart w:id="120" w:name="_Toc184313239"/>
      <w:bookmarkEnd w:id="120"/>
      <w:bookmarkStart w:id="121" w:name="_Toc184310332"/>
      <w:bookmarkEnd w:id="121"/>
      <w:bookmarkStart w:id="122" w:name="_Toc184312113"/>
      <w:bookmarkEnd w:id="122"/>
      <w:bookmarkStart w:id="123" w:name="_Toc184314465"/>
      <w:bookmarkEnd w:id="123"/>
      <w:bookmarkStart w:id="124" w:name="_Toc184312120"/>
      <w:bookmarkEnd w:id="124"/>
      <w:bookmarkStart w:id="125" w:name="_Toc184308097"/>
      <w:bookmarkEnd w:id="125"/>
      <w:bookmarkStart w:id="126" w:name="_Toc184314474"/>
      <w:bookmarkEnd w:id="126"/>
      <w:bookmarkStart w:id="127" w:name="_Toc184314450"/>
      <w:bookmarkEnd w:id="127"/>
      <w:bookmarkStart w:id="128" w:name="_Toc184312103"/>
      <w:bookmarkEnd w:id="128"/>
      <w:bookmarkStart w:id="129" w:name="_Toc184308066"/>
      <w:bookmarkEnd w:id="129"/>
      <w:bookmarkStart w:id="130" w:name="_Toc184310288"/>
      <w:bookmarkEnd w:id="130"/>
      <w:bookmarkStart w:id="131" w:name="_Toc184308047"/>
      <w:bookmarkEnd w:id="131"/>
      <w:bookmarkStart w:id="132" w:name="_Toc184314469"/>
      <w:bookmarkEnd w:id="132"/>
      <w:bookmarkStart w:id="133" w:name="_Toc184313278"/>
      <w:bookmarkEnd w:id="133"/>
      <w:bookmarkStart w:id="134" w:name="_Toc184310272"/>
      <w:bookmarkEnd w:id="134"/>
      <w:bookmarkStart w:id="135" w:name="_Toc184312086"/>
      <w:bookmarkEnd w:id="135"/>
      <w:bookmarkStart w:id="136" w:name="_Toc184314432"/>
      <w:bookmarkEnd w:id="136"/>
      <w:bookmarkStart w:id="137" w:name="_Toc184310284"/>
      <w:bookmarkEnd w:id="137"/>
      <w:bookmarkStart w:id="138" w:name="_Toc184313257"/>
      <w:bookmarkEnd w:id="138"/>
      <w:bookmarkStart w:id="139" w:name="_Toc184308090"/>
      <w:bookmarkEnd w:id="139"/>
      <w:bookmarkStart w:id="140" w:name="_Toc184313305"/>
      <w:bookmarkEnd w:id="140"/>
      <w:bookmarkStart w:id="141" w:name="_Toc184314464"/>
      <w:bookmarkEnd w:id="141"/>
      <w:bookmarkStart w:id="142" w:name="_Toc184314472"/>
      <w:bookmarkEnd w:id="142"/>
      <w:bookmarkStart w:id="143" w:name="_Toc184310303"/>
      <w:bookmarkEnd w:id="143"/>
      <w:bookmarkStart w:id="144" w:name="_Toc184312095"/>
      <w:bookmarkEnd w:id="144"/>
      <w:bookmarkStart w:id="145" w:name="_Toc184314448"/>
      <w:bookmarkEnd w:id="145"/>
      <w:bookmarkStart w:id="146" w:name="_Toc184314459"/>
      <w:bookmarkEnd w:id="146"/>
      <w:bookmarkStart w:id="147" w:name="_Toc184314443"/>
      <w:bookmarkEnd w:id="147"/>
      <w:bookmarkStart w:id="148" w:name="_Toc184314452"/>
      <w:bookmarkEnd w:id="148"/>
      <w:bookmarkStart w:id="149" w:name="_Toc184313304"/>
      <w:bookmarkEnd w:id="149"/>
      <w:bookmarkStart w:id="150" w:name="_Toc184313270"/>
      <w:bookmarkEnd w:id="150"/>
      <w:bookmarkStart w:id="151" w:name="_Toc184313246"/>
      <w:bookmarkEnd w:id="151"/>
      <w:bookmarkStart w:id="152" w:name="_Toc184312096"/>
      <w:bookmarkEnd w:id="152"/>
      <w:bookmarkStart w:id="153" w:name="_Toc184314433"/>
      <w:bookmarkEnd w:id="153"/>
      <w:bookmarkStart w:id="154" w:name="_Toc184313242"/>
      <w:bookmarkEnd w:id="154"/>
      <w:bookmarkStart w:id="155" w:name="_Toc184313252"/>
      <w:bookmarkEnd w:id="155"/>
      <w:bookmarkStart w:id="156" w:name="_Toc184310314"/>
      <w:bookmarkEnd w:id="156"/>
      <w:bookmarkStart w:id="157" w:name="_Toc184314424"/>
      <w:bookmarkEnd w:id="157"/>
      <w:bookmarkStart w:id="158" w:name="_Toc184314454"/>
      <w:bookmarkEnd w:id="158"/>
      <w:bookmarkStart w:id="159" w:name="_Toc184310287"/>
      <w:bookmarkEnd w:id="159"/>
      <w:bookmarkStart w:id="160" w:name="_Toc184312102"/>
      <w:bookmarkEnd w:id="160"/>
      <w:bookmarkStart w:id="161" w:name="_Toc184308049"/>
      <w:bookmarkEnd w:id="161"/>
      <w:bookmarkStart w:id="162" w:name="_Toc184314475"/>
      <w:bookmarkEnd w:id="162"/>
      <w:bookmarkStart w:id="163" w:name="_Toc184312089"/>
      <w:bookmarkEnd w:id="163"/>
      <w:bookmarkStart w:id="164" w:name="_Toc184314470"/>
      <w:bookmarkEnd w:id="164"/>
      <w:bookmarkStart w:id="165" w:name="_Toc184308059"/>
      <w:bookmarkEnd w:id="165"/>
      <w:bookmarkStart w:id="166" w:name="_Toc184308096"/>
      <w:bookmarkEnd w:id="166"/>
      <w:bookmarkStart w:id="167" w:name="_Toc184308064"/>
      <w:bookmarkEnd w:id="167"/>
      <w:bookmarkStart w:id="168" w:name="_Toc184314435"/>
      <w:bookmarkEnd w:id="168"/>
      <w:bookmarkStart w:id="169" w:name="_Toc184313263"/>
      <w:bookmarkEnd w:id="169"/>
      <w:bookmarkStart w:id="170" w:name="_Toc184308093"/>
      <w:bookmarkEnd w:id="170"/>
      <w:bookmarkStart w:id="171" w:name="_Toc184308062"/>
      <w:bookmarkEnd w:id="171"/>
      <w:bookmarkStart w:id="172" w:name="_Toc184308058"/>
      <w:bookmarkEnd w:id="172"/>
      <w:bookmarkStart w:id="173" w:name="_Toc184310329"/>
      <w:bookmarkEnd w:id="173"/>
      <w:bookmarkStart w:id="174" w:name="_Toc184308042"/>
      <w:bookmarkEnd w:id="174"/>
      <w:bookmarkStart w:id="175" w:name="_Toc184308082"/>
      <w:bookmarkEnd w:id="175"/>
      <w:bookmarkStart w:id="176" w:name="_Toc184310323"/>
      <w:bookmarkEnd w:id="176"/>
      <w:bookmarkStart w:id="177" w:name="_Toc184314441"/>
      <w:bookmarkEnd w:id="177"/>
      <w:bookmarkStart w:id="178" w:name="_Toc184310290"/>
      <w:bookmarkEnd w:id="178"/>
      <w:bookmarkStart w:id="179" w:name="_Toc184310311"/>
      <w:bookmarkEnd w:id="179"/>
      <w:bookmarkStart w:id="180" w:name="_Toc184313288"/>
      <w:bookmarkEnd w:id="180"/>
      <w:bookmarkStart w:id="181" w:name="_Toc184313300"/>
      <w:bookmarkEnd w:id="181"/>
      <w:bookmarkStart w:id="182" w:name="_Toc184313251"/>
      <w:bookmarkEnd w:id="182"/>
      <w:bookmarkStart w:id="183" w:name="_Toc184312070"/>
      <w:bookmarkEnd w:id="183"/>
      <w:bookmarkStart w:id="184" w:name="_Toc184313250"/>
      <w:bookmarkEnd w:id="184"/>
      <w:bookmarkStart w:id="185" w:name="_Toc184313265"/>
      <w:bookmarkEnd w:id="185"/>
      <w:bookmarkStart w:id="186" w:name="_Toc184314455"/>
      <w:bookmarkEnd w:id="186"/>
      <w:bookmarkStart w:id="187" w:name="_Toc184313259"/>
      <w:bookmarkEnd w:id="187"/>
      <w:bookmarkStart w:id="188" w:name="_Toc184312131"/>
      <w:bookmarkEnd w:id="188"/>
      <w:bookmarkStart w:id="189" w:name="_Toc184313307"/>
      <w:bookmarkEnd w:id="189"/>
      <w:bookmarkStart w:id="190" w:name="_Toc184313269"/>
      <w:bookmarkEnd w:id="190"/>
      <w:bookmarkStart w:id="191" w:name="_Toc184314467"/>
      <w:bookmarkEnd w:id="191"/>
      <w:bookmarkStart w:id="192" w:name="_Toc184308085"/>
      <w:bookmarkEnd w:id="192"/>
      <w:bookmarkStart w:id="193" w:name="_Toc184310330"/>
      <w:bookmarkEnd w:id="193"/>
      <w:bookmarkStart w:id="194" w:name="_Toc184312129"/>
      <w:bookmarkEnd w:id="194"/>
      <w:bookmarkStart w:id="195" w:name="_Toc184310309"/>
      <w:bookmarkEnd w:id="195"/>
      <w:bookmarkStart w:id="196" w:name="_Toc184308087"/>
      <w:bookmarkEnd w:id="196"/>
      <w:bookmarkStart w:id="197" w:name="_Toc184313258"/>
      <w:bookmarkEnd w:id="197"/>
      <w:bookmarkStart w:id="198" w:name="_Toc184314479"/>
      <w:bookmarkEnd w:id="198"/>
      <w:bookmarkStart w:id="199" w:name="_Toc184313284"/>
      <w:bookmarkEnd w:id="199"/>
      <w:bookmarkStart w:id="200" w:name="_Toc184308046"/>
      <w:bookmarkEnd w:id="200"/>
      <w:bookmarkStart w:id="201" w:name="_Toc184308098"/>
      <w:bookmarkEnd w:id="201"/>
      <w:bookmarkStart w:id="202" w:name="_Toc184314436"/>
      <w:bookmarkEnd w:id="202"/>
      <w:bookmarkStart w:id="203" w:name="_Toc184308074"/>
      <w:bookmarkEnd w:id="203"/>
      <w:bookmarkStart w:id="204" w:name="_Toc184313240"/>
      <w:bookmarkEnd w:id="204"/>
      <w:bookmarkStart w:id="205" w:name="_Toc184310281"/>
      <w:bookmarkEnd w:id="205"/>
      <w:bookmarkStart w:id="206" w:name="_Toc184310298"/>
      <w:bookmarkEnd w:id="206"/>
      <w:bookmarkStart w:id="207" w:name="_Toc184312137"/>
      <w:bookmarkEnd w:id="207"/>
      <w:bookmarkStart w:id="208" w:name="_Toc184313274"/>
      <w:bookmarkEnd w:id="208"/>
      <w:bookmarkStart w:id="209" w:name="_Toc184310306"/>
      <w:bookmarkEnd w:id="209"/>
      <w:bookmarkStart w:id="210" w:name="_Toc184308057"/>
      <w:bookmarkEnd w:id="210"/>
      <w:bookmarkStart w:id="211" w:name="_Toc184308037"/>
      <w:bookmarkEnd w:id="211"/>
      <w:bookmarkStart w:id="212" w:name="_Toc184312080"/>
      <w:bookmarkEnd w:id="212"/>
      <w:bookmarkStart w:id="213" w:name="_Toc184314427"/>
      <w:bookmarkEnd w:id="213"/>
      <w:bookmarkStart w:id="214" w:name="_Toc184312138"/>
      <w:bookmarkEnd w:id="214"/>
      <w:bookmarkStart w:id="215" w:name="_Toc184310308"/>
      <w:bookmarkEnd w:id="215"/>
      <w:bookmarkStart w:id="216" w:name="_Toc184313249"/>
      <w:bookmarkEnd w:id="216"/>
      <w:bookmarkStart w:id="217" w:name="_Toc184312085"/>
      <w:bookmarkEnd w:id="217"/>
      <w:bookmarkStart w:id="218" w:name="_Toc184308095"/>
      <w:bookmarkEnd w:id="218"/>
      <w:bookmarkStart w:id="219" w:name="_Toc184314414"/>
      <w:bookmarkEnd w:id="219"/>
      <w:bookmarkStart w:id="220" w:name="_Toc184312139"/>
      <w:bookmarkEnd w:id="220"/>
      <w:bookmarkStart w:id="221" w:name="_Toc184313283"/>
      <w:bookmarkEnd w:id="221"/>
      <w:bookmarkStart w:id="222" w:name="_Toc184310338"/>
      <w:bookmarkEnd w:id="222"/>
      <w:bookmarkStart w:id="223" w:name="_Toc184308086"/>
      <w:bookmarkEnd w:id="223"/>
      <w:bookmarkStart w:id="224" w:name="_Toc184310289"/>
      <w:bookmarkEnd w:id="224"/>
      <w:bookmarkStart w:id="225" w:name="_Toc184312092"/>
      <w:bookmarkEnd w:id="225"/>
      <w:bookmarkStart w:id="226" w:name="_Toc184312072"/>
      <w:bookmarkEnd w:id="226"/>
      <w:bookmarkStart w:id="227" w:name="_Toc184308052"/>
      <w:bookmarkEnd w:id="227"/>
      <w:bookmarkStart w:id="228" w:name="_Toc184312087"/>
      <w:bookmarkEnd w:id="228"/>
      <w:bookmarkStart w:id="229" w:name="_Toc184313302"/>
      <w:bookmarkEnd w:id="229"/>
      <w:bookmarkStart w:id="230" w:name="_Toc184313256"/>
      <w:bookmarkEnd w:id="230"/>
      <w:bookmarkStart w:id="231" w:name="_Toc184310277"/>
      <w:bookmarkEnd w:id="231"/>
      <w:bookmarkStart w:id="232" w:name="_Toc184312132"/>
      <w:bookmarkEnd w:id="232"/>
      <w:bookmarkStart w:id="233" w:name="_Toc184312078"/>
      <w:bookmarkEnd w:id="233"/>
      <w:bookmarkStart w:id="234" w:name="_Toc184313292"/>
      <w:bookmarkEnd w:id="234"/>
      <w:bookmarkStart w:id="235" w:name="_Toc184314476"/>
      <w:bookmarkEnd w:id="235"/>
      <w:bookmarkStart w:id="236" w:name="_Toc184308050"/>
      <w:bookmarkEnd w:id="236"/>
      <w:bookmarkStart w:id="237" w:name="_Toc184313296"/>
      <w:bookmarkEnd w:id="237"/>
      <w:bookmarkStart w:id="238" w:name="_Toc184310342"/>
      <w:bookmarkEnd w:id="238"/>
      <w:bookmarkStart w:id="239" w:name="_Toc184312111"/>
      <w:bookmarkEnd w:id="239"/>
      <w:bookmarkStart w:id="240" w:name="_Toc184310295"/>
      <w:bookmarkEnd w:id="240"/>
      <w:bookmarkStart w:id="241" w:name="_Toc184313238"/>
      <w:bookmarkEnd w:id="241"/>
      <w:bookmarkStart w:id="242" w:name="_Toc184314460"/>
      <w:bookmarkEnd w:id="242"/>
      <w:bookmarkStart w:id="243" w:name="_Toc184314451"/>
      <w:bookmarkEnd w:id="243"/>
      <w:bookmarkStart w:id="244" w:name="_Toc184308072"/>
      <w:bookmarkEnd w:id="244"/>
      <w:bookmarkStart w:id="245" w:name="_Toc184313295"/>
      <w:bookmarkEnd w:id="245"/>
      <w:bookmarkStart w:id="246" w:name="_Toc184308065"/>
      <w:bookmarkEnd w:id="246"/>
      <w:bookmarkStart w:id="247" w:name="_Toc184314440"/>
      <w:bookmarkEnd w:id="247"/>
      <w:bookmarkStart w:id="248" w:name="_Toc184313297"/>
      <w:bookmarkEnd w:id="248"/>
      <w:bookmarkStart w:id="249" w:name="_Toc184310273"/>
      <w:bookmarkEnd w:id="249"/>
      <w:bookmarkStart w:id="250" w:name="_Toc184313281"/>
      <w:bookmarkEnd w:id="250"/>
      <w:bookmarkStart w:id="251" w:name="_Toc184314428"/>
      <w:bookmarkEnd w:id="251"/>
      <w:bookmarkStart w:id="252" w:name="_Toc184308108"/>
      <w:bookmarkEnd w:id="252"/>
      <w:bookmarkStart w:id="253" w:name="_Toc184310285"/>
      <w:bookmarkEnd w:id="253"/>
      <w:bookmarkStart w:id="254" w:name="_Toc184314477"/>
      <w:bookmarkEnd w:id="254"/>
      <w:bookmarkStart w:id="255" w:name="_Toc184308070"/>
      <w:bookmarkEnd w:id="255"/>
      <w:bookmarkStart w:id="256" w:name="_Toc184308094"/>
      <w:bookmarkEnd w:id="256"/>
      <w:bookmarkStart w:id="257" w:name="_Toc184308100"/>
      <w:bookmarkEnd w:id="257"/>
      <w:bookmarkStart w:id="258" w:name="_Toc184314481"/>
      <w:bookmarkEnd w:id="258"/>
      <w:bookmarkStart w:id="259" w:name="_Toc184314431"/>
      <w:bookmarkEnd w:id="259"/>
      <w:bookmarkStart w:id="260" w:name="_Toc184312123"/>
      <w:bookmarkEnd w:id="260"/>
      <w:bookmarkStart w:id="261" w:name="_Toc184314457"/>
      <w:bookmarkEnd w:id="261"/>
      <w:bookmarkStart w:id="262" w:name="_Toc184312114"/>
      <w:bookmarkEnd w:id="262"/>
      <w:bookmarkStart w:id="263" w:name="_Toc184313241"/>
      <w:bookmarkEnd w:id="263"/>
      <w:bookmarkStart w:id="264" w:name="_Toc184314437"/>
      <w:bookmarkEnd w:id="264"/>
      <w:bookmarkStart w:id="265" w:name="_Toc184310341"/>
      <w:bookmarkEnd w:id="265"/>
      <w:bookmarkStart w:id="266" w:name="_Toc184313271"/>
      <w:bookmarkEnd w:id="266"/>
      <w:bookmarkStart w:id="267" w:name="_Toc184313273"/>
      <w:bookmarkEnd w:id="267"/>
      <w:bookmarkStart w:id="268" w:name="_Toc184312122"/>
      <w:bookmarkEnd w:id="268"/>
      <w:bookmarkStart w:id="269" w:name="_Toc184313266"/>
      <w:bookmarkEnd w:id="269"/>
      <w:bookmarkStart w:id="270" w:name="_Toc184312099"/>
      <w:bookmarkEnd w:id="270"/>
      <w:bookmarkStart w:id="271" w:name="_Toc184314422"/>
      <w:bookmarkEnd w:id="271"/>
      <w:bookmarkStart w:id="272" w:name="_Toc184308080"/>
      <w:bookmarkEnd w:id="272"/>
      <w:bookmarkStart w:id="273" w:name="_Toc184312098"/>
      <w:bookmarkEnd w:id="273"/>
      <w:bookmarkStart w:id="274" w:name="_Toc184314439"/>
      <w:bookmarkEnd w:id="274"/>
      <w:bookmarkStart w:id="275" w:name="_Toc184314456"/>
      <w:bookmarkEnd w:id="275"/>
      <w:bookmarkStart w:id="276" w:name="_Toc184314445"/>
      <w:bookmarkEnd w:id="276"/>
      <w:bookmarkStart w:id="277" w:name="_Toc184313308"/>
      <w:bookmarkEnd w:id="277"/>
      <w:bookmarkStart w:id="278" w:name="_Toc184310279"/>
      <w:bookmarkEnd w:id="278"/>
      <w:bookmarkStart w:id="279" w:name="_Toc184313282"/>
      <w:bookmarkEnd w:id="279"/>
      <w:bookmarkStart w:id="280" w:name="_Toc184308069"/>
      <w:bookmarkEnd w:id="280"/>
      <w:bookmarkStart w:id="281" w:name="_Toc184308068"/>
      <w:bookmarkEnd w:id="281"/>
      <w:bookmarkStart w:id="282" w:name="_Toc184313247"/>
      <w:bookmarkEnd w:id="282"/>
      <w:bookmarkStart w:id="283" w:name="_Toc184313276"/>
      <w:bookmarkEnd w:id="283"/>
      <w:bookmarkStart w:id="284" w:name="_Toc184314421"/>
      <w:bookmarkEnd w:id="284"/>
      <w:bookmarkStart w:id="285" w:name="_Toc184312074"/>
      <w:bookmarkEnd w:id="285"/>
      <w:bookmarkStart w:id="286" w:name="_Toc184313262"/>
      <w:bookmarkEnd w:id="286"/>
      <w:bookmarkStart w:id="287" w:name="_Toc184310315"/>
      <w:bookmarkEnd w:id="287"/>
      <w:bookmarkStart w:id="288" w:name="_Toc184310278"/>
      <w:bookmarkEnd w:id="288"/>
      <w:bookmarkStart w:id="289" w:name="_Toc184312107"/>
      <w:bookmarkEnd w:id="289"/>
      <w:bookmarkStart w:id="290" w:name="_Toc184313267"/>
      <w:bookmarkEnd w:id="290"/>
      <w:bookmarkStart w:id="291" w:name="_Toc184313243"/>
      <w:bookmarkEnd w:id="291"/>
      <w:bookmarkStart w:id="292" w:name="_Toc184308076"/>
      <w:bookmarkEnd w:id="292"/>
      <w:bookmarkStart w:id="293" w:name="_Toc184312116"/>
      <w:bookmarkEnd w:id="293"/>
      <w:bookmarkStart w:id="294" w:name="_Toc184314411"/>
      <w:bookmarkEnd w:id="294"/>
      <w:bookmarkStart w:id="295" w:name="_Toc184312077"/>
      <w:bookmarkEnd w:id="295"/>
      <w:bookmarkStart w:id="296" w:name="_Toc184308054"/>
      <w:bookmarkEnd w:id="296"/>
      <w:bookmarkStart w:id="297" w:name="_Toc184308084"/>
      <w:bookmarkEnd w:id="297"/>
      <w:bookmarkStart w:id="298" w:name="_Toc184312094"/>
      <w:bookmarkEnd w:id="298"/>
      <w:bookmarkStart w:id="299" w:name="_Toc184312109"/>
      <w:bookmarkEnd w:id="299"/>
      <w:bookmarkStart w:id="300" w:name="_Toc184312071"/>
      <w:bookmarkEnd w:id="300"/>
      <w:bookmarkStart w:id="301" w:name="_Toc184308101"/>
      <w:bookmarkEnd w:id="301"/>
      <w:bookmarkStart w:id="302" w:name="_Toc184310335"/>
      <w:bookmarkEnd w:id="302"/>
      <w:bookmarkStart w:id="303" w:name="_Toc184314453"/>
      <w:bookmarkEnd w:id="303"/>
      <w:bookmarkStart w:id="304" w:name="_Toc184310312"/>
      <w:bookmarkEnd w:id="304"/>
      <w:bookmarkStart w:id="305" w:name="_Toc184310293"/>
      <w:bookmarkEnd w:id="305"/>
      <w:bookmarkStart w:id="306" w:name="_Toc184310317"/>
      <w:bookmarkEnd w:id="306"/>
      <w:bookmarkStart w:id="307" w:name="_Toc184312093"/>
      <w:bookmarkEnd w:id="307"/>
      <w:bookmarkStart w:id="308" w:name="_Toc184310301"/>
      <w:bookmarkEnd w:id="308"/>
      <w:bookmarkStart w:id="309" w:name="_Toc184312104"/>
      <w:bookmarkEnd w:id="309"/>
      <w:bookmarkStart w:id="310" w:name="_Toc184312118"/>
      <w:bookmarkEnd w:id="310"/>
      <w:bookmarkStart w:id="311" w:name="_Toc184310339"/>
      <w:bookmarkEnd w:id="311"/>
      <w:bookmarkStart w:id="312" w:name="_Toc184308040"/>
      <w:bookmarkEnd w:id="312"/>
      <w:bookmarkStart w:id="313" w:name="_Toc184313309"/>
      <w:bookmarkEnd w:id="313"/>
      <w:bookmarkStart w:id="314" w:name="_Toc184312128"/>
      <w:bookmarkEnd w:id="314"/>
      <w:bookmarkStart w:id="315" w:name="_Toc184308073"/>
      <w:bookmarkEnd w:id="315"/>
      <w:bookmarkStart w:id="316" w:name="_Toc184310326"/>
      <w:bookmarkEnd w:id="316"/>
      <w:bookmarkStart w:id="317" w:name="_Toc184312108"/>
      <w:bookmarkEnd w:id="317"/>
      <w:bookmarkStart w:id="318" w:name="_Toc184313299"/>
      <w:bookmarkEnd w:id="318"/>
      <w:bookmarkStart w:id="319" w:name="_Toc184310280"/>
      <w:bookmarkEnd w:id="319"/>
      <w:bookmarkStart w:id="320" w:name="_Toc184314468"/>
      <w:bookmarkEnd w:id="320"/>
      <w:bookmarkStart w:id="321" w:name="_Toc184312081"/>
      <w:bookmarkEnd w:id="321"/>
      <w:bookmarkStart w:id="322" w:name="_Toc184314447"/>
      <w:bookmarkEnd w:id="322"/>
      <w:bookmarkStart w:id="323" w:name="_Toc184312091"/>
      <w:bookmarkEnd w:id="323"/>
      <w:bookmarkStart w:id="324" w:name="_Toc184310327"/>
      <w:bookmarkEnd w:id="324"/>
      <w:bookmarkStart w:id="325" w:name="_Toc184312067"/>
      <w:bookmarkEnd w:id="325"/>
      <w:bookmarkStart w:id="326" w:name="_Toc184314462"/>
      <w:bookmarkEnd w:id="326"/>
      <w:bookmarkStart w:id="327" w:name="_Toc184313285"/>
      <w:bookmarkEnd w:id="327"/>
      <w:bookmarkStart w:id="328" w:name="_Toc184308041"/>
      <w:bookmarkEnd w:id="328"/>
      <w:bookmarkStart w:id="329" w:name="_Toc184308104"/>
      <w:bookmarkEnd w:id="329"/>
      <w:bookmarkStart w:id="330" w:name="_Toc184310333"/>
      <w:bookmarkEnd w:id="330"/>
      <w:bookmarkStart w:id="331" w:name="_Toc184313277"/>
      <w:bookmarkEnd w:id="331"/>
      <w:bookmarkStart w:id="332" w:name="_Toc184313306"/>
      <w:bookmarkEnd w:id="332"/>
      <w:bookmarkStart w:id="333" w:name="_Toc184313260"/>
      <w:bookmarkEnd w:id="333"/>
      <w:bookmarkStart w:id="334" w:name="_Toc184308079"/>
      <w:bookmarkEnd w:id="334"/>
      <w:bookmarkStart w:id="335" w:name="_Toc184312134"/>
      <w:bookmarkEnd w:id="335"/>
      <w:bookmarkStart w:id="336" w:name="_Toc184313248"/>
      <w:bookmarkEnd w:id="336"/>
      <w:bookmarkStart w:id="337" w:name="_Toc184312125"/>
      <w:bookmarkEnd w:id="337"/>
      <w:bookmarkStart w:id="338" w:name="_Toc184308106"/>
      <w:bookmarkEnd w:id="338"/>
      <w:bookmarkStart w:id="339" w:name="_Toc184314423"/>
      <w:bookmarkEnd w:id="339"/>
      <w:bookmarkStart w:id="340" w:name="_Toc184310283"/>
      <w:bookmarkEnd w:id="340"/>
      <w:bookmarkStart w:id="341" w:name="_Toc184308083"/>
      <w:bookmarkEnd w:id="341"/>
      <w:bookmarkStart w:id="342" w:name="_Toc184314461"/>
      <w:bookmarkEnd w:id="342"/>
      <w:bookmarkStart w:id="343" w:name="_Toc184312090"/>
      <w:bookmarkEnd w:id="343"/>
      <w:bookmarkStart w:id="344" w:name="_Toc184312088"/>
      <w:bookmarkEnd w:id="344"/>
      <w:bookmarkStart w:id="345" w:name="_Toc184314415"/>
      <w:bookmarkEnd w:id="345"/>
      <w:bookmarkStart w:id="346" w:name="_Toc184314458"/>
      <w:bookmarkEnd w:id="346"/>
      <w:bookmarkStart w:id="347" w:name="_Toc184312097"/>
      <w:bookmarkEnd w:id="347"/>
      <w:bookmarkStart w:id="348" w:name="_Toc184308051"/>
      <w:bookmarkEnd w:id="348"/>
      <w:bookmarkStart w:id="349" w:name="_Toc184310275"/>
      <w:bookmarkEnd w:id="349"/>
      <w:bookmarkStart w:id="350" w:name="_Toc184312126"/>
      <w:bookmarkEnd w:id="350"/>
      <w:bookmarkStart w:id="351" w:name="_Toc184313310"/>
      <w:bookmarkEnd w:id="351"/>
      <w:bookmarkStart w:id="352" w:name="_Toc184314466"/>
      <w:bookmarkEnd w:id="352"/>
      <w:bookmarkStart w:id="353" w:name="_Toc184310340"/>
      <w:bookmarkEnd w:id="353"/>
      <w:bookmarkStart w:id="354" w:name="_Toc184314446"/>
      <w:bookmarkEnd w:id="354"/>
      <w:bookmarkStart w:id="355" w:name="_Toc184314449"/>
      <w:bookmarkEnd w:id="355"/>
      <w:bookmarkStart w:id="356" w:name="_Toc184314429"/>
      <w:bookmarkEnd w:id="356"/>
      <w:bookmarkStart w:id="357" w:name="_Toc184313286"/>
      <w:bookmarkEnd w:id="357"/>
      <w:bookmarkStart w:id="358" w:name="_Toc184310336"/>
      <w:bookmarkEnd w:id="358"/>
      <w:bookmarkStart w:id="359" w:name="_Toc184312106"/>
      <w:bookmarkEnd w:id="359"/>
      <w:bookmarkStart w:id="360" w:name="_Toc184314463"/>
      <w:bookmarkEnd w:id="360"/>
      <w:bookmarkStart w:id="361" w:name="_Toc184314416"/>
      <w:bookmarkEnd w:id="361"/>
      <w:bookmarkStart w:id="362" w:name="_Toc184308036"/>
      <w:bookmarkEnd w:id="362"/>
      <w:bookmarkStart w:id="363" w:name="_Toc184314444"/>
      <w:bookmarkEnd w:id="363"/>
      <w:bookmarkStart w:id="364" w:name="_Toc184308061"/>
      <w:bookmarkEnd w:id="364"/>
      <w:bookmarkStart w:id="365" w:name="_Toc184310319"/>
      <w:bookmarkEnd w:id="365"/>
      <w:bookmarkStart w:id="366" w:name="_Toc184314410"/>
      <w:bookmarkEnd w:id="366"/>
      <w:bookmarkStart w:id="367" w:name="_Toc184308043"/>
      <w:bookmarkEnd w:id="367"/>
      <w:bookmarkStart w:id="368" w:name="_Toc184308102"/>
      <w:bookmarkEnd w:id="368"/>
      <w:bookmarkStart w:id="369" w:name="_Toc184313255"/>
      <w:bookmarkEnd w:id="369"/>
      <w:bookmarkStart w:id="370" w:name="_Toc184308063"/>
      <w:bookmarkEnd w:id="370"/>
      <w:bookmarkStart w:id="371" w:name="_Toc184313245"/>
      <w:bookmarkEnd w:id="371"/>
      <w:bookmarkStart w:id="372" w:name="_Toc184313264"/>
      <w:bookmarkEnd w:id="372"/>
      <w:bookmarkStart w:id="373" w:name="_Toc184310274"/>
      <w:bookmarkEnd w:id="373"/>
      <w:bookmarkStart w:id="374" w:name="_Toc184308060"/>
      <w:bookmarkEnd w:id="374"/>
      <w:bookmarkStart w:id="375" w:name="_Toc184314473"/>
      <w:bookmarkEnd w:id="375"/>
      <w:bookmarkStart w:id="376" w:name="_Toc184314412"/>
      <w:bookmarkEnd w:id="376"/>
      <w:bookmarkStart w:id="377" w:name="_Toc184310320"/>
      <w:bookmarkEnd w:id="377"/>
      <w:bookmarkStart w:id="378" w:name="_Toc184314425"/>
      <w:bookmarkEnd w:id="378"/>
      <w:bookmarkStart w:id="379" w:name="_Toc184313289"/>
      <w:bookmarkEnd w:id="379"/>
      <w:bookmarkStart w:id="380" w:name="_Toc184310318"/>
      <w:bookmarkEnd w:id="380"/>
      <w:bookmarkStart w:id="381" w:name="_Toc184308044"/>
      <w:bookmarkEnd w:id="381"/>
      <w:bookmarkStart w:id="382" w:name="_Toc184312075"/>
      <w:bookmarkEnd w:id="382"/>
      <w:bookmarkStart w:id="383" w:name="_Toc184308048"/>
      <w:bookmarkEnd w:id="383"/>
      <w:bookmarkStart w:id="384" w:name="_Toc184310299"/>
      <w:bookmarkEnd w:id="384"/>
      <w:bookmarkStart w:id="385" w:name="_Toc184310276"/>
      <w:bookmarkEnd w:id="385"/>
      <w:bookmarkStart w:id="386" w:name="_Toc184313253"/>
      <w:bookmarkEnd w:id="386"/>
      <w:bookmarkStart w:id="387" w:name="_Toc184308053"/>
      <w:bookmarkEnd w:id="387"/>
      <w:bookmarkStart w:id="388" w:name="_Toc184313272"/>
      <w:bookmarkEnd w:id="388"/>
      <w:bookmarkStart w:id="389" w:name="_Toc184310300"/>
      <w:bookmarkEnd w:id="389"/>
      <w:bookmarkStart w:id="390" w:name="_Toc184308092"/>
      <w:bookmarkEnd w:id="390"/>
      <w:bookmarkStart w:id="391" w:name="_Toc184312112"/>
      <w:bookmarkEnd w:id="391"/>
      <w:bookmarkStart w:id="392" w:name="_Toc184312068"/>
      <w:bookmarkEnd w:id="392"/>
      <w:bookmarkStart w:id="393" w:name="_Toc184313293"/>
      <w:bookmarkEnd w:id="393"/>
      <w:bookmarkStart w:id="394" w:name="_Toc184308091"/>
      <w:bookmarkEnd w:id="394"/>
      <w:bookmarkStart w:id="395" w:name="_Toc184312133"/>
      <w:bookmarkEnd w:id="395"/>
      <w:r>
        <w:rPr>
          <w:rFonts w:hint="eastAsia" w:ascii="宋体" w:hAnsi="宋体" w:cs="宋体"/>
          <w:b/>
          <w:color w:val="auto"/>
          <w:sz w:val="36"/>
          <w:szCs w:val="20"/>
          <w:highlight w:val="none"/>
        </w:rPr>
        <w:t xml:space="preserve"> 评审办法</w:t>
      </w:r>
    </w:p>
    <w:p w14:paraId="44F1DFB3">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评审办法前附表</w:t>
      </w:r>
    </w:p>
    <w:tbl>
      <w:tblPr>
        <w:tblStyle w:val="62"/>
        <w:tblW w:w="9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5897"/>
        <w:gridCol w:w="793"/>
        <w:gridCol w:w="2133"/>
      </w:tblGrid>
      <w:tr w14:paraId="3E506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1BBAB0FF">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序号</w:t>
            </w:r>
          </w:p>
        </w:tc>
        <w:tc>
          <w:tcPr>
            <w:tcW w:w="5897" w:type="dxa"/>
            <w:vAlign w:val="center"/>
          </w:tcPr>
          <w:p w14:paraId="62C26179">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评审标准</w:t>
            </w:r>
          </w:p>
        </w:tc>
        <w:tc>
          <w:tcPr>
            <w:tcW w:w="793" w:type="dxa"/>
            <w:vAlign w:val="center"/>
          </w:tcPr>
          <w:p w14:paraId="33ECC44C">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权重</w:t>
            </w:r>
          </w:p>
        </w:tc>
        <w:tc>
          <w:tcPr>
            <w:tcW w:w="2133" w:type="dxa"/>
          </w:tcPr>
          <w:p w14:paraId="5FE742E7">
            <w:pPr>
              <w:snapToGrid w:val="0"/>
              <w:outlineLvl w:val="0"/>
              <w:rPr>
                <w:rFonts w:ascii="宋体" w:hAnsi="宋体" w:cs="宋体"/>
                <w:bCs/>
                <w:color w:val="auto"/>
                <w:sz w:val="24"/>
                <w:highlight w:val="none"/>
              </w:rPr>
            </w:pPr>
            <w:r>
              <w:rPr>
                <w:rFonts w:hint="eastAsia" w:ascii="宋体" w:hAnsi="宋体" w:cs="宋体"/>
                <w:bCs/>
                <w:color w:val="auto"/>
                <w:sz w:val="24"/>
                <w:highlight w:val="none"/>
              </w:rPr>
              <w:t>响应文件中评审标准相应的商务技术资料目录</w:t>
            </w:r>
            <w:r>
              <w:rPr>
                <w:rFonts w:hint="eastAsia" w:ascii="宋体" w:hAnsi="宋体" w:cs="宋体"/>
                <w:color w:val="auto"/>
                <w:sz w:val="24"/>
                <w:highlight w:val="none"/>
                <w:shd w:val="clear" w:color="auto" w:fill="FFFFFF"/>
              </w:rPr>
              <w:t> *</w:t>
            </w:r>
          </w:p>
        </w:tc>
      </w:tr>
      <w:tr w14:paraId="547B2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trPr>
        <w:tc>
          <w:tcPr>
            <w:tcW w:w="910" w:type="dxa"/>
            <w:vAlign w:val="center"/>
          </w:tcPr>
          <w:p w14:paraId="71B20CFD">
            <w:pPr>
              <w:snapToGrid w:val="0"/>
              <w:jc w:val="center"/>
              <w:outlineLvl w:val="0"/>
              <w:rPr>
                <w:rFonts w:ascii="宋体" w:hAnsi="宋体" w:cs="宋体"/>
                <w:color w:val="auto"/>
                <w:sz w:val="24"/>
                <w:highlight w:val="none"/>
              </w:rPr>
            </w:pPr>
            <w:r>
              <w:rPr>
                <w:rFonts w:hint="eastAsia" w:ascii="宋体" w:hAnsi="宋体" w:cs="宋体"/>
                <w:color w:val="auto"/>
                <w:sz w:val="24"/>
                <w:highlight w:val="none"/>
              </w:rPr>
              <w:t>1</w:t>
            </w:r>
          </w:p>
        </w:tc>
        <w:tc>
          <w:tcPr>
            <w:tcW w:w="5897" w:type="dxa"/>
            <w:vAlign w:val="center"/>
          </w:tcPr>
          <w:p w14:paraId="2EDEA257">
            <w:pPr>
              <w:snapToGrid w:val="0"/>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z w:val="24"/>
                <w:highlight w:val="none"/>
                <w:lang w:val="en-US" w:eastAsia="zh-CN"/>
              </w:rPr>
              <w:t>自2022年01月01日以来</w:t>
            </w:r>
            <w:r>
              <w:rPr>
                <w:rFonts w:hint="eastAsia" w:ascii="宋体" w:hAnsi="宋体" w:cs="宋体"/>
                <w:color w:val="auto"/>
                <w:sz w:val="24"/>
                <w:highlight w:val="none"/>
              </w:rPr>
              <w:t>（以竣工验收合格时间为准）</w:t>
            </w:r>
            <w:r>
              <w:rPr>
                <w:rFonts w:hint="eastAsia" w:ascii="宋体" w:hAnsi="宋体" w:cs="宋体"/>
                <w:color w:val="auto"/>
                <w:sz w:val="24"/>
                <w:highlight w:val="none"/>
                <w:lang w:val="en-US" w:eastAsia="zh-CN"/>
              </w:rPr>
              <w:t>具有</w:t>
            </w:r>
            <w:r>
              <w:rPr>
                <w:rFonts w:hint="eastAsia" w:ascii="宋体" w:hAnsi="宋体" w:cs="宋体"/>
                <w:color w:val="auto"/>
                <w:sz w:val="24"/>
                <w:highlight w:val="none"/>
              </w:rPr>
              <w:t>同类项目业绩（</w:t>
            </w:r>
            <w:r>
              <w:rPr>
                <w:rFonts w:hint="eastAsia" w:ascii="宋体" w:hAnsi="宋体" w:cs="宋体"/>
                <w:color w:val="auto"/>
                <w:sz w:val="24"/>
                <w:highlight w:val="none"/>
                <w:lang w:val="en-US" w:eastAsia="zh-CN"/>
              </w:rPr>
              <w:t>须</w:t>
            </w:r>
            <w:r>
              <w:rPr>
                <w:rFonts w:hint="eastAsia" w:ascii="宋体" w:hAnsi="宋体" w:cs="宋体"/>
                <w:color w:val="auto"/>
                <w:sz w:val="24"/>
                <w:highlight w:val="none"/>
              </w:rPr>
              <w:t>提供中标通知书、合同扫描件、竣工验收记录（或竣工验收证书）</w:t>
            </w:r>
            <w:r>
              <w:rPr>
                <w:rFonts w:hint="eastAsia" w:ascii="宋体" w:hAnsi="宋体" w:cs="宋体"/>
                <w:color w:val="auto"/>
                <w:sz w:val="24"/>
                <w:highlight w:val="none"/>
                <w:lang w:val="en-US" w:eastAsia="zh-CN"/>
              </w:rPr>
              <w:t>证明</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以上证明材料，</w:t>
            </w:r>
            <w:r>
              <w:rPr>
                <w:rFonts w:hint="eastAsia" w:ascii="宋体" w:hAnsi="宋体" w:cs="宋体"/>
                <w:color w:val="auto"/>
                <w:sz w:val="24"/>
                <w:highlight w:val="none"/>
              </w:rPr>
              <w:t>缺一</w:t>
            </w:r>
            <w:r>
              <w:rPr>
                <w:rFonts w:hint="eastAsia" w:ascii="宋体" w:hAnsi="宋体" w:cs="宋体"/>
                <w:color w:val="auto"/>
                <w:sz w:val="24"/>
                <w:highlight w:val="none"/>
                <w:lang w:val="en-US" w:eastAsia="zh-CN"/>
              </w:rPr>
              <w:t>项则</w:t>
            </w:r>
            <w:r>
              <w:rPr>
                <w:rFonts w:hint="eastAsia" w:ascii="宋体" w:hAnsi="宋体" w:cs="宋体"/>
                <w:color w:val="auto"/>
                <w:sz w:val="24"/>
                <w:highlight w:val="none"/>
              </w:rPr>
              <w:t>不得分），每提供1</w:t>
            </w:r>
            <w:r>
              <w:rPr>
                <w:rFonts w:hint="eastAsia" w:ascii="宋体" w:hAnsi="宋体" w:cs="宋体"/>
                <w:color w:val="auto"/>
                <w:sz w:val="24"/>
                <w:highlight w:val="none"/>
                <w:lang w:val="en-US" w:eastAsia="zh-CN"/>
              </w:rPr>
              <w:t>个，则得1分</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本项</w:t>
            </w:r>
            <w:r>
              <w:rPr>
                <w:rFonts w:hint="eastAsia" w:ascii="宋体" w:hAnsi="宋体" w:cs="宋体"/>
                <w:color w:val="auto"/>
                <w:sz w:val="24"/>
                <w:highlight w:val="none"/>
              </w:rPr>
              <w:t>最高得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分（同类项目业绩指</w:t>
            </w:r>
            <w:r>
              <w:rPr>
                <w:rFonts w:hint="eastAsia" w:ascii="宋体" w:hAnsi="宋体" w:cs="宋体"/>
                <w:color w:val="auto"/>
                <w:sz w:val="24"/>
                <w:highlight w:val="none"/>
                <w:lang w:val="en-US" w:eastAsia="zh-CN"/>
              </w:rPr>
              <w:t>学校改造工程等</w:t>
            </w:r>
            <w:r>
              <w:rPr>
                <w:rFonts w:hint="eastAsia" w:ascii="宋体" w:hAnsi="宋体" w:cs="宋体"/>
                <w:color w:val="auto"/>
                <w:sz w:val="24"/>
                <w:highlight w:val="none"/>
              </w:rPr>
              <w:t>）。</w:t>
            </w:r>
          </w:p>
        </w:tc>
        <w:tc>
          <w:tcPr>
            <w:tcW w:w="793" w:type="dxa"/>
            <w:vAlign w:val="center"/>
          </w:tcPr>
          <w:p w14:paraId="2E1E150E">
            <w:pPr>
              <w:snapToGrid w:val="0"/>
              <w:jc w:val="center"/>
              <w:outlineLvl w:val="0"/>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3</w:t>
            </w:r>
          </w:p>
        </w:tc>
        <w:tc>
          <w:tcPr>
            <w:tcW w:w="2133" w:type="dxa"/>
            <w:vAlign w:val="center"/>
          </w:tcPr>
          <w:p w14:paraId="2A9572B2">
            <w:pPr>
              <w:snapToGrid w:val="0"/>
              <w:jc w:val="center"/>
              <w:outlineLvl w:val="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客观分</w:t>
            </w:r>
          </w:p>
        </w:tc>
      </w:tr>
      <w:tr w14:paraId="305CF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910" w:type="dxa"/>
            <w:vAlign w:val="center"/>
          </w:tcPr>
          <w:p w14:paraId="38009E07">
            <w:pPr>
              <w:snapToGrid w:val="0"/>
              <w:jc w:val="center"/>
              <w:outlineLvl w:val="0"/>
              <w:rPr>
                <w:rFonts w:ascii="宋体" w:hAnsi="宋体" w:cs="宋体"/>
                <w:color w:val="auto"/>
                <w:sz w:val="24"/>
                <w:highlight w:val="none"/>
              </w:rPr>
            </w:pPr>
            <w:r>
              <w:rPr>
                <w:rFonts w:hint="eastAsia" w:ascii="宋体" w:hAnsi="宋体" w:cs="宋体"/>
                <w:color w:val="auto"/>
                <w:sz w:val="24"/>
                <w:highlight w:val="none"/>
              </w:rPr>
              <w:t>2</w:t>
            </w:r>
          </w:p>
        </w:tc>
        <w:tc>
          <w:tcPr>
            <w:tcW w:w="5897" w:type="dxa"/>
            <w:vAlign w:val="center"/>
          </w:tcPr>
          <w:p w14:paraId="74480523">
            <w:pPr>
              <w:snapToGrid w:val="0"/>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拟派项目</w:t>
            </w:r>
            <w:r>
              <w:rPr>
                <w:rFonts w:hint="eastAsia" w:ascii="宋体" w:hAnsi="宋体" w:cs="宋体"/>
                <w:color w:val="auto"/>
                <w:sz w:val="24"/>
                <w:highlight w:val="none"/>
                <w:lang w:val="en-US" w:eastAsia="zh-CN"/>
              </w:rPr>
              <w:t>负责人</w:t>
            </w:r>
            <w:r>
              <w:rPr>
                <w:rFonts w:hint="eastAsia" w:ascii="宋体" w:hAnsi="宋体" w:cs="宋体"/>
                <w:color w:val="auto"/>
                <w:sz w:val="24"/>
                <w:highlight w:val="none"/>
              </w:rPr>
              <w:t>具有</w:t>
            </w:r>
            <w:r>
              <w:rPr>
                <w:rFonts w:hint="eastAsia" w:ascii="宋体" w:hAnsi="宋体" w:cs="宋体"/>
                <w:color w:val="auto"/>
                <w:sz w:val="24"/>
                <w:highlight w:val="none"/>
                <w:lang w:val="en-US" w:eastAsia="zh-CN"/>
              </w:rPr>
              <w:t>中级及以上</w:t>
            </w:r>
            <w:r>
              <w:rPr>
                <w:rFonts w:hint="eastAsia" w:ascii="宋体" w:hAnsi="宋体" w:cs="宋体"/>
                <w:color w:val="auto"/>
                <w:sz w:val="24"/>
                <w:highlight w:val="none"/>
              </w:rPr>
              <w:t>工程师职称的得1分。注：提供202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年0</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月-06月三个月的项目</w:t>
            </w:r>
            <w:r>
              <w:rPr>
                <w:rFonts w:hint="eastAsia" w:ascii="宋体" w:hAnsi="宋体" w:cs="宋体"/>
                <w:color w:val="auto"/>
                <w:sz w:val="24"/>
                <w:highlight w:val="none"/>
                <w:lang w:val="en-US" w:eastAsia="zh-CN"/>
              </w:rPr>
              <w:t>负责人</w:t>
            </w:r>
            <w:r>
              <w:rPr>
                <w:rFonts w:hint="eastAsia" w:ascii="宋体" w:hAnsi="宋体" w:cs="宋体"/>
                <w:color w:val="auto"/>
                <w:sz w:val="24"/>
                <w:highlight w:val="none"/>
              </w:rPr>
              <w:t>社保证明（复印件加盖公章），否则此项不得分。</w:t>
            </w:r>
          </w:p>
        </w:tc>
        <w:tc>
          <w:tcPr>
            <w:tcW w:w="793" w:type="dxa"/>
            <w:vAlign w:val="center"/>
          </w:tcPr>
          <w:p w14:paraId="6F10A833">
            <w:pPr>
              <w:snapToGrid w:val="0"/>
              <w:jc w:val="center"/>
              <w:outlineLvl w:val="0"/>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1</w:t>
            </w:r>
          </w:p>
        </w:tc>
        <w:tc>
          <w:tcPr>
            <w:tcW w:w="2133" w:type="dxa"/>
            <w:vAlign w:val="center"/>
          </w:tcPr>
          <w:p w14:paraId="34B1B958">
            <w:pPr>
              <w:snapToGrid w:val="0"/>
              <w:jc w:val="center"/>
              <w:outlineLvl w:val="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客观分</w:t>
            </w:r>
          </w:p>
        </w:tc>
      </w:tr>
      <w:tr w14:paraId="7B35F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910" w:type="dxa"/>
            <w:vAlign w:val="center"/>
          </w:tcPr>
          <w:p w14:paraId="23662879">
            <w:pPr>
              <w:snapToGrid w:val="0"/>
              <w:jc w:val="center"/>
              <w:outlineLvl w:val="0"/>
              <w:rPr>
                <w:rFonts w:ascii="宋体" w:hAnsi="宋体" w:cs="宋体"/>
                <w:color w:val="auto"/>
                <w:sz w:val="24"/>
                <w:highlight w:val="none"/>
              </w:rPr>
            </w:pPr>
            <w:r>
              <w:rPr>
                <w:rFonts w:hint="eastAsia" w:ascii="宋体" w:hAnsi="宋体" w:cs="宋体"/>
                <w:color w:val="auto"/>
                <w:sz w:val="24"/>
                <w:highlight w:val="none"/>
              </w:rPr>
              <w:t>3</w:t>
            </w:r>
          </w:p>
        </w:tc>
        <w:tc>
          <w:tcPr>
            <w:tcW w:w="5897" w:type="dxa"/>
            <w:vAlign w:val="center"/>
          </w:tcPr>
          <w:p w14:paraId="0E9DAED8">
            <w:pPr>
              <w:snapToGrid w:val="0"/>
              <w:ind w:firstLine="480" w:firstLineChars="200"/>
              <w:outlineLvl w:val="0"/>
              <w:rPr>
                <w:rFonts w:hint="eastAsia" w:ascii="宋体" w:hAnsi="宋体" w:cs="宋体"/>
                <w:color w:val="auto"/>
                <w:sz w:val="24"/>
                <w:highlight w:val="none"/>
              </w:rPr>
            </w:pPr>
            <w:r>
              <w:rPr>
                <w:rFonts w:hint="eastAsia" w:ascii="宋体" w:hAnsi="宋体" w:cs="宋体"/>
                <w:color w:val="auto"/>
                <w:sz w:val="24"/>
                <w:highlight w:val="none"/>
              </w:rPr>
              <w:t>项目人员要求：项目管理班子其他人员配置：技术负责人、安全员、施工员、质量员、测量员配置齐全的，得5分，每缺一项扣1分，本项分值扣完为止；</w:t>
            </w:r>
          </w:p>
          <w:p w14:paraId="7FAA9C98">
            <w:pPr>
              <w:snapToGrid w:val="0"/>
              <w:outlineLvl w:val="0"/>
              <w:rPr>
                <w:rFonts w:ascii="宋体" w:hAnsi="宋体" w:cs="宋体"/>
                <w:color w:val="auto"/>
                <w:sz w:val="24"/>
                <w:highlight w:val="none"/>
              </w:rPr>
            </w:pPr>
            <w:r>
              <w:rPr>
                <w:rFonts w:hint="eastAsia" w:ascii="宋体" w:hAnsi="宋体" w:cs="宋体"/>
                <w:color w:val="auto"/>
                <w:sz w:val="24"/>
                <w:highlight w:val="none"/>
              </w:rPr>
              <w:t>注：以上人员均须提供202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年04月-06月三个月的社保证明（复印件加盖公章），否则此项不得分。</w:t>
            </w:r>
          </w:p>
        </w:tc>
        <w:tc>
          <w:tcPr>
            <w:tcW w:w="793" w:type="dxa"/>
            <w:vAlign w:val="center"/>
          </w:tcPr>
          <w:p w14:paraId="40435D5B">
            <w:pPr>
              <w:snapToGrid w:val="0"/>
              <w:jc w:val="center"/>
              <w:outlineLvl w:val="0"/>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5</w:t>
            </w:r>
          </w:p>
        </w:tc>
        <w:tc>
          <w:tcPr>
            <w:tcW w:w="2133" w:type="dxa"/>
            <w:shd w:val="clear" w:color="auto" w:fill="auto"/>
            <w:vAlign w:val="center"/>
          </w:tcPr>
          <w:p w14:paraId="0B050647">
            <w:pPr>
              <w:snapToGrid w:val="0"/>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客观分</w:t>
            </w:r>
          </w:p>
        </w:tc>
      </w:tr>
      <w:tr w14:paraId="0B993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trPr>
        <w:tc>
          <w:tcPr>
            <w:tcW w:w="910" w:type="dxa"/>
            <w:vAlign w:val="center"/>
          </w:tcPr>
          <w:p w14:paraId="36C91601">
            <w:pPr>
              <w:snapToGrid w:val="0"/>
              <w:jc w:val="center"/>
              <w:outlineLvl w:val="0"/>
              <w:rPr>
                <w:rFonts w:hint="eastAsia" w:ascii="宋体" w:hAnsi="宋体" w:eastAsia="宋体" w:cs="宋体"/>
                <w:color w:val="auto"/>
                <w:highlight w:val="none"/>
                <w:lang w:eastAsia="zh-CN"/>
              </w:rPr>
            </w:pPr>
            <w:r>
              <w:rPr>
                <w:rFonts w:hint="eastAsia" w:ascii="宋体" w:hAnsi="宋体" w:eastAsia="宋体" w:cs="宋体"/>
                <w:color w:val="auto"/>
                <w:sz w:val="24"/>
                <w:highlight w:val="none"/>
                <w:lang w:val="en-US" w:eastAsia="zh-CN"/>
              </w:rPr>
              <w:t>4</w:t>
            </w:r>
          </w:p>
        </w:tc>
        <w:tc>
          <w:tcPr>
            <w:tcW w:w="5897" w:type="dxa"/>
            <w:vAlign w:val="center"/>
          </w:tcPr>
          <w:p w14:paraId="7123788E">
            <w:pPr>
              <w:snapToGrid w:val="0"/>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企业体系认证证书：投标人具有质量管理体系认证证书</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环境管理体系认证证书</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职业健康安全管理体系认证证书的</w:t>
            </w:r>
            <w:r>
              <w:rPr>
                <w:rFonts w:hint="eastAsia" w:ascii="宋体" w:hAnsi="宋体" w:eastAsia="宋体" w:cs="宋体"/>
                <w:color w:val="auto"/>
                <w:sz w:val="24"/>
                <w:highlight w:val="none"/>
                <w:lang w:val="en-US" w:eastAsia="zh-CN"/>
              </w:rPr>
              <w:t>则</w:t>
            </w:r>
            <w:r>
              <w:rPr>
                <w:rFonts w:hint="eastAsia" w:ascii="宋体" w:hAnsi="宋体" w:eastAsia="宋体" w:cs="宋体"/>
                <w:color w:val="auto"/>
                <w:sz w:val="24"/>
                <w:highlight w:val="none"/>
              </w:rPr>
              <w:t>得1分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缺一项则不得分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14:paraId="1BD40305">
            <w:pPr>
              <w:snapToGrid w:val="0"/>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w:t>
            </w:r>
            <w:r>
              <w:rPr>
                <w:rFonts w:hint="eastAsia" w:ascii="宋体" w:hAnsi="宋体" w:eastAsia="宋体" w:cs="宋体"/>
                <w:color w:val="auto"/>
                <w:sz w:val="24"/>
                <w:highlight w:val="none"/>
                <w:lang w:val="en-US" w:eastAsia="zh-CN"/>
              </w:rPr>
              <w:t>所</w:t>
            </w:r>
            <w:r>
              <w:rPr>
                <w:rFonts w:hint="eastAsia" w:ascii="宋体" w:hAnsi="宋体" w:eastAsia="宋体" w:cs="宋体"/>
                <w:color w:val="auto"/>
                <w:sz w:val="24"/>
                <w:highlight w:val="none"/>
              </w:rPr>
              <w:t>提供证书复印件及在“全国认证认可信息公共服务平台”官网查询结果的截图复印件；</w:t>
            </w:r>
          </w:p>
          <w:p w14:paraId="6AFDA7DC">
            <w:pPr>
              <w:snapToGrid w:val="0"/>
              <w:ind w:firstLine="480" w:firstLineChars="200"/>
              <w:outlineLvl w:val="0"/>
              <w:rPr>
                <w:rFonts w:ascii="宋体" w:hAnsi="宋体" w:cs="宋体"/>
                <w:color w:val="auto"/>
                <w:highlight w:val="none"/>
              </w:rPr>
            </w:pPr>
            <w:r>
              <w:rPr>
                <w:rFonts w:hint="eastAsia" w:ascii="宋体" w:hAnsi="宋体" w:eastAsia="宋体" w:cs="宋体"/>
                <w:color w:val="auto"/>
                <w:sz w:val="24"/>
                <w:highlight w:val="none"/>
              </w:rPr>
              <w:t>注：其证书编号、认证范围、认证项目、企业名称、日期（有效期）等信息应全部一致，否则不得分；</w:t>
            </w:r>
          </w:p>
        </w:tc>
        <w:tc>
          <w:tcPr>
            <w:tcW w:w="793" w:type="dxa"/>
            <w:shd w:val="clear" w:color="auto" w:fill="auto"/>
            <w:vAlign w:val="center"/>
          </w:tcPr>
          <w:p w14:paraId="068BD813">
            <w:pPr>
              <w:snapToGrid w:val="0"/>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lang w:val="en-US" w:eastAsia="zh-CN"/>
              </w:rPr>
              <w:t>1</w:t>
            </w:r>
          </w:p>
        </w:tc>
        <w:tc>
          <w:tcPr>
            <w:tcW w:w="2133" w:type="dxa"/>
            <w:shd w:val="clear" w:color="auto" w:fill="auto"/>
            <w:vAlign w:val="center"/>
          </w:tcPr>
          <w:p w14:paraId="0987C18F">
            <w:pPr>
              <w:snapToGrid w:val="0"/>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客观分</w:t>
            </w:r>
          </w:p>
        </w:tc>
      </w:tr>
      <w:tr w14:paraId="07936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910" w:type="dxa"/>
            <w:vAlign w:val="center"/>
          </w:tcPr>
          <w:p w14:paraId="69C9F19A">
            <w:pPr>
              <w:snapToGrid w:val="0"/>
              <w:jc w:val="center"/>
              <w:outlineLvl w:val="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5897" w:type="dxa"/>
            <w:vAlign w:val="center"/>
          </w:tcPr>
          <w:p w14:paraId="4D788194">
            <w:pPr>
              <w:snapToGrid w:val="0"/>
              <w:ind w:left="0" w:leftChars="0"/>
              <w:jc w:val="left"/>
              <w:outlineLvl w:val="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整体施工方案是否全面、科学、合理</w:t>
            </w:r>
            <w:r>
              <w:rPr>
                <w:rFonts w:hint="eastAsia" w:ascii="宋体" w:hAnsi="宋体" w:eastAsia="宋体" w:cs="宋体"/>
                <w:color w:val="auto"/>
                <w:sz w:val="24"/>
                <w:highlight w:val="none"/>
                <w:lang w:eastAsia="zh-CN"/>
              </w:rPr>
              <w:t>：</w:t>
            </w:r>
          </w:p>
          <w:p w14:paraId="028163B1">
            <w:pPr>
              <w:snapToGrid w:val="0"/>
              <w:jc w:val="left"/>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1）施工方案全面、合理，具有明确的针对性及可操作性的得</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分；</w:t>
            </w:r>
          </w:p>
          <w:p w14:paraId="6269BC72">
            <w:pPr>
              <w:snapToGrid w:val="0"/>
              <w:jc w:val="left"/>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2）施工方案全面性及合理性较好，针对性及可操作性满足要求，各项施工措施可保障项目实施的得</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分；</w:t>
            </w:r>
          </w:p>
          <w:p w14:paraId="6155F7E3">
            <w:pPr>
              <w:snapToGrid w:val="0"/>
              <w:jc w:val="left"/>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3）施工方案全面性及合理性一般，针对性及可操作性基本满足要求，各项施工措施基本保障项目实施的得</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分；</w:t>
            </w:r>
          </w:p>
          <w:p w14:paraId="0D387C7D">
            <w:pPr>
              <w:snapToGrid w:val="0"/>
              <w:jc w:val="left"/>
              <w:outlineLvl w:val="0"/>
              <w:rPr>
                <w:rFonts w:hint="eastAsia" w:ascii="宋体" w:hAnsi="宋体" w:cs="宋体"/>
                <w:color w:val="auto"/>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未提供的不得分。</w:t>
            </w:r>
          </w:p>
        </w:tc>
        <w:tc>
          <w:tcPr>
            <w:tcW w:w="793" w:type="dxa"/>
            <w:vAlign w:val="center"/>
          </w:tcPr>
          <w:p w14:paraId="030AB08B">
            <w:pPr>
              <w:snapToGrid w:val="0"/>
              <w:jc w:val="center"/>
              <w:outlineLvl w:val="0"/>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8</w:t>
            </w:r>
          </w:p>
        </w:tc>
        <w:tc>
          <w:tcPr>
            <w:tcW w:w="2133" w:type="dxa"/>
            <w:vAlign w:val="center"/>
          </w:tcPr>
          <w:p w14:paraId="6E031A1B">
            <w:pPr>
              <w:snapToGrid w:val="0"/>
              <w:jc w:val="center"/>
              <w:outlineLvl w:val="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主观分</w:t>
            </w:r>
          </w:p>
        </w:tc>
      </w:tr>
      <w:tr w14:paraId="708D5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910" w:type="dxa"/>
            <w:vAlign w:val="center"/>
          </w:tcPr>
          <w:p w14:paraId="61D90E41">
            <w:pPr>
              <w:snapToGrid w:val="0"/>
              <w:jc w:val="center"/>
              <w:outlineLvl w:val="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p>
        </w:tc>
        <w:tc>
          <w:tcPr>
            <w:tcW w:w="5897" w:type="dxa"/>
            <w:vAlign w:val="center"/>
          </w:tcPr>
          <w:p w14:paraId="7D66DB02">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评委根据投标人提供的施工质量方案措施的完整性、科学性、严谨性进行综合评审：</w:t>
            </w:r>
          </w:p>
          <w:p w14:paraId="0083B3AD">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1.施工质量方案科学、完整、详细，具有针对本项目的有效质量保障措施得</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val="en-US" w:eastAsia="zh-CN"/>
              </w:rPr>
              <w:t>分；</w:t>
            </w:r>
          </w:p>
          <w:p w14:paraId="4C3744C5">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2.施工质量方案内容完整，具有一定有效的一定保障措施得</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分；</w:t>
            </w:r>
          </w:p>
          <w:p w14:paraId="74C5D5D2">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3.施工质量方案缺少实质内容，与项目有偏差，质量保障措施效果一般</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分；</w:t>
            </w:r>
          </w:p>
          <w:p w14:paraId="3026B1AA">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4.未提供不得分</w:t>
            </w:r>
          </w:p>
        </w:tc>
        <w:tc>
          <w:tcPr>
            <w:tcW w:w="793" w:type="dxa"/>
            <w:shd w:val="clear" w:color="auto" w:fill="auto"/>
            <w:vAlign w:val="center"/>
          </w:tcPr>
          <w:p w14:paraId="0431AD3B">
            <w:pPr>
              <w:snapToGrid w:val="0"/>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8</w:t>
            </w:r>
          </w:p>
        </w:tc>
        <w:tc>
          <w:tcPr>
            <w:tcW w:w="2133" w:type="dxa"/>
            <w:shd w:val="clear" w:color="auto" w:fill="auto"/>
            <w:vAlign w:val="center"/>
          </w:tcPr>
          <w:p w14:paraId="42546ED1">
            <w:pPr>
              <w:snapToGrid w:val="0"/>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highlight w:val="none"/>
                <w:lang w:val="en-US" w:eastAsia="zh-CN"/>
              </w:rPr>
              <w:t>主观分</w:t>
            </w:r>
          </w:p>
        </w:tc>
      </w:tr>
      <w:tr w14:paraId="01D58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910" w:type="dxa"/>
            <w:vAlign w:val="center"/>
          </w:tcPr>
          <w:p w14:paraId="78F1D924">
            <w:pPr>
              <w:snapToGrid w:val="0"/>
              <w:jc w:val="center"/>
              <w:outlineLvl w:val="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w:t>
            </w:r>
          </w:p>
        </w:tc>
        <w:tc>
          <w:tcPr>
            <w:tcW w:w="5897" w:type="dxa"/>
            <w:vAlign w:val="center"/>
          </w:tcPr>
          <w:p w14:paraId="0D0ECAA5">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磋商供应商安全文明施工措施的完整性、合理性评价,包括对施工现场的材料堆场、施工通道的安排，对消防安全的保证措施等。</w:t>
            </w:r>
          </w:p>
          <w:p w14:paraId="387949EC">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（1）方案科学合理、执行力强的得</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val="en-US" w:eastAsia="zh-CN"/>
              </w:rPr>
              <w:t>分；</w:t>
            </w:r>
          </w:p>
          <w:p w14:paraId="47757529">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（2）方案较为科学合理、有实质性措施的得</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分；</w:t>
            </w:r>
          </w:p>
          <w:p w14:paraId="3C32AC7B">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（3）方案有欠缺、执行力弱的得</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分；</w:t>
            </w:r>
          </w:p>
          <w:p w14:paraId="130FE16D">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（4）未提出实质性方案阐述的得0分。</w:t>
            </w:r>
          </w:p>
        </w:tc>
        <w:tc>
          <w:tcPr>
            <w:tcW w:w="793" w:type="dxa"/>
            <w:shd w:val="clear" w:color="auto" w:fill="auto"/>
            <w:vAlign w:val="center"/>
          </w:tcPr>
          <w:p w14:paraId="780CB136">
            <w:pPr>
              <w:snapToGrid w:val="0"/>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8</w:t>
            </w:r>
          </w:p>
        </w:tc>
        <w:tc>
          <w:tcPr>
            <w:tcW w:w="2133" w:type="dxa"/>
            <w:shd w:val="clear" w:color="auto" w:fill="auto"/>
            <w:vAlign w:val="center"/>
          </w:tcPr>
          <w:p w14:paraId="476AB437">
            <w:pPr>
              <w:snapToGrid w:val="0"/>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highlight w:val="none"/>
                <w:lang w:val="en-US" w:eastAsia="zh-CN"/>
              </w:rPr>
              <w:t>主观分</w:t>
            </w:r>
          </w:p>
        </w:tc>
      </w:tr>
      <w:tr w14:paraId="5FFDA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910" w:type="dxa"/>
            <w:vAlign w:val="center"/>
          </w:tcPr>
          <w:p w14:paraId="379AED9C">
            <w:pPr>
              <w:snapToGrid w:val="0"/>
              <w:jc w:val="center"/>
              <w:outlineLvl w:val="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w:t>
            </w:r>
          </w:p>
        </w:tc>
        <w:tc>
          <w:tcPr>
            <w:tcW w:w="5897" w:type="dxa"/>
            <w:vAlign w:val="center"/>
          </w:tcPr>
          <w:p w14:paraId="2B4D89FC">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供应商对针对非施工区域的保护及安全防护措施等。</w:t>
            </w:r>
          </w:p>
          <w:p w14:paraId="359CBE01">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（1）方案科学合理、执行力强的得</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分；</w:t>
            </w:r>
          </w:p>
          <w:p w14:paraId="521B5CD3">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（2）方案较为科学合理、有实质性措施的得</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分；</w:t>
            </w:r>
          </w:p>
          <w:p w14:paraId="3BD76B76">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（3）方案有欠缺、执行力弱的得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分；</w:t>
            </w:r>
          </w:p>
          <w:p w14:paraId="448B8E5B">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（4）未提出实质性方案阐述的得0分。</w:t>
            </w:r>
          </w:p>
        </w:tc>
        <w:tc>
          <w:tcPr>
            <w:tcW w:w="793" w:type="dxa"/>
            <w:shd w:val="clear" w:color="auto" w:fill="auto"/>
            <w:vAlign w:val="center"/>
          </w:tcPr>
          <w:p w14:paraId="52260E04">
            <w:pPr>
              <w:snapToGrid w:val="0"/>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6</w:t>
            </w:r>
          </w:p>
        </w:tc>
        <w:tc>
          <w:tcPr>
            <w:tcW w:w="2133" w:type="dxa"/>
            <w:shd w:val="clear" w:color="auto" w:fill="auto"/>
            <w:vAlign w:val="center"/>
          </w:tcPr>
          <w:p w14:paraId="2F166EDB">
            <w:pPr>
              <w:snapToGrid w:val="0"/>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highlight w:val="none"/>
                <w:lang w:val="en-US" w:eastAsia="zh-CN"/>
              </w:rPr>
              <w:t>主观分</w:t>
            </w:r>
          </w:p>
        </w:tc>
      </w:tr>
      <w:tr w14:paraId="559F9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910" w:type="dxa"/>
            <w:vAlign w:val="center"/>
          </w:tcPr>
          <w:p w14:paraId="6CD34BA3">
            <w:pPr>
              <w:snapToGrid w:val="0"/>
              <w:jc w:val="center"/>
              <w:outlineLvl w:val="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w:t>
            </w:r>
          </w:p>
        </w:tc>
        <w:tc>
          <w:tcPr>
            <w:tcW w:w="5897" w:type="dxa"/>
            <w:vAlign w:val="center"/>
          </w:tcPr>
          <w:p w14:paraId="1B643BD3">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磋商供应商工期承诺和进度控制措施方案的评价，评价因素包括工期以及进度计划满足程度、合理性及保证措施的可行性。</w:t>
            </w:r>
          </w:p>
          <w:p w14:paraId="1FAB28CE">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（1）方案科学合理、执行力强的得</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分；</w:t>
            </w:r>
          </w:p>
          <w:p w14:paraId="507889E1">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（2）方案较为科学合理、有实质性措施的得</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分；</w:t>
            </w:r>
          </w:p>
          <w:p w14:paraId="454DBA8A">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（3）方案有欠缺、执行力弱的得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分；</w:t>
            </w:r>
          </w:p>
          <w:p w14:paraId="167F78DF">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（4）未提出实质性方案阐述的得0分。</w:t>
            </w:r>
          </w:p>
        </w:tc>
        <w:tc>
          <w:tcPr>
            <w:tcW w:w="793" w:type="dxa"/>
            <w:shd w:val="clear" w:color="auto" w:fill="auto"/>
            <w:vAlign w:val="center"/>
          </w:tcPr>
          <w:p w14:paraId="2DAD9FC8">
            <w:pPr>
              <w:snapToGrid w:val="0"/>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6</w:t>
            </w:r>
          </w:p>
        </w:tc>
        <w:tc>
          <w:tcPr>
            <w:tcW w:w="2133" w:type="dxa"/>
            <w:shd w:val="clear" w:color="auto" w:fill="auto"/>
            <w:vAlign w:val="center"/>
          </w:tcPr>
          <w:p w14:paraId="650D0865">
            <w:pPr>
              <w:snapToGrid w:val="0"/>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highlight w:val="none"/>
                <w:lang w:val="en-US" w:eastAsia="zh-CN"/>
              </w:rPr>
              <w:t>主观分</w:t>
            </w:r>
          </w:p>
        </w:tc>
      </w:tr>
      <w:tr w14:paraId="10508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910" w:type="dxa"/>
            <w:vAlign w:val="center"/>
          </w:tcPr>
          <w:p w14:paraId="73E8316E">
            <w:pPr>
              <w:snapToGrid w:val="0"/>
              <w:jc w:val="center"/>
              <w:outlineLvl w:val="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5897" w:type="dxa"/>
            <w:vAlign w:val="center"/>
          </w:tcPr>
          <w:p w14:paraId="53A436C0">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关键工序、复杂环节的相应技术措施，措施是否周全、有针对性、可实施性。</w:t>
            </w:r>
          </w:p>
          <w:p w14:paraId="0E17F342">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（1）方案科学合理、执行力强的得</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分；</w:t>
            </w:r>
          </w:p>
          <w:p w14:paraId="0D5DA70C">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（2）方案较为科学合理、有实质性措施的得</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分；</w:t>
            </w:r>
          </w:p>
          <w:p w14:paraId="522D802E">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（3）方案有欠缺、执行力弱的得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分；</w:t>
            </w:r>
          </w:p>
          <w:p w14:paraId="64394AED">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（4）未提出实质性方案阐述的得0分。</w:t>
            </w:r>
          </w:p>
        </w:tc>
        <w:tc>
          <w:tcPr>
            <w:tcW w:w="793" w:type="dxa"/>
            <w:shd w:val="clear" w:color="auto" w:fill="auto"/>
            <w:vAlign w:val="center"/>
          </w:tcPr>
          <w:p w14:paraId="6ABA0173">
            <w:pPr>
              <w:snapToGrid w:val="0"/>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6</w:t>
            </w:r>
          </w:p>
        </w:tc>
        <w:tc>
          <w:tcPr>
            <w:tcW w:w="2133" w:type="dxa"/>
            <w:shd w:val="clear" w:color="auto" w:fill="auto"/>
            <w:vAlign w:val="center"/>
          </w:tcPr>
          <w:p w14:paraId="313DF880">
            <w:pPr>
              <w:snapToGrid w:val="0"/>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highlight w:val="none"/>
                <w:lang w:val="en-US" w:eastAsia="zh-CN"/>
              </w:rPr>
              <w:t>主观分</w:t>
            </w:r>
          </w:p>
        </w:tc>
      </w:tr>
      <w:tr w14:paraId="07CAA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910" w:type="dxa"/>
            <w:vAlign w:val="center"/>
          </w:tcPr>
          <w:p w14:paraId="35E38758">
            <w:pPr>
              <w:snapToGrid w:val="0"/>
              <w:jc w:val="center"/>
              <w:outlineLvl w:val="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w:t>
            </w:r>
          </w:p>
        </w:tc>
        <w:tc>
          <w:tcPr>
            <w:tcW w:w="5897" w:type="dxa"/>
            <w:shd w:val="clear" w:color="auto" w:fill="auto"/>
            <w:vAlign w:val="center"/>
          </w:tcPr>
          <w:p w14:paraId="013FC24B">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主要材料表所选用材料的品质、性能、档次满足磋商文件要求的程度</w:t>
            </w:r>
          </w:p>
          <w:p w14:paraId="20D6C17C">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1）材料品牌选用完全满足采购文件要求的得</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分；</w:t>
            </w:r>
          </w:p>
          <w:p w14:paraId="1C91DBC4">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2）材料品牌选用基本满足采购文件要求的得</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分；</w:t>
            </w:r>
          </w:p>
          <w:p w14:paraId="77B166DA">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3）材料品牌选用一般的得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分；</w:t>
            </w:r>
          </w:p>
          <w:p w14:paraId="50314136">
            <w:pPr>
              <w:snapToGrid w:val="0"/>
              <w:jc w:val="left"/>
              <w:outlineLvl w:val="0"/>
              <w:rPr>
                <w:rFonts w:hint="eastAsia" w:ascii="新宋体" w:hAnsi="新宋体" w:eastAsia="新宋体" w:cs="新宋体"/>
                <w:color w:val="auto"/>
                <w:kern w:val="2"/>
                <w:sz w:val="21"/>
                <w:szCs w:val="21"/>
                <w:highlight w:val="none"/>
                <w:lang w:val="en-US" w:eastAsia="zh-CN" w:bidi="ar-SA"/>
              </w:rPr>
            </w:pPr>
            <w:r>
              <w:rPr>
                <w:rFonts w:hint="eastAsia" w:ascii="宋体" w:hAnsi="宋体" w:eastAsia="宋体" w:cs="宋体"/>
                <w:color w:val="auto"/>
                <w:sz w:val="24"/>
                <w:highlight w:val="none"/>
                <w:lang w:val="en-US" w:eastAsia="zh-CN"/>
              </w:rPr>
              <w:t>未提供的不得分。</w:t>
            </w:r>
          </w:p>
        </w:tc>
        <w:tc>
          <w:tcPr>
            <w:tcW w:w="793" w:type="dxa"/>
            <w:shd w:val="clear" w:color="auto" w:fill="auto"/>
            <w:vAlign w:val="center"/>
          </w:tcPr>
          <w:p w14:paraId="2A179265">
            <w:pPr>
              <w:snapToGrid w:val="0"/>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6</w:t>
            </w:r>
          </w:p>
        </w:tc>
        <w:tc>
          <w:tcPr>
            <w:tcW w:w="2133" w:type="dxa"/>
            <w:shd w:val="clear" w:color="auto" w:fill="auto"/>
            <w:vAlign w:val="center"/>
          </w:tcPr>
          <w:p w14:paraId="3AE72257">
            <w:pPr>
              <w:snapToGrid w:val="0"/>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lang w:val="en-US" w:eastAsia="zh-CN"/>
              </w:rPr>
              <w:t>客</w:t>
            </w:r>
            <w:bookmarkStart w:id="624" w:name="_GoBack"/>
            <w:bookmarkEnd w:id="624"/>
            <w:r>
              <w:rPr>
                <w:rFonts w:hint="eastAsia" w:ascii="宋体" w:hAnsi="宋体" w:eastAsia="宋体" w:cs="宋体"/>
                <w:bCs/>
                <w:color w:val="auto"/>
                <w:sz w:val="24"/>
                <w:highlight w:val="none"/>
                <w:lang w:val="en-US" w:eastAsia="zh-CN"/>
              </w:rPr>
              <w:t>观分</w:t>
            </w:r>
          </w:p>
        </w:tc>
      </w:tr>
      <w:tr w14:paraId="55F89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910" w:type="dxa"/>
            <w:vAlign w:val="center"/>
          </w:tcPr>
          <w:p w14:paraId="621E0559">
            <w:pPr>
              <w:snapToGrid w:val="0"/>
              <w:jc w:val="center"/>
              <w:outlineLvl w:val="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w:t>
            </w:r>
          </w:p>
        </w:tc>
        <w:tc>
          <w:tcPr>
            <w:tcW w:w="5897" w:type="dxa"/>
            <w:vAlign w:val="center"/>
          </w:tcPr>
          <w:p w14:paraId="62CD1005">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磋商供应商对施工过程中突发事件的处理预案及承诺的紧急响应时间的评价。评价因素包括响应时间、措施、投入人员力量。</w:t>
            </w:r>
          </w:p>
          <w:p w14:paraId="77F70EBE">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（1）方案科学合理、执行力强的得5分；</w:t>
            </w:r>
          </w:p>
          <w:p w14:paraId="72D229CF">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（2）方案较为科学合理、有实质性措施的得3分；</w:t>
            </w:r>
          </w:p>
          <w:p w14:paraId="00D02DF1">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（3）方案有欠缺、执行力弱的得1分；</w:t>
            </w:r>
          </w:p>
          <w:p w14:paraId="3C69B4E6">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（4）未提出实质性方案阐述的得0分。</w:t>
            </w:r>
          </w:p>
        </w:tc>
        <w:tc>
          <w:tcPr>
            <w:tcW w:w="793" w:type="dxa"/>
            <w:shd w:val="clear" w:color="auto" w:fill="auto"/>
            <w:vAlign w:val="center"/>
          </w:tcPr>
          <w:p w14:paraId="7D45E9CD">
            <w:pPr>
              <w:snapToGrid w:val="0"/>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highlight w:val="none"/>
                <w:lang w:val="en-US" w:eastAsia="zh-CN"/>
              </w:rPr>
              <w:t>5</w:t>
            </w:r>
          </w:p>
        </w:tc>
        <w:tc>
          <w:tcPr>
            <w:tcW w:w="2133" w:type="dxa"/>
            <w:shd w:val="clear" w:color="auto" w:fill="auto"/>
            <w:vAlign w:val="center"/>
          </w:tcPr>
          <w:p w14:paraId="797F515B">
            <w:pPr>
              <w:snapToGrid w:val="0"/>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highlight w:val="none"/>
                <w:lang w:val="en-US" w:eastAsia="zh-CN"/>
              </w:rPr>
              <w:t>主观分</w:t>
            </w:r>
          </w:p>
        </w:tc>
      </w:tr>
      <w:tr w14:paraId="5BD67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910" w:type="dxa"/>
            <w:vAlign w:val="center"/>
          </w:tcPr>
          <w:p w14:paraId="6EBA6474">
            <w:pPr>
              <w:snapToGrid w:val="0"/>
              <w:jc w:val="center"/>
              <w:outlineLvl w:val="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w:t>
            </w:r>
          </w:p>
        </w:tc>
        <w:tc>
          <w:tcPr>
            <w:tcW w:w="5897" w:type="dxa"/>
            <w:vAlign w:val="center"/>
          </w:tcPr>
          <w:p w14:paraId="53BABAF5">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售后服务承诺的范围和完善程度的评价，包括保修范围、保修内容、人员配备、故障响应修复时间方式及保障措施。</w:t>
            </w:r>
          </w:p>
          <w:p w14:paraId="0059C924">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（1）方案科学合理、执行力强的得5分；</w:t>
            </w:r>
          </w:p>
          <w:p w14:paraId="0D062A8B">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（2）方案较为科学合理、有实质性措施的得3分；</w:t>
            </w:r>
          </w:p>
          <w:p w14:paraId="12758898">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（3）方案有欠缺、执行力弱的得1分；</w:t>
            </w:r>
          </w:p>
          <w:p w14:paraId="4E1F61D8">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（4）未提出实质性方案阐述的得0分。</w:t>
            </w:r>
          </w:p>
        </w:tc>
        <w:tc>
          <w:tcPr>
            <w:tcW w:w="793" w:type="dxa"/>
            <w:shd w:val="clear" w:color="auto" w:fill="auto"/>
            <w:vAlign w:val="center"/>
          </w:tcPr>
          <w:p w14:paraId="3C3BA0D1">
            <w:pPr>
              <w:snapToGrid w:val="0"/>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highlight w:val="none"/>
                <w:lang w:val="en-US" w:eastAsia="zh-CN"/>
              </w:rPr>
              <w:t>5</w:t>
            </w:r>
          </w:p>
        </w:tc>
        <w:tc>
          <w:tcPr>
            <w:tcW w:w="2133" w:type="dxa"/>
            <w:shd w:val="clear" w:color="auto" w:fill="auto"/>
            <w:vAlign w:val="center"/>
          </w:tcPr>
          <w:p w14:paraId="6B769E0F">
            <w:pPr>
              <w:snapToGrid w:val="0"/>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highlight w:val="none"/>
                <w:lang w:val="en-US" w:eastAsia="zh-CN"/>
              </w:rPr>
              <w:t>主观分</w:t>
            </w:r>
          </w:p>
        </w:tc>
      </w:tr>
      <w:tr w14:paraId="3D810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910" w:type="dxa"/>
            <w:vAlign w:val="center"/>
          </w:tcPr>
          <w:p w14:paraId="6AB6519F">
            <w:pPr>
              <w:snapToGrid w:val="0"/>
              <w:jc w:val="center"/>
              <w:outlineLvl w:val="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4</w:t>
            </w:r>
          </w:p>
        </w:tc>
        <w:tc>
          <w:tcPr>
            <w:tcW w:w="5897" w:type="dxa"/>
            <w:shd w:val="clear" w:color="auto" w:fill="auto"/>
            <w:vAlign w:val="center"/>
          </w:tcPr>
          <w:p w14:paraId="7A2F5BE1">
            <w:pPr>
              <w:rPr>
                <w:rFonts w:hint="eastAsia" w:ascii="新宋体" w:hAnsi="新宋体" w:eastAsia="新宋体" w:cs="新宋体"/>
                <w:color w:val="auto"/>
                <w:kern w:val="2"/>
                <w:sz w:val="21"/>
                <w:szCs w:val="21"/>
                <w:highlight w:val="none"/>
                <w:lang w:val="en-US" w:eastAsia="zh-CN" w:bidi="ar-SA"/>
              </w:rPr>
            </w:pPr>
            <w:r>
              <w:rPr>
                <w:rFonts w:hint="eastAsia" w:ascii="宋体" w:hAnsi="宋体" w:eastAsia="宋体" w:cs="宋体"/>
                <w:color w:val="auto"/>
                <w:sz w:val="24"/>
                <w:highlight w:val="none"/>
                <w:lang w:val="en-US" w:eastAsia="zh-CN"/>
              </w:rPr>
              <w:t>项目经理到位率承诺95%及以上的得2分（须在商务技术文件中以单独承诺书的形式体现，承诺书格式以采购文件为准，否则此项不得分）</w:t>
            </w:r>
          </w:p>
        </w:tc>
        <w:tc>
          <w:tcPr>
            <w:tcW w:w="793" w:type="dxa"/>
            <w:shd w:val="clear" w:color="auto" w:fill="auto"/>
            <w:vAlign w:val="center"/>
          </w:tcPr>
          <w:p w14:paraId="7FE21089">
            <w:pPr>
              <w:snapToGrid w:val="0"/>
              <w:jc w:val="center"/>
              <w:outlineLvl w:val="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2</w:t>
            </w:r>
          </w:p>
        </w:tc>
        <w:tc>
          <w:tcPr>
            <w:tcW w:w="2133" w:type="dxa"/>
            <w:vAlign w:val="center"/>
          </w:tcPr>
          <w:p w14:paraId="04B2E3D0">
            <w:pPr>
              <w:snapToGrid w:val="0"/>
              <w:jc w:val="center"/>
              <w:outlineLvl w:val="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客观分</w:t>
            </w:r>
          </w:p>
        </w:tc>
      </w:tr>
      <w:tr w14:paraId="2386C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749DF04C">
            <w:pPr>
              <w:snapToGrid w:val="0"/>
              <w:jc w:val="center"/>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5897" w:type="dxa"/>
          </w:tcPr>
          <w:p w14:paraId="3C2026EC">
            <w:pPr>
              <w:snapToGrid w:val="0"/>
              <w:outlineLvl w:val="0"/>
              <w:rPr>
                <w:rFonts w:ascii="宋体" w:hAnsi="宋体" w:cs="宋体"/>
                <w:color w:val="auto"/>
                <w:sz w:val="24"/>
                <w:highlight w:val="none"/>
              </w:rPr>
            </w:pPr>
            <w:r>
              <w:rPr>
                <w:rFonts w:hint="eastAsia" w:ascii="宋体" w:hAnsi="宋体" w:cs="宋体"/>
                <w:color w:val="auto"/>
                <w:sz w:val="24"/>
                <w:highlight w:val="none"/>
                <w:lang w:val="en-US" w:eastAsia="zh-CN"/>
              </w:rPr>
              <w:t>报价分：</w:t>
            </w:r>
            <w:r>
              <w:rPr>
                <w:rFonts w:hint="eastAsia" w:ascii="宋体" w:hAnsi="宋体" w:cs="宋体"/>
                <w:color w:val="auto"/>
                <w:sz w:val="24"/>
                <w:highlight w:val="none"/>
              </w:rPr>
              <w:t>有效最后报价的最低价作为评审基准价，其最低报价为满分；按［最后报价得分=（评审基准价/最后报价）*</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0］的计算公式计算。</w:t>
            </w:r>
          </w:p>
          <w:p w14:paraId="6C98FA1E">
            <w:pPr>
              <w:widowControl/>
              <w:shd w:val="clear" w:color="auto" w:fill="FFFFFF"/>
              <w:adjustRightInd/>
              <w:snapToGrid w:val="0"/>
              <w:ind w:firstLine="420"/>
              <w:jc w:val="left"/>
              <w:rPr>
                <w:rFonts w:ascii="宋体" w:hAnsi="宋体" w:cs="宋体"/>
                <w:color w:val="auto"/>
                <w:sz w:val="24"/>
                <w:highlight w:val="none"/>
              </w:rPr>
            </w:pPr>
            <w:r>
              <w:rPr>
                <w:rFonts w:hint="eastAsia" w:ascii="宋体" w:hAnsi="宋体" w:cs="宋体"/>
                <w:color w:val="auto"/>
                <w:sz w:val="24"/>
                <w:highlight w:val="none"/>
              </w:rPr>
              <w:t>评审过程中，不得去掉报价中的最高报价和最低报价。</w:t>
            </w:r>
          </w:p>
          <w:p w14:paraId="6E6948CA">
            <w:pPr>
              <w:widowControl/>
              <w:shd w:val="clear" w:color="auto" w:fill="FFFFFF"/>
              <w:adjustRightInd/>
              <w:snapToGrid w:val="0"/>
              <w:ind w:firstLine="420"/>
              <w:jc w:val="left"/>
              <w:rPr>
                <w:rFonts w:ascii="宋体" w:hAnsi="宋体" w:cs="宋体"/>
                <w:color w:val="auto"/>
                <w:sz w:val="24"/>
                <w:highlight w:val="none"/>
              </w:rPr>
            </w:pPr>
            <w:r>
              <w:rPr>
                <w:rFonts w:hint="eastAsia" w:ascii="宋体" w:hAnsi="宋体" w:cs="宋体"/>
                <w:color w:val="auto"/>
                <w:sz w:val="24"/>
                <w:highlight w:val="none"/>
              </w:rPr>
              <w:t>因落实政府采购政策需要进行价格调整的，以调整后的价格计算评审基准价和最后报价。</w:t>
            </w:r>
          </w:p>
        </w:tc>
        <w:tc>
          <w:tcPr>
            <w:tcW w:w="793" w:type="dxa"/>
            <w:vAlign w:val="center"/>
          </w:tcPr>
          <w:p w14:paraId="178EF23C">
            <w:pPr>
              <w:snapToGrid w:val="0"/>
              <w:jc w:val="center"/>
              <w:outlineLvl w:val="0"/>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30</w:t>
            </w:r>
          </w:p>
        </w:tc>
        <w:tc>
          <w:tcPr>
            <w:tcW w:w="2133" w:type="dxa"/>
            <w:vAlign w:val="center"/>
          </w:tcPr>
          <w:p w14:paraId="4FF285C5">
            <w:pPr>
              <w:snapToGrid w:val="0"/>
              <w:jc w:val="center"/>
              <w:outlineLvl w:val="0"/>
              <w:rPr>
                <w:rFonts w:ascii="宋体" w:hAnsi="宋体" w:cs="宋体"/>
                <w:color w:val="auto"/>
                <w:sz w:val="24"/>
                <w:highlight w:val="none"/>
              </w:rPr>
            </w:pPr>
            <w:r>
              <w:rPr>
                <w:rFonts w:hint="eastAsia" w:ascii="宋体" w:hAnsi="宋体" w:cs="宋体"/>
                <w:color w:val="auto"/>
                <w:sz w:val="24"/>
                <w:highlight w:val="none"/>
              </w:rPr>
              <w:t>/</w:t>
            </w:r>
          </w:p>
        </w:tc>
      </w:tr>
      <w:tr w14:paraId="25D15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910" w:type="dxa"/>
            <w:vAlign w:val="center"/>
          </w:tcPr>
          <w:p w14:paraId="3E9F3214">
            <w:pPr>
              <w:snapToGrid w:val="0"/>
              <w:ind w:firstLine="240" w:firstLineChars="100"/>
              <w:outlineLvl w:val="0"/>
              <w:rPr>
                <w:rFonts w:ascii="宋体" w:hAnsi="宋体" w:cs="宋体"/>
                <w:color w:val="auto"/>
                <w:sz w:val="24"/>
                <w:highlight w:val="none"/>
              </w:rPr>
            </w:pPr>
          </w:p>
        </w:tc>
        <w:tc>
          <w:tcPr>
            <w:tcW w:w="5897" w:type="dxa"/>
            <w:vAlign w:val="center"/>
          </w:tcPr>
          <w:p w14:paraId="7FA184AB">
            <w:pPr>
              <w:widowControl/>
              <w:shd w:val="clear" w:color="auto" w:fill="FFFFFF"/>
              <w:adjustRightInd/>
              <w:snapToGrid w:val="0"/>
              <w:jc w:val="both"/>
              <w:rPr>
                <w:rFonts w:ascii="宋体" w:hAnsi="宋体" w:cs="宋体"/>
                <w:color w:val="auto"/>
                <w:sz w:val="24"/>
                <w:highlight w:val="none"/>
              </w:rPr>
            </w:pPr>
            <w:r>
              <w:rPr>
                <w:rFonts w:hint="eastAsia" w:ascii="宋体" w:hAnsi="宋体" w:cs="宋体"/>
                <w:color w:val="auto"/>
                <w:sz w:val="24"/>
                <w:highlight w:val="none"/>
              </w:rPr>
              <w:t>注意：不得以特定金额的业绩作为评审因素</w:t>
            </w:r>
          </w:p>
        </w:tc>
        <w:tc>
          <w:tcPr>
            <w:tcW w:w="793" w:type="dxa"/>
            <w:vAlign w:val="center"/>
          </w:tcPr>
          <w:p w14:paraId="494EC509">
            <w:pPr>
              <w:snapToGrid w:val="0"/>
              <w:ind w:firstLine="120" w:firstLineChars="50"/>
              <w:outlineLvl w:val="0"/>
              <w:rPr>
                <w:rFonts w:ascii="宋体" w:hAnsi="宋体" w:cs="宋体"/>
                <w:color w:val="auto"/>
                <w:sz w:val="24"/>
                <w:highlight w:val="none"/>
              </w:rPr>
            </w:pPr>
          </w:p>
        </w:tc>
        <w:tc>
          <w:tcPr>
            <w:tcW w:w="2133" w:type="dxa"/>
            <w:vAlign w:val="center"/>
          </w:tcPr>
          <w:p w14:paraId="73B7967A">
            <w:pPr>
              <w:snapToGrid w:val="0"/>
              <w:jc w:val="center"/>
              <w:outlineLvl w:val="0"/>
              <w:rPr>
                <w:rFonts w:ascii="宋体" w:hAnsi="宋体" w:cs="宋体"/>
                <w:color w:val="auto"/>
                <w:sz w:val="24"/>
                <w:highlight w:val="none"/>
              </w:rPr>
            </w:pPr>
          </w:p>
        </w:tc>
      </w:tr>
    </w:tbl>
    <w:p w14:paraId="649929C5">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供应商编制响应文件（商务技术文件部分）时，建议按此目录（序号和内容）提供评审标准相应的商务技术资料。 </w:t>
      </w:r>
    </w:p>
    <w:p w14:paraId="04E72F14">
      <w:pPr>
        <w:jc w:val="left"/>
        <w:rPr>
          <w:rFonts w:ascii="宋体" w:hAnsi="宋体" w:cs="宋体"/>
          <w:b/>
          <w:color w:val="auto"/>
          <w:sz w:val="32"/>
          <w:highlight w:val="none"/>
        </w:rPr>
      </w:pPr>
      <w:r>
        <w:rPr>
          <w:rFonts w:hint="eastAsia" w:ascii="宋体" w:hAnsi="宋体" w:cs="宋体"/>
          <w:b/>
          <w:color w:val="auto"/>
          <w:sz w:val="32"/>
          <w:highlight w:val="none"/>
        </w:rPr>
        <w:br w:type="page"/>
      </w:r>
    </w:p>
    <w:p w14:paraId="59A6739C">
      <w:pPr>
        <w:snapToGrid w:val="0"/>
        <w:spacing w:line="360" w:lineRule="auto"/>
        <w:jc w:val="center"/>
        <w:rPr>
          <w:rFonts w:ascii="宋体" w:hAnsi="宋体" w:cs="宋体"/>
          <w:b/>
          <w:color w:val="auto"/>
          <w:sz w:val="28"/>
          <w:szCs w:val="28"/>
          <w:highlight w:val="none"/>
        </w:rPr>
      </w:pPr>
      <w:r>
        <w:rPr>
          <w:rFonts w:hint="eastAsia" w:ascii="宋体" w:hAnsi="宋体" w:cs="宋体"/>
          <w:b/>
          <w:color w:val="auto"/>
          <w:sz w:val="32"/>
          <w:highlight w:val="none"/>
        </w:rPr>
        <w:t>一、评审方法</w:t>
      </w:r>
    </w:p>
    <w:p w14:paraId="727B403E">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综合评分法，是指响应文件满足磋商文件全部实质性要求且按评审因素的量化指标评审得分最高的供应商为成交候选供应商的评审方法。</w:t>
      </w:r>
    </w:p>
    <w:p w14:paraId="329961E0">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二、评审标准</w:t>
      </w:r>
    </w:p>
    <w:p w14:paraId="3C7B6167">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评审标准：</w:t>
      </w:r>
      <w:r>
        <w:rPr>
          <w:rFonts w:hint="eastAsia" w:ascii="宋体" w:hAnsi="宋体" w:cs="宋体"/>
          <w:color w:val="auto"/>
          <w:kern w:val="0"/>
          <w:sz w:val="24"/>
          <w:highlight w:val="none"/>
        </w:rPr>
        <w:t>见评审办法前附表。</w:t>
      </w:r>
    </w:p>
    <w:p w14:paraId="3D8D13A9">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三、评审程序</w:t>
      </w:r>
    </w:p>
    <w:p w14:paraId="2A4534B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磋商小组应当对符合资格的供应商的响应文件进行符合性审查，以确定其是否满足采购文件的实质性要求。不满足采购文件的实质性要求的，响应文件无效。</w:t>
      </w:r>
    </w:p>
    <w:p w14:paraId="7A2294A8">
      <w:pPr>
        <w:spacing w:line="360" w:lineRule="auto"/>
        <w:ind w:firstLine="472" w:firstLineChars="196"/>
        <w:rPr>
          <w:rFonts w:ascii="宋体" w:hAnsi="宋体" w:cs="宋体"/>
          <w:color w:val="auto"/>
          <w:sz w:val="24"/>
          <w:highlight w:val="none"/>
        </w:rPr>
      </w:pPr>
      <w:r>
        <w:rPr>
          <w:rFonts w:hint="eastAsia" w:ascii="宋体" w:hAnsi="宋体" w:cs="宋体"/>
          <w:b/>
          <w:color w:val="auto"/>
          <w:kern w:val="0"/>
          <w:sz w:val="24"/>
          <w:highlight w:val="none"/>
        </w:rPr>
        <w:t>3.2 磋商。</w:t>
      </w:r>
      <w:r>
        <w:rPr>
          <w:rFonts w:hint="eastAsia" w:ascii="宋体" w:hAnsi="宋体" w:cs="宋体"/>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供应商逐一进行磋商。</w:t>
      </w:r>
    </w:p>
    <w:p w14:paraId="568FEE4F">
      <w:pPr>
        <w:spacing w:line="360" w:lineRule="auto"/>
        <w:ind w:firstLine="470" w:firstLineChars="196"/>
        <w:rPr>
          <w:rFonts w:ascii="宋体" w:hAnsi="宋体" w:cs="宋体"/>
          <w:b/>
          <w:color w:val="auto"/>
          <w:sz w:val="24"/>
          <w:highlight w:val="none"/>
        </w:rPr>
      </w:pPr>
      <w:r>
        <w:rPr>
          <w:rFonts w:hint="eastAsia" w:ascii="宋体" w:hAnsi="宋体" w:cs="宋体"/>
          <w:bCs/>
          <w:color w:val="auto"/>
          <w:sz w:val="24"/>
          <w:highlight w:val="none"/>
        </w:rPr>
        <w:t xml:space="preserve">3.2.1 </w:t>
      </w:r>
      <w:r>
        <w:rPr>
          <w:rFonts w:hint="eastAsia" w:ascii="宋体" w:hAnsi="宋体" w:cs="宋体"/>
          <w:color w:val="auto"/>
          <w:sz w:val="24"/>
          <w:highlight w:val="none"/>
        </w:rPr>
        <w:t>供应商逐家回答磋商小组的提问；</w:t>
      </w:r>
      <w:r>
        <w:rPr>
          <w:rFonts w:hint="eastAsia" w:ascii="宋体" w:hAnsi="宋体" w:cs="宋体"/>
          <w:b/>
          <w:color w:val="auto"/>
          <w:sz w:val="24"/>
          <w:highlight w:val="none"/>
        </w:rPr>
        <w:t>逐家磋商一次为一个轮次，磋商轮次根据实际情况进行。</w:t>
      </w:r>
    </w:p>
    <w:p w14:paraId="13BC66E9">
      <w:pPr>
        <w:spacing w:line="360" w:lineRule="auto"/>
        <w:ind w:firstLine="470" w:firstLineChars="196"/>
        <w:rPr>
          <w:rFonts w:ascii="宋体" w:hAnsi="宋体" w:cs="宋体"/>
          <w:color w:val="auto"/>
          <w:sz w:val="24"/>
          <w:highlight w:val="none"/>
        </w:rPr>
      </w:pPr>
      <w:r>
        <w:rPr>
          <w:rFonts w:hint="eastAsia" w:ascii="宋体" w:hAnsi="宋体" w:cs="宋体"/>
          <w:bCs/>
          <w:color w:val="auto"/>
          <w:sz w:val="24"/>
          <w:highlight w:val="none"/>
        </w:rPr>
        <w:t xml:space="preserve">3.2.2 </w:t>
      </w:r>
      <w:r>
        <w:rPr>
          <w:rFonts w:hint="eastAsia" w:ascii="宋体" w:hAnsi="宋体" w:cs="宋体"/>
          <w:color w:val="auto"/>
          <w:sz w:val="24"/>
          <w:highlight w:val="none"/>
        </w:rPr>
        <w:t>供应商应按磋商小组通知的时间在线或以邮件回复做出承诺或回复，承诺或回复的内容须由供应商法定代表人或授权代表签署，并作为响应文件的补充部分。</w:t>
      </w:r>
    </w:p>
    <w:p w14:paraId="22B51E6F">
      <w:pPr>
        <w:spacing w:line="360" w:lineRule="auto"/>
        <w:ind w:firstLine="470" w:firstLineChars="196"/>
        <w:rPr>
          <w:rFonts w:ascii="宋体" w:hAnsi="宋体" w:cs="宋体"/>
          <w:bCs/>
          <w:color w:val="auto"/>
          <w:kern w:val="0"/>
          <w:sz w:val="24"/>
          <w:highlight w:val="none"/>
        </w:rPr>
      </w:pPr>
      <w:r>
        <w:rPr>
          <w:rFonts w:hint="eastAsia" w:ascii="宋体" w:hAnsi="宋体" w:cs="宋体"/>
          <w:color w:val="auto"/>
          <w:sz w:val="24"/>
          <w:highlight w:val="none"/>
        </w:rPr>
        <w:t xml:space="preserve">3.2.3 </w:t>
      </w:r>
      <w:r>
        <w:rPr>
          <w:rFonts w:hint="eastAsia" w:ascii="宋体" w:hAnsi="宋体" w:cs="宋体"/>
          <w:b/>
          <w:bCs/>
          <w:color w:val="auto"/>
          <w:sz w:val="24"/>
          <w:highlight w:val="none"/>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color w:val="auto"/>
          <w:sz w:val="24"/>
          <w:highlight w:val="none"/>
        </w:rPr>
        <w:t>实质性变动的内容，须经采购人代表确认。磋商文件有实质性变动的，磋商小组将以书面形式通知所有</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 xml:space="preserve">供应商。 </w:t>
      </w:r>
    </w:p>
    <w:p w14:paraId="3FCEFEA9">
      <w:pPr>
        <w:spacing w:line="360" w:lineRule="auto"/>
        <w:ind w:firstLine="472" w:firstLineChars="196"/>
        <w:rPr>
          <w:rFonts w:ascii="宋体" w:hAnsi="宋体" w:cs="宋体"/>
          <w:b/>
          <w:bCs/>
          <w:color w:val="auto"/>
          <w:kern w:val="0"/>
          <w:sz w:val="24"/>
          <w:highlight w:val="none"/>
        </w:rPr>
      </w:pPr>
      <w:r>
        <w:rPr>
          <w:rFonts w:hint="eastAsia" w:ascii="宋体" w:hAnsi="宋体" w:cs="宋体"/>
          <w:b/>
          <w:bCs/>
          <w:color w:val="auto"/>
          <w:kern w:val="0"/>
          <w:sz w:val="24"/>
          <w:highlight w:val="none"/>
        </w:rPr>
        <w:t>3.3最后报价</w:t>
      </w:r>
    </w:p>
    <w:p w14:paraId="76AA48B2">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14:paraId="4826F5B6">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7FBB8E6E">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3.3.3 已提交响应文件的供应商，在提交最后报价之前，可以根据磋商情况退出磋商</w:t>
      </w:r>
    </w:p>
    <w:p w14:paraId="7248A4C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3.4 综合评分。</w:t>
      </w:r>
      <w:r>
        <w:rPr>
          <w:rFonts w:hint="eastAsia" w:ascii="宋体" w:hAnsi="宋体" w:cs="宋体"/>
          <w:bCs/>
          <w:color w:val="auto"/>
          <w:kern w:val="0"/>
          <w:sz w:val="24"/>
          <w:highlight w:val="none"/>
        </w:rPr>
        <w:t>经磋商确定最终采购需求和提交最后报价的供应商后，</w:t>
      </w:r>
      <w:r>
        <w:rPr>
          <w:rFonts w:hint="eastAsia" w:ascii="宋体" w:hAnsi="宋体" w:cs="宋体"/>
          <w:color w:val="auto"/>
          <w:kern w:val="0"/>
          <w:sz w:val="24"/>
          <w:highlight w:val="none"/>
        </w:rPr>
        <w:t>磋商小组应当按照采购文件中规定的评审标准，对符合性审查合格的响应文件进行综合评分。磋商文件中没有规定的评审标准不得作为评审依据。</w:t>
      </w:r>
    </w:p>
    <w:p w14:paraId="022056D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3.5汇总商务技术得分。</w:t>
      </w:r>
      <w:r>
        <w:rPr>
          <w:rFonts w:hint="eastAsia" w:ascii="宋体" w:hAnsi="宋体" w:cs="宋体"/>
          <w:color w:val="auto"/>
          <w:kern w:val="0"/>
          <w:sz w:val="24"/>
          <w:highlight w:val="none"/>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color w:val="auto"/>
          <w:kern w:val="0"/>
          <w:sz w:val="24"/>
          <w:highlight w:val="none"/>
        </w:rPr>
        <w:t>30%以上的，由</w:t>
      </w:r>
      <w:r>
        <w:rPr>
          <w:rFonts w:hint="eastAsia" w:ascii="宋体" w:hAnsi="宋体" w:cs="宋体"/>
          <w:color w:val="auto"/>
          <w:kern w:val="0"/>
          <w:sz w:val="24"/>
          <w:highlight w:val="none"/>
        </w:rPr>
        <w:t>磋商小组</w:t>
      </w:r>
      <w:r>
        <w:rPr>
          <w:rFonts w:ascii="宋体" w:hAnsi="宋体" w:cs="宋体"/>
          <w:color w:val="auto"/>
          <w:kern w:val="0"/>
          <w:sz w:val="24"/>
          <w:highlight w:val="none"/>
        </w:rPr>
        <w:t>启动评分畸高、畸低行为认定程序</w:t>
      </w:r>
      <w:r>
        <w:rPr>
          <w:rFonts w:hint="eastAsia" w:ascii="宋体" w:hAnsi="宋体" w:cs="宋体"/>
          <w:color w:val="auto"/>
          <w:kern w:val="0"/>
          <w:sz w:val="24"/>
          <w:highlight w:val="none"/>
        </w:rPr>
        <w:t>，磋商小组组长应提醒相关评审人员进行复核或书面说明理由，评审人员拒绝说明的，由现场监督员据实记录；评审人员的评审、修改记录应保留原件，随项目其他资料一并存档。</w:t>
      </w:r>
    </w:p>
    <w:p w14:paraId="2E8AE83D">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3.6报价评审。</w:t>
      </w:r>
    </w:p>
    <w:p w14:paraId="086E29FB">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3.6.1响应文件报价出现前后不一致的，按照下列规定修正：</w:t>
      </w:r>
    </w:p>
    <w:p w14:paraId="05F728D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3.6.1.1响应文件中已标价工程量清单内容与响应文件中相应内容不一致的，以已标价工程量清单为准;</w:t>
      </w:r>
    </w:p>
    <w:p w14:paraId="508757C4">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3.6.1.2大写金额和小写金额不一致的，以大写金额为准;</w:t>
      </w:r>
    </w:p>
    <w:p w14:paraId="004C5B64">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3.6.1.3单价金额小数点或者百分比有明显错位的，以已标价工程量清单的总价为准，并修改单价;</w:t>
      </w:r>
    </w:p>
    <w:p w14:paraId="54215E9C">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3.6.1.4总价金额与按单价汇总金额不一致的，以单价金额计算结果为准。</w:t>
      </w:r>
    </w:p>
    <w:p w14:paraId="39BD8456">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3.6.1.5同时出现两种以上不一致的，按照3.6.1规定的顺序修正。修正后的报价经供应商确认后产生约束力。</w:t>
      </w:r>
    </w:p>
    <w:p w14:paraId="6D30809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3.6.2响应文件出现不是唯一的、有选择性最后报价的，响应文件无效。</w:t>
      </w:r>
    </w:p>
    <w:p w14:paraId="69790367">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3.6.3最后报价超过采购文件中规定的预算金额或者最高限价的，响应文件无效。</w:t>
      </w:r>
    </w:p>
    <w:p w14:paraId="0829ED08">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1B9D62B9">
      <w:pPr>
        <w:spacing w:line="360" w:lineRule="auto"/>
        <w:ind w:firstLine="482" w:firstLineChars="200"/>
        <w:rPr>
          <w:rFonts w:hint="eastAsia" w:ascii="宋体" w:hAnsi="宋体" w:eastAsia="宋体" w:cs="宋体"/>
          <w:b/>
          <w:color w:val="auto"/>
          <w:kern w:val="0"/>
          <w:sz w:val="24"/>
          <w:highlight w:val="none"/>
          <w:lang w:eastAsia="zh-CN"/>
        </w:rPr>
      </w:pPr>
      <w:r>
        <w:rPr>
          <w:rFonts w:hint="eastAsia" w:ascii="宋体" w:hAnsi="宋体" w:cs="宋体"/>
          <w:b/>
          <w:color w:val="auto"/>
          <w:kern w:val="0"/>
          <w:sz w:val="24"/>
          <w:highlight w:val="none"/>
        </w:rPr>
        <w:t>3.7排序与推荐。</w:t>
      </w:r>
      <w:r>
        <w:rPr>
          <w:rFonts w:hint="eastAsia" w:ascii="宋体" w:hAnsi="宋体" w:cs="宋体"/>
          <w:color w:val="auto"/>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 w:eastAsia="zh-CN"/>
        </w:rPr>
        <w:t>。</w:t>
      </w:r>
    </w:p>
    <w:p w14:paraId="19D4E22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3.8编写评审报告。</w:t>
      </w:r>
      <w:r>
        <w:rPr>
          <w:rFonts w:hint="eastAsia" w:ascii="宋体" w:hAnsi="宋体" w:cs="宋体"/>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3595AE04">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四、评审中的其他事项</w:t>
      </w:r>
    </w:p>
    <w:p w14:paraId="70B31F9F">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5CDF513">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4.2响应文件无效。</w:t>
      </w:r>
      <w:r>
        <w:rPr>
          <w:rFonts w:hint="eastAsia" w:cs="宋体"/>
          <w:color w:val="auto"/>
          <w:szCs w:val="21"/>
          <w:highlight w:val="none"/>
        </w:rPr>
        <w:t>有下列情形之一的，响应文件无效：</w:t>
      </w:r>
    </w:p>
    <w:p w14:paraId="4CA92A2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4.2.1供应商不具备采购文件中规定的资格要求的（供应商未提供有效的资格文件的，视为供应商不具备采购文件中规定的资格要求）；</w:t>
      </w:r>
    </w:p>
    <w:p w14:paraId="77E94DB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4.2.2响应文件未按照采购文件要求签署、盖章的；</w:t>
      </w:r>
    </w:p>
    <w:p w14:paraId="0AF713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14:paraId="5F1753E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4.2.4响应文件含有采购人不能接受的附加条件的；</w:t>
      </w:r>
    </w:p>
    <w:p w14:paraId="4A95F87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4.2.5响应文件中承诺的响应文件有效期少于采购文件中载明的响应文件有效期的；</w:t>
      </w:r>
    </w:p>
    <w:p w14:paraId="2AD0E0F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4.2.6响应文件出现不是唯一的、有选择性最后报价的;</w:t>
      </w:r>
    </w:p>
    <w:p w14:paraId="2B072C8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4.2.7最后报价超过采购文件中规定的预算金额或者最高限价的;</w:t>
      </w:r>
    </w:p>
    <w:p w14:paraId="573604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供应商对根据修正原则修正后的报价不确认的；</w:t>
      </w:r>
    </w:p>
    <w:p w14:paraId="21A58F2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供应商提供虚假材料响应的；</w:t>
      </w:r>
    </w:p>
    <w:p w14:paraId="6F73B47F">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供应商有恶意串通、妨碍其他供应商的竞争行为、损害采购人或者其他供应商的合法权益情形的；</w:t>
      </w:r>
    </w:p>
    <w:p w14:paraId="08DA81A6">
      <w:pPr>
        <w:pStyle w:val="79"/>
        <w:keepNext w:val="0"/>
        <w:keepLines w:val="0"/>
        <w:pageBreakBefore w:val="0"/>
        <w:kinsoku/>
        <w:wordWrap/>
        <w:overflowPunct/>
        <w:topLinePunct w:val="0"/>
        <w:bidi w:val="0"/>
        <w:adjustRightInd w:val="0"/>
        <w:snapToGrid/>
        <w:spacing w:line="360" w:lineRule="auto"/>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4.2.11</w:t>
      </w:r>
      <w:r>
        <w:rPr>
          <w:rFonts w:hint="eastAsia" w:ascii="宋体" w:hAnsi="宋体" w:eastAsia="宋体" w:cs="宋体"/>
          <w:color w:val="auto"/>
          <w:kern w:val="0"/>
          <w:sz w:val="24"/>
          <w:szCs w:val="24"/>
          <w:highlight w:val="none"/>
          <w:lang w:val="en" w:eastAsia="zh-CN" w:bidi="ar-SA"/>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458C3A58">
      <w:pPr>
        <w:keepNext w:val="0"/>
        <w:keepLines w:val="0"/>
        <w:pageBreakBefore w:val="0"/>
        <w:kinsoku/>
        <w:wordWrap/>
        <w:overflowPunct/>
        <w:topLinePunct w:val="0"/>
        <w:bidi w:val="0"/>
        <w:adjustRightInd w:val="0"/>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供应商仅提交备份响应文件，未在电子交易平台传输递交响应文件的，响应文件无效；</w:t>
      </w:r>
    </w:p>
    <w:p w14:paraId="35C199B1">
      <w:pPr>
        <w:keepNext w:val="0"/>
        <w:keepLines w:val="0"/>
        <w:pageBreakBefore w:val="0"/>
        <w:kinsoku/>
        <w:wordWrap/>
        <w:overflowPunct/>
        <w:topLinePunct w:val="0"/>
        <w:bidi w:val="0"/>
        <w:adjustRightInd w:val="0"/>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 xml:space="preserve"> 响应文件不满足采购文件的其它实质性要求的；</w:t>
      </w:r>
    </w:p>
    <w:p w14:paraId="076A9A0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330ED4E3">
      <w:pPr>
        <w:pStyle w:val="26"/>
        <w:snapToGrid w:val="0"/>
        <w:spacing w:line="360" w:lineRule="auto"/>
        <w:ind w:firstLine="472" w:firstLineChars="196"/>
        <w:rPr>
          <w:rFonts w:cs="宋体"/>
          <w:color w:val="auto"/>
          <w:highlight w:val="none"/>
        </w:rPr>
      </w:pPr>
      <w:r>
        <w:rPr>
          <w:rFonts w:hint="eastAsia" w:cs="宋体"/>
          <w:b/>
          <w:color w:val="auto"/>
          <w:highlight w:val="none"/>
        </w:rPr>
        <w:t>5.终止竞争性磋商采购活动。</w:t>
      </w:r>
      <w:r>
        <w:rPr>
          <w:rFonts w:hint="eastAsia" w:cs="宋体"/>
          <w:color w:val="auto"/>
          <w:highlight w:val="none"/>
        </w:rPr>
        <w:t>出现下列情形之一的，采购人或者采购代理机构应当终止竞争性磋商采购活动，发布项目终止公告并说明原因，重新开展采购活动：</w:t>
      </w:r>
    </w:p>
    <w:p w14:paraId="1D98EE14">
      <w:pPr>
        <w:pStyle w:val="26"/>
        <w:snapToGrid w:val="0"/>
        <w:spacing w:line="360" w:lineRule="auto"/>
        <w:rPr>
          <w:rFonts w:cs="宋体"/>
          <w:color w:val="auto"/>
          <w:highlight w:val="none"/>
        </w:rPr>
      </w:pPr>
      <w:r>
        <w:rPr>
          <w:rFonts w:hint="eastAsia" w:cs="宋体"/>
          <w:color w:val="auto"/>
          <w:highlight w:val="none"/>
        </w:rPr>
        <w:t>5.1因情况变化，不再符合规定的竞争性磋商采购方式适用情形的；</w:t>
      </w:r>
    </w:p>
    <w:p w14:paraId="448EE4DC">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14:paraId="00CFEE9F">
      <w:pPr>
        <w:pStyle w:val="26"/>
        <w:snapToGrid w:val="0"/>
        <w:spacing w:line="360" w:lineRule="auto"/>
        <w:rPr>
          <w:rFonts w:cs="宋体"/>
          <w:color w:val="auto"/>
          <w:highlight w:val="none"/>
        </w:rPr>
      </w:pPr>
      <w:r>
        <w:rPr>
          <w:rFonts w:hint="eastAsia" w:cs="宋体"/>
          <w:color w:val="auto"/>
          <w:highlight w:val="none"/>
        </w:rPr>
        <w:t>5.3除本办法第二十一条第三款规定的情形外，在采购过程中符合要求的供应商或者报价未超过采购预算的供应商不足3家的。</w:t>
      </w:r>
    </w:p>
    <w:p w14:paraId="52A137A8">
      <w:pPr>
        <w:pStyle w:val="26"/>
        <w:snapToGrid w:val="0"/>
        <w:spacing w:line="360" w:lineRule="auto"/>
        <w:rPr>
          <w:rFonts w:cs="宋体"/>
          <w:color w:val="auto"/>
          <w:highlight w:val="none"/>
        </w:rPr>
      </w:pPr>
      <w:r>
        <w:rPr>
          <w:rFonts w:hint="eastAsia" w:cs="宋体"/>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14:paraId="74E1E6A3">
      <w:pPr>
        <w:pStyle w:val="26"/>
        <w:snapToGrid w:val="0"/>
        <w:spacing w:line="360" w:lineRule="auto"/>
        <w:ind w:firstLine="482"/>
        <w:rPr>
          <w:rFonts w:cs="宋体"/>
          <w:color w:val="auto"/>
          <w:highlight w:val="none"/>
        </w:rPr>
      </w:pPr>
      <w:r>
        <w:rPr>
          <w:rFonts w:hint="eastAsia" w:cs="宋体"/>
          <w:b/>
          <w:color w:val="auto"/>
          <w:kern w:val="0"/>
          <w:highlight w:val="none"/>
        </w:rPr>
        <w:t>6.重新开展采购。</w:t>
      </w:r>
      <w:r>
        <w:rPr>
          <w:rFonts w:hint="eastAsia" w:cs="宋体"/>
          <w:color w:val="auto"/>
          <w:highlight w:val="none"/>
        </w:rPr>
        <w:t>有政府采购法第七十一条、第七十二条规定的违法行为之一，影响或者可能影响成交结果的，依照下列规定处理：</w:t>
      </w:r>
    </w:p>
    <w:p w14:paraId="0EBA2990">
      <w:pPr>
        <w:pStyle w:val="26"/>
        <w:snapToGrid w:val="0"/>
        <w:spacing w:line="360" w:lineRule="auto"/>
        <w:rPr>
          <w:rFonts w:cs="宋体"/>
          <w:color w:val="auto"/>
          <w:highlight w:val="none"/>
        </w:rPr>
      </w:pPr>
      <w:r>
        <w:rPr>
          <w:rFonts w:hint="eastAsia" w:cs="宋体"/>
          <w:color w:val="auto"/>
          <w:highlight w:val="none"/>
        </w:rPr>
        <w:t>6.1未确定成交供应商的，终止本次政府采购活动，重新开展政府采购活动。</w:t>
      </w:r>
    </w:p>
    <w:p w14:paraId="6C1C0175">
      <w:pPr>
        <w:pStyle w:val="26"/>
        <w:snapToGrid w:val="0"/>
        <w:spacing w:line="360" w:lineRule="auto"/>
        <w:rPr>
          <w:rFonts w:cs="宋体"/>
          <w:color w:val="auto"/>
          <w:highlight w:val="none"/>
        </w:rPr>
      </w:pPr>
      <w:r>
        <w:rPr>
          <w:rFonts w:hint="eastAsia" w:cs="宋体"/>
          <w:color w:val="auto"/>
          <w:highlight w:val="none"/>
        </w:rPr>
        <w:t>6.2已确定成交供应商但尚未签订政府采购合同的，成交结果无效，从合格的成交候选供应商中另行确定成交供应商；没有合格的成交候选供应商的，重新开展政府采购活动。</w:t>
      </w:r>
    </w:p>
    <w:p w14:paraId="4D0885A6">
      <w:pPr>
        <w:pStyle w:val="26"/>
        <w:snapToGrid w:val="0"/>
        <w:spacing w:line="360" w:lineRule="auto"/>
        <w:rPr>
          <w:rFonts w:cs="宋体"/>
          <w:color w:val="auto"/>
          <w:highlight w:val="none"/>
        </w:rPr>
      </w:pPr>
      <w:r>
        <w:rPr>
          <w:rFonts w:hint="eastAsia" w:cs="宋体"/>
          <w:color w:val="auto"/>
          <w:highlight w:val="none"/>
        </w:rPr>
        <w:t>6.3政府采购合同已签订但尚未履行的，撤销合同，从合格的成交候选供应商中另行确定成交供应商；没有合格的成交候选供应商的，重新开展政府采购活动。</w:t>
      </w:r>
    </w:p>
    <w:p w14:paraId="2131059C">
      <w:pPr>
        <w:pStyle w:val="26"/>
        <w:snapToGrid w:val="0"/>
        <w:spacing w:line="360" w:lineRule="auto"/>
        <w:rPr>
          <w:rFonts w:cs="宋体"/>
          <w:color w:val="auto"/>
          <w:highlight w:val="none"/>
        </w:rPr>
      </w:pPr>
      <w:r>
        <w:rPr>
          <w:rFonts w:hint="eastAsia" w:cs="宋体"/>
          <w:color w:val="auto"/>
          <w:highlight w:val="none"/>
        </w:rPr>
        <w:t>6.4政府采购合同已经履行，给采购人、供应商造成损失的，由责任人承担赔偿责任。</w:t>
      </w:r>
    </w:p>
    <w:p w14:paraId="3DFF87E3">
      <w:pPr>
        <w:pStyle w:val="26"/>
        <w:snapToGrid w:val="0"/>
        <w:spacing w:line="360" w:lineRule="auto"/>
        <w:rPr>
          <w:rFonts w:cs="宋体"/>
          <w:color w:val="auto"/>
          <w:highlight w:val="none"/>
        </w:rPr>
      </w:pPr>
      <w:r>
        <w:rPr>
          <w:rFonts w:hint="eastAsia" w:cs="宋体"/>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789B0E87">
      <w:pPr>
        <w:pStyle w:val="26"/>
        <w:snapToGrid w:val="0"/>
        <w:spacing w:line="360" w:lineRule="auto"/>
        <w:ind w:firstLine="0" w:firstLineChars="0"/>
        <w:rPr>
          <w:rFonts w:cs="宋体"/>
          <w:color w:val="auto"/>
          <w:highlight w:val="none"/>
        </w:rPr>
        <w:sectPr>
          <w:pgSz w:w="11907" w:h="16840"/>
          <w:pgMar w:top="1440" w:right="1080" w:bottom="1440" w:left="1080" w:header="851" w:footer="851" w:gutter="0"/>
          <w:cols w:space="720" w:num="1"/>
        </w:sectPr>
      </w:pPr>
    </w:p>
    <w:bookmarkEnd w:id="30"/>
    <w:p w14:paraId="4DB75B67">
      <w:pPr>
        <w:spacing w:line="360" w:lineRule="auto"/>
        <w:jc w:val="center"/>
        <w:outlineLvl w:val="0"/>
        <w:rPr>
          <w:rFonts w:ascii="宋体" w:hAnsi="宋体" w:cs="宋体"/>
          <w:b/>
          <w:color w:val="auto"/>
          <w:sz w:val="36"/>
          <w:szCs w:val="36"/>
          <w:highlight w:val="none"/>
        </w:rPr>
      </w:pPr>
      <w:bookmarkStart w:id="396" w:name="第五部分"/>
      <w:bookmarkStart w:id="397" w:name="_Toc86217003"/>
      <w:r>
        <w:rPr>
          <w:rFonts w:hint="eastAsia" w:ascii="宋体" w:hAnsi="宋体" w:cs="宋体"/>
          <w:b/>
          <w:color w:val="auto"/>
          <w:sz w:val="36"/>
          <w:szCs w:val="36"/>
          <w:highlight w:val="none"/>
        </w:rPr>
        <w:t>第五部分 拟签订的合同文本</w:t>
      </w:r>
    </w:p>
    <w:p w14:paraId="069E2504">
      <w:pPr>
        <w:snapToGrid w:val="0"/>
        <w:spacing w:line="360" w:lineRule="auto"/>
        <w:ind w:firstLine="480" w:firstLineChars="200"/>
        <w:jc w:val="left"/>
        <w:rPr>
          <w:rFonts w:ascii="宋体" w:hAnsi="宋体"/>
          <w:snapToGrid w:val="0"/>
          <w:color w:val="auto"/>
          <w:kern w:val="0"/>
          <w:sz w:val="24"/>
          <w:szCs w:val="20"/>
          <w:highlight w:val="none"/>
        </w:rPr>
      </w:pPr>
      <w:r>
        <w:rPr>
          <w:rFonts w:hint="eastAsia" w:ascii="宋体" w:hAnsi="宋体"/>
          <w:snapToGrid w:val="0"/>
          <w:color w:val="auto"/>
          <w:kern w:val="0"/>
          <w:sz w:val="24"/>
          <w:szCs w:val="20"/>
          <w:highlight w:val="none"/>
        </w:rPr>
        <w:t>参考住房城乡建设部、原国家工商行政管理总局制定的《建设工程施工合同（示范文本）》（GF-2017-0201）。</w:t>
      </w:r>
    </w:p>
    <w:p w14:paraId="0B524F79">
      <w:pPr>
        <w:ind w:firstLine="187" w:firstLineChars="78"/>
        <w:jc w:val="center"/>
        <w:rPr>
          <w:rFonts w:hint="eastAsia"/>
          <w:b/>
          <w:bCs/>
          <w:sz w:val="72"/>
          <w:szCs w:val="28"/>
        </w:rPr>
      </w:pPr>
      <w:r>
        <w:rPr>
          <w:rFonts w:hint="eastAsia" w:ascii="宋体" w:hAnsi="宋体" w:cs="宋体"/>
          <w:snapToGrid w:val="0"/>
          <w:color w:val="auto"/>
          <w:kern w:val="44"/>
          <w:sz w:val="24"/>
          <w:szCs w:val="20"/>
          <w:highlight w:val="none"/>
        </w:rPr>
        <w:br w:type="page"/>
      </w:r>
    </w:p>
    <w:p w14:paraId="3A81443B">
      <w:pPr>
        <w:ind w:firstLine="564" w:firstLineChars="78"/>
        <w:jc w:val="center"/>
        <w:rPr>
          <w:b/>
          <w:bCs/>
          <w:sz w:val="72"/>
          <w:szCs w:val="28"/>
        </w:rPr>
      </w:pPr>
      <w:r>
        <w:rPr>
          <w:rFonts w:hint="eastAsia"/>
          <w:b/>
          <w:bCs/>
          <w:sz w:val="72"/>
          <w:szCs w:val="28"/>
        </w:rPr>
        <w:t>建 设 工 程 施 工 合 同</w:t>
      </w:r>
    </w:p>
    <w:p w14:paraId="639DA879">
      <w:pPr>
        <w:ind w:firstLine="407" w:firstLineChars="78"/>
        <w:jc w:val="center"/>
        <w:rPr>
          <w:b/>
          <w:bCs/>
          <w:sz w:val="52"/>
        </w:rPr>
      </w:pPr>
    </w:p>
    <w:p w14:paraId="1B3B97E6">
      <w:pPr>
        <w:ind w:firstLine="163" w:firstLineChars="78"/>
      </w:pPr>
    </w:p>
    <w:p w14:paraId="4E4A3CDA">
      <w:pPr>
        <w:ind w:firstLine="163" w:firstLineChars="78"/>
      </w:pPr>
    </w:p>
    <w:p w14:paraId="1DC7835E">
      <w:pPr>
        <w:ind w:firstLine="163" w:firstLineChars="78"/>
      </w:pPr>
    </w:p>
    <w:p w14:paraId="5E18FBA4">
      <w:pPr>
        <w:ind w:firstLine="163" w:firstLineChars="78"/>
      </w:pPr>
    </w:p>
    <w:p w14:paraId="4C21DA6F">
      <w:pPr>
        <w:ind w:firstLine="163" w:firstLineChars="78"/>
      </w:pPr>
    </w:p>
    <w:p w14:paraId="47CEBEFB">
      <w:pPr>
        <w:ind w:firstLine="163" w:firstLineChars="78"/>
      </w:pPr>
    </w:p>
    <w:p w14:paraId="5DD4ABF0">
      <w:pPr>
        <w:ind w:firstLine="163" w:firstLineChars="78"/>
      </w:pPr>
    </w:p>
    <w:p w14:paraId="44053771"/>
    <w:p w14:paraId="6DE550AE">
      <w:pPr>
        <w:ind w:firstLine="163" w:firstLineChars="78"/>
      </w:pPr>
    </w:p>
    <w:p w14:paraId="26DB900C">
      <w:pPr>
        <w:rPr>
          <w:rFonts w:hint="eastAsia"/>
        </w:rPr>
      </w:pPr>
    </w:p>
    <w:p w14:paraId="11C8DFAF">
      <w:pPr>
        <w:ind w:firstLine="163" w:firstLineChars="78"/>
      </w:pPr>
    </w:p>
    <w:p w14:paraId="41328B13">
      <w:pPr>
        <w:spacing w:line="440" w:lineRule="exact"/>
        <w:ind w:firstLine="345" w:firstLineChars="78"/>
        <w:jc w:val="center"/>
        <w:rPr>
          <w:b/>
          <w:bCs/>
          <w:sz w:val="44"/>
        </w:rPr>
      </w:pPr>
      <w:r>
        <w:rPr>
          <w:rFonts w:hint="eastAsia"/>
          <w:b/>
          <w:bCs/>
          <w:sz w:val="44"/>
        </w:rPr>
        <w:t>中华人民共和国建设部</w:t>
      </w:r>
    </w:p>
    <w:p w14:paraId="46F9BB61">
      <w:pPr>
        <w:spacing w:line="440" w:lineRule="exact"/>
        <w:ind w:firstLine="345" w:firstLineChars="78"/>
        <w:jc w:val="center"/>
        <w:rPr>
          <w:b/>
          <w:bCs/>
          <w:sz w:val="44"/>
        </w:rPr>
      </w:pPr>
      <w:r>
        <w:rPr>
          <w:rFonts w:hint="eastAsia"/>
          <w:b/>
          <w:bCs/>
          <w:sz w:val="44"/>
        </w:rPr>
        <w:t xml:space="preserve">                           制定</w:t>
      </w:r>
    </w:p>
    <w:p w14:paraId="3E24E0BB">
      <w:pPr>
        <w:ind w:firstLine="376" w:firstLineChars="78"/>
        <w:jc w:val="center"/>
        <w:rPr>
          <w:b/>
          <w:bCs/>
          <w:spacing w:val="20"/>
          <w:sz w:val="44"/>
        </w:rPr>
      </w:pPr>
      <w:r>
        <w:rPr>
          <w:rFonts w:hint="eastAsia"/>
          <w:b/>
          <w:bCs/>
          <w:spacing w:val="20"/>
          <w:sz w:val="44"/>
        </w:rPr>
        <w:t>国家工商行政管理局</w:t>
      </w:r>
    </w:p>
    <w:p w14:paraId="78F6EED8">
      <w:pPr>
        <w:ind w:firstLine="376" w:firstLineChars="78"/>
        <w:jc w:val="center"/>
        <w:rPr>
          <w:b/>
          <w:bCs/>
          <w:spacing w:val="20"/>
          <w:sz w:val="44"/>
        </w:rPr>
      </w:pPr>
    </w:p>
    <w:p w14:paraId="6FEF4631">
      <w:pPr>
        <w:pStyle w:val="34"/>
        <w:spacing w:line="600" w:lineRule="exact"/>
        <w:ind w:firstLine="251" w:firstLineChars="78"/>
        <w:rPr>
          <w:rFonts w:hint="eastAsia" w:ascii="Arial" w:hAnsi="Arial" w:eastAsia="黑体"/>
          <w:b/>
          <w:bCs/>
          <w:sz w:val="32"/>
          <w:szCs w:val="32"/>
        </w:rPr>
      </w:pPr>
    </w:p>
    <w:p w14:paraId="58778A2B">
      <w:pPr>
        <w:widowControl/>
        <w:rPr>
          <w:rFonts w:hint="eastAsia" w:ascii="Arial" w:hAnsi="Arial" w:eastAsia="黑体"/>
          <w:b/>
          <w:bCs/>
          <w:spacing w:val="-2"/>
          <w:sz w:val="32"/>
          <w:szCs w:val="32"/>
        </w:rPr>
      </w:pPr>
    </w:p>
    <w:p w14:paraId="3CFBB7EF">
      <w:pPr>
        <w:pStyle w:val="34"/>
        <w:snapToGrid w:val="0"/>
        <w:spacing w:line="360" w:lineRule="auto"/>
        <w:textAlignment w:val="baseline"/>
        <w:rPr>
          <w:rFonts w:hAnsi="宋体"/>
        </w:rPr>
      </w:pPr>
    </w:p>
    <w:p w14:paraId="12EFB6CE">
      <w:pPr>
        <w:spacing w:before="312" w:after="156" w:line="360" w:lineRule="auto"/>
        <w:jc w:val="center"/>
        <w:textAlignment w:val="baseline"/>
        <w:rPr>
          <w:rFonts w:hAnsi="宋体"/>
          <w:b/>
          <w:sz w:val="30"/>
          <w:szCs w:val="30"/>
        </w:rPr>
      </w:pPr>
      <w:r>
        <w:rPr>
          <w:rFonts w:hAnsi="宋体"/>
          <w:b/>
          <w:sz w:val="30"/>
          <w:szCs w:val="30"/>
        </w:rPr>
        <w:t>第一部分 合同协议书</w:t>
      </w:r>
    </w:p>
    <w:p w14:paraId="7E85B762">
      <w:pPr>
        <w:snapToGrid w:val="0"/>
        <w:spacing w:line="360" w:lineRule="auto"/>
        <w:ind w:firstLine="411" w:firstLineChars="196"/>
        <w:textAlignment w:val="baseline"/>
        <w:rPr>
          <w:rFonts w:hAnsi="宋体"/>
          <w:sz w:val="21"/>
          <w:szCs w:val="21"/>
          <w:u w:val="single"/>
        </w:rPr>
      </w:pPr>
      <w:r>
        <w:rPr>
          <w:rFonts w:hAnsi="宋体"/>
          <w:sz w:val="21"/>
          <w:szCs w:val="21"/>
        </w:rPr>
        <w:t>发包人（全称）</w:t>
      </w:r>
      <w:r>
        <w:rPr>
          <w:rFonts w:hint="eastAsia" w:hAnsi="宋体"/>
          <w:sz w:val="21"/>
          <w:szCs w:val="21"/>
        </w:rPr>
        <w:t>:</w:t>
      </w:r>
      <w:r>
        <w:rPr>
          <w:rFonts w:hint="eastAsia" w:hAnsi="宋体"/>
          <w:sz w:val="21"/>
          <w:szCs w:val="21"/>
          <w:u w:val="single" w:color="000000"/>
        </w:rPr>
        <w:t xml:space="preserve">  </w:t>
      </w:r>
      <w:r>
        <w:rPr>
          <w:rFonts w:hint="eastAsia" w:hAnsi="宋体" w:cs="Courier New"/>
          <w:sz w:val="21"/>
          <w:szCs w:val="21"/>
          <w:u w:val="single" w:color="000000"/>
        </w:rPr>
        <w:t xml:space="preserve"> </w:t>
      </w:r>
      <w:r>
        <w:rPr>
          <w:rFonts w:hint="eastAsia" w:hAnsi="宋体"/>
          <w:sz w:val="21"/>
          <w:szCs w:val="21"/>
          <w:u w:val="single" w:color="000000"/>
        </w:rPr>
        <w:t xml:space="preserve">      </w:t>
      </w:r>
      <w:r>
        <w:rPr>
          <w:rFonts w:hAnsi="宋体"/>
          <w:sz w:val="21"/>
          <w:szCs w:val="21"/>
          <w:u w:val="single" w:color="000000"/>
        </w:rPr>
        <w:t xml:space="preserve">            </w:t>
      </w:r>
      <w:r>
        <w:rPr>
          <w:rFonts w:hint="eastAsia" w:hAnsi="宋体"/>
          <w:sz w:val="21"/>
          <w:szCs w:val="21"/>
          <w:u w:val="single" w:color="000000"/>
        </w:rPr>
        <w:t xml:space="preserve">  </w:t>
      </w:r>
    </w:p>
    <w:p w14:paraId="311D6296">
      <w:pPr>
        <w:widowControl/>
        <w:ind w:firstLine="420" w:firstLineChars="200"/>
        <w:jc w:val="left"/>
      </w:pPr>
      <w:r>
        <w:rPr>
          <w:rFonts w:hAnsi="宋体"/>
          <w:sz w:val="21"/>
          <w:szCs w:val="21"/>
        </w:rPr>
        <w:t>承包人（全称）：</w:t>
      </w:r>
      <w:r>
        <w:rPr>
          <w:rFonts w:hint="eastAsia" w:hAnsi="宋体"/>
          <w:sz w:val="21"/>
          <w:szCs w:val="21"/>
          <w:u w:val="single" w:color="000000"/>
        </w:rPr>
        <w:t xml:space="preserve"> </w:t>
      </w:r>
      <w:bookmarkStart w:id="398" w:name="SOA_hhxys_cbr"/>
      <w:r>
        <w:rPr>
          <w:rFonts w:hint="eastAsia" w:hAnsi="宋体" w:cs="Courier New"/>
          <w:sz w:val="21"/>
          <w:szCs w:val="21"/>
          <w:u w:val="single" w:color="000000"/>
        </w:rPr>
        <w:t xml:space="preserve"> </w:t>
      </w:r>
      <w:r>
        <w:rPr>
          <w:rFonts w:hAnsi="宋体" w:cs="Courier New"/>
          <w:sz w:val="21"/>
          <w:szCs w:val="21"/>
          <w:u w:val="single" w:color="000000"/>
        </w:rPr>
        <w:t xml:space="preserve">                    </w:t>
      </w:r>
    </w:p>
    <w:bookmarkEnd w:id="398"/>
    <w:p w14:paraId="5FF4DA2C">
      <w:pPr>
        <w:pStyle w:val="34"/>
        <w:snapToGrid w:val="0"/>
        <w:spacing w:line="360" w:lineRule="auto"/>
        <w:ind w:firstLine="420" w:firstLineChars="200"/>
        <w:textAlignment w:val="baseline"/>
        <w:rPr>
          <w:rFonts w:hAnsi="宋体"/>
        </w:rPr>
      </w:pPr>
      <w:r>
        <w:rPr>
          <w:rFonts w:hint="eastAsia" w:hAnsi="宋体"/>
        </w:rPr>
        <w:t xml:space="preserve"> </w:t>
      </w:r>
    </w:p>
    <w:p w14:paraId="7940BE56">
      <w:pPr>
        <w:pStyle w:val="34"/>
        <w:snapToGrid w:val="0"/>
        <w:spacing w:line="360" w:lineRule="auto"/>
        <w:ind w:firstLine="420" w:firstLineChars="200"/>
        <w:textAlignment w:val="baseline"/>
        <w:rPr>
          <w:rFonts w:hAnsi="宋体"/>
        </w:rPr>
      </w:pPr>
      <w:r>
        <w:rPr>
          <w:rFonts w:hAnsi="宋体"/>
        </w:rPr>
        <w:t>根据《中华人民共和国</w:t>
      </w:r>
      <w:r>
        <w:rPr>
          <w:rFonts w:hint="eastAsia" w:hAnsi="宋体"/>
        </w:rPr>
        <w:t>民法典</w:t>
      </w:r>
      <w:r>
        <w:rPr>
          <w:rFonts w:hAnsi="宋体"/>
        </w:rPr>
        <w:t>》、《中华人民共和国建筑法》及有关法律规定，遵循平等、自愿、公平和诚实信用的原则，双方就</w:t>
      </w:r>
      <w:r>
        <w:rPr>
          <w:rFonts w:hint="eastAsia" w:hAnsi="宋体"/>
          <w:u w:val="single" w:color="000000"/>
        </w:rPr>
        <w:t xml:space="preserve"> </w:t>
      </w:r>
      <w:r>
        <w:rPr>
          <w:rFonts w:hAnsi="宋体"/>
          <w:u w:val="single" w:color="000000"/>
        </w:rPr>
        <w:t xml:space="preserve">                              </w:t>
      </w:r>
      <w:r>
        <w:rPr>
          <w:rFonts w:hAnsi="宋体"/>
        </w:rPr>
        <w:t>施工及有关事项协商一致</w:t>
      </w:r>
      <w:r>
        <w:rPr>
          <w:rFonts w:hint="eastAsia" w:hAnsi="宋体"/>
        </w:rPr>
        <w:t>，</w:t>
      </w:r>
      <w:r>
        <w:rPr>
          <w:rFonts w:hAnsi="宋体"/>
        </w:rPr>
        <w:t>共同达成如下协议：</w:t>
      </w:r>
    </w:p>
    <w:p w14:paraId="72BCBBA9">
      <w:pPr>
        <w:snapToGrid w:val="0"/>
        <w:spacing w:line="360" w:lineRule="auto"/>
        <w:textAlignment w:val="baseline"/>
        <w:rPr>
          <w:rFonts w:hAnsi="宋体"/>
          <w:sz w:val="21"/>
          <w:szCs w:val="21"/>
        </w:rPr>
      </w:pPr>
      <w:bookmarkStart w:id="399" w:name="_Toc361220410"/>
      <w:r>
        <w:rPr>
          <w:rFonts w:hint="eastAsia" w:hAnsi="宋体"/>
          <w:sz w:val="21"/>
          <w:szCs w:val="21"/>
        </w:rPr>
        <w:t>一、工程概况</w:t>
      </w:r>
      <w:bookmarkEnd w:id="399"/>
    </w:p>
    <w:p w14:paraId="39AB0CA6">
      <w:pPr>
        <w:snapToGrid w:val="0"/>
        <w:spacing w:line="360" w:lineRule="auto"/>
        <w:ind w:firstLine="411" w:firstLineChars="196"/>
        <w:textAlignment w:val="baseline"/>
        <w:rPr>
          <w:rFonts w:hAnsi="宋体"/>
          <w:sz w:val="21"/>
          <w:szCs w:val="21"/>
          <w:u w:val="single"/>
        </w:rPr>
      </w:pPr>
      <w:r>
        <w:rPr>
          <w:rFonts w:hAnsi="宋体"/>
          <w:bCs/>
          <w:sz w:val="21"/>
          <w:szCs w:val="21"/>
        </w:rPr>
        <w:t>1.工程名称</w:t>
      </w:r>
      <w:r>
        <w:rPr>
          <w:rFonts w:hAnsi="宋体"/>
          <w:sz w:val="21"/>
          <w:szCs w:val="21"/>
        </w:rPr>
        <w:t>：</w:t>
      </w:r>
      <w:r>
        <w:rPr>
          <w:rFonts w:hint="eastAsia" w:hAnsi="宋体" w:cs="Courier New"/>
          <w:sz w:val="21"/>
          <w:szCs w:val="21"/>
          <w:u w:val="single" w:color="000000"/>
        </w:rPr>
        <w:t xml:space="preserve"> </w:t>
      </w:r>
      <w:r>
        <w:rPr>
          <w:rFonts w:hAnsi="宋体" w:cs="Courier New"/>
          <w:sz w:val="21"/>
          <w:szCs w:val="21"/>
          <w:u w:val="single" w:color="000000"/>
        </w:rPr>
        <w:t xml:space="preserve">                    </w:t>
      </w:r>
      <w:r>
        <w:rPr>
          <w:rFonts w:hAnsi="宋体"/>
          <w:sz w:val="21"/>
          <w:szCs w:val="21"/>
          <w:u w:val="single" w:color="000000"/>
        </w:rPr>
        <w:t>。</w:t>
      </w:r>
    </w:p>
    <w:p w14:paraId="2FE98E6A">
      <w:pPr>
        <w:pStyle w:val="34"/>
        <w:snapToGrid w:val="0"/>
        <w:spacing w:line="360" w:lineRule="auto"/>
        <w:ind w:firstLine="420" w:firstLineChars="200"/>
        <w:textAlignment w:val="baseline"/>
        <w:rPr>
          <w:rFonts w:hAnsi="宋体"/>
          <w:bCs/>
        </w:rPr>
      </w:pPr>
      <w:r>
        <w:rPr>
          <w:rFonts w:hAnsi="宋体"/>
          <w:bCs/>
        </w:rPr>
        <w:t>2.工程地点：</w:t>
      </w:r>
      <w:r>
        <w:rPr>
          <w:rFonts w:hint="eastAsia" w:hAnsi="宋体"/>
          <w:bCs/>
          <w:u w:val="single" w:color="000000"/>
        </w:rPr>
        <w:t xml:space="preserve"> </w:t>
      </w:r>
      <w:r>
        <w:rPr>
          <w:rFonts w:hAnsi="宋体"/>
          <w:bCs/>
          <w:u w:val="single" w:color="000000"/>
        </w:rPr>
        <w:t xml:space="preserve">               </w:t>
      </w:r>
      <w:r>
        <w:rPr>
          <w:rFonts w:hint="eastAsia" w:hAnsi="宋体"/>
          <w:u w:val="single" w:color="000000"/>
        </w:rPr>
        <w:t>。</w:t>
      </w:r>
    </w:p>
    <w:p w14:paraId="018147E8">
      <w:pPr>
        <w:snapToGrid w:val="0"/>
        <w:spacing w:line="360" w:lineRule="auto"/>
        <w:ind w:firstLine="411" w:firstLineChars="196"/>
        <w:textAlignment w:val="baseline"/>
        <w:rPr>
          <w:rFonts w:hAnsi="宋体"/>
          <w:bCs/>
          <w:sz w:val="21"/>
          <w:szCs w:val="21"/>
        </w:rPr>
      </w:pPr>
      <w:r>
        <w:rPr>
          <w:rFonts w:hAnsi="宋体"/>
          <w:bCs/>
          <w:sz w:val="21"/>
          <w:szCs w:val="21"/>
        </w:rPr>
        <w:t>3.工程立项批准文号：</w:t>
      </w:r>
      <w:r>
        <w:rPr>
          <w:rFonts w:hint="eastAsia" w:hAnsi="宋体"/>
          <w:sz w:val="21"/>
          <w:szCs w:val="21"/>
          <w:u w:val="single" w:color="000000"/>
        </w:rPr>
        <w:t xml:space="preserve">           </w:t>
      </w:r>
      <w:r>
        <w:rPr>
          <w:rFonts w:hAnsi="宋体"/>
          <w:bCs/>
          <w:sz w:val="21"/>
          <w:szCs w:val="21"/>
        </w:rPr>
        <w:t>。</w:t>
      </w:r>
    </w:p>
    <w:p w14:paraId="75D267E4">
      <w:pPr>
        <w:snapToGrid w:val="0"/>
        <w:spacing w:line="360" w:lineRule="auto"/>
        <w:ind w:firstLine="411" w:firstLineChars="196"/>
        <w:textAlignment w:val="baseline"/>
        <w:rPr>
          <w:rFonts w:hAnsi="宋体"/>
          <w:bCs/>
          <w:sz w:val="21"/>
          <w:szCs w:val="21"/>
        </w:rPr>
      </w:pPr>
      <w:r>
        <w:rPr>
          <w:rFonts w:hAnsi="宋体"/>
          <w:bCs/>
          <w:sz w:val="21"/>
          <w:szCs w:val="21"/>
        </w:rPr>
        <w:t>4.资金来源：</w:t>
      </w:r>
      <w:r>
        <w:rPr>
          <w:rFonts w:hint="eastAsia" w:hAnsi="宋体"/>
          <w:sz w:val="21"/>
          <w:szCs w:val="21"/>
          <w:u w:val="single" w:color="000000"/>
        </w:rPr>
        <w:t xml:space="preserve">  </w:t>
      </w:r>
      <w:r>
        <w:rPr>
          <w:rFonts w:hAnsi="宋体"/>
          <w:sz w:val="21"/>
          <w:szCs w:val="21"/>
          <w:u w:val="single" w:color="000000"/>
        </w:rPr>
        <w:t xml:space="preserve">          </w:t>
      </w:r>
      <w:r>
        <w:rPr>
          <w:rFonts w:hint="eastAsia" w:hAnsi="宋体"/>
          <w:sz w:val="21"/>
          <w:szCs w:val="21"/>
          <w:u w:val="single" w:color="000000"/>
        </w:rPr>
        <w:t xml:space="preserve">  </w:t>
      </w:r>
      <w:r>
        <w:rPr>
          <w:rFonts w:hAnsi="宋体"/>
          <w:bCs/>
          <w:sz w:val="21"/>
          <w:szCs w:val="21"/>
        </w:rPr>
        <w:t>。</w:t>
      </w:r>
    </w:p>
    <w:p w14:paraId="4F18D9BA">
      <w:pPr>
        <w:snapToGrid w:val="0"/>
        <w:spacing w:line="360" w:lineRule="auto"/>
        <w:ind w:firstLine="411" w:firstLineChars="196"/>
        <w:textAlignment w:val="baseline"/>
        <w:rPr>
          <w:rFonts w:hAnsi="宋体"/>
          <w:bCs/>
          <w:sz w:val="21"/>
          <w:szCs w:val="21"/>
        </w:rPr>
      </w:pPr>
      <w:r>
        <w:rPr>
          <w:rFonts w:hint="eastAsia" w:hAnsi="宋体"/>
          <w:bCs/>
          <w:sz w:val="21"/>
          <w:szCs w:val="21"/>
        </w:rPr>
        <w:t>5.工程内容：</w:t>
      </w:r>
      <w:r>
        <w:rPr>
          <w:rFonts w:hint="eastAsia" w:hAnsi="宋体"/>
          <w:bCs/>
          <w:sz w:val="21"/>
          <w:szCs w:val="21"/>
          <w:u w:val="single" w:color="000000"/>
        </w:rPr>
        <w:t>施工图、</w:t>
      </w:r>
      <w:r>
        <w:rPr>
          <w:rFonts w:hint="eastAsia" w:hAnsi="宋体"/>
          <w:sz w:val="21"/>
          <w:szCs w:val="21"/>
          <w:u w:val="single" w:color="000000"/>
        </w:rPr>
        <w:t>招标文件、工程量清单范围内所有工程内容。</w:t>
      </w:r>
    </w:p>
    <w:p w14:paraId="6AEC5F80">
      <w:pPr>
        <w:snapToGrid w:val="0"/>
        <w:spacing w:line="360" w:lineRule="auto"/>
        <w:ind w:firstLine="411" w:firstLineChars="196"/>
        <w:textAlignment w:val="baseline"/>
        <w:rPr>
          <w:rFonts w:hAnsi="宋体"/>
          <w:sz w:val="21"/>
          <w:szCs w:val="21"/>
          <w:u w:val="single"/>
        </w:rPr>
      </w:pPr>
      <w:r>
        <w:rPr>
          <w:rFonts w:hint="eastAsia" w:hAnsi="宋体"/>
          <w:bCs/>
          <w:sz w:val="21"/>
          <w:szCs w:val="21"/>
        </w:rPr>
        <w:t>6</w:t>
      </w:r>
      <w:r>
        <w:rPr>
          <w:rFonts w:hAnsi="宋体"/>
          <w:bCs/>
          <w:sz w:val="21"/>
          <w:szCs w:val="21"/>
        </w:rPr>
        <w:t>.工程承包范围：</w:t>
      </w:r>
      <w:bookmarkStart w:id="400" w:name="_Toc361220411"/>
      <w:r>
        <w:rPr>
          <w:rFonts w:hint="eastAsia" w:hAnsi="宋体"/>
          <w:bCs/>
          <w:sz w:val="21"/>
          <w:szCs w:val="21"/>
          <w:u w:val="single" w:color="000000"/>
        </w:rPr>
        <w:t>施工图、</w:t>
      </w:r>
      <w:r>
        <w:rPr>
          <w:rFonts w:hint="eastAsia" w:hAnsi="宋体"/>
          <w:sz w:val="21"/>
          <w:szCs w:val="21"/>
          <w:u w:val="single" w:color="000000"/>
        </w:rPr>
        <w:t>招标文件、工程量清单范围内所有工程内容</w:t>
      </w:r>
    </w:p>
    <w:p w14:paraId="3347F698">
      <w:pPr>
        <w:snapToGrid w:val="0"/>
        <w:spacing w:line="360" w:lineRule="auto"/>
        <w:ind w:firstLine="411" w:firstLineChars="196"/>
        <w:textAlignment w:val="baseline"/>
        <w:rPr>
          <w:rFonts w:hAnsi="宋体"/>
          <w:b/>
          <w:sz w:val="21"/>
          <w:szCs w:val="21"/>
        </w:rPr>
      </w:pPr>
      <w:r>
        <w:rPr>
          <w:rFonts w:hint="eastAsia" w:hAnsi="宋体"/>
          <w:sz w:val="21"/>
          <w:szCs w:val="21"/>
        </w:rPr>
        <w:t>二、合同工期</w:t>
      </w:r>
      <w:bookmarkEnd w:id="400"/>
    </w:p>
    <w:p w14:paraId="7B54BB2D">
      <w:pPr>
        <w:snapToGrid w:val="0"/>
        <w:spacing w:line="360" w:lineRule="auto"/>
        <w:ind w:firstLine="459"/>
        <w:textAlignment w:val="baseline"/>
        <w:rPr>
          <w:rFonts w:hAnsi="宋体"/>
          <w:sz w:val="21"/>
          <w:szCs w:val="21"/>
        </w:rPr>
      </w:pPr>
      <w:r>
        <w:rPr>
          <w:rFonts w:hAnsi="宋体"/>
          <w:sz w:val="21"/>
          <w:szCs w:val="21"/>
        </w:rPr>
        <w:t>计划开工日期：</w:t>
      </w:r>
      <w:r>
        <w:rPr>
          <w:rFonts w:hAnsi="宋体"/>
          <w:sz w:val="21"/>
          <w:szCs w:val="21"/>
          <w:u w:val="single" w:color="000000"/>
        </w:rPr>
        <w:t xml:space="preserve">      </w:t>
      </w:r>
      <w:r>
        <w:rPr>
          <w:rFonts w:hAnsi="宋体"/>
          <w:sz w:val="21"/>
          <w:szCs w:val="21"/>
        </w:rPr>
        <w:t>年</w:t>
      </w:r>
      <w:bookmarkStart w:id="401" w:name="SOA_hhxys_kgy"/>
      <w:r>
        <w:rPr>
          <w:rFonts w:hAnsi="宋体"/>
          <w:sz w:val="21"/>
          <w:szCs w:val="21"/>
          <w:u w:val="single" w:color="000000"/>
        </w:rPr>
        <w:t xml:space="preserve">    </w:t>
      </w:r>
      <w:bookmarkEnd w:id="401"/>
      <w:r>
        <w:rPr>
          <w:rFonts w:hAnsi="宋体"/>
          <w:sz w:val="21"/>
          <w:szCs w:val="21"/>
        </w:rPr>
        <w:t>月</w:t>
      </w:r>
      <w:bookmarkStart w:id="402" w:name="SOA_hhxys_kgr"/>
      <w:r>
        <w:rPr>
          <w:rFonts w:hAnsi="宋体"/>
          <w:sz w:val="21"/>
          <w:szCs w:val="21"/>
          <w:u w:val="single" w:color="000000"/>
        </w:rPr>
        <w:t xml:space="preserve">      </w:t>
      </w:r>
      <w:bookmarkEnd w:id="402"/>
      <w:r>
        <w:rPr>
          <w:rFonts w:hAnsi="宋体"/>
          <w:sz w:val="21"/>
          <w:szCs w:val="21"/>
        </w:rPr>
        <w:t>日</w:t>
      </w:r>
      <w:r>
        <w:rPr>
          <w:rFonts w:hint="eastAsia" w:hAnsi="宋体"/>
          <w:sz w:val="21"/>
          <w:szCs w:val="21"/>
        </w:rPr>
        <w:t>(具体以实际开工报告为准）</w:t>
      </w:r>
      <w:r>
        <w:rPr>
          <w:rFonts w:hAnsi="宋体"/>
          <w:sz w:val="21"/>
          <w:szCs w:val="21"/>
        </w:rPr>
        <w:t>。</w:t>
      </w:r>
    </w:p>
    <w:p w14:paraId="1226E8A3">
      <w:pPr>
        <w:snapToGrid w:val="0"/>
        <w:spacing w:line="360" w:lineRule="auto"/>
        <w:ind w:firstLine="459"/>
        <w:textAlignment w:val="baseline"/>
        <w:rPr>
          <w:rFonts w:hAnsi="宋体"/>
          <w:sz w:val="21"/>
          <w:szCs w:val="21"/>
        </w:rPr>
      </w:pPr>
      <w:r>
        <w:rPr>
          <w:rFonts w:hAnsi="宋体"/>
          <w:sz w:val="21"/>
          <w:szCs w:val="21"/>
        </w:rPr>
        <w:t>计划竣工日期：</w:t>
      </w:r>
      <w:bookmarkStart w:id="403" w:name="SOA_hhxys_jgn"/>
      <w:r>
        <w:rPr>
          <w:rFonts w:hAnsi="宋体"/>
          <w:sz w:val="21"/>
          <w:szCs w:val="21"/>
          <w:u w:val="single" w:color="000000"/>
        </w:rPr>
        <w:t xml:space="preserve"> </w:t>
      </w:r>
      <w:bookmarkEnd w:id="403"/>
      <w:r>
        <w:rPr>
          <w:rFonts w:hAnsi="宋体"/>
          <w:sz w:val="21"/>
          <w:szCs w:val="21"/>
          <w:u w:val="single" w:color="000000"/>
        </w:rPr>
        <w:t xml:space="preserve">     </w:t>
      </w:r>
      <w:r>
        <w:rPr>
          <w:rFonts w:hAnsi="宋体"/>
          <w:sz w:val="21"/>
          <w:szCs w:val="21"/>
        </w:rPr>
        <w:t>年</w:t>
      </w:r>
      <w:bookmarkStart w:id="404" w:name="SOA_hhxys_jgy"/>
      <w:r>
        <w:rPr>
          <w:rFonts w:hAnsi="宋体"/>
          <w:sz w:val="21"/>
          <w:szCs w:val="21"/>
          <w:u w:val="single" w:color="000000"/>
        </w:rPr>
        <w:t xml:space="preserve">  </w:t>
      </w:r>
      <w:bookmarkEnd w:id="404"/>
      <w:r>
        <w:rPr>
          <w:rFonts w:hAnsi="宋体"/>
          <w:sz w:val="21"/>
          <w:szCs w:val="21"/>
          <w:u w:val="single" w:color="000000"/>
        </w:rPr>
        <w:t xml:space="preserve">   </w:t>
      </w:r>
      <w:r>
        <w:rPr>
          <w:rFonts w:hAnsi="宋体"/>
          <w:sz w:val="21"/>
          <w:szCs w:val="21"/>
        </w:rPr>
        <w:t>月</w:t>
      </w:r>
      <w:bookmarkStart w:id="405" w:name="SOA_hhxys_jgr"/>
      <w:r>
        <w:rPr>
          <w:rFonts w:hAnsi="宋体"/>
          <w:sz w:val="21"/>
          <w:szCs w:val="21"/>
          <w:u w:val="single" w:color="000000"/>
        </w:rPr>
        <w:t xml:space="preserve">  </w:t>
      </w:r>
      <w:bookmarkEnd w:id="405"/>
      <w:r>
        <w:rPr>
          <w:rFonts w:hAnsi="宋体"/>
          <w:sz w:val="21"/>
          <w:szCs w:val="21"/>
          <w:u w:val="single" w:color="000000"/>
        </w:rPr>
        <w:t xml:space="preserve">  </w:t>
      </w:r>
      <w:r>
        <w:rPr>
          <w:rFonts w:hint="eastAsia" w:hAnsi="宋体"/>
          <w:sz w:val="21"/>
          <w:szCs w:val="21"/>
          <w:u w:val="single" w:color="000000"/>
        </w:rPr>
        <w:t xml:space="preserve"> </w:t>
      </w:r>
      <w:r>
        <w:rPr>
          <w:rFonts w:hAnsi="宋体"/>
          <w:sz w:val="21"/>
          <w:szCs w:val="21"/>
        </w:rPr>
        <w:t>日。</w:t>
      </w:r>
    </w:p>
    <w:p w14:paraId="25C188F0">
      <w:pPr>
        <w:snapToGrid w:val="0"/>
        <w:spacing w:line="360" w:lineRule="auto"/>
        <w:ind w:firstLine="459"/>
        <w:textAlignment w:val="baseline"/>
        <w:rPr>
          <w:rFonts w:hAnsi="宋体"/>
          <w:sz w:val="21"/>
          <w:szCs w:val="21"/>
        </w:rPr>
      </w:pPr>
      <w:r>
        <w:rPr>
          <w:rFonts w:hAnsi="宋体"/>
          <w:sz w:val="21"/>
          <w:szCs w:val="21"/>
        </w:rPr>
        <w:t>工期总日历天数：</w:t>
      </w:r>
      <w:r>
        <w:rPr>
          <w:rFonts w:hint="eastAsia" w:hAnsi="宋体"/>
          <w:sz w:val="21"/>
          <w:szCs w:val="21"/>
          <w:u w:val="single" w:color="000000"/>
        </w:rPr>
        <w:t xml:space="preserve"> </w:t>
      </w:r>
      <w:r>
        <w:rPr>
          <w:rFonts w:hAnsi="宋体"/>
          <w:sz w:val="21"/>
          <w:szCs w:val="21"/>
          <w:u w:val="single" w:color="000000"/>
        </w:rPr>
        <w:t xml:space="preserve">      </w:t>
      </w:r>
      <w:r>
        <w:rPr>
          <w:rFonts w:hint="eastAsia" w:hAnsi="宋体"/>
          <w:b/>
          <w:sz w:val="21"/>
          <w:szCs w:val="21"/>
          <w:u w:val="single" w:color="000000"/>
        </w:rPr>
        <w:t xml:space="preserve"> </w:t>
      </w:r>
      <w:r>
        <w:rPr>
          <w:rFonts w:hAnsi="宋体"/>
          <w:sz w:val="21"/>
          <w:szCs w:val="21"/>
        </w:rPr>
        <w:t>天。工期总日历天数与根据前述计划开竣工日期计算的工期天数不一致的，以工期总日历天数为准。</w:t>
      </w:r>
    </w:p>
    <w:p w14:paraId="0A18C120">
      <w:pPr>
        <w:snapToGrid w:val="0"/>
        <w:spacing w:line="360" w:lineRule="auto"/>
        <w:textAlignment w:val="baseline"/>
        <w:rPr>
          <w:rFonts w:hAnsi="宋体"/>
          <w:bCs/>
          <w:sz w:val="21"/>
          <w:szCs w:val="21"/>
        </w:rPr>
      </w:pPr>
      <w:bookmarkStart w:id="406" w:name="_Toc361220412"/>
      <w:r>
        <w:rPr>
          <w:rFonts w:hAnsi="宋体"/>
          <w:sz w:val="21"/>
          <w:szCs w:val="21"/>
        </w:rPr>
        <w:t>三、质量标准</w:t>
      </w:r>
      <w:bookmarkEnd w:id="406"/>
    </w:p>
    <w:p w14:paraId="67CABCA1">
      <w:pPr>
        <w:snapToGrid w:val="0"/>
        <w:spacing w:line="360" w:lineRule="auto"/>
        <w:ind w:firstLine="459"/>
        <w:textAlignment w:val="baseline"/>
        <w:rPr>
          <w:rFonts w:hAnsi="宋体"/>
          <w:sz w:val="21"/>
          <w:szCs w:val="21"/>
        </w:rPr>
      </w:pPr>
      <w:r>
        <w:rPr>
          <w:rFonts w:hAnsi="宋体"/>
          <w:sz w:val="21"/>
          <w:szCs w:val="21"/>
        </w:rPr>
        <w:t>工程质量符合</w:t>
      </w:r>
      <w:r>
        <w:rPr>
          <w:rFonts w:hint="eastAsia" w:hAnsi="宋体"/>
          <w:sz w:val="21"/>
          <w:szCs w:val="21"/>
        </w:rPr>
        <w:t>国家有关施工质量验收规范</w:t>
      </w:r>
      <w:r>
        <w:rPr>
          <w:rFonts w:hint="eastAsia" w:hAnsi="宋体"/>
          <w:sz w:val="21"/>
          <w:szCs w:val="21"/>
          <w:u w:val="single" w:color="000000"/>
        </w:rPr>
        <w:t>合格</w:t>
      </w:r>
      <w:r>
        <w:rPr>
          <w:rFonts w:hAnsi="宋体"/>
          <w:sz w:val="21"/>
          <w:szCs w:val="21"/>
        </w:rPr>
        <w:t>标准。</w:t>
      </w:r>
    </w:p>
    <w:p w14:paraId="663BBE8E">
      <w:pPr>
        <w:snapToGrid w:val="0"/>
        <w:spacing w:line="360" w:lineRule="auto"/>
        <w:textAlignment w:val="baseline"/>
        <w:rPr>
          <w:rFonts w:hAnsi="宋体"/>
          <w:bCs/>
          <w:sz w:val="21"/>
          <w:szCs w:val="21"/>
        </w:rPr>
      </w:pPr>
      <w:bookmarkStart w:id="407" w:name="_Toc361220413"/>
      <w:r>
        <w:rPr>
          <w:rFonts w:hAnsi="宋体"/>
          <w:sz w:val="21"/>
          <w:szCs w:val="21"/>
        </w:rPr>
        <w:t>四、签约合同价与合同价格形式</w:t>
      </w:r>
      <w:bookmarkEnd w:id="407"/>
    </w:p>
    <w:p w14:paraId="4AAD2F8A">
      <w:pPr>
        <w:snapToGrid w:val="0"/>
        <w:spacing w:line="360" w:lineRule="auto"/>
        <w:ind w:firstLine="420" w:firstLineChars="200"/>
        <w:textAlignment w:val="baseline"/>
        <w:rPr>
          <w:rFonts w:hAnsi="宋体"/>
          <w:sz w:val="21"/>
          <w:szCs w:val="21"/>
        </w:rPr>
      </w:pPr>
      <w:r>
        <w:rPr>
          <w:rFonts w:hAnsi="宋体"/>
          <w:sz w:val="21"/>
          <w:szCs w:val="21"/>
        </w:rPr>
        <w:t>1.签约合同价为：</w:t>
      </w:r>
    </w:p>
    <w:p w14:paraId="0F893DD1">
      <w:pPr>
        <w:snapToGrid w:val="0"/>
        <w:spacing w:line="360" w:lineRule="auto"/>
        <w:ind w:firstLine="525" w:firstLineChars="250"/>
        <w:textAlignment w:val="baseline"/>
        <w:rPr>
          <w:rFonts w:hAnsi="宋体"/>
          <w:sz w:val="21"/>
          <w:szCs w:val="21"/>
        </w:rPr>
      </w:pPr>
      <w:r>
        <w:rPr>
          <w:rFonts w:hAnsi="宋体"/>
          <w:sz w:val="21"/>
          <w:szCs w:val="21"/>
        </w:rPr>
        <w:t>人民币（大写）</w:t>
      </w:r>
      <w:bookmarkStart w:id="408" w:name="SOA_hhxys_htjdx"/>
      <w:r>
        <w:rPr>
          <w:rFonts w:hAnsi="宋体"/>
          <w:sz w:val="21"/>
          <w:szCs w:val="21"/>
          <w:u w:val="single" w:color="000000"/>
        </w:rPr>
        <w:t xml:space="preserve"> </w:t>
      </w:r>
      <w:r>
        <w:rPr>
          <w:rFonts w:hint="eastAsia" w:hAnsi="宋体"/>
          <w:sz w:val="21"/>
          <w:szCs w:val="21"/>
          <w:u w:val="single" w:color="000000"/>
        </w:rPr>
        <w:t xml:space="preserve"> </w:t>
      </w:r>
      <w:r>
        <w:rPr>
          <w:rFonts w:hAnsi="宋体"/>
          <w:sz w:val="21"/>
          <w:szCs w:val="21"/>
          <w:u w:val="single" w:color="000000"/>
        </w:rPr>
        <w:t xml:space="preserve">            </w:t>
      </w:r>
      <w:r>
        <w:rPr>
          <w:rFonts w:hint="eastAsia" w:hAnsi="宋体"/>
          <w:sz w:val="21"/>
          <w:szCs w:val="21"/>
          <w:u w:val="single" w:color="000000"/>
        </w:rPr>
        <w:t>元</w:t>
      </w:r>
      <w:r>
        <w:rPr>
          <w:rFonts w:hAnsi="宋体"/>
          <w:sz w:val="21"/>
          <w:szCs w:val="21"/>
          <w:u w:val="single" w:color="000000"/>
        </w:rPr>
        <w:t xml:space="preserve"> </w:t>
      </w:r>
      <w:bookmarkEnd w:id="408"/>
      <w:r>
        <w:rPr>
          <w:rFonts w:hAnsi="宋体"/>
          <w:sz w:val="21"/>
          <w:szCs w:val="21"/>
        </w:rPr>
        <w:t>(¥</w:t>
      </w:r>
      <w:r>
        <w:rPr>
          <w:rFonts w:hAnsi="宋体"/>
          <w:sz w:val="21"/>
          <w:szCs w:val="21"/>
          <w:u w:val="single" w:color="000000"/>
        </w:rPr>
        <w:t xml:space="preserve">          </w:t>
      </w:r>
      <w:r>
        <w:rPr>
          <w:rFonts w:hAnsi="宋体"/>
          <w:sz w:val="21"/>
          <w:szCs w:val="21"/>
        </w:rPr>
        <w:t>元)；</w:t>
      </w:r>
    </w:p>
    <w:p w14:paraId="1A9A6762">
      <w:pPr>
        <w:snapToGrid w:val="0"/>
        <w:spacing w:line="360" w:lineRule="auto"/>
        <w:ind w:firstLine="420" w:firstLineChars="200"/>
        <w:textAlignment w:val="baseline"/>
        <w:rPr>
          <w:rFonts w:hAnsi="宋体"/>
          <w:sz w:val="21"/>
          <w:szCs w:val="21"/>
        </w:rPr>
      </w:pPr>
      <w:r>
        <w:rPr>
          <w:rFonts w:hAnsi="宋体"/>
          <w:sz w:val="21"/>
          <w:szCs w:val="21"/>
        </w:rPr>
        <w:t>其中：</w:t>
      </w:r>
    </w:p>
    <w:p w14:paraId="71C54960">
      <w:pPr>
        <w:snapToGrid w:val="0"/>
        <w:spacing w:line="360" w:lineRule="auto"/>
        <w:ind w:firstLine="420" w:firstLineChars="200"/>
        <w:textAlignment w:val="baseline"/>
        <w:rPr>
          <w:rFonts w:hAnsi="宋体"/>
          <w:sz w:val="21"/>
          <w:szCs w:val="21"/>
        </w:rPr>
      </w:pPr>
      <w:r>
        <w:rPr>
          <w:rFonts w:hAnsi="宋体"/>
          <w:sz w:val="21"/>
          <w:szCs w:val="21"/>
        </w:rPr>
        <w:t>（1）安全文明施工费：</w:t>
      </w:r>
    </w:p>
    <w:p w14:paraId="298FA5F3">
      <w:pPr>
        <w:snapToGrid w:val="0"/>
        <w:spacing w:line="360" w:lineRule="auto"/>
        <w:ind w:firstLine="525" w:firstLineChars="250"/>
        <w:textAlignment w:val="baseline"/>
        <w:rPr>
          <w:rFonts w:hAnsi="宋体"/>
          <w:sz w:val="21"/>
          <w:szCs w:val="21"/>
        </w:rPr>
      </w:pPr>
      <w:r>
        <w:rPr>
          <w:rFonts w:hAnsi="宋体"/>
          <w:sz w:val="21"/>
          <w:szCs w:val="21"/>
        </w:rPr>
        <w:t>人民币（大写）</w:t>
      </w:r>
      <w:bookmarkStart w:id="409" w:name="SOA_hhxys_wmsgfdx"/>
      <w:r>
        <w:rPr>
          <w:rFonts w:hAnsi="宋体"/>
          <w:sz w:val="21"/>
          <w:szCs w:val="21"/>
          <w:u w:val="single" w:color="000000"/>
        </w:rPr>
        <w:t xml:space="preserve"> </w:t>
      </w:r>
      <w:r>
        <w:rPr>
          <w:rFonts w:hint="eastAsia" w:hAnsi="宋体"/>
          <w:sz w:val="21"/>
          <w:szCs w:val="21"/>
          <w:u w:val="single" w:color="000000"/>
        </w:rPr>
        <w:t xml:space="preserve"> </w:t>
      </w:r>
      <w:r>
        <w:rPr>
          <w:rFonts w:hAnsi="宋体"/>
          <w:sz w:val="21"/>
          <w:szCs w:val="21"/>
          <w:u w:val="single" w:color="000000"/>
        </w:rPr>
        <w:t xml:space="preserve">                </w:t>
      </w:r>
      <w:r>
        <w:rPr>
          <w:rFonts w:hint="eastAsia" w:hAnsi="宋体"/>
          <w:sz w:val="21"/>
          <w:szCs w:val="21"/>
          <w:u w:val="single" w:color="000000"/>
        </w:rPr>
        <w:t>元</w:t>
      </w:r>
      <w:r>
        <w:rPr>
          <w:rFonts w:hAnsi="宋体"/>
          <w:sz w:val="21"/>
          <w:szCs w:val="21"/>
          <w:u w:val="single" w:color="000000"/>
        </w:rPr>
        <w:t xml:space="preserve">  </w:t>
      </w:r>
      <w:bookmarkEnd w:id="409"/>
      <w:r>
        <w:rPr>
          <w:rFonts w:hAnsi="宋体"/>
          <w:sz w:val="21"/>
          <w:szCs w:val="21"/>
        </w:rPr>
        <w:t>(¥</w:t>
      </w:r>
      <w:bookmarkStart w:id="410" w:name="SOA_hhxys_wmsgfxx"/>
      <w:r>
        <w:rPr>
          <w:rFonts w:hAnsi="宋体"/>
          <w:sz w:val="21"/>
          <w:szCs w:val="21"/>
          <w:u w:val="single" w:color="000000"/>
        </w:rPr>
        <w:t xml:space="preserve"> </w:t>
      </w:r>
      <w:bookmarkEnd w:id="410"/>
      <w:r>
        <w:rPr>
          <w:rFonts w:hAnsi="宋体"/>
          <w:sz w:val="21"/>
          <w:szCs w:val="21"/>
          <w:u w:val="single" w:color="000000"/>
        </w:rPr>
        <w:t xml:space="preserve">            </w:t>
      </w:r>
      <w:r>
        <w:rPr>
          <w:rFonts w:hAnsi="宋体"/>
          <w:sz w:val="21"/>
          <w:szCs w:val="21"/>
        </w:rPr>
        <w:t>元)；</w:t>
      </w:r>
    </w:p>
    <w:p w14:paraId="78BF5D98">
      <w:pPr>
        <w:snapToGrid w:val="0"/>
        <w:spacing w:line="360" w:lineRule="auto"/>
        <w:ind w:firstLine="420" w:firstLineChars="200"/>
        <w:textAlignment w:val="baseline"/>
        <w:rPr>
          <w:rFonts w:hAnsi="宋体"/>
          <w:sz w:val="21"/>
          <w:szCs w:val="21"/>
        </w:rPr>
      </w:pPr>
      <w:r>
        <w:rPr>
          <w:rFonts w:hAnsi="宋体"/>
          <w:sz w:val="21"/>
          <w:szCs w:val="21"/>
        </w:rPr>
        <w:t>（2）材料和工程设备暂估价金额：</w:t>
      </w:r>
    </w:p>
    <w:p w14:paraId="2F5D53F7">
      <w:pPr>
        <w:snapToGrid w:val="0"/>
        <w:spacing w:line="360" w:lineRule="auto"/>
        <w:ind w:firstLine="525" w:firstLineChars="250"/>
        <w:textAlignment w:val="baseline"/>
        <w:rPr>
          <w:rFonts w:hAnsi="宋体"/>
          <w:sz w:val="21"/>
          <w:szCs w:val="21"/>
        </w:rPr>
      </w:pPr>
      <w:r>
        <w:rPr>
          <w:rFonts w:hAnsi="宋体"/>
          <w:sz w:val="21"/>
          <w:szCs w:val="21"/>
        </w:rPr>
        <w:t>人民币（大写）</w:t>
      </w:r>
      <w:bookmarkStart w:id="411" w:name="SOA_hhxys_sbzgjdx"/>
      <w:r>
        <w:rPr>
          <w:rFonts w:hAnsi="宋体"/>
          <w:sz w:val="21"/>
          <w:szCs w:val="21"/>
          <w:u w:val="single" w:color="000000"/>
        </w:rPr>
        <w:t xml:space="preserve">   </w:t>
      </w:r>
      <w:r>
        <w:rPr>
          <w:rFonts w:hint="eastAsia" w:hAnsi="宋体"/>
          <w:sz w:val="21"/>
          <w:szCs w:val="21"/>
          <w:u w:val="single" w:color="000000"/>
        </w:rPr>
        <w:t>/</w:t>
      </w:r>
      <w:r>
        <w:rPr>
          <w:rFonts w:hAnsi="宋体"/>
          <w:sz w:val="21"/>
          <w:szCs w:val="21"/>
          <w:u w:val="single" w:color="000000"/>
        </w:rPr>
        <w:t xml:space="preserve">   </w:t>
      </w:r>
      <w:bookmarkEnd w:id="411"/>
      <w:r>
        <w:rPr>
          <w:rFonts w:hAnsi="宋体"/>
          <w:sz w:val="21"/>
          <w:szCs w:val="21"/>
        </w:rPr>
        <w:t>(¥</w:t>
      </w:r>
      <w:bookmarkStart w:id="412" w:name="SOA_hhxys_sbzgjxx"/>
      <w:r>
        <w:rPr>
          <w:rFonts w:hAnsi="宋体"/>
          <w:sz w:val="21"/>
          <w:szCs w:val="21"/>
          <w:u w:val="single" w:color="000000"/>
        </w:rPr>
        <w:t xml:space="preserve">   </w:t>
      </w:r>
      <w:r>
        <w:rPr>
          <w:rFonts w:hint="eastAsia" w:hAnsi="宋体"/>
          <w:sz w:val="21"/>
          <w:szCs w:val="21"/>
          <w:u w:val="single" w:color="000000"/>
        </w:rPr>
        <w:t>/</w:t>
      </w:r>
      <w:r>
        <w:rPr>
          <w:rFonts w:hAnsi="宋体"/>
          <w:sz w:val="21"/>
          <w:szCs w:val="21"/>
          <w:u w:val="single" w:color="000000"/>
        </w:rPr>
        <w:t xml:space="preserve">   </w:t>
      </w:r>
      <w:bookmarkEnd w:id="412"/>
      <w:r>
        <w:rPr>
          <w:rFonts w:hAnsi="宋体"/>
          <w:sz w:val="21"/>
          <w:szCs w:val="21"/>
        </w:rPr>
        <w:t>元)；</w:t>
      </w:r>
    </w:p>
    <w:p w14:paraId="00D21C8F">
      <w:pPr>
        <w:snapToGrid w:val="0"/>
        <w:spacing w:line="360" w:lineRule="auto"/>
        <w:ind w:firstLine="420" w:firstLineChars="200"/>
        <w:textAlignment w:val="baseline"/>
        <w:rPr>
          <w:rFonts w:hAnsi="宋体"/>
          <w:sz w:val="21"/>
          <w:szCs w:val="21"/>
        </w:rPr>
      </w:pPr>
      <w:r>
        <w:rPr>
          <w:rFonts w:hAnsi="宋体"/>
          <w:sz w:val="21"/>
          <w:szCs w:val="21"/>
        </w:rPr>
        <w:t>（3）专业工程暂估价金额：</w:t>
      </w:r>
    </w:p>
    <w:p w14:paraId="7FCAD08D">
      <w:pPr>
        <w:snapToGrid w:val="0"/>
        <w:spacing w:line="360" w:lineRule="auto"/>
        <w:ind w:firstLine="525" w:firstLineChars="250"/>
        <w:textAlignment w:val="baseline"/>
        <w:rPr>
          <w:rFonts w:hAnsi="宋体"/>
          <w:sz w:val="21"/>
          <w:szCs w:val="21"/>
        </w:rPr>
      </w:pPr>
      <w:r>
        <w:rPr>
          <w:rFonts w:hAnsi="宋体"/>
          <w:sz w:val="21"/>
          <w:szCs w:val="21"/>
        </w:rPr>
        <w:t>人民币（大写）</w:t>
      </w:r>
      <w:bookmarkStart w:id="413" w:name="SOA_hhxys_gczgjdx"/>
      <w:r>
        <w:rPr>
          <w:rFonts w:hAnsi="宋体"/>
          <w:sz w:val="21"/>
          <w:szCs w:val="21"/>
          <w:u w:val="single" w:color="000000"/>
        </w:rPr>
        <w:t xml:space="preserve">   </w:t>
      </w:r>
      <w:r>
        <w:rPr>
          <w:rFonts w:hint="eastAsia" w:hAnsi="宋体"/>
          <w:sz w:val="21"/>
          <w:szCs w:val="21"/>
          <w:u w:val="single" w:color="000000"/>
        </w:rPr>
        <w:t>/</w:t>
      </w:r>
      <w:r>
        <w:rPr>
          <w:rFonts w:hAnsi="宋体"/>
          <w:sz w:val="21"/>
          <w:szCs w:val="21"/>
          <w:u w:val="single" w:color="000000"/>
        </w:rPr>
        <w:t xml:space="preserve">   </w:t>
      </w:r>
      <w:bookmarkEnd w:id="413"/>
      <w:r>
        <w:rPr>
          <w:rFonts w:hAnsi="宋体"/>
          <w:sz w:val="21"/>
          <w:szCs w:val="21"/>
        </w:rPr>
        <w:t>(¥</w:t>
      </w:r>
      <w:bookmarkStart w:id="414" w:name="SOA_hhxys_gczgjxx"/>
      <w:r>
        <w:rPr>
          <w:rFonts w:hAnsi="宋体"/>
          <w:sz w:val="21"/>
          <w:szCs w:val="21"/>
          <w:u w:val="single" w:color="000000"/>
        </w:rPr>
        <w:t xml:space="preserve">   </w:t>
      </w:r>
      <w:r>
        <w:rPr>
          <w:rFonts w:hint="eastAsia" w:hAnsi="宋体"/>
          <w:sz w:val="21"/>
          <w:szCs w:val="21"/>
          <w:u w:val="single" w:color="000000"/>
        </w:rPr>
        <w:t>/</w:t>
      </w:r>
      <w:r>
        <w:rPr>
          <w:rFonts w:hAnsi="宋体"/>
          <w:sz w:val="21"/>
          <w:szCs w:val="21"/>
          <w:u w:val="single" w:color="000000"/>
        </w:rPr>
        <w:t xml:space="preserve">   </w:t>
      </w:r>
      <w:bookmarkEnd w:id="414"/>
      <w:r>
        <w:rPr>
          <w:rFonts w:hAnsi="宋体"/>
          <w:sz w:val="21"/>
          <w:szCs w:val="21"/>
        </w:rPr>
        <w:t>元)；</w:t>
      </w:r>
    </w:p>
    <w:p w14:paraId="596E6825">
      <w:pPr>
        <w:snapToGrid w:val="0"/>
        <w:spacing w:line="360" w:lineRule="auto"/>
        <w:ind w:firstLine="420" w:firstLineChars="200"/>
        <w:textAlignment w:val="baseline"/>
        <w:rPr>
          <w:rFonts w:hAnsi="宋体"/>
          <w:sz w:val="21"/>
          <w:szCs w:val="21"/>
        </w:rPr>
      </w:pPr>
      <w:r>
        <w:rPr>
          <w:rFonts w:hAnsi="宋体"/>
          <w:sz w:val="21"/>
          <w:szCs w:val="21"/>
        </w:rPr>
        <w:t>（4）暂列金额：</w:t>
      </w:r>
    </w:p>
    <w:p w14:paraId="61048DE7">
      <w:pPr>
        <w:snapToGrid w:val="0"/>
        <w:spacing w:line="360" w:lineRule="auto"/>
        <w:ind w:firstLine="525" w:firstLineChars="250"/>
        <w:textAlignment w:val="baseline"/>
        <w:rPr>
          <w:rFonts w:hAnsi="宋体"/>
          <w:sz w:val="21"/>
          <w:szCs w:val="21"/>
        </w:rPr>
      </w:pPr>
      <w:r>
        <w:rPr>
          <w:rFonts w:hAnsi="宋体"/>
          <w:sz w:val="21"/>
          <w:szCs w:val="21"/>
        </w:rPr>
        <w:t>人民币（大写）</w:t>
      </w:r>
      <w:bookmarkStart w:id="415" w:name="SOA_hhxys_zljedx"/>
      <w:r>
        <w:rPr>
          <w:rFonts w:hAnsi="宋体"/>
          <w:sz w:val="21"/>
          <w:szCs w:val="21"/>
          <w:u w:val="single" w:color="000000"/>
        </w:rPr>
        <w:t xml:space="preserve">   </w:t>
      </w:r>
      <w:r>
        <w:rPr>
          <w:rFonts w:hint="eastAsia" w:hAnsi="宋体"/>
          <w:sz w:val="21"/>
          <w:szCs w:val="21"/>
          <w:u w:val="single" w:color="000000"/>
        </w:rPr>
        <w:t>/</w:t>
      </w:r>
      <w:r>
        <w:rPr>
          <w:rFonts w:hAnsi="宋体"/>
          <w:sz w:val="21"/>
          <w:szCs w:val="21"/>
          <w:u w:val="single" w:color="000000"/>
        </w:rPr>
        <w:t xml:space="preserve">   </w:t>
      </w:r>
      <w:bookmarkEnd w:id="415"/>
      <w:r>
        <w:rPr>
          <w:rFonts w:hAnsi="宋体"/>
          <w:sz w:val="21"/>
          <w:szCs w:val="21"/>
        </w:rPr>
        <w:t>(¥</w:t>
      </w:r>
      <w:bookmarkStart w:id="416" w:name="SOA_hhxys_zljexx"/>
      <w:r>
        <w:rPr>
          <w:rFonts w:hAnsi="宋体"/>
          <w:sz w:val="21"/>
          <w:szCs w:val="21"/>
          <w:u w:val="single" w:color="000000"/>
        </w:rPr>
        <w:t xml:space="preserve">   </w:t>
      </w:r>
      <w:r>
        <w:rPr>
          <w:rFonts w:hint="eastAsia" w:hAnsi="宋体"/>
          <w:sz w:val="21"/>
          <w:szCs w:val="21"/>
          <w:u w:val="single" w:color="000000"/>
        </w:rPr>
        <w:t>/</w:t>
      </w:r>
      <w:r>
        <w:rPr>
          <w:rFonts w:hAnsi="宋体"/>
          <w:sz w:val="21"/>
          <w:szCs w:val="21"/>
          <w:u w:val="single" w:color="000000"/>
        </w:rPr>
        <w:t xml:space="preserve">   </w:t>
      </w:r>
      <w:bookmarkEnd w:id="416"/>
      <w:r>
        <w:rPr>
          <w:rFonts w:hAnsi="宋体"/>
          <w:sz w:val="21"/>
          <w:szCs w:val="21"/>
        </w:rPr>
        <w:t>元)。</w:t>
      </w:r>
    </w:p>
    <w:p w14:paraId="6BFA02A9">
      <w:pPr>
        <w:snapToGrid w:val="0"/>
        <w:spacing w:line="360" w:lineRule="auto"/>
        <w:ind w:firstLine="420" w:firstLineChars="200"/>
        <w:textAlignment w:val="baseline"/>
        <w:rPr>
          <w:rFonts w:hAnsi="宋体"/>
          <w:sz w:val="21"/>
          <w:szCs w:val="21"/>
        </w:rPr>
      </w:pPr>
      <w:r>
        <w:rPr>
          <w:rFonts w:hAnsi="宋体"/>
          <w:sz w:val="21"/>
          <w:szCs w:val="21"/>
        </w:rPr>
        <w:t>2.合同价格形式：</w:t>
      </w:r>
      <w:r>
        <w:rPr>
          <w:rFonts w:hint="eastAsia" w:hAnsi="宋体"/>
          <w:sz w:val="21"/>
          <w:szCs w:val="21"/>
          <w:u w:val="single" w:color="000000"/>
        </w:rPr>
        <w:t>采用固定单价合同</w:t>
      </w:r>
      <w:r>
        <w:rPr>
          <w:rFonts w:hAnsi="宋体"/>
          <w:sz w:val="21"/>
          <w:szCs w:val="21"/>
        </w:rPr>
        <w:t>。</w:t>
      </w:r>
    </w:p>
    <w:p w14:paraId="7C3E8192">
      <w:pPr>
        <w:snapToGrid w:val="0"/>
        <w:spacing w:line="360" w:lineRule="auto"/>
        <w:textAlignment w:val="baseline"/>
        <w:rPr>
          <w:rFonts w:hAnsi="宋体"/>
          <w:b/>
          <w:sz w:val="21"/>
          <w:szCs w:val="21"/>
        </w:rPr>
      </w:pPr>
      <w:bookmarkStart w:id="417" w:name="_Toc361220414"/>
      <w:r>
        <w:rPr>
          <w:rFonts w:hAnsi="宋体"/>
          <w:sz w:val="21"/>
          <w:szCs w:val="21"/>
        </w:rPr>
        <w:t>五、项目经理</w:t>
      </w:r>
      <w:bookmarkEnd w:id="417"/>
    </w:p>
    <w:p w14:paraId="03CE2438">
      <w:pPr>
        <w:snapToGrid w:val="0"/>
        <w:spacing w:line="360" w:lineRule="auto"/>
        <w:ind w:firstLine="420" w:firstLineChars="200"/>
        <w:textAlignment w:val="baseline"/>
        <w:rPr>
          <w:rFonts w:hAnsi="宋体"/>
          <w:sz w:val="21"/>
          <w:szCs w:val="21"/>
        </w:rPr>
      </w:pPr>
      <w:r>
        <w:rPr>
          <w:rFonts w:hAnsi="宋体"/>
          <w:sz w:val="21"/>
          <w:szCs w:val="21"/>
        </w:rPr>
        <w:t>承包人项目经理：</w:t>
      </w:r>
      <w:bookmarkStart w:id="418" w:name="SOA_hhxys_cbrxmjl"/>
      <w:r>
        <w:rPr>
          <w:rFonts w:hint="eastAsia" w:hAnsi="宋体" w:cs="宋体"/>
          <w:sz w:val="21"/>
          <w:szCs w:val="21"/>
          <w:u w:val="single" w:color="000000"/>
        </w:rPr>
        <w:t xml:space="preserve">  </w:t>
      </w:r>
      <w:r>
        <w:rPr>
          <w:rFonts w:hAnsi="宋体" w:cs="宋体"/>
          <w:sz w:val="21"/>
          <w:szCs w:val="21"/>
          <w:u w:val="single" w:color="000000"/>
        </w:rPr>
        <w:t xml:space="preserve">      </w:t>
      </w:r>
      <w:r>
        <w:rPr>
          <w:rFonts w:hint="eastAsia" w:hAnsi="宋体" w:cs="宋体"/>
          <w:sz w:val="21"/>
          <w:szCs w:val="21"/>
          <w:u w:val="single" w:color="000000"/>
        </w:rPr>
        <w:t xml:space="preserve"> </w:t>
      </w:r>
      <w:bookmarkEnd w:id="418"/>
      <w:r>
        <w:rPr>
          <w:rFonts w:hint="eastAsia" w:hAnsi="宋体"/>
          <w:sz w:val="21"/>
          <w:szCs w:val="21"/>
          <w:u w:val="single" w:color="000000"/>
        </w:rPr>
        <w:t xml:space="preserve">  </w:t>
      </w:r>
      <w:r>
        <w:rPr>
          <w:rFonts w:hAnsi="宋体"/>
          <w:sz w:val="21"/>
          <w:szCs w:val="21"/>
        </w:rPr>
        <w:t>。</w:t>
      </w:r>
    </w:p>
    <w:p w14:paraId="19ED45BA">
      <w:pPr>
        <w:snapToGrid w:val="0"/>
        <w:spacing w:line="360" w:lineRule="auto"/>
        <w:textAlignment w:val="baseline"/>
        <w:rPr>
          <w:rFonts w:hAnsi="宋体"/>
          <w:bCs/>
          <w:sz w:val="21"/>
          <w:szCs w:val="21"/>
        </w:rPr>
      </w:pPr>
      <w:bookmarkStart w:id="419" w:name="_Toc361220415"/>
      <w:r>
        <w:rPr>
          <w:rFonts w:hAnsi="宋体"/>
          <w:sz w:val="21"/>
          <w:szCs w:val="21"/>
        </w:rPr>
        <w:t>六、合同文件构成</w:t>
      </w:r>
      <w:bookmarkEnd w:id="419"/>
    </w:p>
    <w:p w14:paraId="603B071A">
      <w:pPr>
        <w:snapToGrid w:val="0"/>
        <w:spacing w:line="360" w:lineRule="auto"/>
        <w:ind w:firstLine="420" w:firstLineChars="200"/>
        <w:textAlignment w:val="baseline"/>
        <w:rPr>
          <w:rFonts w:hAnsi="宋体"/>
          <w:bCs/>
          <w:sz w:val="21"/>
          <w:szCs w:val="21"/>
        </w:rPr>
      </w:pPr>
      <w:r>
        <w:rPr>
          <w:rFonts w:hAnsi="宋体"/>
          <w:bCs/>
          <w:sz w:val="21"/>
          <w:szCs w:val="21"/>
        </w:rPr>
        <w:t>本协议书与下列文件一起构成合同文件：</w:t>
      </w:r>
    </w:p>
    <w:p w14:paraId="2889E220">
      <w:pPr>
        <w:snapToGrid w:val="0"/>
        <w:spacing w:line="360" w:lineRule="auto"/>
        <w:ind w:firstLine="420" w:firstLineChars="200"/>
        <w:jc w:val="left"/>
        <w:textAlignment w:val="baseline"/>
        <w:rPr>
          <w:rFonts w:hAnsi="宋体"/>
          <w:sz w:val="21"/>
          <w:szCs w:val="21"/>
        </w:rPr>
      </w:pPr>
      <w:r>
        <w:rPr>
          <w:rFonts w:hAnsi="宋体"/>
          <w:sz w:val="21"/>
          <w:szCs w:val="21"/>
        </w:rPr>
        <w:t>（1）中标通知书（如果有）；</w:t>
      </w:r>
    </w:p>
    <w:p w14:paraId="249CDD4A">
      <w:pPr>
        <w:snapToGrid w:val="0"/>
        <w:spacing w:line="360" w:lineRule="auto"/>
        <w:ind w:firstLine="420" w:firstLineChars="200"/>
        <w:jc w:val="left"/>
        <w:textAlignment w:val="baseline"/>
        <w:rPr>
          <w:rFonts w:hAnsi="宋体"/>
          <w:sz w:val="21"/>
          <w:szCs w:val="21"/>
        </w:rPr>
      </w:pPr>
      <w:r>
        <w:rPr>
          <w:rFonts w:hAnsi="宋体"/>
          <w:sz w:val="21"/>
          <w:szCs w:val="21"/>
        </w:rPr>
        <w:t xml:space="preserve">（2）投标函及其附录（如果有）； </w:t>
      </w:r>
    </w:p>
    <w:p w14:paraId="6BDFDB1B">
      <w:pPr>
        <w:snapToGrid w:val="0"/>
        <w:spacing w:line="360" w:lineRule="auto"/>
        <w:ind w:firstLine="420" w:firstLineChars="200"/>
        <w:jc w:val="left"/>
        <w:textAlignment w:val="baseline"/>
        <w:rPr>
          <w:rFonts w:hAnsi="宋体"/>
          <w:sz w:val="21"/>
          <w:szCs w:val="21"/>
        </w:rPr>
      </w:pPr>
      <w:r>
        <w:rPr>
          <w:rFonts w:hAnsi="宋体"/>
          <w:sz w:val="21"/>
          <w:szCs w:val="21"/>
        </w:rPr>
        <w:t>（3）专用合同条款及其附件；</w:t>
      </w:r>
    </w:p>
    <w:p w14:paraId="483191BB">
      <w:pPr>
        <w:snapToGrid w:val="0"/>
        <w:spacing w:line="360" w:lineRule="auto"/>
        <w:ind w:firstLine="420" w:firstLineChars="200"/>
        <w:jc w:val="left"/>
        <w:textAlignment w:val="baseline"/>
        <w:rPr>
          <w:rFonts w:hAnsi="宋体"/>
          <w:sz w:val="21"/>
          <w:szCs w:val="21"/>
        </w:rPr>
      </w:pPr>
      <w:r>
        <w:rPr>
          <w:rFonts w:hAnsi="宋体"/>
          <w:sz w:val="21"/>
          <w:szCs w:val="21"/>
        </w:rPr>
        <w:t>（4）通用合同条款；</w:t>
      </w:r>
    </w:p>
    <w:p w14:paraId="0C28D3A7">
      <w:pPr>
        <w:snapToGrid w:val="0"/>
        <w:spacing w:line="360" w:lineRule="auto"/>
        <w:ind w:firstLine="420" w:firstLineChars="200"/>
        <w:jc w:val="left"/>
        <w:textAlignment w:val="baseline"/>
        <w:rPr>
          <w:rFonts w:hAnsi="宋体"/>
          <w:sz w:val="21"/>
          <w:szCs w:val="21"/>
        </w:rPr>
      </w:pPr>
      <w:r>
        <w:rPr>
          <w:rFonts w:hAnsi="宋体"/>
          <w:sz w:val="21"/>
          <w:szCs w:val="21"/>
        </w:rPr>
        <w:t>（5）技术标准和要求；</w:t>
      </w:r>
    </w:p>
    <w:p w14:paraId="4B64F1D5">
      <w:pPr>
        <w:snapToGrid w:val="0"/>
        <w:spacing w:line="360" w:lineRule="auto"/>
        <w:ind w:firstLine="420" w:firstLineChars="200"/>
        <w:jc w:val="left"/>
        <w:textAlignment w:val="baseline"/>
        <w:rPr>
          <w:rFonts w:hAnsi="宋体"/>
          <w:sz w:val="21"/>
          <w:szCs w:val="21"/>
        </w:rPr>
      </w:pPr>
      <w:r>
        <w:rPr>
          <w:rFonts w:hAnsi="宋体"/>
          <w:sz w:val="21"/>
          <w:szCs w:val="21"/>
        </w:rPr>
        <w:t>（6）图纸；</w:t>
      </w:r>
    </w:p>
    <w:p w14:paraId="355AF5A6">
      <w:pPr>
        <w:snapToGrid w:val="0"/>
        <w:spacing w:line="360" w:lineRule="auto"/>
        <w:ind w:firstLine="420" w:firstLineChars="200"/>
        <w:jc w:val="left"/>
        <w:textAlignment w:val="baseline"/>
        <w:rPr>
          <w:rFonts w:hAnsi="宋体"/>
          <w:sz w:val="21"/>
          <w:szCs w:val="21"/>
        </w:rPr>
      </w:pPr>
      <w:r>
        <w:rPr>
          <w:rFonts w:hAnsi="宋体"/>
          <w:sz w:val="21"/>
          <w:szCs w:val="21"/>
        </w:rPr>
        <w:t>（7）已标价工程量清单或预算书；</w:t>
      </w:r>
    </w:p>
    <w:p w14:paraId="59CAB2B8">
      <w:pPr>
        <w:snapToGrid w:val="0"/>
        <w:spacing w:line="360" w:lineRule="auto"/>
        <w:ind w:firstLine="420" w:firstLineChars="200"/>
        <w:jc w:val="left"/>
        <w:textAlignment w:val="baseline"/>
        <w:rPr>
          <w:rFonts w:hAnsi="宋体"/>
          <w:sz w:val="21"/>
          <w:szCs w:val="21"/>
        </w:rPr>
      </w:pPr>
      <w:r>
        <w:rPr>
          <w:rFonts w:hAnsi="宋体"/>
          <w:sz w:val="21"/>
          <w:szCs w:val="21"/>
        </w:rPr>
        <w:t>（8）</w:t>
      </w:r>
      <w:r>
        <w:rPr>
          <w:rFonts w:hint="eastAsia" w:hAnsi="宋体"/>
          <w:sz w:val="21"/>
          <w:szCs w:val="21"/>
        </w:rPr>
        <w:t>招标文件及其附件、</w:t>
      </w:r>
      <w:r>
        <w:rPr>
          <w:rFonts w:hAnsi="宋体"/>
          <w:sz w:val="21"/>
          <w:szCs w:val="21"/>
        </w:rPr>
        <w:t>其他合同文件。</w:t>
      </w:r>
    </w:p>
    <w:p w14:paraId="5517DCE2">
      <w:pPr>
        <w:snapToGrid w:val="0"/>
        <w:spacing w:line="360" w:lineRule="auto"/>
        <w:ind w:firstLine="420" w:firstLineChars="200"/>
        <w:jc w:val="left"/>
        <w:textAlignment w:val="baseline"/>
        <w:rPr>
          <w:rFonts w:hAnsi="宋体"/>
          <w:sz w:val="21"/>
          <w:szCs w:val="21"/>
        </w:rPr>
      </w:pPr>
      <w:r>
        <w:rPr>
          <w:rFonts w:hAnsi="宋体"/>
          <w:sz w:val="21"/>
          <w:szCs w:val="21"/>
        </w:rPr>
        <w:t>在合同订立及履行过程中形成的与合同有关的文件均构成合同文件组成部分。</w:t>
      </w:r>
    </w:p>
    <w:p w14:paraId="7E30203E">
      <w:pPr>
        <w:snapToGrid w:val="0"/>
        <w:spacing w:line="360" w:lineRule="auto"/>
        <w:ind w:firstLine="420" w:firstLineChars="200"/>
        <w:jc w:val="left"/>
        <w:textAlignment w:val="baseline"/>
        <w:rPr>
          <w:rFonts w:hAnsi="宋体"/>
          <w:sz w:val="21"/>
          <w:szCs w:val="21"/>
        </w:rPr>
      </w:pPr>
      <w:r>
        <w:rPr>
          <w:rFonts w:hAnsi="宋体"/>
          <w:sz w:val="21"/>
          <w:szCs w:val="21"/>
        </w:rPr>
        <w:t>上述各项合同文件包括合同当事人就该项合同文件所作出的补充和修改，属于同一类内容的文件，应以最新签署的为准。</w:t>
      </w:r>
      <w:r>
        <w:rPr>
          <w:rFonts w:hint="eastAsia" w:hAnsi="宋体"/>
          <w:sz w:val="21"/>
          <w:szCs w:val="21"/>
        </w:rPr>
        <w:t>专用合同条款及其附件须经合同当事人签字或盖章。</w:t>
      </w:r>
    </w:p>
    <w:p w14:paraId="0C4C6B75">
      <w:pPr>
        <w:snapToGrid w:val="0"/>
        <w:spacing w:line="360" w:lineRule="auto"/>
        <w:textAlignment w:val="baseline"/>
        <w:rPr>
          <w:rFonts w:hAnsi="宋体"/>
          <w:b/>
          <w:bCs/>
          <w:sz w:val="21"/>
          <w:szCs w:val="21"/>
        </w:rPr>
      </w:pPr>
      <w:bookmarkStart w:id="420" w:name="_Toc361220416"/>
      <w:r>
        <w:rPr>
          <w:rFonts w:hAnsi="宋体"/>
          <w:sz w:val="21"/>
          <w:szCs w:val="21"/>
        </w:rPr>
        <w:t>七、承诺</w:t>
      </w:r>
      <w:bookmarkEnd w:id="420"/>
    </w:p>
    <w:p w14:paraId="1C9DA3E0">
      <w:pPr>
        <w:snapToGrid w:val="0"/>
        <w:spacing w:line="360" w:lineRule="auto"/>
        <w:ind w:firstLine="420" w:firstLineChars="200"/>
        <w:textAlignment w:val="baseline"/>
        <w:rPr>
          <w:rFonts w:hAnsi="宋体"/>
          <w:bCs/>
          <w:sz w:val="21"/>
          <w:szCs w:val="21"/>
        </w:rPr>
      </w:pPr>
      <w:r>
        <w:rPr>
          <w:rFonts w:hAnsi="宋体"/>
          <w:bCs/>
          <w:sz w:val="21"/>
          <w:szCs w:val="21"/>
        </w:rPr>
        <w:t>1.发包人承诺按照法律规定履行项目审批手续、筹集工程建设资金并按照合同约定的期限和方式支付合同价款。</w:t>
      </w:r>
    </w:p>
    <w:p w14:paraId="4453E528">
      <w:pPr>
        <w:snapToGrid w:val="0"/>
        <w:spacing w:line="360" w:lineRule="auto"/>
        <w:ind w:firstLine="420" w:firstLineChars="200"/>
        <w:textAlignment w:val="baseline"/>
        <w:rPr>
          <w:rFonts w:hAnsi="宋体"/>
          <w:bCs/>
          <w:sz w:val="21"/>
          <w:szCs w:val="21"/>
        </w:rPr>
      </w:pPr>
      <w:r>
        <w:rPr>
          <w:rFonts w:hAnsi="宋体"/>
          <w:bCs/>
          <w:sz w:val="21"/>
          <w:szCs w:val="21"/>
        </w:rPr>
        <w:t>2.承包人承诺按照法律规定及合同约定组织完成工程施工，确保工程质量和安全，不进行转包及违法分包，并在缺陷责任期及保修期内承担相应的工程维修责任。</w:t>
      </w:r>
    </w:p>
    <w:p w14:paraId="560BE66E">
      <w:pPr>
        <w:snapToGrid w:val="0"/>
        <w:spacing w:line="360" w:lineRule="auto"/>
        <w:ind w:firstLine="420" w:firstLineChars="200"/>
        <w:textAlignment w:val="baseline"/>
        <w:rPr>
          <w:rFonts w:hAnsi="宋体"/>
          <w:bCs/>
          <w:sz w:val="21"/>
          <w:szCs w:val="21"/>
        </w:rPr>
      </w:pPr>
      <w:r>
        <w:rPr>
          <w:rFonts w:hAnsi="宋体"/>
          <w:bCs/>
          <w:sz w:val="21"/>
          <w:szCs w:val="21"/>
        </w:rPr>
        <w:t>3.发包人和承包人通过招投标形式签订合同的，双方理解并</w:t>
      </w:r>
      <w:r>
        <w:rPr>
          <w:rFonts w:hint="eastAsia" w:hAnsi="宋体"/>
          <w:bCs/>
          <w:sz w:val="21"/>
          <w:szCs w:val="21"/>
        </w:rPr>
        <w:t>承诺</w:t>
      </w:r>
      <w:r>
        <w:rPr>
          <w:rFonts w:hAnsi="宋体"/>
          <w:bCs/>
          <w:sz w:val="21"/>
          <w:szCs w:val="21"/>
        </w:rPr>
        <w:t>不再就同一工程另行签订与合同实质性内容相背离的协议。</w:t>
      </w:r>
    </w:p>
    <w:p w14:paraId="60C244FA">
      <w:pPr>
        <w:snapToGrid w:val="0"/>
        <w:spacing w:line="360" w:lineRule="auto"/>
        <w:textAlignment w:val="baseline"/>
        <w:rPr>
          <w:rFonts w:hAnsi="宋体"/>
          <w:bCs/>
          <w:sz w:val="21"/>
          <w:szCs w:val="21"/>
        </w:rPr>
      </w:pPr>
      <w:bookmarkStart w:id="421" w:name="_Toc361220417"/>
      <w:r>
        <w:rPr>
          <w:rFonts w:hAnsi="宋体"/>
          <w:sz w:val="21"/>
          <w:szCs w:val="21"/>
        </w:rPr>
        <w:t>八、词语含义</w:t>
      </w:r>
      <w:bookmarkEnd w:id="421"/>
    </w:p>
    <w:p w14:paraId="21A638CC">
      <w:pPr>
        <w:snapToGrid w:val="0"/>
        <w:spacing w:line="360" w:lineRule="auto"/>
        <w:ind w:firstLine="420" w:firstLineChars="200"/>
        <w:textAlignment w:val="baseline"/>
        <w:rPr>
          <w:rFonts w:hAnsi="宋体"/>
          <w:bCs/>
          <w:sz w:val="21"/>
          <w:szCs w:val="21"/>
        </w:rPr>
      </w:pPr>
      <w:r>
        <w:rPr>
          <w:rFonts w:hAnsi="宋体"/>
          <w:bCs/>
          <w:sz w:val="21"/>
          <w:szCs w:val="21"/>
        </w:rPr>
        <w:t>本协议书中词语含义与第二部分通用合同条款中赋予的含义相同。</w:t>
      </w:r>
    </w:p>
    <w:p w14:paraId="728796E9">
      <w:pPr>
        <w:snapToGrid w:val="0"/>
        <w:spacing w:line="360" w:lineRule="auto"/>
        <w:textAlignment w:val="baseline"/>
        <w:rPr>
          <w:rFonts w:hAnsi="宋体"/>
          <w:bCs/>
          <w:sz w:val="21"/>
          <w:szCs w:val="21"/>
        </w:rPr>
      </w:pPr>
      <w:bookmarkStart w:id="422" w:name="_Toc361220418"/>
      <w:r>
        <w:rPr>
          <w:rFonts w:hAnsi="宋体"/>
          <w:sz w:val="21"/>
          <w:szCs w:val="21"/>
        </w:rPr>
        <w:t>九、签订时间</w:t>
      </w:r>
      <w:bookmarkEnd w:id="422"/>
    </w:p>
    <w:p w14:paraId="6DC30B5A">
      <w:pPr>
        <w:snapToGrid w:val="0"/>
        <w:spacing w:line="360" w:lineRule="auto"/>
        <w:ind w:firstLine="420" w:firstLineChars="200"/>
        <w:textAlignment w:val="baseline"/>
        <w:rPr>
          <w:rFonts w:hAnsi="宋体"/>
          <w:bCs/>
          <w:sz w:val="21"/>
          <w:szCs w:val="21"/>
        </w:rPr>
      </w:pPr>
      <w:r>
        <w:rPr>
          <w:rFonts w:hAnsi="宋体"/>
          <w:bCs/>
          <w:sz w:val="21"/>
          <w:szCs w:val="21"/>
        </w:rPr>
        <w:t>本合同于</w:t>
      </w:r>
      <w:bookmarkStart w:id="423" w:name="SOA_hhxys_htqdn"/>
      <w:r>
        <w:rPr>
          <w:rFonts w:hAnsi="宋体"/>
          <w:bCs/>
          <w:sz w:val="21"/>
          <w:szCs w:val="21"/>
          <w:u w:val="single" w:color="000000"/>
        </w:rPr>
        <w:t xml:space="preserve">  </w:t>
      </w:r>
      <w:bookmarkEnd w:id="423"/>
      <w:r>
        <w:rPr>
          <w:rFonts w:hAnsi="宋体"/>
          <w:bCs/>
          <w:sz w:val="21"/>
          <w:szCs w:val="21"/>
          <w:u w:val="single" w:color="000000"/>
        </w:rPr>
        <w:t xml:space="preserve">       </w:t>
      </w:r>
      <w:r>
        <w:rPr>
          <w:rFonts w:hAnsi="宋体"/>
          <w:bCs/>
          <w:sz w:val="21"/>
          <w:szCs w:val="21"/>
        </w:rPr>
        <w:t>年</w:t>
      </w:r>
      <w:bookmarkStart w:id="424" w:name="SOA_hhxys_htqdy"/>
      <w:r>
        <w:rPr>
          <w:rFonts w:hAnsi="宋体"/>
          <w:bCs/>
          <w:sz w:val="21"/>
          <w:szCs w:val="21"/>
          <w:u w:val="single" w:color="000000"/>
        </w:rPr>
        <w:t xml:space="preserve">      </w:t>
      </w:r>
      <w:bookmarkEnd w:id="424"/>
      <w:r>
        <w:rPr>
          <w:rFonts w:hAnsi="宋体"/>
          <w:bCs/>
          <w:sz w:val="21"/>
          <w:szCs w:val="21"/>
        </w:rPr>
        <w:t>月</w:t>
      </w:r>
      <w:bookmarkStart w:id="425" w:name="SOA_hhxys_htqdr"/>
      <w:r>
        <w:rPr>
          <w:rFonts w:hAnsi="宋体"/>
          <w:bCs/>
          <w:sz w:val="21"/>
          <w:szCs w:val="21"/>
          <w:u w:val="single" w:color="000000"/>
        </w:rPr>
        <w:t xml:space="preserve">      </w:t>
      </w:r>
      <w:bookmarkEnd w:id="425"/>
      <w:r>
        <w:rPr>
          <w:rFonts w:hAnsi="宋体"/>
          <w:bCs/>
          <w:sz w:val="21"/>
          <w:szCs w:val="21"/>
        </w:rPr>
        <w:t>日签订。</w:t>
      </w:r>
    </w:p>
    <w:p w14:paraId="02CAF26B">
      <w:pPr>
        <w:snapToGrid w:val="0"/>
        <w:spacing w:line="360" w:lineRule="auto"/>
        <w:textAlignment w:val="baseline"/>
        <w:rPr>
          <w:rFonts w:hAnsi="宋体"/>
          <w:bCs/>
          <w:sz w:val="21"/>
          <w:szCs w:val="21"/>
        </w:rPr>
      </w:pPr>
      <w:bookmarkStart w:id="426" w:name="_Toc361220419"/>
      <w:r>
        <w:rPr>
          <w:rFonts w:hAnsi="宋体"/>
          <w:sz w:val="21"/>
          <w:szCs w:val="21"/>
        </w:rPr>
        <w:t>十、签订地点</w:t>
      </w:r>
      <w:bookmarkEnd w:id="426"/>
    </w:p>
    <w:p w14:paraId="4150E832">
      <w:pPr>
        <w:snapToGrid w:val="0"/>
        <w:spacing w:line="360" w:lineRule="auto"/>
        <w:ind w:firstLine="420" w:firstLineChars="200"/>
        <w:textAlignment w:val="baseline"/>
        <w:rPr>
          <w:rFonts w:hAnsi="宋体"/>
          <w:bCs/>
          <w:sz w:val="21"/>
          <w:szCs w:val="21"/>
        </w:rPr>
      </w:pPr>
      <w:r>
        <w:rPr>
          <w:rFonts w:hAnsi="宋体"/>
          <w:bCs/>
          <w:sz w:val="21"/>
          <w:szCs w:val="21"/>
        </w:rPr>
        <w:t>本合同在</w:t>
      </w:r>
      <w:r>
        <w:rPr>
          <w:rFonts w:hint="eastAsia" w:hAnsi="宋体"/>
          <w:sz w:val="32"/>
          <w:u w:val="single" w:color="000000"/>
        </w:rPr>
        <w:t xml:space="preserve"> </w:t>
      </w:r>
      <w:r>
        <w:rPr>
          <w:rFonts w:hint="eastAsia" w:hAnsi="宋体"/>
          <w:sz w:val="21"/>
          <w:szCs w:val="21"/>
          <w:u w:val="single" w:color="000000"/>
        </w:rPr>
        <w:t>杭州市上城区</w:t>
      </w:r>
      <w:r>
        <w:rPr>
          <w:rFonts w:hint="eastAsia" w:hAnsi="宋体"/>
          <w:sz w:val="32"/>
          <w:u w:val="single" w:color="000000"/>
        </w:rPr>
        <w:t xml:space="preserve"> </w:t>
      </w:r>
      <w:r>
        <w:rPr>
          <w:rFonts w:hAnsi="宋体"/>
          <w:bCs/>
          <w:sz w:val="21"/>
          <w:szCs w:val="21"/>
        </w:rPr>
        <w:t>签订。</w:t>
      </w:r>
    </w:p>
    <w:p w14:paraId="23AF4B8F">
      <w:pPr>
        <w:snapToGrid w:val="0"/>
        <w:spacing w:line="360" w:lineRule="auto"/>
        <w:textAlignment w:val="baseline"/>
        <w:rPr>
          <w:rFonts w:hAnsi="宋体"/>
          <w:bCs/>
          <w:sz w:val="21"/>
          <w:szCs w:val="21"/>
        </w:rPr>
      </w:pPr>
      <w:bookmarkStart w:id="427" w:name="_Toc361220420"/>
      <w:r>
        <w:rPr>
          <w:rFonts w:hAnsi="宋体"/>
          <w:sz w:val="21"/>
          <w:szCs w:val="21"/>
        </w:rPr>
        <w:t>十一、补充协议</w:t>
      </w:r>
      <w:bookmarkEnd w:id="427"/>
    </w:p>
    <w:p w14:paraId="29A850F0">
      <w:pPr>
        <w:snapToGrid w:val="0"/>
        <w:spacing w:line="360" w:lineRule="auto"/>
        <w:ind w:firstLine="420" w:firstLineChars="200"/>
        <w:textAlignment w:val="baseline"/>
        <w:rPr>
          <w:rFonts w:hAnsi="宋体"/>
          <w:b/>
          <w:bCs/>
          <w:sz w:val="21"/>
          <w:szCs w:val="21"/>
        </w:rPr>
      </w:pPr>
      <w:r>
        <w:rPr>
          <w:rFonts w:hAnsi="宋体"/>
          <w:bCs/>
          <w:sz w:val="21"/>
          <w:szCs w:val="21"/>
        </w:rPr>
        <w:t>合同未尽事宜，合同当事人另行签订补充协议</w:t>
      </w:r>
      <w:r>
        <w:rPr>
          <w:rFonts w:hint="eastAsia" w:hAnsi="宋体"/>
          <w:bCs/>
          <w:sz w:val="21"/>
          <w:szCs w:val="21"/>
        </w:rPr>
        <w:t>，</w:t>
      </w:r>
      <w:r>
        <w:rPr>
          <w:rFonts w:hAnsi="宋体"/>
          <w:bCs/>
          <w:sz w:val="21"/>
          <w:szCs w:val="21"/>
        </w:rPr>
        <w:t>补充协议是合同的组成部分。</w:t>
      </w:r>
    </w:p>
    <w:p w14:paraId="36F7AFD6">
      <w:pPr>
        <w:snapToGrid w:val="0"/>
        <w:spacing w:line="360" w:lineRule="auto"/>
        <w:textAlignment w:val="baseline"/>
        <w:rPr>
          <w:rFonts w:hAnsi="宋体"/>
          <w:bCs/>
          <w:sz w:val="21"/>
          <w:szCs w:val="21"/>
        </w:rPr>
      </w:pPr>
      <w:bookmarkStart w:id="428" w:name="_Toc361220421"/>
      <w:r>
        <w:rPr>
          <w:rFonts w:hAnsi="宋体"/>
          <w:sz w:val="21"/>
          <w:szCs w:val="21"/>
        </w:rPr>
        <w:t>十二、合同生效</w:t>
      </w:r>
      <w:bookmarkEnd w:id="428"/>
    </w:p>
    <w:p w14:paraId="45ECE06C">
      <w:pPr>
        <w:snapToGrid w:val="0"/>
        <w:spacing w:line="360" w:lineRule="auto"/>
        <w:ind w:firstLine="420" w:firstLineChars="200"/>
        <w:textAlignment w:val="baseline"/>
        <w:rPr>
          <w:rFonts w:hAnsi="宋体"/>
          <w:bCs/>
          <w:sz w:val="21"/>
          <w:szCs w:val="21"/>
        </w:rPr>
      </w:pPr>
      <w:r>
        <w:rPr>
          <w:rFonts w:hAnsi="宋体"/>
          <w:bCs/>
          <w:sz w:val="21"/>
          <w:szCs w:val="21"/>
        </w:rPr>
        <w:t>本合同自</w:t>
      </w:r>
      <w:r>
        <w:rPr>
          <w:rFonts w:hint="eastAsia" w:hAnsi="宋体"/>
          <w:sz w:val="21"/>
          <w:szCs w:val="21"/>
          <w:u w:val="single" w:color="000000"/>
        </w:rPr>
        <w:t>双方签字盖章之日起</w:t>
      </w:r>
      <w:r>
        <w:rPr>
          <w:rFonts w:hAnsi="宋体"/>
          <w:bCs/>
          <w:sz w:val="21"/>
          <w:szCs w:val="21"/>
        </w:rPr>
        <w:t>生效。</w:t>
      </w:r>
    </w:p>
    <w:p w14:paraId="2B60160A">
      <w:pPr>
        <w:snapToGrid w:val="0"/>
        <w:spacing w:line="360" w:lineRule="auto"/>
        <w:textAlignment w:val="baseline"/>
        <w:rPr>
          <w:rFonts w:hAnsi="宋体"/>
          <w:bCs/>
          <w:sz w:val="21"/>
          <w:szCs w:val="21"/>
        </w:rPr>
      </w:pPr>
      <w:bookmarkStart w:id="429" w:name="_Toc361220422"/>
      <w:r>
        <w:rPr>
          <w:rFonts w:hAnsi="宋体"/>
          <w:sz w:val="21"/>
          <w:szCs w:val="21"/>
        </w:rPr>
        <w:t>十三、合同份数</w:t>
      </w:r>
      <w:bookmarkEnd w:id="429"/>
    </w:p>
    <w:p w14:paraId="4E8D21A4">
      <w:pPr>
        <w:snapToGrid w:val="0"/>
        <w:spacing w:line="360" w:lineRule="auto"/>
        <w:ind w:firstLine="420" w:firstLineChars="200"/>
        <w:textAlignment w:val="baseline"/>
        <w:rPr>
          <w:rFonts w:hAnsi="宋体"/>
          <w:bCs/>
          <w:sz w:val="21"/>
          <w:szCs w:val="21"/>
        </w:rPr>
      </w:pPr>
      <w:r>
        <w:rPr>
          <w:rFonts w:hAnsi="宋体"/>
          <w:bCs/>
          <w:sz w:val="21"/>
          <w:szCs w:val="21"/>
        </w:rPr>
        <w:t>本合同一式</w:t>
      </w:r>
      <w:r>
        <w:rPr>
          <w:rFonts w:hint="eastAsia" w:hAnsi="宋体"/>
          <w:bCs/>
          <w:sz w:val="21"/>
          <w:szCs w:val="21"/>
          <w:u w:val="single" w:color="000000"/>
        </w:rPr>
        <w:t>捌</w:t>
      </w:r>
      <w:r>
        <w:rPr>
          <w:rFonts w:hAnsi="宋体"/>
          <w:bCs/>
          <w:sz w:val="21"/>
          <w:szCs w:val="21"/>
        </w:rPr>
        <w:t>份，均具有同等法律效力，发包人执</w:t>
      </w:r>
      <w:r>
        <w:rPr>
          <w:rFonts w:hint="eastAsia" w:hAnsi="宋体"/>
          <w:bCs/>
          <w:sz w:val="21"/>
          <w:szCs w:val="21"/>
          <w:u w:val="single" w:color="000000"/>
        </w:rPr>
        <w:t>肆</w:t>
      </w:r>
      <w:r>
        <w:rPr>
          <w:rFonts w:hAnsi="宋体"/>
          <w:bCs/>
          <w:sz w:val="21"/>
          <w:szCs w:val="21"/>
        </w:rPr>
        <w:t>份，承包人执</w:t>
      </w:r>
      <w:r>
        <w:rPr>
          <w:rFonts w:hint="eastAsia" w:hAnsi="宋体"/>
          <w:bCs/>
          <w:sz w:val="21"/>
          <w:szCs w:val="21"/>
          <w:u w:val="single" w:color="000000"/>
        </w:rPr>
        <w:t>肆</w:t>
      </w:r>
      <w:r>
        <w:rPr>
          <w:rFonts w:hAnsi="宋体"/>
          <w:bCs/>
          <w:sz w:val="21"/>
          <w:szCs w:val="21"/>
        </w:rPr>
        <w:t>份。</w:t>
      </w:r>
    </w:p>
    <w:p w14:paraId="388D8D5C">
      <w:pPr>
        <w:spacing w:line="360" w:lineRule="exact"/>
        <w:rPr>
          <w:rFonts w:hAnsi="宋体" w:cs="宋体"/>
          <w:sz w:val="21"/>
          <w:szCs w:val="21"/>
        </w:rPr>
      </w:pPr>
      <w:r>
        <w:rPr>
          <w:rFonts w:hint="eastAsia" w:hAnsi="宋体" w:cs="宋体"/>
          <w:sz w:val="21"/>
          <w:szCs w:val="21"/>
        </w:rPr>
        <w:t>发包人：  (公章)                     承包人：  (公章)</w:t>
      </w:r>
    </w:p>
    <w:p w14:paraId="7C3CD4AE">
      <w:pPr>
        <w:spacing w:line="360" w:lineRule="exact"/>
        <w:rPr>
          <w:rFonts w:hAnsi="宋体" w:cs="宋体"/>
          <w:sz w:val="21"/>
          <w:szCs w:val="21"/>
          <w:u w:val="single"/>
        </w:rPr>
      </w:pPr>
    </w:p>
    <w:p w14:paraId="527EBF14">
      <w:pPr>
        <w:spacing w:line="360" w:lineRule="exact"/>
        <w:rPr>
          <w:rFonts w:hAnsi="宋体" w:cs="宋体"/>
          <w:sz w:val="21"/>
          <w:szCs w:val="21"/>
        </w:rPr>
      </w:pPr>
      <w:r>
        <w:rPr>
          <w:rFonts w:hint="eastAsia" w:hAnsi="宋体" w:cs="宋体"/>
          <w:sz w:val="21"/>
          <w:szCs w:val="21"/>
        </w:rPr>
        <w:t>法定代表人或其委托代理人：          法定代表人或其委托代理人：</w:t>
      </w:r>
    </w:p>
    <w:p w14:paraId="7A1B6AB4">
      <w:pPr>
        <w:spacing w:line="360" w:lineRule="exact"/>
        <w:rPr>
          <w:rFonts w:hAnsi="宋体" w:cs="宋体"/>
          <w:sz w:val="21"/>
          <w:szCs w:val="21"/>
        </w:rPr>
      </w:pPr>
      <w:r>
        <w:rPr>
          <w:rFonts w:hint="eastAsia" w:hAnsi="宋体" w:cs="宋体"/>
          <w:sz w:val="21"/>
          <w:szCs w:val="21"/>
        </w:rPr>
        <w:t>（签字）                            （签字）</w:t>
      </w:r>
    </w:p>
    <w:p w14:paraId="20230180">
      <w:pPr>
        <w:spacing w:line="360" w:lineRule="exact"/>
        <w:rPr>
          <w:rFonts w:hAnsi="宋体" w:cs="宋体"/>
          <w:sz w:val="21"/>
          <w:szCs w:val="21"/>
          <w:u w:val="single"/>
        </w:rPr>
      </w:pPr>
    </w:p>
    <w:p w14:paraId="1138860D">
      <w:pPr>
        <w:tabs>
          <w:tab w:val="left" w:pos="4410"/>
        </w:tabs>
        <w:spacing w:line="360" w:lineRule="exact"/>
        <w:rPr>
          <w:rFonts w:hAnsi="宋体" w:cs="宋体"/>
          <w:sz w:val="21"/>
          <w:szCs w:val="21"/>
        </w:rPr>
      </w:pPr>
      <w:r>
        <w:rPr>
          <w:rFonts w:hint="eastAsia" w:hAnsi="宋体" w:cs="宋体"/>
          <w:sz w:val="21"/>
          <w:szCs w:val="21"/>
        </w:rPr>
        <w:t>统一社会信用代码：</w:t>
      </w:r>
      <w:r>
        <w:rPr>
          <w:rFonts w:hint="eastAsia" w:hAnsi="宋体" w:cs="宋体"/>
          <w:sz w:val="21"/>
          <w:szCs w:val="21"/>
          <w:u w:val="single"/>
        </w:rPr>
        <w:t xml:space="preserve">       </w:t>
      </w:r>
      <w:r>
        <w:rPr>
          <w:rFonts w:hint="eastAsia" w:hAnsi="宋体" w:cs="宋体"/>
          <w:sz w:val="21"/>
          <w:szCs w:val="21"/>
        </w:rPr>
        <w:t xml:space="preserve">      统一社会信用代码：</w:t>
      </w:r>
      <w:r>
        <w:rPr>
          <w:rFonts w:hint="eastAsia" w:hAnsi="宋体" w:cs="宋体"/>
          <w:sz w:val="21"/>
          <w:szCs w:val="21"/>
          <w:u w:val="single"/>
        </w:rPr>
        <w:t></w:t>
      </w:r>
      <w:r>
        <w:rPr>
          <w:rFonts w:hAnsi="宋体" w:cs="宋体"/>
          <w:sz w:val="21"/>
          <w:szCs w:val="21"/>
          <w:u w:val="single"/>
        </w:rPr>
        <w:t xml:space="preserve">                     </w:t>
      </w:r>
      <w:r>
        <w:rPr>
          <w:rFonts w:hint="eastAsia" w:hAnsi="宋体" w:cs="宋体"/>
          <w:sz w:val="21"/>
          <w:szCs w:val="21"/>
          <w:u w:val="single"/>
        </w:rPr>
        <w:t xml:space="preserve">  </w:t>
      </w:r>
    </w:p>
    <w:p w14:paraId="357912B9">
      <w:pPr>
        <w:spacing w:line="360" w:lineRule="exact"/>
        <w:rPr>
          <w:rFonts w:hAnsi="宋体" w:cs="宋体"/>
          <w:sz w:val="21"/>
          <w:szCs w:val="21"/>
        </w:rPr>
      </w:pPr>
      <w:r>
        <w:rPr>
          <w:rFonts w:hint="eastAsia" w:hAnsi="宋体" w:cs="宋体"/>
          <w:sz w:val="21"/>
          <w:szCs w:val="21"/>
        </w:rPr>
        <w:t>地  址：</w:t>
      </w:r>
      <w:r>
        <w:rPr>
          <w:rFonts w:hint="eastAsia" w:hAnsi="宋体" w:cs="宋体"/>
          <w:sz w:val="21"/>
          <w:szCs w:val="21"/>
          <w:u w:val="single"/>
        </w:rPr>
        <w:t xml:space="preserve">     </w:t>
      </w:r>
      <w:r>
        <w:rPr>
          <w:rFonts w:hint="eastAsia" w:hAnsi="宋体" w:cs="宋体"/>
          <w:sz w:val="21"/>
          <w:szCs w:val="21"/>
        </w:rPr>
        <w:t xml:space="preserve">         地  址：</w:t>
      </w:r>
      <w:r>
        <w:rPr>
          <w:rFonts w:hint="eastAsia" w:hAnsi="宋体" w:cs="宋体"/>
          <w:sz w:val="21"/>
          <w:szCs w:val="21"/>
          <w:u w:val="single"/>
        </w:rPr>
        <w:t xml:space="preserve"> </w:t>
      </w:r>
      <w:r>
        <w:rPr>
          <w:rFonts w:hAnsi="宋体" w:cs="宋体"/>
          <w:sz w:val="21"/>
          <w:szCs w:val="21"/>
          <w:u w:val="single"/>
        </w:rPr>
        <w:t xml:space="preserve">                   </w:t>
      </w:r>
      <w:r>
        <w:rPr>
          <w:rFonts w:hint="eastAsia" w:hAnsi="宋体" w:cs="宋体"/>
          <w:sz w:val="21"/>
          <w:szCs w:val="21"/>
          <w:u w:val="single"/>
        </w:rPr>
        <w:t xml:space="preserve">    </w:t>
      </w:r>
    </w:p>
    <w:p w14:paraId="148CE137">
      <w:pPr>
        <w:spacing w:line="360" w:lineRule="exact"/>
        <w:rPr>
          <w:rFonts w:hAnsi="宋体" w:cs="宋体"/>
          <w:sz w:val="21"/>
          <w:szCs w:val="21"/>
        </w:rPr>
      </w:pPr>
      <w:r>
        <w:rPr>
          <w:rFonts w:hint="eastAsia" w:hAnsi="宋体" w:cs="宋体"/>
          <w:sz w:val="21"/>
          <w:szCs w:val="21"/>
        </w:rPr>
        <w:t>邮政编码：</w:t>
      </w:r>
      <w:r>
        <w:rPr>
          <w:rFonts w:hint="eastAsia" w:hAnsi="宋体" w:cs="宋体"/>
          <w:sz w:val="21"/>
          <w:szCs w:val="21"/>
          <w:u w:val="single"/>
        </w:rPr>
        <w:t xml:space="preserve">      </w:t>
      </w:r>
      <w:r>
        <w:rPr>
          <w:rFonts w:hint="eastAsia" w:hAnsi="宋体" w:cs="宋体"/>
          <w:sz w:val="21"/>
          <w:szCs w:val="21"/>
        </w:rPr>
        <w:t xml:space="preserve">        邮政编码：</w:t>
      </w:r>
      <w:r>
        <w:rPr>
          <w:rFonts w:hint="eastAsia" w:hAnsi="宋体" w:cs="宋体"/>
          <w:sz w:val="21"/>
          <w:szCs w:val="21"/>
          <w:u w:val="single"/>
        </w:rPr>
        <w:t></w:t>
      </w:r>
      <w:r>
        <w:rPr>
          <w:rFonts w:hAnsi="宋体" w:cs="宋体"/>
          <w:sz w:val="21"/>
          <w:szCs w:val="21"/>
          <w:u w:val="single"/>
        </w:rPr>
        <w:t xml:space="preserve">          </w:t>
      </w:r>
      <w:r>
        <w:rPr>
          <w:rFonts w:hint="eastAsia" w:hAnsi="宋体" w:cs="宋体"/>
          <w:sz w:val="21"/>
          <w:szCs w:val="21"/>
          <w:u w:val="single"/>
        </w:rPr>
        <w:t xml:space="preserve">   </w:t>
      </w:r>
    </w:p>
    <w:p w14:paraId="4312BBEF">
      <w:pPr>
        <w:spacing w:line="360" w:lineRule="exact"/>
        <w:rPr>
          <w:rFonts w:hAnsi="宋体" w:cs="宋体"/>
          <w:sz w:val="21"/>
          <w:szCs w:val="21"/>
        </w:rPr>
      </w:pPr>
      <w:r>
        <w:rPr>
          <w:rFonts w:hint="eastAsia" w:hAnsi="宋体" w:cs="宋体"/>
          <w:sz w:val="21"/>
          <w:szCs w:val="21"/>
        </w:rPr>
        <w:t>法定代表人：</w:t>
      </w:r>
      <w:r>
        <w:rPr>
          <w:rFonts w:hint="eastAsia" w:hAnsi="宋体" w:cs="宋体"/>
          <w:sz w:val="21"/>
          <w:szCs w:val="21"/>
          <w:u w:val="single"/>
        </w:rPr>
        <w:t xml:space="preserve">           </w:t>
      </w:r>
      <w:r>
        <w:rPr>
          <w:rFonts w:hint="eastAsia" w:hAnsi="宋体" w:cs="宋体"/>
          <w:sz w:val="21"/>
          <w:szCs w:val="21"/>
        </w:rPr>
        <w:t xml:space="preserve">         法定代表人：</w:t>
      </w:r>
      <w:r>
        <w:rPr>
          <w:rFonts w:hint="eastAsia" w:hAnsi="宋体" w:cs="宋体"/>
          <w:sz w:val="21"/>
          <w:szCs w:val="21"/>
          <w:u w:val="single"/>
        </w:rPr>
        <w:t xml:space="preserve">  </w:t>
      </w:r>
      <w:r>
        <w:rPr>
          <w:rFonts w:hAnsi="宋体" w:cs="宋体"/>
          <w:sz w:val="21"/>
          <w:szCs w:val="21"/>
          <w:u w:val="single"/>
        </w:rPr>
        <w:t xml:space="preserve">           </w:t>
      </w:r>
      <w:r>
        <w:rPr>
          <w:rFonts w:hint="eastAsia" w:hAnsi="宋体" w:cs="宋体"/>
          <w:sz w:val="21"/>
          <w:szCs w:val="21"/>
          <w:u w:val="single"/>
        </w:rPr>
        <w:t xml:space="preserve">     </w:t>
      </w:r>
    </w:p>
    <w:p w14:paraId="0C8A23E7">
      <w:pPr>
        <w:spacing w:line="360" w:lineRule="exact"/>
        <w:rPr>
          <w:rFonts w:hAnsi="宋体" w:cs="宋体"/>
          <w:sz w:val="21"/>
          <w:szCs w:val="21"/>
        </w:rPr>
      </w:pPr>
      <w:r>
        <w:rPr>
          <w:rFonts w:hint="eastAsia" w:hAnsi="宋体" w:cs="宋体"/>
          <w:sz w:val="21"/>
          <w:szCs w:val="21"/>
        </w:rPr>
        <w:t>委托代理人：</w:t>
      </w:r>
      <w:r>
        <w:rPr>
          <w:rFonts w:hint="eastAsia" w:hAnsi="宋体" w:cs="宋体"/>
          <w:sz w:val="21"/>
          <w:szCs w:val="21"/>
          <w:u w:val="single"/>
        </w:rPr>
        <w:t xml:space="preserve">           </w:t>
      </w:r>
      <w:r>
        <w:rPr>
          <w:rFonts w:hint="eastAsia" w:hAnsi="宋体" w:cs="宋体"/>
          <w:sz w:val="21"/>
          <w:szCs w:val="21"/>
        </w:rPr>
        <w:t xml:space="preserve">         委托代理人：</w:t>
      </w:r>
      <w:r>
        <w:rPr>
          <w:rFonts w:hint="eastAsia" w:hAnsi="宋体" w:cs="宋体"/>
          <w:sz w:val="21"/>
          <w:szCs w:val="21"/>
          <w:u w:val="single"/>
        </w:rPr>
        <w:t xml:space="preserve">             </w:t>
      </w:r>
    </w:p>
    <w:p w14:paraId="2E31BF68">
      <w:pPr>
        <w:spacing w:line="360" w:lineRule="exact"/>
        <w:rPr>
          <w:rFonts w:hAnsi="宋体" w:cs="宋体"/>
          <w:sz w:val="21"/>
          <w:szCs w:val="21"/>
        </w:rPr>
      </w:pPr>
      <w:r>
        <w:rPr>
          <w:rFonts w:hint="eastAsia" w:hAnsi="宋体" w:cs="宋体"/>
          <w:sz w:val="21"/>
          <w:szCs w:val="21"/>
        </w:rPr>
        <w:t>电  话：</w:t>
      </w:r>
      <w:r>
        <w:rPr>
          <w:rFonts w:hint="eastAsia" w:hAnsi="宋体" w:cs="宋体"/>
          <w:sz w:val="21"/>
          <w:szCs w:val="21"/>
          <w:u w:val="single"/>
        </w:rPr>
        <w:t xml:space="preserve">   </w:t>
      </w:r>
      <w:r>
        <w:rPr>
          <w:rFonts w:hint="eastAsia" w:hAnsi="宋体" w:cs="宋体"/>
          <w:sz w:val="21"/>
          <w:szCs w:val="21"/>
        </w:rPr>
        <w:t xml:space="preserve">         电  话：</w:t>
      </w:r>
      <w:r>
        <w:rPr>
          <w:rFonts w:hint="eastAsia" w:hAnsi="宋体" w:cs="宋体"/>
          <w:sz w:val="21"/>
          <w:szCs w:val="21"/>
          <w:u w:val="single"/>
        </w:rPr>
        <w:t></w:t>
      </w:r>
      <w:r>
        <w:rPr>
          <w:rFonts w:hAnsi="宋体" w:cs="宋体"/>
          <w:sz w:val="21"/>
          <w:szCs w:val="21"/>
          <w:u w:val="single"/>
        </w:rPr>
        <w:t xml:space="preserve">                         </w:t>
      </w:r>
      <w:r>
        <w:rPr>
          <w:rFonts w:hint="eastAsia" w:hAnsi="宋体" w:cs="宋体"/>
          <w:sz w:val="21"/>
          <w:szCs w:val="21"/>
          <w:u w:val="single"/>
        </w:rPr>
        <w:t xml:space="preserve">    </w:t>
      </w:r>
    </w:p>
    <w:p w14:paraId="0F1AC4BD">
      <w:pPr>
        <w:spacing w:line="360" w:lineRule="exact"/>
        <w:rPr>
          <w:rFonts w:hAnsi="宋体" w:cs="宋体"/>
          <w:sz w:val="21"/>
          <w:szCs w:val="21"/>
        </w:rPr>
      </w:pPr>
      <w:r>
        <w:rPr>
          <w:rFonts w:hint="eastAsia" w:hAnsi="宋体" w:cs="宋体"/>
          <w:sz w:val="21"/>
          <w:szCs w:val="21"/>
        </w:rPr>
        <w:t>传  真：</w:t>
      </w:r>
      <w:r>
        <w:rPr>
          <w:rFonts w:hint="eastAsia" w:hAnsi="宋体" w:cs="宋体"/>
          <w:sz w:val="21"/>
          <w:szCs w:val="21"/>
          <w:u w:val="single"/>
        </w:rPr>
        <w:t xml:space="preserve">   </w:t>
      </w:r>
      <w:r>
        <w:rPr>
          <w:rFonts w:hint="eastAsia" w:hAnsi="宋体" w:cs="宋体"/>
          <w:sz w:val="21"/>
          <w:szCs w:val="21"/>
        </w:rPr>
        <w:t xml:space="preserve">         传  真：</w:t>
      </w:r>
      <w:r>
        <w:rPr>
          <w:rFonts w:hint="eastAsia" w:hAnsi="宋体" w:cs="宋体"/>
          <w:sz w:val="21"/>
          <w:szCs w:val="21"/>
          <w:u w:val="single"/>
        </w:rPr>
        <w:t></w:t>
      </w:r>
      <w:r>
        <w:rPr>
          <w:rFonts w:hAnsi="宋体" w:cs="宋体"/>
          <w:sz w:val="21"/>
          <w:szCs w:val="21"/>
          <w:u w:val="single"/>
        </w:rPr>
        <w:t xml:space="preserve">              </w:t>
      </w:r>
      <w:r>
        <w:rPr>
          <w:rFonts w:hint="eastAsia" w:hAnsi="宋体" w:cs="宋体"/>
          <w:sz w:val="21"/>
          <w:szCs w:val="21"/>
          <w:u w:val="single"/>
        </w:rPr>
        <w:t xml:space="preserve">  </w:t>
      </w:r>
    </w:p>
    <w:p w14:paraId="4594314D">
      <w:pPr>
        <w:spacing w:line="360" w:lineRule="exact"/>
        <w:rPr>
          <w:rFonts w:hAnsi="宋体" w:cs="宋体"/>
          <w:sz w:val="21"/>
          <w:szCs w:val="21"/>
        </w:rPr>
      </w:pPr>
      <w:r>
        <w:rPr>
          <w:rFonts w:hint="eastAsia" w:hAnsi="宋体" w:cs="宋体"/>
          <w:sz w:val="21"/>
          <w:szCs w:val="21"/>
        </w:rPr>
        <w:t>电子信箱：</w:t>
      </w:r>
      <w:r>
        <w:rPr>
          <w:rFonts w:hint="eastAsia" w:hAnsi="宋体" w:cs="宋体"/>
          <w:sz w:val="21"/>
          <w:szCs w:val="21"/>
          <w:u w:val="single"/>
        </w:rPr>
        <w:t xml:space="preserve">                  </w:t>
      </w:r>
      <w:r>
        <w:rPr>
          <w:rFonts w:hint="eastAsia" w:hAnsi="宋体" w:cs="宋体"/>
          <w:sz w:val="21"/>
          <w:szCs w:val="21"/>
        </w:rPr>
        <w:t xml:space="preserve">        电子信箱：</w:t>
      </w:r>
      <w:r>
        <w:rPr>
          <w:rFonts w:hint="eastAsia" w:hAnsi="宋体" w:cs="宋体"/>
          <w:sz w:val="21"/>
          <w:szCs w:val="21"/>
          <w:u w:val="single"/>
        </w:rPr>
        <w:t></w:t>
      </w:r>
      <w:r>
        <w:rPr>
          <w:rFonts w:hAnsi="宋体" w:cs="宋体"/>
          <w:sz w:val="21"/>
          <w:szCs w:val="21"/>
          <w:u w:val="single"/>
        </w:rPr>
        <w:t xml:space="preserve">                        </w:t>
      </w:r>
    </w:p>
    <w:p w14:paraId="0B3EB8BD">
      <w:pPr>
        <w:spacing w:line="360" w:lineRule="exact"/>
        <w:rPr>
          <w:rFonts w:hAnsi="宋体" w:cs="宋体"/>
          <w:sz w:val="21"/>
          <w:szCs w:val="21"/>
        </w:rPr>
      </w:pPr>
      <w:r>
        <w:rPr>
          <w:rFonts w:hint="eastAsia" w:hAnsi="宋体" w:cs="宋体"/>
          <w:sz w:val="21"/>
          <w:szCs w:val="21"/>
        </w:rPr>
        <w:t>开户银行：</w:t>
      </w:r>
      <w:r>
        <w:rPr>
          <w:rFonts w:hint="eastAsia" w:hAnsi="宋体" w:cs="宋体"/>
          <w:sz w:val="21"/>
          <w:szCs w:val="21"/>
          <w:u w:val="single"/>
        </w:rPr>
        <w:t xml:space="preserve">    </w:t>
      </w:r>
      <w:r>
        <w:rPr>
          <w:rFonts w:hint="eastAsia" w:hAnsi="宋体" w:cs="宋体"/>
          <w:sz w:val="21"/>
          <w:szCs w:val="21"/>
        </w:rPr>
        <w:t xml:space="preserve">        开户银行：</w:t>
      </w:r>
      <w:r>
        <w:rPr>
          <w:rFonts w:hint="eastAsia" w:hAnsi="宋体" w:cs="宋体"/>
          <w:sz w:val="21"/>
          <w:szCs w:val="21"/>
          <w:u w:val="single"/>
        </w:rPr>
        <w:t xml:space="preserve"> </w:t>
      </w:r>
      <w:r>
        <w:rPr>
          <w:rFonts w:hAnsi="宋体" w:cs="宋体"/>
          <w:sz w:val="21"/>
          <w:szCs w:val="21"/>
          <w:u w:val="single"/>
        </w:rPr>
        <w:t xml:space="preserve">                         </w:t>
      </w:r>
      <w:r>
        <w:rPr>
          <w:rFonts w:hint="eastAsia" w:hAnsi="宋体" w:cs="宋体"/>
          <w:sz w:val="21"/>
          <w:szCs w:val="21"/>
          <w:u w:val="single"/>
        </w:rPr>
        <w:t xml:space="preserve"> </w:t>
      </w:r>
    </w:p>
    <w:p w14:paraId="256883DD">
      <w:pPr>
        <w:snapToGrid w:val="0"/>
        <w:spacing w:before="312" w:after="156" w:line="360" w:lineRule="auto"/>
        <w:jc w:val="both"/>
        <w:textAlignment w:val="baseline"/>
        <w:rPr>
          <w:rFonts w:hAnsi="宋体"/>
          <w:sz w:val="24"/>
        </w:rPr>
      </w:pPr>
      <w:r>
        <w:rPr>
          <w:rFonts w:hint="eastAsia" w:hAnsi="宋体" w:cs="宋体"/>
          <w:sz w:val="21"/>
          <w:szCs w:val="21"/>
        </w:rPr>
        <w:t>账  号：</w:t>
      </w:r>
      <w:r>
        <w:rPr>
          <w:rFonts w:hint="eastAsia" w:hAnsi="宋体" w:cs="宋体"/>
          <w:sz w:val="21"/>
          <w:szCs w:val="21"/>
          <w:u w:val="single"/>
        </w:rPr>
        <w:t xml:space="preserve">        </w:t>
      </w:r>
      <w:r>
        <w:rPr>
          <w:rFonts w:hint="eastAsia" w:hAnsi="宋体" w:cs="宋体"/>
          <w:sz w:val="21"/>
          <w:szCs w:val="21"/>
        </w:rPr>
        <w:t xml:space="preserve">        账  号：</w:t>
      </w:r>
      <w:r>
        <w:rPr>
          <w:rFonts w:hint="eastAsia" w:hAnsi="宋体" w:cs="宋体"/>
          <w:sz w:val="21"/>
          <w:szCs w:val="21"/>
          <w:u w:val="single"/>
        </w:rPr>
        <w:t></w:t>
      </w:r>
      <w:r>
        <w:rPr>
          <w:rFonts w:hAnsi="宋体" w:cs="宋体"/>
          <w:sz w:val="21"/>
          <w:szCs w:val="21"/>
          <w:u w:val="single"/>
        </w:rPr>
        <w:t xml:space="preserve">                     </w:t>
      </w:r>
      <w:r>
        <w:rPr>
          <w:rFonts w:hint="eastAsia" w:hAnsi="宋体" w:cs="宋体"/>
          <w:sz w:val="21"/>
          <w:szCs w:val="21"/>
          <w:u w:val="single"/>
        </w:rPr>
        <w:t xml:space="preserve">   </w:t>
      </w:r>
    </w:p>
    <w:p w14:paraId="24D72386">
      <w:pPr>
        <w:snapToGrid w:val="0"/>
        <w:spacing w:before="312" w:after="156" w:line="360" w:lineRule="auto"/>
        <w:jc w:val="center"/>
        <w:textAlignment w:val="baseline"/>
        <w:rPr>
          <w:rFonts w:hAnsi="宋体"/>
          <w:b/>
          <w:sz w:val="30"/>
        </w:rPr>
      </w:pPr>
      <w:r>
        <w:rPr>
          <w:rFonts w:hint="eastAsia" w:hAnsi="宋体"/>
          <w:b/>
          <w:sz w:val="30"/>
          <w:szCs w:val="30"/>
        </w:rPr>
        <w:t xml:space="preserve"> 第二部分 通用合同条款（略）</w:t>
      </w:r>
    </w:p>
    <w:p w14:paraId="2C58DEE8">
      <w:pPr>
        <w:snapToGrid w:val="0"/>
        <w:spacing w:line="360" w:lineRule="auto"/>
        <w:jc w:val="center"/>
        <w:textAlignment w:val="baseline"/>
        <w:rPr>
          <w:rFonts w:hAnsi="宋体"/>
          <w:sz w:val="21"/>
          <w:szCs w:val="21"/>
        </w:rPr>
      </w:pPr>
      <w:r>
        <w:rPr>
          <w:rFonts w:hint="eastAsia" w:hAnsi="宋体"/>
          <w:sz w:val="21"/>
          <w:szCs w:val="21"/>
        </w:rPr>
        <w:t>通用合同条款采用住房和城乡建设部、国家工商行政管理总局制定的《建设工程施工合同（示范文本）》（</w:t>
      </w:r>
      <w:r>
        <w:rPr>
          <w:rFonts w:hAnsi="宋体"/>
          <w:sz w:val="21"/>
          <w:szCs w:val="21"/>
        </w:rPr>
        <w:t>GF</w:t>
      </w:r>
      <w:r>
        <w:rPr>
          <w:rFonts w:hint="eastAsia" w:hAnsi="宋体"/>
          <w:sz w:val="21"/>
          <w:szCs w:val="21"/>
        </w:rPr>
        <w:t>—</w:t>
      </w:r>
      <w:r>
        <w:rPr>
          <w:rFonts w:hAnsi="宋体"/>
          <w:sz w:val="21"/>
          <w:szCs w:val="21"/>
        </w:rPr>
        <w:t>201</w:t>
      </w:r>
      <w:r>
        <w:rPr>
          <w:rFonts w:hint="eastAsia" w:hAnsi="宋体"/>
          <w:sz w:val="21"/>
          <w:szCs w:val="21"/>
        </w:rPr>
        <w:t>7—</w:t>
      </w:r>
      <w:r>
        <w:rPr>
          <w:rFonts w:hAnsi="宋体"/>
          <w:sz w:val="21"/>
          <w:szCs w:val="21"/>
        </w:rPr>
        <w:t>0201</w:t>
      </w:r>
      <w:r>
        <w:rPr>
          <w:rFonts w:hint="eastAsia" w:hAnsi="宋体"/>
          <w:sz w:val="21"/>
          <w:szCs w:val="21"/>
        </w:rPr>
        <w:t>）的通用合同条款。</w:t>
      </w:r>
    </w:p>
    <w:p w14:paraId="52AD2697">
      <w:pPr>
        <w:snapToGrid w:val="0"/>
        <w:spacing w:line="360" w:lineRule="auto"/>
        <w:jc w:val="center"/>
        <w:textAlignment w:val="baseline"/>
        <w:rPr>
          <w:rFonts w:hAnsi="宋体"/>
          <w:b/>
          <w:sz w:val="20"/>
        </w:rPr>
      </w:pPr>
    </w:p>
    <w:p w14:paraId="1B8C5EC8">
      <w:pPr>
        <w:pStyle w:val="34"/>
        <w:snapToGrid w:val="0"/>
        <w:spacing w:line="360" w:lineRule="auto"/>
        <w:jc w:val="center"/>
        <w:textAlignment w:val="baseline"/>
        <w:rPr>
          <w:rFonts w:hAnsi="宋体"/>
          <w:b/>
          <w:bCs/>
          <w:sz w:val="30"/>
          <w:szCs w:val="30"/>
        </w:rPr>
      </w:pPr>
      <w:r>
        <w:rPr>
          <w:rFonts w:hint="eastAsia" w:hAnsi="宋体"/>
          <w:b/>
          <w:sz w:val="30"/>
          <w:szCs w:val="30"/>
        </w:rPr>
        <w:t>第三部分  专用条款</w:t>
      </w:r>
    </w:p>
    <w:p w14:paraId="2D471A21">
      <w:pPr>
        <w:snapToGrid w:val="0"/>
        <w:spacing w:line="360" w:lineRule="auto"/>
        <w:ind w:firstLine="420" w:firstLineChars="200"/>
        <w:textAlignment w:val="baseline"/>
        <w:rPr>
          <w:rFonts w:hAnsi="宋体" w:cs="宋体"/>
          <w:sz w:val="21"/>
          <w:szCs w:val="21"/>
        </w:rPr>
      </w:pPr>
      <w:bookmarkStart w:id="430" w:name="_Toc351203633"/>
      <w:r>
        <w:rPr>
          <w:rFonts w:hint="eastAsia" w:hAnsi="宋体" w:cs="宋体"/>
          <w:sz w:val="21"/>
          <w:szCs w:val="21"/>
        </w:rPr>
        <w:t>1. 一般约定</w:t>
      </w:r>
      <w:bookmarkEnd w:id="430"/>
    </w:p>
    <w:p w14:paraId="550BA749">
      <w:pPr>
        <w:snapToGrid w:val="0"/>
        <w:spacing w:line="360" w:lineRule="auto"/>
        <w:ind w:firstLine="420" w:firstLineChars="200"/>
        <w:textAlignment w:val="baseline"/>
        <w:rPr>
          <w:rFonts w:hAnsi="宋体" w:cs="宋体"/>
          <w:sz w:val="21"/>
          <w:szCs w:val="21"/>
        </w:rPr>
      </w:pPr>
      <w:r>
        <w:rPr>
          <w:rFonts w:hint="eastAsia" w:hAnsi="宋体" w:cs="宋体"/>
          <w:sz w:val="21"/>
          <w:szCs w:val="21"/>
        </w:rPr>
        <w:t>1.1 词语定义</w:t>
      </w:r>
    </w:p>
    <w:p w14:paraId="56FAFAA6">
      <w:pPr>
        <w:snapToGrid w:val="0"/>
        <w:spacing w:line="360" w:lineRule="auto"/>
        <w:ind w:firstLine="420" w:firstLineChars="200"/>
        <w:textAlignment w:val="baseline"/>
        <w:rPr>
          <w:rFonts w:hAnsi="宋体" w:cs="宋体"/>
          <w:kern w:val="0"/>
          <w:sz w:val="21"/>
          <w:szCs w:val="21"/>
        </w:rPr>
      </w:pPr>
      <w:r>
        <w:rPr>
          <w:rFonts w:hint="eastAsia" w:hAnsi="宋体" w:cs="宋体"/>
          <w:kern w:val="0"/>
          <w:sz w:val="21"/>
          <w:szCs w:val="21"/>
        </w:rPr>
        <w:t>1.1.1合同</w:t>
      </w:r>
    </w:p>
    <w:p w14:paraId="6B2CC7C3">
      <w:pPr>
        <w:snapToGrid w:val="0"/>
        <w:spacing w:line="360" w:lineRule="auto"/>
        <w:ind w:firstLine="420" w:firstLineChars="200"/>
        <w:textAlignment w:val="baseline"/>
        <w:rPr>
          <w:rFonts w:hAnsi="宋体" w:cs="宋体"/>
          <w:kern w:val="0"/>
          <w:sz w:val="21"/>
          <w:szCs w:val="21"/>
        </w:rPr>
      </w:pPr>
      <w:r>
        <w:rPr>
          <w:rFonts w:hint="eastAsia" w:hAnsi="宋体" w:cs="宋体"/>
          <w:kern w:val="0"/>
          <w:sz w:val="21"/>
          <w:szCs w:val="21"/>
        </w:rPr>
        <w:t>1.1.1.10其他合同文件包括：</w:t>
      </w:r>
    </w:p>
    <w:p w14:paraId="61DE1289">
      <w:pPr>
        <w:snapToGrid w:val="0"/>
        <w:spacing w:line="360" w:lineRule="auto"/>
        <w:ind w:firstLine="422" w:firstLineChars="200"/>
        <w:textAlignment w:val="baseline"/>
        <w:rPr>
          <w:rFonts w:hAnsi="宋体" w:cs="宋体"/>
          <w:b/>
          <w:bCs/>
          <w:sz w:val="21"/>
          <w:szCs w:val="21"/>
        </w:rPr>
      </w:pPr>
      <w:r>
        <w:rPr>
          <w:rFonts w:hint="eastAsia" w:hAnsi="宋体" w:cs="MingLiU_HKSCS"/>
          <w:b/>
          <w:bCs/>
          <w:sz w:val="21"/>
          <w:szCs w:val="21"/>
        </w:rPr>
        <w:t xml:space="preserve"> </w:t>
      </w:r>
      <w:r>
        <w:rPr>
          <w:rFonts w:hint="eastAsia" w:hAnsi="宋体" w:cs="宋体"/>
          <w:b/>
          <w:bCs/>
          <w:sz w:val="21"/>
          <w:szCs w:val="21"/>
          <w:u w:val="single" w:color="000000"/>
        </w:rPr>
        <w:t>施工组织</w:t>
      </w:r>
      <w:r>
        <w:fldChar w:fldCharType="begin"/>
      </w:r>
      <w:r>
        <w:instrText xml:space="preserve"> HYPERLINK "http://baike.baidu.com/view/14417.htm" \t "_blank" </w:instrText>
      </w:r>
      <w:r>
        <w:fldChar w:fldCharType="separate"/>
      </w:r>
      <w:r>
        <w:rPr>
          <w:rFonts w:hint="eastAsia" w:hAnsi="宋体" w:cs="宋体"/>
          <w:b/>
          <w:bCs/>
          <w:sz w:val="21"/>
          <w:szCs w:val="21"/>
          <w:u w:val="single" w:color="000000"/>
        </w:rPr>
        <w:t>设计</w:t>
      </w:r>
      <w:r>
        <w:rPr>
          <w:rFonts w:hint="eastAsia" w:hAnsi="宋体" w:cs="宋体"/>
          <w:b/>
          <w:bCs/>
          <w:sz w:val="21"/>
          <w:szCs w:val="21"/>
          <w:u w:val="single" w:color="000000"/>
        </w:rPr>
        <w:fldChar w:fldCharType="end"/>
      </w:r>
      <w:r>
        <w:rPr>
          <w:rFonts w:hint="eastAsia" w:hAnsi="宋体" w:cs="宋体"/>
          <w:b/>
          <w:bCs/>
          <w:sz w:val="21"/>
          <w:szCs w:val="21"/>
          <w:u w:val="single" w:color="000000"/>
        </w:rPr>
        <w:t>：施工组织</w:t>
      </w:r>
      <w:r>
        <w:fldChar w:fldCharType="begin"/>
      </w:r>
      <w:r>
        <w:instrText xml:space="preserve"> HYPERLINK "http://baike.baidu.com/view/14417.htm" \t "_blank" </w:instrText>
      </w:r>
      <w:r>
        <w:fldChar w:fldCharType="separate"/>
      </w:r>
      <w:r>
        <w:rPr>
          <w:rFonts w:hint="eastAsia" w:hAnsi="宋体" w:cs="宋体"/>
          <w:b/>
          <w:bCs/>
          <w:sz w:val="21"/>
          <w:szCs w:val="21"/>
          <w:u w:val="single" w:color="000000"/>
        </w:rPr>
        <w:t>设计</w:t>
      </w:r>
      <w:r>
        <w:rPr>
          <w:rFonts w:hint="eastAsia" w:hAnsi="宋体" w:cs="宋体"/>
          <w:b/>
          <w:bCs/>
          <w:sz w:val="21"/>
          <w:szCs w:val="21"/>
          <w:u w:val="single" w:color="000000"/>
        </w:rPr>
        <w:fldChar w:fldCharType="end"/>
      </w:r>
      <w:r>
        <w:rPr>
          <w:rFonts w:hint="eastAsia" w:hAnsi="宋体" w:cs="宋体"/>
          <w:b/>
          <w:bCs/>
          <w:sz w:val="21"/>
          <w:szCs w:val="21"/>
          <w:u w:val="single" w:color="000000"/>
        </w:rPr>
        <w:t>是用来指导</w:t>
      </w:r>
      <w:r>
        <w:fldChar w:fldCharType="begin"/>
      </w:r>
      <w:r>
        <w:instrText xml:space="preserve"> HYPERLINK "http://baike.baidu.com/view/1094820.htm" \t "_blank" </w:instrText>
      </w:r>
      <w:r>
        <w:fldChar w:fldCharType="separate"/>
      </w:r>
      <w:r>
        <w:rPr>
          <w:rFonts w:hint="eastAsia" w:hAnsi="宋体" w:cs="宋体"/>
          <w:b/>
          <w:bCs/>
          <w:sz w:val="21"/>
          <w:szCs w:val="21"/>
          <w:u w:val="single" w:color="000000"/>
        </w:rPr>
        <w:t>施工项目</w:t>
      </w:r>
      <w:r>
        <w:rPr>
          <w:rFonts w:hint="eastAsia" w:hAnsi="宋体" w:cs="宋体"/>
          <w:b/>
          <w:bCs/>
          <w:sz w:val="21"/>
          <w:szCs w:val="21"/>
          <w:u w:val="single" w:color="000000"/>
        </w:rPr>
        <w:fldChar w:fldCharType="end"/>
      </w:r>
      <w:r>
        <w:rPr>
          <w:rFonts w:hint="eastAsia" w:hAnsi="宋体" w:cs="宋体"/>
          <w:b/>
          <w:bCs/>
          <w:sz w:val="21"/>
          <w:szCs w:val="21"/>
          <w:u w:val="single" w:color="000000"/>
        </w:rPr>
        <w:t>全过程各项活动的技术、经济和组织的综合性文件</w:t>
      </w:r>
      <w:r>
        <w:rPr>
          <w:rFonts w:hint="eastAsia" w:hAnsi="宋体" w:cs="宋体"/>
          <w:b/>
          <w:bCs/>
          <w:sz w:val="21"/>
          <w:szCs w:val="21"/>
        </w:rPr>
        <w:t>。</w:t>
      </w:r>
    </w:p>
    <w:p w14:paraId="10737103">
      <w:pPr>
        <w:snapToGrid w:val="0"/>
        <w:spacing w:line="360" w:lineRule="auto"/>
        <w:ind w:firstLine="420" w:firstLineChars="200"/>
        <w:textAlignment w:val="baseline"/>
        <w:rPr>
          <w:rFonts w:hAnsi="宋体" w:cs="宋体"/>
          <w:sz w:val="21"/>
          <w:szCs w:val="21"/>
        </w:rPr>
      </w:pPr>
      <w:r>
        <w:rPr>
          <w:rFonts w:hint="eastAsia" w:hAnsi="宋体" w:cs="宋体"/>
          <w:sz w:val="21"/>
          <w:szCs w:val="21"/>
        </w:rPr>
        <w:t>1.1.2 合同当事人及其他相关方</w:t>
      </w:r>
    </w:p>
    <w:p w14:paraId="3F825A15">
      <w:pPr>
        <w:snapToGrid w:val="0"/>
        <w:spacing w:line="360" w:lineRule="auto"/>
        <w:ind w:firstLine="420" w:firstLineChars="200"/>
        <w:textAlignment w:val="baseline"/>
        <w:rPr>
          <w:rFonts w:hAnsi="宋体" w:cs="宋体"/>
          <w:sz w:val="21"/>
          <w:szCs w:val="21"/>
        </w:rPr>
      </w:pPr>
      <w:r>
        <w:rPr>
          <w:rFonts w:hint="eastAsia" w:hAnsi="宋体" w:cs="宋体"/>
          <w:sz w:val="21"/>
          <w:szCs w:val="21"/>
        </w:rPr>
        <w:t>1.1.2.4监理人：</w:t>
      </w:r>
    </w:p>
    <w:p w14:paraId="5666C281">
      <w:pPr>
        <w:snapToGrid w:val="0"/>
        <w:spacing w:line="360" w:lineRule="auto"/>
        <w:ind w:firstLine="420" w:firstLineChars="200"/>
        <w:textAlignment w:val="baseline"/>
        <w:rPr>
          <w:rFonts w:hAnsi="宋体" w:cs="宋体"/>
          <w:sz w:val="21"/>
          <w:szCs w:val="21"/>
        </w:rPr>
      </w:pPr>
      <w:r>
        <w:rPr>
          <w:rFonts w:hint="eastAsia" w:hAnsi="宋体" w:cs="宋体"/>
          <w:sz w:val="21"/>
          <w:szCs w:val="21"/>
        </w:rPr>
        <w:t>名    称：</w:t>
      </w:r>
      <w:r>
        <w:rPr>
          <w:rFonts w:hint="eastAsia" w:hAnsi="宋体" w:cs="MingLiU_HKSCS"/>
          <w:sz w:val="21"/>
          <w:szCs w:val="21"/>
          <w:u w:val="single" w:color="000000"/>
        </w:rPr>
        <w:t xml:space="preserve">  </w:t>
      </w:r>
      <w:r>
        <w:rPr>
          <w:rFonts w:hint="eastAsia" w:hAnsi="宋体" w:cs="宋体"/>
          <w:sz w:val="21"/>
          <w:szCs w:val="21"/>
          <w:u w:val="single" w:color="000000"/>
        </w:rPr>
        <w:t xml:space="preserve"> </w:t>
      </w:r>
      <w:r>
        <w:rPr>
          <w:rFonts w:hAnsi="宋体" w:cs="宋体"/>
          <w:sz w:val="21"/>
          <w:szCs w:val="21"/>
          <w:u w:val="single" w:color="000000"/>
        </w:rPr>
        <w:t xml:space="preserve">                </w:t>
      </w:r>
      <w:r>
        <w:rPr>
          <w:rFonts w:hint="eastAsia" w:hAnsi="宋体" w:cs="宋体"/>
          <w:sz w:val="21"/>
          <w:szCs w:val="21"/>
          <w:u w:val="single" w:color="000000"/>
        </w:rPr>
        <w:t xml:space="preserve">  </w:t>
      </w:r>
      <w:r>
        <w:rPr>
          <w:rFonts w:hint="eastAsia" w:hAnsi="宋体" w:cs="宋体"/>
          <w:sz w:val="21"/>
          <w:szCs w:val="21"/>
        </w:rPr>
        <w:t>；</w:t>
      </w:r>
    </w:p>
    <w:p w14:paraId="6D04ED96">
      <w:pPr>
        <w:snapToGrid w:val="0"/>
        <w:spacing w:line="360" w:lineRule="auto"/>
        <w:ind w:firstLine="420" w:firstLineChars="200"/>
        <w:textAlignment w:val="baseline"/>
        <w:rPr>
          <w:rFonts w:hAnsi="宋体" w:cs="宋体"/>
          <w:b/>
          <w:bCs/>
          <w:sz w:val="21"/>
          <w:szCs w:val="21"/>
          <w:u w:val="single"/>
        </w:rPr>
      </w:pPr>
      <w:r>
        <w:rPr>
          <w:rFonts w:hint="eastAsia" w:hAnsi="宋体" w:cs="宋体"/>
          <w:sz w:val="21"/>
          <w:szCs w:val="21"/>
        </w:rPr>
        <w:t>资质类别和等级：</w:t>
      </w:r>
      <w:r>
        <w:rPr>
          <w:rFonts w:hint="eastAsia" w:hAnsi="宋体" w:cs="宋体"/>
          <w:sz w:val="21"/>
          <w:szCs w:val="21"/>
          <w:u w:val="single" w:color="000000"/>
        </w:rPr>
        <w:t xml:space="preserve">         </w:t>
      </w:r>
      <w:r>
        <w:rPr>
          <w:rFonts w:hint="eastAsia" w:hAnsi="宋体" w:cs="宋体"/>
          <w:b/>
          <w:bCs/>
          <w:sz w:val="21"/>
          <w:szCs w:val="21"/>
        </w:rPr>
        <w:t>；</w:t>
      </w:r>
    </w:p>
    <w:p w14:paraId="34517C5C">
      <w:pPr>
        <w:snapToGrid w:val="0"/>
        <w:spacing w:line="360" w:lineRule="auto"/>
        <w:ind w:firstLine="420" w:firstLineChars="200"/>
        <w:textAlignment w:val="baseline"/>
        <w:rPr>
          <w:rFonts w:hAnsi="宋体" w:cs="宋体"/>
          <w:sz w:val="21"/>
          <w:szCs w:val="21"/>
        </w:rPr>
      </w:pPr>
      <w:r>
        <w:rPr>
          <w:rFonts w:hint="eastAsia" w:hAnsi="宋体" w:cs="宋体"/>
          <w:sz w:val="21"/>
          <w:szCs w:val="21"/>
        </w:rPr>
        <w:t>联系电话：</w:t>
      </w:r>
      <w:r>
        <w:rPr>
          <w:rFonts w:hint="eastAsia" w:hAnsi="宋体" w:cs="宋体"/>
          <w:sz w:val="21"/>
          <w:szCs w:val="21"/>
          <w:u w:val="single" w:color="000000"/>
        </w:rPr>
        <w:t xml:space="preserve">               </w:t>
      </w:r>
      <w:r>
        <w:rPr>
          <w:rFonts w:hint="eastAsia" w:hAnsi="宋体" w:cs="宋体"/>
          <w:sz w:val="21"/>
          <w:szCs w:val="21"/>
        </w:rPr>
        <w:t>；</w:t>
      </w:r>
    </w:p>
    <w:p w14:paraId="7D55F80A">
      <w:pPr>
        <w:snapToGrid w:val="0"/>
        <w:spacing w:line="360" w:lineRule="auto"/>
        <w:ind w:firstLine="420" w:firstLineChars="200"/>
        <w:textAlignment w:val="baseline"/>
        <w:rPr>
          <w:rFonts w:hAnsi="宋体" w:cs="宋体"/>
          <w:sz w:val="21"/>
          <w:szCs w:val="21"/>
        </w:rPr>
      </w:pPr>
      <w:r>
        <w:rPr>
          <w:rFonts w:hint="eastAsia" w:hAnsi="宋体" w:cs="宋体"/>
          <w:sz w:val="21"/>
          <w:szCs w:val="21"/>
        </w:rPr>
        <w:t>电子信箱：</w:t>
      </w:r>
      <w:r>
        <w:rPr>
          <w:rFonts w:hint="eastAsia" w:hAnsi="宋体" w:cs="宋体"/>
          <w:sz w:val="21"/>
          <w:szCs w:val="21"/>
          <w:u w:val="single" w:color="000000"/>
        </w:rPr>
        <w:t xml:space="preserve">               </w:t>
      </w:r>
      <w:r>
        <w:rPr>
          <w:rFonts w:hint="eastAsia" w:hAnsi="宋体" w:cs="宋体"/>
          <w:sz w:val="21"/>
          <w:szCs w:val="21"/>
        </w:rPr>
        <w:t>；</w:t>
      </w:r>
    </w:p>
    <w:p w14:paraId="06DD5511">
      <w:pPr>
        <w:snapToGrid w:val="0"/>
        <w:spacing w:line="360" w:lineRule="auto"/>
        <w:ind w:firstLine="420" w:firstLineChars="200"/>
        <w:textAlignment w:val="baseline"/>
        <w:rPr>
          <w:rFonts w:hAnsi="宋体" w:cs="宋体"/>
          <w:b/>
          <w:bCs/>
          <w:sz w:val="21"/>
          <w:szCs w:val="21"/>
          <w:u w:val="single"/>
        </w:rPr>
      </w:pPr>
      <w:r>
        <w:rPr>
          <w:rFonts w:hint="eastAsia" w:hAnsi="宋体" w:cs="宋体"/>
          <w:sz w:val="21"/>
          <w:szCs w:val="21"/>
        </w:rPr>
        <w:t>通信地址：</w:t>
      </w:r>
      <w:r>
        <w:rPr>
          <w:rFonts w:hint="eastAsia" w:hAnsi="宋体" w:cs="MingLiU_HKSCS"/>
          <w:b/>
          <w:bCs/>
          <w:sz w:val="21"/>
          <w:szCs w:val="21"/>
          <w:u w:val="single" w:color="000000"/>
        </w:rPr>
        <w:t xml:space="preserve"> </w:t>
      </w:r>
      <w:r>
        <w:rPr>
          <w:rFonts w:hint="eastAsia" w:hAnsi="宋体" w:cs="宋体"/>
          <w:b/>
          <w:bCs/>
          <w:sz w:val="21"/>
          <w:szCs w:val="21"/>
          <w:u w:val="single" w:color="000000"/>
        </w:rPr>
        <w:t xml:space="preserve">           。</w:t>
      </w:r>
    </w:p>
    <w:p w14:paraId="6EB99921">
      <w:pPr>
        <w:snapToGrid w:val="0"/>
        <w:spacing w:line="360" w:lineRule="auto"/>
        <w:ind w:firstLine="420" w:firstLineChars="200"/>
        <w:textAlignment w:val="baseline"/>
        <w:rPr>
          <w:rFonts w:hAnsi="宋体" w:cs="宋体"/>
          <w:sz w:val="21"/>
          <w:szCs w:val="21"/>
        </w:rPr>
      </w:pPr>
      <w:r>
        <w:rPr>
          <w:rFonts w:hint="eastAsia" w:hAnsi="宋体" w:cs="宋体"/>
          <w:sz w:val="21"/>
          <w:szCs w:val="21"/>
        </w:rPr>
        <w:t>1.1.2.5 设计人：</w:t>
      </w:r>
    </w:p>
    <w:p w14:paraId="21C33A40">
      <w:pPr>
        <w:snapToGrid w:val="0"/>
        <w:spacing w:line="360" w:lineRule="auto"/>
        <w:ind w:firstLine="420" w:firstLineChars="200"/>
        <w:textAlignment w:val="baseline"/>
        <w:rPr>
          <w:rFonts w:hAnsi="宋体" w:cs="宋体"/>
          <w:sz w:val="21"/>
          <w:szCs w:val="21"/>
        </w:rPr>
      </w:pPr>
      <w:r>
        <w:rPr>
          <w:rFonts w:hint="eastAsia" w:hAnsi="宋体" w:cs="宋体"/>
          <w:sz w:val="21"/>
          <w:szCs w:val="21"/>
        </w:rPr>
        <w:t>名    称：</w:t>
      </w:r>
      <w:r>
        <w:rPr>
          <w:rFonts w:hint="eastAsia" w:hAnsi="宋体" w:cs="宋体"/>
          <w:sz w:val="21"/>
          <w:szCs w:val="21"/>
          <w:u w:val="single" w:color="000000"/>
        </w:rPr>
        <w:t xml:space="preserve">                     </w:t>
      </w:r>
      <w:r>
        <w:rPr>
          <w:rFonts w:hint="eastAsia" w:hAnsi="宋体" w:cs="宋体"/>
          <w:sz w:val="21"/>
          <w:szCs w:val="21"/>
        </w:rPr>
        <w:t>；</w:t>
      </w:r>
    </w:p>
    <w:p w14:paraId="5138D197">
      <w:pPr>
        <w:snapToGrid w:val="0"/>
        <w:spacing w:line="360" w:lineRule="auto"/>
        <w:ind w:firstLine="420" w:firstLineChars="200"/>
        <w:textAlignment w:val="baseline"/>
        <w:rPr>
          <w:rFonts w:hAnsi="宋体" w:cs="宋体"/>
          <w:sz w:val="21"/>
          <w:szCs w:val="21"/>
        </w:rPr>
      </w:pPr>
      <w:r>
        <w:rPr>
          <w:rFonts w:hint="eastAsia" w:hAnsi="宋体" w:cs="宋体"/>
          <w:sz w:val="21"/>
          <w:szCs w:val="21"/>
        </w:rPr>
        <w:t>资质类别和等级：</w:t>
      </w:r>
      <w:r>
        <w:rPr>
          <w:rFonts w:hint="eastAsia" w:hAnsi="宋体" w:cs="MingLiU_HKSCS"/>
          <w:sz w:val="21"/>
          <w:szCs w:val="21"/>
          <w:u w:val="single" w:color="000000"/>
        </w:rPr>
        <w:t xml:space="preserve"> </w:t>
      </w:r>
      <w:r>
        <w:rPr>
          <w:rFonts w:hint="eastAsia" w:hAnsi="宋体" w:cs="宋体"/>
          <w:b/>
          <w:bCs/>
          <w:sz w:val="21"/>
          <w:szCs w:val="21"/>
          <w:u w:val="single" w:color="000000"/>
        </w:rPr>
        <w:t xml:space="preserve">   </w:t>
      </w:r>
      <w:r>
        <w:rPr>
          <w:rFonts w:hint="eastAsia" w:hAnsi="宋体" w:cs="宋体"/>
          <w:sz w:val="21"/>
          <w:szCs w:val="21"/>
          <w:u w:val="single" w:color="000000"/>
        </w:rPr>
        <w:t xml:space="preserve">        </w:t>
      </w:r>
      <w:r>
        <w:rPr>
          <w:rFonts w:hint="eastAsia" w:hAnsi="宋体" w:cs="MingLiU_HKSCS"/>
          <w:sz w:val="21"/>
          <w:szCs w:val="21"/>
          <w:u w:val="single" w:color="000000"/>
        </w:rPr>
        <w:t xml:space="preserve"> </w:t>
      </w:r>
      <w:r>
        <w:rPr>
          <w:rFonts w:hint="eastAsia" w:hAnsi="宋体" w:cs="宋体"/>
          <w:sz w:val="21"/>
          <w:szCs w:val="21"/>
        </w:rPr>
        <w:t>；</w:t>
      </w:r>
    </w:p>
    <w:p w14:paraId="72671BAA">
      <w:pPr>
        <w:snapToGrid w:val="0"/>
        <w:spacing w:line="360" w:lineRule="auto"/>
        <w:ind w:firstLine="420" w:firstLineChars="200"/>
        <w:textAlignment w:val="baseline"/>
        <w:rPr>
          <w:rFonts w:hAnsi="宋体" w:cs="宋体"/>
          <w:sz w:val="21"/>
          <w:szCs w:val="21"/>
        </w:rPr>
      </w:pPr>
      <w:r>
        <w:rPr>
          <w:rFonts w:hint="eastAsia" w:hAnsi="宋体" w:cs="宋体"/>
          <w:sz w:val="21"/>
          <w:szCs w:val="21"/>
        </w:rPr>
        <w:t>联系电话：</w:t>
      </w:r>
      <w:r>
        <w:rPr>
          <w:rFonts w:hint="eastAsia" w:hAnsi="宋体" w:cs="宋体"/>
          <w:sz w:val="21"/>
          <w:szCs w:val="21"/>
          <w:u w:val="single" w:color="000000"/>
        </w:rPr>
        <w:t xml:space="preserve">   </w:t>
      </w:r>
      <w:r>
        <w:rPr>
          <w:rFonts w:hint="eastAsia" w:hAnsi="宋体" w:cs="MingLiU_HKSCS"/>
          <w:sz w:val="21"/>
          <w:szCs w:val="21"/>
          <w:u w:val="single" w:color="000000"/>
        </w:rPr>
        <w:t xml:space="preserve"> </w:t>
      </w:r>
      <w:r>
        <w:rPr>
          <w:rFonts w:hint="eastAsia" w:hAnsi="宋体" w:cs="宋体"/>
          <w:sz w:val="21"/>
          <w:szCs w:val="21"/>
          <w:u w:val="single" w:color="000000"/>
        </w:rPr>
        <w:t xml:space="preserve">            </w:t>
      </w:r>
      <w:r>
        <w:rPr>
          <w:rFonts w:hint="eastAsia" w:hAnsi="宋体" w:cs="MingLiU_HKSCS"/>
          <w:sz w:val="21"/>
          <w:szCs w:val="21"/>
          <w:u w:val="single" w:color="000000"/>
        </w:rPr>
        <w:t xml:space="preserve"> </w:t>
      </w:r>
      <w:r>
        <w:rPr>
          <w:rFonts w:hint="eastAsia" w:hAnsi="宋体" w:cs="宋体"/>
          <w:sz w:val="21"/>
          <w:szCs w:val="21"/>
        </w:rPr>
        <w:t>；</w:t>
      </w:r>
    </w:p>
    <w:p w14:paraId="28275461">
      <w:pPr>
        <w:snapToGrid w:val="0"/>
        <w:spacing w:line="360" w:lineRule="auto"/>
        <w:ind w:firstLine="420" w:firstLineChars="200"/>
        <w:textAlignment w:val="baseline"/>
        <w:rPr>
          <w:rFonts w:hAnsi="宋体" w:cs="宋体"/>
          <w:sz w:val="21"/>
          <w:szCs w:val="21"/>
        </w:rPr>
      </w:pPr>
      <w:r>
        <w:rPr>
          <w:rFonts w:hint="eastAsia" w:hAnsi="宋体" w:cs="宋体"/>
          <w:sz w:val="21"/>
          <w:szCs w:val="21"/>
        </w:rPr>
        <w:t>电子信箱：</w:t>
      </w:r>
      <w:r>
        <w:rPr>
          <w:rFonts w:hint="eastAsia" w:hAnsi="宋体" w:cs="宋体"/>
          <w:sz w:val="21"/>
          <w:szCs w:val="21"/>
          <w:u w:val="single" w:color="000000"/>
        </w:rPr>
        <w:t xml:space="preserve">    </w:t>
      </w:r>
      <w:r>
        <w:rPr>
          <w:rFonts w:hint="eastAsia" w:hAnsi="宋体" w:cs="MingLiU_HKSCS"/>
          <w:sz w:val="21"/>
          <w:szCs w:val="21"/>
          <w:u w:val="single" w:color="000000"/>
        </w:rPr>
        <w:t xml:space="preserve"> </w:t>
      </w:r>
      <w:r>
        <w:rPr>
          <w:rFonts w:hint="eastAsia" w:hAnsi="宋体" w:cs="宋体"/>
          <w:sz w:val="21"/>
          <w:szCs w:val="21"/>
          <w:u w:val="single" w:color="000000"/>
        </w:rPr>
        <w:t xml:space="preserve">              </w:t>
      </w:r>
      <w:r>
        <w:rPr>
          <w:rFonts w:hint="eastAsia" w:hAnsi="宋体" w:cs="MingLiU_HKSCS"/>
          <w:sz w:val="21"/>
          <w:szCs w:val="21"/>
          <w:u w:val="single" w:color="000000"/>
        </w:rPr>
        <w:t xml:space="preserve"> </w:t>
      </w:r>
      <w:r>
        <w:rPr>
          <w:rFonts w:hint="eastAsia" w:hAnsi="宋体" w:cs="宋体"/>
          <w:sz w:val="21"/>
          <w:szCs w:val="21"/>
          <w:u w:val="single" w:color="000000"/>
        </w:rPr>
        <w:t xml:space="preserve"> </w:t>
      </w:r>
      <w:r>
        <w:rPr>
          <w:rFonts w:hint="eastAsia" w:hAnsi="宋体" w:cs="宋体"/>
          <w:sz w:val="21"/>
          <w:szCs w:val="21"/>
        </w:rPr>
        <w:t>；</w:t>
      </w:r>
    </w:p>
    <w:p w14:paraId="2A828C7D">
      <w:pPr>
        <w:snapToGrid w:val="0"/>
        <w:spacing w:line="360" w:lineRule="auto"/>
        <w:ind w:firstLine="420" w:firstLineChars="200"/>
        <w:textAlignment w:val="baseline"/>
        <w:rPr>
          <w:rFonts w:hAnsi="宋体" w:cs="宋体"/>
          <w:sz w:val="21"/>
          <w:szCs w:val="21"/>
        </w:rPr>
      </w:pPr>
      <w:r>
        <w:rPr>
          <w:rFonts w:hint="eastAsia" w:hAnsi="宋体" w:cs="宋体"/>
          <w:sz w:val="21"/>
          <w:szCs w:val="21"/>
        </w:rPr>
        <w:t>通信地址：</w:t>
      </w:r>
      <w:r>
        <w:rPr>
          <w:rFonts w:hint="eastAsia" w:hAnsi="宋体" w:cs="MingLiU_HKSCS"/>
          <w:sz w:val="21"/>
          <w:szCs w:val="21"/>
          <w:u w:val="single" w:color="000000"/>
        </w:rPr>
        <w:t xml:space="preserve"> </w:t>
      </w:r>
      <w:r>
        <w:rPr>
          <w:rFonts w:hint="eastAsia" w:hAnsi="宋体" w:cs="宋体"/>
          <w:b/>
          <w:bCs/>
          <w:sz w:val="21"/>
          <w:szCs w:val="21"/>
          <w:u w:val="single" w:color="000000"/>
        </w:rPr>
        <w:t xml:space="preserve"> </w:t>
      </w:r>
      <w:r>
        <w:rPr>
          <w:rFonts w:hint="eastAsia" w:hAnsi="宋体" w:cs="宋体"/>
          <w:sz w:val="21"/>
          <w:szCs w:val="21"/>
          <w:u w:val="single" w:color="000000"/>
        </w:rPr>
        <w:t xml:space="preserve"> </w:t>
      </w:r>
      <w:r>
        <w:rPr>
          <w:rFonts w:hint="eastAsia" w:hAnsi="宋体" w:cs="宋体"/>
          <w:sz w:val="21"/>
          <w:szCs w:val="21"/>
        </w:rPr>
        <w:t>。</w:t>
      </w:r>
    </w:p>
    <w:p w14:paraId="6AB37645">
      <w:pPr>
        <w:snapToGrid w:val="0"/>
        <w:spacing w:line="360" w:lineRule="auto"/>
        <w:ind w:firstLine="420" w:firstLineChars="200"/>
        <w:textAlignment w:val="baseline"/>
        <w:rPr>
          <w:rFonts w:hAnsi="宋体" w:cs="宋体"/>
          <w:sz w:val="21"/>
          <w:szCs w:val="21"/>
        </w:rPr>
      </w:pPr>
      <w:r>
        <w:rPr>
          <w:rFonts w:hint="eastAsia" w:hAnsi="宋体" w:cs="宋体"/>
          <w:sz w:val="21"/>
          <w:szCs w:val="21"/>
        </w:rPr>
        <w:t>1.1.3 工程和设备</w:t>
      </w:r>
    </w:p>
    <w:p w14:paraId="1CC5FE20">
      <w:pPr>
        <w:snapToGrid w:val="0"/>
        <w:spacing w:line="360" w:lineRule="auto"/>
        <w:ind w:firstLine="420" w:firstLineChars="200"/>
        <w:textAlignment w:val="baseline"/>
        <w:rPr>
          <w:rFonts w:hAnsi="宋体" w:cs="宋体"/>
          <w:sz w:val="21"/>
          <w:szCs w:val="21"/>
        </w:rPr>
      </w:pPr>
      <w:r>
        <w:rPr>
          <w:rFonts w:hint="eastAsia" w:hAnsi="宋体" w:cs="宋体"/>
          <w:sz w:val="21"/>
          <w:szCs w:val="21"/>
        </w:rPr>
        <w:t>1.1.3.7 作为施工现场组成部分的其他场所包括：</w:t>
      </w:r>
      <w:r>
        <w:rPr>
          <w:rFonts w:hint="eastAsia" w:hAnsi="宋体" w:cs="宋体"/>
          <w:sz w:val="21"/>
          <w:szCs w:val="21"/>
          <w:u w:val="single" w:color="000000"/>
        </w:rPr>
        <w:t xml:space="preserve">               </w:t>
      </w:r>
      <w:r>
        <w:rPr>
          <w:rFonts w:hint="eastAsia" w:hAnsi="宋体" w:cs="MingLiU_HKSCS"/>
          <w:sz w:val="21"/>
          <w:szCs w:val="21"/>
          <w:u w:val="single" w:color="000000"/>
        </w:rPr>
        <w:t xml:space="preserve"> </w:t>
      </w:r>
      <w:r>
        <w:rPr>
          <w:rFonts w:hint="eastAsia" w:hAnsi="宋体" w:cs="宋体"/>
          <w:sz w:val="21"/>
          <w:szCs w:val="21"/>
          <w:u w:val="single" w:color="000000"/>
        </w:rPr>
        <w:t xml:space="preserve">    </w:t>
      </w:r>
      <w:r>
        <w:rPr>
          <w:rFonts w:hint="eastAsia" w:hAnsi="宋体" w:cs="宋体"/>
          <w:sz w:val="21"/>
          <w:szCs w:val="21"/>
        </w:rPr>
        <w:t>。</w:t>
      </w:r>
    </w:p>
    <w:p w14:paraId="26A71335">
      <w:pPr>
        <w:snapToGrid w:val="0"/>
        <w:spacing w:line="360" w:lineRule="auto"/>
        <w:ind w:firstLine="420" w:firstLineChars="200"/>
        <w:jc w:val="left"/>
        <w:textAlignment w:val="baseline"/>
        <w:rPr>
          <w:rFonts w:hAnsi="宋体" w:cs="宋体"/>
          <w:kern w:val="0"/>
          <w:sz w:val="21"/>
          <w:szCs w:val="21"/>
        </w:rPr>
      </w:pPr>
      <w:r>
        <w:rPr>
          <w:rFonts w:hint="eastAsia" w:hAnsi="宋体" w:cs="宋体"/>
          <w:kern w:val="0"/>
          <w:sz w:val="21"/>
          <w:szCs w:val="21"/>
        </w:rPr>
        <w:t>1.1.3.9 永久占地包括：</w:t>
      </w:r>
      <w:r>
        <w:rPr>
          <w:rFonts w:hint="eastAsia" w:hAnsi="宋体" w:cs="宋体"/>
          <w:sz w:val="21"/>
          <w:szCs w:val="21"/>
          <w:u w:val="single" w:color="000000"/>
        </w:rPr>
        <w:t xml:space="preserve">           </w:t>
      </w:r>
      <w:r>
        <w:rPr>
          <w:rFonts w:hint="eastAsia" w:hAnsi="宋体" w:cs="MingLiU_HKSCS"/>
          <w:sz w:val="21"/>
          <w:szCs w:val="21"/>
          <w:u w:val="single" w:color="000000"/>
        </w:rPr>
        <w:t xml:space="preserve"> </w:t>
      </w:r>
      <w:r>
        <w:rPr>
          <w:rFonts w:hint="eastAsia" w:hAnsi="宋体" w:cs="宋体"/>
          <w:sz w:val="21"/>
          <w:szCs w:val="21"/>
          <w:u w:val="single" w:color="000000"/>
        </w:rPr>
        <w:t xml:space="preserve">       </w:t>
      </w:r>
      <w:r>
        <w:rPr>
          <w:rFonts w:hint="eastAsia" w:hAnsi="宋体" w:cs="MingLiU_HKSCS"/>
          <w:sz w:val="21"/>
          <w:szCs w:val="21"/>
          <w:u w:val="single" w:color="000000"/>
        </w:rPr>
        <w:t xml:space="preserve"> </w:t>
      </w:r>
      <w:r>
        <w:rPr>
          <w:rFonts w:hint="eastAsia" w:hAnsi="宋体" w:cs="宋体"/>
          <w:sz w:val="21"/>
          <w:szCs w:val="21"/>
          <w:u w:val="single" w:color="000000"/>
        </w:rPr>
        <w:t xml:space="preserve">      </w:t>
      </w:r>
      <w:r>
        <w:rPr>
          <w:rFonts w:hint="eastAsia" w:hAnsi="宋体" w:cs="MingLiU_HKSCS"/>
          <w:sz w:val="21"/>
          <w:szCs w:val="21"/>
          <w:u w:val="single" w:color="000000"/>
        </w:rPr>
        <w:t xml:space="preserve"> </w:t>
      </w:r>
      <w:r>
        <w:rPr>
          <w:rFonts w:hint="eastAsia" w:hAnsi="宋体" w:cs="宋体"/>
          <w:kern w:val="0"/>
          <w:sz w:val="21"/>
          <w:szCs w:val="21"/>
        </w:rPr>
        <w:t>。</w:t>
      </w:r>
    </w:p>
    <w:p w14:paraId="630C5913">
      <w:pPr>
        <w:snapToGrid w:val="0"/>
        <w:spacing w:line="360" w:lineRule="auto"/>
        <w:ind w:firstLine="420" w:firstLineChars="200"/>
        <w:jc w:val="left"/>
        <w:textAlignment w:val="baseline"/>
        <w:rPr>
          <w:rFonts w:hAnsi="宋体" w:cs="宋体"/>
          <w:sz w:val="21"/>
          <w:szCs w:val="21"/>
        </w:rPr>
      </w:pPr>
      <w:r>
        <w:rPr>
          <w:rFonts w:hint="eastAsia" w:hAnsi="宋体" w:cs="宋体"/>
          <w:kern w:val="0"/>
          <w:sz w:val="21"/>
          <w:szCs w:val="21"/>
        </w:rPr>
        <w:t>1.1.3.10 临时占地包括：</w:t>
      </w:r>
      <w:r>
        <w:rPr>
          <w:rFonts w:hint="eastAsia" w:hAnsi="宋体" w:cs="宋体"/>
          <w:sz w:val="21"/>
          <w:szCs w:val="21"/>
          <w:u w:val="single" w:color="000000"/>
        </w:rPr>
        <w:t xml:space="preserve">                   </w:t>
      </w:r>
      <w:r>
        <w:rPr>
          <w:rFonts w:hint="eastAsia" w:hAnsi="宋体" w:cs="MingLiU_HKSCS"/>
          <w:sz w:val="21"/>
          <w:szCs w:val="21"/>
          <w:u w:val="single" w:color="000000"/>
        </w:rPr>
        <w:t xml:space="preserve"> </w:t>
      </w:r>
      <w:r>
        <w:rPr>
          <w:rFonts w:hint="eastAsia" w:hAnsi="宋体" w:cs="宋体"/>
          <w:kern w:val="0"/>
          <w:sz w:val="21"/>
          <w:szCs w:val="21"/>
        </w:rPr>
        <w:t>。</w:t>
      </w:r>
    </w:p>
    <w:p w14:paraId="5CC27708">
      <w:pPr>
        <w:snapToGrid w:val="0"/>
        <w:spacing w:line="360" w:lineRule="auto"/>
        <w:ind w:firstLine="420" w:firstLineChars="200"/>
        <w:textAlignment w:val="baseline"/>
        <w:rPr>
          <w:rFonts w:hAnsi="宋体" w:cs="宋体"/>
          <w:sz w:val="21"/>
          <w:szCs w:val="21"/>
        </w:rPr>
      </w:pPr>
      <w:r>
        <w:rPr>
          <w:rFonts w:hint="eastAsia" w:hAnsi="宋体" w:cs="宋体"/>
          <w:sz w:val="21"/>
          <w:szCs w:val="21"/>
        </w:rPr>
        <w:t xml:space="preserve">1.3法律 </w:t>
      </w:r>
    </w:p>
    <w:p w14:paraId="18134E61">
      <w:pPr>
        <w:snapToGrid w:val="0"/>
        <w:spacing w:line="360" w:lineRule="auto"/>
        <w:ind w:firstLine="420" w:firstLineChars="200"/>
        <w:textAlignment w:val="baseline"/>
        <w:rPr>
          <w:rFonts w:hAnsi="宋体" w:cs="宋体"/>
          <w:sz w:val="21"/>
          <w:szCs w:val="21"/>
        </w:rPr>
      </w:pPr>
      <w:r>
        <w:rPr>
          <w:rFonts w:hint="eastAsia" w:hAnsi="宋体" w:cs="宋体"/>
          <w:sz w:val="21"/>
          <w:szCs w:val="21"/>
        </w:rPr>
        <w:t>适用于合同的其他规范性文件：</w:t>
      </w:r>
    </w:p>
    <w:p w14:paraId="3232F5FF">
      <w:pPr>
        <w:snapToGrid w:val="0"/>
        <w:spacing w:line="360" w:lineRule="auto"/>
        <w:ind w:firstLine="422" w:firstLineChars="200"/>
        <w:textAlignment w:val="baseline"/>
        <w:rPr>
          <w:rFonts w:hAnsi="宋体" w:cs="宋体"/>
          <w:b/>
          <w:bCs/>
          <w:sz w:val="21"/>
          <w:szCs w:val="21"/>
          <w:u w:val="single"/>
        </w:rPr>
      </w:pPr>
      <w:r>
        <w:rPr>
          <w:rFonts w:hint="eastAsia" w:hAnsi="宋体" w:cs="宋体"/>
          <w:b/>
          <w:bCs/>
          <w:sz w:val="21"/>
          <w:szCs w:val="21"/>
        </w:rPr>
        <w:t>（</w:t>
      </w:r>
      <w:r>
        <w:rPr>
          <w:rFonts w:hint="eastAsia" w:hAnsi="宋体" w:cs="宋体"/>
          <w:b/>
          <w:bCs/>
          <w:sz w:val="21"/>
          <w:szCs w:val="21"/>
          <w:u w:val="single" w:color="000000"/>
        </w:rPr>
        <w:t>1）《杭州市建设工程工程量清单计价实施细则》（2018年修订）（杭建市发[2018]578号）</w:t>
      </w:r>
    </w:p>
    <w:p w14:paraId="39A62946">
      <w:pPr>
        <w:snapToGrid w:val="0"/>
        <w:spacing w:line="360" w:lineRule="auto"/>
        <w:ind w:firstLine="422" w:firstLineChars="200"/>
        <w:textAlignment w:val="baseline"/>
        <w:rPr>
          <w:rFonts w:hAnsi="宋体" w:cs="宋体"/>
          <w:b/>
          <w:bCs/>
          <w:sz w:val="21"/>
          <w:szCs w:val="21"/>
          <w:u w:val="single"/>
        </w:rPr>
      </w:pPr>
      <w:r>
        <w:rPr>
          <w:rFonts w:hint="eastAsia" w:hAnsi="宋体" w:cs="宋体"/>
          <w:b/>
          <w:bCs/>
          <w:sz w:val="21"/>
          <w:szCs w:val="21"/>
          <w:u w:val="single" w:color="000000"/>
        </w:rPr>
        <w:t>（2）《关于转发省建设厅&lt;关于进一步加强建筑施工领域企业安全生产工作的实施意见&gt;的通知》 （杭建工发〔2011〕130号）</w:t>
      </w:r>
    </w:p>
    <w:p w14:paraId="06EDF102">
      <w:pPr>
        <w:snapToGrid w:val="0"/>
        <w:spacing w:line="360" w:lineRule="auto"/>
        <w:ind w:firstLine="422" w:firstLineChars="200"/>
        <w:textAlignment w:val="baseline"/>
        <w:rPr>
          <w:rFonts w:hAnsi="宋体" w:cs="宋体"/>
          <w:b/>
          <w:bCs/>
          <w:sz w:val="21"/>
          <w:szCs w:val="21"/>
          <w:u w:val="single"/>
        </w:rPr>
      </w:pPr>
      <w:r>
        <w:rPr>
          <w:rFonts w:hint="eastAsia" w:hAnsi="宋体" w:cs="宋体"/>
          <w:b/>
          <w:bCs/>
          <w:sz w:val="21"/>
          <w:szCs w:val="21"/>
          <w:u w:val="single" w:color="000000"/>
        </w:rPr>
        <w:t>（3）《关于进一步加强建设工程安全质量物联网管理应用平台建设的通知》（杭建工发【2012】426号）</w:t>
      </w:r>
    </w:p>
    <w:p w14:paraId="1AF8EBA5">
      <w:pPr>
        <w:snapToGrid w:val="0"/>
        <w:spacing w:line="360" w:lineRule="auto"/>
        <w:ind w:firstLine="422" w:firstLineChars="200"/>
        <w:textAlignment w:val="baseline"/>
        <w:rPr>
          <w:rFonts w:hAnsi="宋体" w:cs="宋体"/>
          <w:b/>
          <w:bCs/>
          <w:sz w:val="21"/>
          <w:szCs w:val="21"/>
          <w:u w:val="single"/>
        </w:rPr>
      </w:pPr>
      <w:r>
        <w:rPr>
          <w:rFonts w:hint="eastAsia" w:hAnsi="宋体" w:cs="宋体"/>
          <w:b/>
          <w:bCs/>
          <w:sz w:val="21"/>
          <w:szCs w:val="21"/>
          <w:u w:val="single" w:color="000000"/>
        </w:rPr>
        <w:t>（4）《杭州市人民政府办公厅关于印发杭州市建设工程推广应用预拌砂浆管理办法的通知》（杭政办函（2011）32号）</w:t>
      </w:r>
    </w:p>
    <w:p w14:paraId="7A3E5F4E">
      <w:pPr>
        <w:snapToGrid w:val="0"/>
        <w:spacing w:line="360" w:lineRule="auto"/>
        <w:ind w:firstLine="422" w:firstLineChars="200"/>
        <w:textAlignment w:val="baseline"/>
        <w:rPr>
          <w:rFonts w:hAnsi="宋体" w:cs="宋体"/>
          <w:b/>
          <w:bCs/>
          <w:sz w:val="21"/>
          <w:szCs w:val="21"/>
          <w:u w:val="single"/>
        </w:rPr>
      </w:pPr>
      <w:r>
        <w:rPr>
          <w:rFonts w:hint="eastAsia" w:hAnsi="宋体" w:cs="宋体"/>
          <w:b/>
          <w:bCs/>
          <w:sz w:val="21"/>
          <w:szCs w:val="21"/>
          <w:u w:val="single" w:color="000000"/>
        </w:rPr>
        <w:t>（5）《关于进一步落实政府投资类项目工程民工宿舍安装空调事宜的通知》（杭建工发【2011】237号）</w:t>
      </w:r>
    </w:p>
    <w:p w14:paraId="6DC76CE0">
      <w:pPr>
        <w:snapToGrid w:val="0"/>
        <w:spacing w:line="360" w:lineRule="auto"/>
        <w:ind w:firstLine="422" w:firstLineChars="200"/>
        <w:textAlignment w:val="baseline"/>
        <w:rPr>
          <w:rFonts w:hAnsi="宋体" w:cs="宋体"/>
          <w:b/>
          <w:bCs/>
          <w:sz w:val="21"/>
          <w:szCs w:val="21"/>
          <w:u w:val="single"/>
        </w:rPr>
      </w:pPr>
      <w:r>
        <w:rPr>
          <w:rFonts w:hint="eastAsia" w:hAnsi="宋体" w:cs="宋体"/>
          <w:b/>
          <w:bCs/>
          <w:sz w:val="21"/>
          <w:szCs w:val="21"/>
          <w:u w:val="single" w:color="000000"/>
        </w:rPr>
        <w:t>（6）《关于进一步加强杭州市建设工程市场要素价格动态管理的指导意见》（杭建市发【2018】579号）</w:t>
      </w:r>
    </w:p>
    <w:p w14:paraId="717F47D8">
      <w:pPr>
        <w:snapToGrid w:val="0"/>
        <w:spacing w:line="360" w:lineRule="auto"/>
        <w:ind w:firstLine="422" w:firstLineChars="200"/>
        <w:textAlignment w:val="baseline"/>
        <w:rPr>
          <w:rFonts w:hAnsi="宋体" w:cs="宋体"/>
          <w:b/>
          <w:bCs/>
          <w:sz w:val="21"/>
          <w:szCs w:val="21"/>
          <w:u w:val="single"/>
        </w:rPr>
      </w:pPr>
      <w:r>
        <w:rPr>
          <w:rFonts w:hint="eastAsia" w:hAnsi="宋体" w:cs="宋体"/>
          <w:b/>
          <w:bCs/>
          <w:sz w:val="21"/>
          <w:szCs w:val="21"/>
          <w:u w:val="single" w:color="000000"/>
        </w:rPr>
        <w:t>（</w:t>
      </w:r>
      <w:r>
        <w:rPr>
          <w:rFonts w:hAnsi="宋体" w:cs="宋体"/>
          <w:b/>
          <w:bCs/>
          <w:sz w:val="21"/>
          <w:szCs w:val="21"/>
          <w:u w:val="single" w:color="000000"/>
        </w:rPr>
        <w:t>7</w:t>
      </w:r>
      <w:r>
        <w:rPr>
          <w:rFonts w:hint="eastAsia" w:hAnsi="宋体" w:cs="宋体"/>
          <w:b/>
          <w:bCs/>
          <w:sz w:val="21"/>
          <w:szCs w:val="21"/>
          <w:u w:val="single" w:color="000000"/>
        </w:rPr>
        <w:t>）《关于全力做好疫情防控支持建筑业发展的通知》（杭建研发[2020]41号）</w:t>
      </w:r>
    </w:p>
    <w:p w14:paraId="4822D522">
      <w:pPr>
        <w:snapToGrid w:val="0"/>
        <w:spacing w:line="360" w:lineRule="auto"/>
        <w:ind w:firstLine="422" w:firstLineChars="200"/>
        <w:textAlignment w:val="baseline"/>
        <w:rPr>
          <w:rFonts w:hAnsi="宋体" w:cs="宋体"/>
          <w:b/>
          <w:bCs/>
          <w:sz w:val="21"/>
          <w:szCs w:val="21"/>
          <w:u w:val="single"/>
        </w:rPr>
      </w:pPr>
      <w:r>
        <w:rPr>
          <w:rFonts w:hint="eastAsia" w:hAnsi="宋体" w:cs="宋体"/>
          <w:b/>
          <w:bCs/>
          <w:sz w:val="21"/>
          <w:szCs w:val="21"/>
          <w:u w:val="single" w:color="000000"/>
        </w:rPr>
        <w:t>（</w:t>
      </w:r>
      <w:r>
        <w:rPr>
          <w:rFonts w:hAnsi="宋体" w:cs="宋体"/>
          <w:b/>
          <w:bCs/>
          <w:sz w:val="21"/>
          <w:szCs w:val="21"/>
          <w:u w:val="single" w:color="000000"/>
        </w:rPr>
        <w:t>8</w:t>
      </w:r>
      <w:r>
        <w:rPr>
          <w:rFonts w:hint="eastAsia" w:hAnsi="宋体" w:cs="宋体"/>
          <w:b/>
          <w:bCs/>
          <w:sz w:val="21"/>
          <w:szCs w:val="21"/>
          <w:u w:val="single" w:color="000000"/>
        </w:rPr>
        <w:t>）《浙江省住房和城乡建设厅关于全力做好疫情防控支持企业发展的通知》浙建办[2020]10号</w:t>
      </w:r>
    </w:p>
    <w:p w14:paraId="573A0531">
      <w:pPr>
        <w:snapToGrid w:val="0"/>
        <w:spacing w:line="360" w:lineRule="auto"/>
        <w:ind w:firstLine="422" w:firstLineChars="200"/>
        <w:textAlignment w:val="baseline"/>
        <w:rPr>
          <w:rFonts w:hAnsi="宋体" w:cs="宋体"/>
          <w:b/>
          <w:bCs/>
          <w:sz w:val="21"/>
          <w:szCs w:val="21"/>
          <w:u w:val="single"/>
        </w:rPr>
      </w:pPr>
      <w:r>
        <w:rPr>
          <w:rFonts w:hint="eastAsia" w:hAnsi="宋体" w:cs="宋体"/>
          <w:b/>
          <w:bCs/>
          <w:sz w:val="21"/>
          <w:szCs w:val="21"/>
          <w:u w:val="single" w:color="000000"/>
        </w:rPr>
        <w:t>（</w:t>
      </w:r>
      <w:r>
        <w:rPr>
          <w:rFonts w:hAnsi="宋体" w:cs="宋体"/>
          <w:b/>
          <w:bCs/>
          <w:sz w:val="21"/>
          <w:szCs w:val="21"/>
          <w:u w:val="single" w:color="000000"/>
        </w:rPr>
        <w:t>9</w:t>
      </w:r>
      <w:r>
        <w:rPr>
          <w:rFonts w:hint="eastAsia" w:hAnsi="宋体" w:cs="宋体"/>
          <w:b/>
          <w:bCs/>
          <w:sz w:val="21"/>
          <w:szCs w:val="21"/>
          <w:u w:val="single" w:color="000000"/>
        </w:rPr>
        <w:t>）《有关印发新冠肺炎疫情防控期间有关建设工程计价指导意见的通知》（浙建站定[2020]5号）</w:t>
      </w:r>
    </w:p>
    <w:p w14:paraId="7FCE93D7">
      <w:pPr>
        <w:snapToGrid w:val="0"/>
        <w:spacing w:line="360" w:lineRule="auto"/>
        <w:ind w:firstLine="422" w:firstLineChars="200"/>
        <w:textAlignment w:val="baseline"/>
        <w:rPr>
          <w:rFonts w:hAnsi="宋体" w:cs="宋体"/>
          <w:b/>
          <w:bCs/>
          <w:sz w:val="21"/>
          <w:szCs w:val="21"/>
          <w:u w:val="single"/>
        </w:rPr>
      </w:pPr>
      <w:r>
        <w:rPr>
          <w:rFonts w:hint="eastAsia" w:hAnsi="宋体" w:cs="宋体"/>
          <w:b/>
          <w:bCs/>
          <w:sz w:val="21"/>
          <w:szCs w:val="21"/>
          <w:u w:val="single" w:color="000000"/>
        </w:rPr>
        <w:t>（1</w:t>
      </w:r>
      <w:r>
        <w:rPr>
          <w:rFonts w:hAnsi="宋体" w:cs="宋体"/>
          <w:b/>
          <w:bCs/>
          <w:sz w:val="21"/>
          <w:szCs w:val="21"/>
          <w:u w:val="single" w:color="000000"/>
        </w:rPr>
        <w:t>0</w:t>
      </w:r>
      <w:r>
        <w:rPr>
          <w:rFonts w:hint="eastAsia" w:hAnsi="宋体" w:cs="宋体"/>
          <w:b/>
          <w:bCs/>
          <w:sz w:val="21"/>
          <w:szCs w:val="21"/>
          <w:u w:val="single" w:color="000000"/>
        </w:rPr>
        <w:t xml:space="preserve">）新工艺、新技术的约定：                             </w:t>
      </w:r>
    </w:p>
    <w:p w14:paraId="1E374241">
      <w:pPr>
        <w:snapToGrid w:val="0"/>
        <w:spacing w:line="360" w:lineRule="auto"/>
        <w:ind w:firstLine="422" w:firstLineChars="200"/>
        <w:textAlignment w:val="baseline"/>
        <w:rPr>
          <w:rFonts w:hAnsi="宋体" w:cs="宋体"/>
          <w:b/>
          <w:bCs/>
          <w:sz w:val="21"/>
          <w:szCs w:val="21"/>
          <w:u w:val="single"/>
        </w:rPr>
      </w:pPr>
      <w:r>
        <w:rPr>
          <w:rFonts w:hint="eastAsia" w:hAnsi="宋体" w:cs="宋体"/>
          <w:b/>
          <w:bCs/>
          <w:sz w:val="21"/>
          <w:szCs w:val="21"/>
          <w:u w:val="single" w:color="000000"/>
        </w:rPr>
        <w:t>（1</w:t>
      </w:r>
      <w:r>
        <w:rPr>
          <w:rFonts w:hAnsi="宋体" w:cs="宋体"/>
          <w:b/>
          <w:bCs/>
          <w:sz w:val="21"/>
          <w:szCs w:val="21"/>
          <w:u w:val="single" w:color="000000"/>
        </w:rPr>
        <w:t>1</w:t>
      </w:r>
      <w:r>
        <w:rPr>
          <w:rFonts w:hint="eastAsia" w:hAnsi="宋体" w:cs="宋体"/>
          <w:b/>
          <w:bCs/>
          <w:sz w:val="21"/>
          <w:szCs w:val="21"/>
          <w:u w:val="single" w:color="000000"/>
        </w:rPr>
        <w:t>）其他：《杭州市建筑市场管理若干规定》（杭州市人民政府令第277号公布，杭州市人民政府令第320号修改）</w:t>
      </w:r>
    </w:p>
    <w:p w14:paraId="182648BC">
      <w:pPr>
        <w:snapToGrid w:val="0"/>
        <w:spacing w:line="360" w:lineRule="auto"/>
        <w:ind w:firstLine="422" w:firstLineChars="200"/>
        <w:textAlignment w:val="baseline"/>
        <w:rPr>
          <w:rFonts w:hAnsi="宋体" w:cs="宋体"/>
          <w:b/>
          <w:bCs/>
          <w:sz w:val="21"/>
          <w:szCs w:val="21"/>
          <w:u w:val="single"/>
        </w:rPr>
      </w:pPr>
      <w:r>
        <w:rPr>
          <w:rFonts w:hint="eastAsia" w:hAnsi="宋体" w:cs="宋体"/>
          <w:b/>
          <w:bCs/>
          <w:sz w:val="21"/>
          <w:szCs w:val="21"/>
          <w:u w:val="single" w:color="000000"/>
        </w:rPr>
        <w:t>《杭州市建设工程文明施工管理规定》（杭州市人民政府令第278号公布，杭州市人民政府令第320号修改）等国家现行和不时发布的法律法规、标准规范及浙江省、杭州市现行和不时发布的相关法律法规、标准规范。</w:t>
      </w:r>
    </w:p>
    <w:p w14:paraId="6B2BF670">
      <w:pPr>
        <w:snapToGrid w:val="0"/>
        <w:spacing w:line="360" w:lineRule="auto"/>
        <w:ind w:firstLine="422" w:firstLineChars="200"/>
        <w:textAlignment w:val="baseline"/>
        <w:rPr>
          <w:rFonts w:hAnsi="宋体" w:cs="宋体"/>
          <w:b/>
          <w:bCs/>
          <w:sz w:val="21"/>
          <w:szCs w:val="21"/>
          <w:u w:val="single"/>
        </w:rPr>
      </w:pPr>
      <w:r>
        <w:rPr>
          <w:rFonts w:hint="eastAsia" w:hAnsi="宋体" w:cs="宋体"/>
          <w:b/>
          <w:bCs/>
          <w:sz w:val="21"/>
          <w:szCs w:val="21"/>
          <w:u w:val="single" w:color="000000"/>
        </w:rPr>
        <w:t>国家、省、市、相关部门颁发的有关文件对上述文件有调整的，按其规定执行</w:t>
      </w:r>
    </w:p>
    <w:p w14:paraId="500CC4DF">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1.4 标准和规范</w:t>
      </w:r>
    </w:p>
    <w:p w14:paraId="1E3DEC63">
      <w:pPr>
        <w:snapToGrid w:val="0"/>
        <w:spacing w:line="360" w:lineRule="auto"/>
        <w:ind w:firstLine="420" w:firstLineChars="200"/>
        <w:textAlignment w:val="baseline"/>
        <w:rPr>
          <w:rFonts w:hAnsi="宋体" w:cs="宋体"/>
          <w:b/>
          <w:sz w:val="21"/>
          <w:szCs w:val="21"/>
          <w:u w:val="single"/>
        </w:rPr>
      </w:pPr>
      <w:r>
        <w:rPr>
          <w:rFonts w:hint="eastAsia" w:hAnsi="宋体" w:cs="宋体"/>
          <w:sz w:val="21"/>
          <w:szCs w:val="21"/>
        </w:rPr>
        <w:t>1.4.1适用于工程的标准规范包括：</w:t>
      </w:r>
      <w:r>
        <w:rPr>
          <w:rFonts w:hint="eastAsia" w:hAnsi="宋体" w:cs="宋体"/>
          <w:b/>
          <w:sz w:val="21"/>
          <w:szCs w:val="21"/>
          <w:u w:val="single" w:color="000000"/>
        </w:rPr>
        <w:t xml:space="preserve">（1）按通用条款约定；     </w:t>
      </w:r>
    </w:p>
    <w:p w14:paraId="6EDF84D7">
      <w:pPr>
        <w:snapToGrid w:val="0"/>
        <w:spacing w:line="360" w:lineRule="auto"/>
        <w:ind w:firstLine="420" w:firstLineChars="200"/>
        <w:textAlignment w:val="baseline"/>
        <w:rPr>
          <w:rFonts w:hAnsi="宋体" w:cs="宋体"/>
          <w:kern w:val="0"/>
          <w:sz w:val="21"/>
          <w:szCs w:val="21"/>
          <w:u w:val="single"/>
        </w:rPr>
      </w:pPr>
      <w:r>
        <w:rPr>
          <w:rFonts w:hint="eastAsia" w:hAnsi="宋体" w:cs="宋体"/>
          <w:kern w:val="0"/>
          <w:sz w:val="21"/>
          <w:szCs w:val="21"/>
        </w:rPr>
        <w:t>1.4.2 发包人提供国外标准、规范的名称：</w:t>
      </w:r>
      <w:r>
        <w:rPr>
          <w:rFonts w:hint="eastAsia" w:hAnsi="宋体" w:cs="宋体"/>
          <w:kern w:val="0"/>
          <w:sz w:val="21"/>
          <w:szCs w:val="21"/>
          <w:u w:val="single" w:color="000000"/>
        </w:rPr>
        <w:t xml:space="preserve">          /        </w:t>
      </w:r>
      <w:r>
        <w:rPr>
          <w:rFonts w:hint="eastAsia" w:hAnsi="宋体" w:cs="宋体"/>
          <w:kern w:val="0"/>
          <w:sz w:val="21"/>
          <w:szCs w:val="21"/>
        </w:rPr>
        <w:t>；</w:t>
      </w:r>
    </w:p>
    <w:p w14:paraId="49BADE5F">
      <w:pPr>
        <w:snapToGrid w:val="0"/>
        <w:spacing w:line="360" w:lineRule="auto"/>
        <w:ind w:firstLine="420" w:firstLineChars="200"/>
        <w:textAlignment w:val="baseline"/>
        <w:rPr>
          <w:rFonts w:hAnsi="宋体" w:cs="宋体"/>
          <w:kern w:val="0"/>
          <w:sz w:val="21"/>
          <w:szCs w:val="21"/>
        </w:rPr>
      </w:pPr>
      <w:r>
        <w:rPr>
          <w:rFonts w:hint="eastAsia" w:hAnsi="宋体" w:cs="宋体"/>
          <w:kern w:val="0"/>
          <w:sz w:val="21"/>
          <w:szCs w:val="21"/>
        </w:rPr>
        <w:t>发包人提供国外标准、规范的份数：</w:t>
      </w:r>
      <w:r>
        <w:rPr>
          <w:rFonts w:hint="eastAsia" w:hAnsi="宋体" w:cs="宋体"/>
          <w:kern w:val="0"/>
          <w:sz w:val="21"/>
          <w:szCs w:val="21"/>
          <w:u w:val="single" w:color="000000"/>
        </w:rPr>
        <w:t xml:space="preserve">             /          </w:t>
      </w:r>
      <w:r>
        <w:rPr>
          <w:rFonts w:hint="eastAsia" w:hAnsi="宋体" w:cs="宋体"/>
          <w:kern w:val="0"/>
          <w:sz w:val="21"/>
          <w:szCs w:val="21"/>
        </w:rPr>
        <w:t>；</w:t>
      </w:r>
    </w:p>
    <w:p w14:paraId="110734DB">
      <w:pPr>
        <w:snapToGrid w:val="0"/>
        <w:spacing w:line="360" w:lineRule="auto"/>
        <w:ind w:firstLine="420" w:firstLineChars="200"/>
        <w:textAlignment w:val="baseline"/>
        <w:rPr>
          <w:rFonts w:hAnsi="宋体" w:cs="宋体"/>
          <w:sz w:val="21"/>
          <w:szCs w:val="21"/>
        </w:rPr>
      </w:pPr>
      <w:r>
        <w:rPr>
          <w:rFonts w:hint="eastAsia" w:hAnsi="宋体" w:cs="宋体"/>
          <w:kern w:val="0"/>
          <w:sz w:val="21"/>
          <w:szCs w:val="21"/>
        </w:rPr>
        <w:t>发包人提供国外标准、规范的名称：</w:t>
      </w:r>
      <w:r>
        <w:rPr>
          <w:rFonts w:hint="eastAsia" w:hAnsi="宋体" w:cs="宋体"/>
          <w:kern w:val="0"/>
          <w:sz w:val="21"/>
          <w:szCs w:val="21"/>
          <w:u w:val="single" w:color="000000"/>
        </w:rPr>
        <w:t xml:space="preserve">           /           </w:t>
      </w:r>
      <w:r>
        <w:rPr>
          <w:rFonts w:hint="eastAsia" w:hAnsi="宋体" w:cs="宋体"/>
          <w:kern w:val="0"/>
          <w:sz w:val="21"/>
          <w:szCs w:val="21"/>
        </w:rPr>
        <w:t>。</w:t>
      </w:r>
    </w:p>
    <w:p w14:paraId="7C00B054">
      <w:pPr>
        <w:snapToGrid w:val="0"/>
        <w:spacing w:line="360" w:lineRule="auto"/>
        <w:ind w:firstLine="420" w:firstLineChars="200"/>
        <w:textAlignment w:val="baseline"/>
        <w:rPr>
          <w:rFonts w:hAnsi="宋体" w:cs="宋体"/>
          <w:b/>
          <w:sz w:val="21"/>
          <w:szCs w:val="21"/>
          <w:u w:val="single"/>
        </w:rPr>
      </w:pPr>
      <w:r>
        <w:rPr>
          <w:rFonts w:hint="eastAsia" w:hAnsi="宋体" w:cs="宋体"/>
          <w:sz w:val="21"/>
          <w:szCs w:val="21"/>
        </w:rPr>
        <w:t>1.4.3发包人对工程的技术标准和功能要求的特殊要求：</w:t>
      </w:r>
      <w:r>
        <w:rPr>
          <w:rFonts w:hint="eastAsia" w:hAnsi="宋体" w:cs="宋体"/>
          <w:sz w:val="21"/>
          <w:szCs w:val="21"/>
          <w:u w:val="single"/>
        </w:rPr>
        <w:t>详见设计文件和招标技术要求；国家或行业如有新的技术标准和功能要求，则要从新</w:t>
      </w:r>
      <w:r>
        <w:rPr>
          <w:rFonts w:hint="eastAsia" w:hAnsi="宋体" w:cs="宋体"/>
          <w:b/>
          <w:sz w:val="21"/>
          <w:szCs w:val="21"/>
          <w:u w:val="single"/>
        </w:rPr>
        <w:t>。</w:t>
      </w:r>
    </w:p>
    <w:p w14:paraId="64E7B433">
      <w:pPr>
        <w:snapToGrid w:val="0"/>
        <w:spacing w:line="360" w:lineRule="auto"/>
        <w:ind w:firstLine="420" w:firstLineChars="200"/>
        <w:textAlignment w:val="baseline"/>
        <w:rPr>
          <w:rFonts w:hAnsi="宋体" w:cs="宋体"/>
          <w:sz w:val="21"/>
          <w:szCs w:val="21"/>
        </w:rPr>
      </w:pPr>
      <w:r>
        <w:rPr>
          <w:rFonts w:hint="eastAsia" w:hAnsi="宋体" w:cs="宋体"/>
          <w:sz w:val="21"/>
          <w:szCs w:val="21"/>
        </w:rPr>
        <w:t>1.5 合同文件的优先顺序</w:t>
      </w:r>
    </w:p>
    <w:p w14:paraId="2D659517">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合同文件组成及优先顺序为：</w:t>
      </w:r>
    </w:p>
    <w:p w14:paraId="5EF2FD74">
      <w:pPr>
        <w:snapToGrid w:val="0"/>
        <w:spacing w:line="360" w:lineRule="auto"/>
        <w:ind w:firstLine="420" w:firstLineChars="200"/>
        <w:jc w:val="left"/>
        <w:textAlignment w:val="baseline"/>
        <w:rPr>
          <w:rFonts w:hAnsi="宋体"/>
          <w:sz w:val="21"/>
          <w:szCs w:val="21"/>
        </w:rPr>
      </w:pPr>
      <w:r>
        <w:rPr>
          <w:rFonts w:hAnsi="宋体"/>
          <w:sz w:val="21"/>
          <w:szCs w:val="21"/>
        </w:rPr>
        <w:t>（1）</w:t>
      </w:r>
      <w:r>
        <w:rPr>
          <w:rFonts w:hint="eastAsia" w:hAnsi="宋体"/>
          <w:sz w:val="21"/>
          <w:szCs w:val="21"/>
        </w:rPr>
        <w:t>合同协议书</w:t>
      </w:r>
    </w:p>
    <w:p w14:paraId="5D5803DE">
      <w:pPr>
        <w:snapToGrid w:val="0"/>
        <w:spacing w:line="360" w:lineRule="auto"/>
        <w:ind w:firstLine="420" w:firstLineChars="200"/>
        <w:jc w:val="left"/>
        <w:textAlignment w:val="baseline"/>
        <w:rPr>
          <w:rFonts w:hAnsi="宋体"/>
          <w:sz w:val="21"/>
          <w:szCs w:val="21"/>
        </w:rPr>
      </w:pPr>
      <w:r>
        <w:rPr>
          <w:rFonts w:hint="eastAsia" w:hAnsi="宋体"/>
          <w:sz w:val="21"/>
          <w:szCs w:val="21"/>
        </w:rPr>
        <w:t>（2）</w:t>
      </w:r>
      <w:r>
        <w:rPr>
          <w:rFonts w:hAnsi="宋体"/>
          <w:sz w:val="21"/>
          <w:szCs w:val="21"/>
        </w:rPr>
        <w:t>中标通知书（如果有）；</w:t>
      </w:r>
    </w:p>
    <w:p w14:paraId="23B2074C">
      <w:pPr>
        <w:snapToGrid w:val="0"/>
        <w:spacing w:line="360" w:lineRule="auto"/>
        <w:ind w:firstLine="420" w:firstLineChars="200"/>
        <w:jc w:val="left"/>
        <w:textAlignment w:val="baseline"/>
        <w:rPr>
          <w:rFonts w:hAnsi="宋体"/>
          <w:sz w:val="21"/>
          <w:szCs w:val="21"/>
        </w:rPr>
      </w:pPr>
      <w:r>
        <w:rPr>
          <w:rFonts w:hAnsi="宋体"/>
          <w:sz w:val="21"/>
          <w:szCs w:val="21"/>
        </w:rPr>
        <w:t>（3）投标函及其附录（如果有）；</w:t>
      </w:r>
    </w:p>
    <w:p w14:paraId="3F33B37D">
      <w:pPr>
        <w:snapToGrid w:val="0"/>
        <w:spacing w:line="360" w:lineRule="auto"/>
        <w:ind w:firstLine="420" w:firstLineChars="200"/>
        <w:jc w:val="left"/>
        <w:textAlignment w:val="baseline"/>
        <w:rPr>
          <w:rFonts w:hAnsi="宋体"/>
          <w:sz w:val="21"/>
          <w:szCs w:val="21"/>
        </w:rPr>
      </w:pPr>
      <w:r>
        <w:rPr>
          <w:rFonts w:hAnsi="宋体"/>
          <w:sz w:val="21"/>
          <w:szCs w:val="21"/>
        </w:rPr>
        <w:t>（4）专用合同条款及其附件；</w:t>
      </w:r>
    </w:p>
    <w:p w14:paraId="51C325A7">
      <w:pPr>
        <w:snapToGrid w:val="0"/>
        <w:spacing w:line="360" w:lineRule="auto"/>
        <w:ind w:firstLine="420" w:firstLineChars="200"/>
        <w:jc w:val="left"/>
        <w:textAlignment w:val="baseline"/>
        <w:rPr>
          <w:rFonts w:hAnsi="宋体"/>
          <w:sz w:val="21"/>
          <w:szCs w:val="21"/>
        </w:rPr>
      </w:pPr>
      <w:r>
        <w:rPr>
          <w:rFonts w:hAnsi="宋体"/>
          <w:sz w:val="21"/>
          <w:szCs w:val="21"/>
        </w:rPr>
        <w:t>（5）通用合同条款；</w:t>
      </w:r>
    </w:p>
    <w:p w14:paraId="5178D7CD">
      <w:pPr>
        <w:snapToGrid w:val="0"/>
        <w:spacing w:line="360" w:lineRule="auto"/>
        <w:ind w:firstLine="420" w:firstLineChars="200"/>
        <w:jc w:val="left"/>
        <w:textAlignment w:val="baseline"/>
        <w:rPr>
          <w:rFonts w:hAnsi="宋体"/>
          <w:sz w:val="21"/>
          <w:szCs w:val="21"/>
        </w:rPr>
      </w:pPr>
      <w:r>
        <w:rPr>
          <w:rFonts w:hAnsi="宋体"/>
          <w:sz w:val="21"/>
          <w:szCs w:val="21"/>
        </w:rPr>
        <w:t>（6）技术标准和要求；</w:t>
      </w:r>
    </w:p>
    <w:p w14:paraId="577D45A2">
      <w:pPr>
        <w:snapToGrid w:val="0"/>
        <w:spacing w:line="360" w:lineRule="auto"/>
        <w:ind w:firstLine="420" w:firstLineChars="200"/>
        <w:jc w:val="left"/>
        <w:textAlignment w:val="baseline"/>
        <w:rPr>
          <w:rFonts w:hAnsi="宋体"/>
          <w:sz w:val="21"/>
          <w:szCs w:val="21"/>
        </w:rPr>
      </w:pPr>
      <w:r>
        <w:rPr>
          <w:rFonts w:hAnsi="宋体"/>
          <w:sz w:val="21"/>
          <w:szCs w:val="21"/>
        </w:rPr>
        <w:t>（7）图纸；</w:t>
      </w:r>
    </w:p>
    <w:p w14:paraId="564470E7">
      <w:pPr>
        <w:snapToGrid w:val="0"/>
        <w:spacing w:line="360" w:lineRule="auto"/>
        <w:ind w:firstLine="420" w:firstLineChars="200"/>
        <w:jc w:val="left"/>
        <w:textAlignment w:val="baseline"/>
        <w:rPr>
          <w:rFonts w:hAnsi="宋体"/>
          <w:sz w:val="21"/>
          <w:szCs w:val="21"/>
        </w:rPr>
      </w:pPr>
      <w:r>
        <w:rPr>
          <w:rFonts w:hAnsi="宋体"/>
          <w:sz w:val="21"/>
          <w:szCs w:val="21"/>
        </w:rPr>
        <w:t>（8）已标价工程量清单或预算书；</w:t>
      </w:r>
    </w:p>
    <w:p w14:paraId="23BE7A24">
      <w:pPr>
        <w:snapToGrid w:val="0"/>
        <w:spacing w:line="360" w:lineRule="auto"/>
        <w:ind w:firstLine="420" w:firstLineChars="200"/>
        <w:jc w:val="left"/>
        <w:textAlignment w:val="baseline"/>
        <w:rPr>
          <w:rFonts w:hAnsi="宋体"/>
          <w:sz w:val="21"/>
          <w:szCs w:val="21"/>
        </w:rPr>
      </w:pPr>
      <w:r>
        <w:rPr>
          <w:rFonts w:hAnsi="宋体"/>
          <w:sz w:val="21"/>
          <w:szCs w:val="21"/>
        </w:rPr>
        <w:t>（9）</w:t>
      </w:r>
      <w:r>
        <w:rPr>
          <w:rFonts w:hint="eastAsia" w:hAnsi="宋体"/>
          <w:sz w:val="21"/>
          <w:szCs w:val="21"/>
        </w:rPr>
        <w:t>招标文件及其附件、</w:t>
      </w:r>
      <w:r>
        <w:rPr>
          <w:rFonts w:hAnsi="宋体"/>
          <w:sz w:val="21"/>
          <w:szCs w:val="21"/>
        </w:rPr>
        <w:t>其他合同文件。</w:t>
      </w:r>
    </w:p>
    <w:p w14:paraId="11D82DFA">
      <w:pPr>
        <w:snapToGrid w:val="0"/>
        <w:spacing w:line="360" w:lineRule="auto"/>
        <w:ind w:firstLine="420" w:firstLineChars="200"/>
        <w:jc w:val="left"/>
        <w:textAlignment w:val="baseline"/>
        <w:rPr>
          <w:rFonts w:hAnsi="宋体"/>
          <w:sz w:val="21"/>
          <w:szCs w:val="21"/>
        </w:rPr>
      </w:pPr>
      <w:r>
        <w:rPr>
          <w:rFonts w:hAnsi="宋体"/>
          <w:sz w:val="21"/>
          <w:szCs w:val="21"/>
        </w:rPr>
        <w:t>在合同订立及履行过程中形成的与合同有关的文件均构成合同文件组成部分。</w:t>
      </w:r>
    </w:p>
    <w:p w14:paraId="48F543FF">
      <w:pPr>
        <w:snapToGrid w:val="0"/>
        <w:spacing w:line="360" w:lineRule="auto"/>
        <w:ind w:firstLine="420" w:firstLineChars="200"/>
        <w:textAlignment w:val="baseline"/>
        <w:rPr>
          <w:rFonts w:hAnsi="宋体" w:cs="宋体"/>
          <w:sz w:val="21"/>
          <w:szCs w:val="21"/>
        </w:rPr>
      </w:pPr>
      <w:r>
        <w:rPr>
          <w:rFonts w:hint="eastAsia" w:hAnsi="宋体" w:cs="宋体"/>
          <w:sz w:val="21"/>
          <w:szCs w:val="21"/>
        </w:rPr>
        <w:t>1.6 图纸和承包人文件</w:t>
      </w:r>
      <w:r>
        <w:rPr>
          <w:rFonts w:hint="eastAsia" w:hAnsi="宋体" w:cs="宋体"/>
          <w:sz w:val="21"/>
          <w:szCs w:val="21"/>
        </w:rPr>
        <w:tab/>
      </w:r>
    </w:p>
    <w:p w14:paraId="1126CD24">
      <w:pPr>
        <w:snapToGrid w:val="0"/>
        <w:spacing w:line="360" w:lineRule="auto"/>
        <w:ind w:firstLine="420" w:firstLineChars="200"/>
        <w:textAlignment w:val="baseline"/>
        <w:rPr>
          <w:rFonts w:hAnsi="宋体" w:cs="宋体"/>
          <w:sz w:val="21"/>
          <w:szCs w:val="21"/>
        </w:rPr>
      </w:pPr>
      <w:r>
        <w:rPr>
          <w:rFonts w:hint="eastAsia" w:hAnsi="宋体" w:cs="宋体"/>
          <w:sz w:val="21"/>
          <w:szCs w:val="21"/>
        </w:rPr>
        <w:t>1.6.1 图纸的提供</w:t>
      </w:r>
    </w:p>
    <w:p w14:paraId="11D1DFEB">
      <w:pPr>
        <w:snapToGrid w:val="0"/>
        <w:spacing w:line="360" w:lineRule="auto"/>
        <w:ind w:firstLine="420" w:firstLineChars="200"/>
        <w:textAlignment w:val="baseline"/>
        <w:rPr>
          <w:rFonts w:hAnsi="宋体" w:cs="宋体"/>
          <w:b/>
          <w:kern w:val="0"/>
          <w:sz w:val="21"/>
          <w:szCs w:val="21"/>
          <w:u w:val="single"/>
        </w:rPr>
      </w:pPr>
      <w:r>
        <w:rPr>
          <w:rFonts w:hint="eastAsia" w:hAnsi="宋体" w:cs="宋体"/>
          <w:sz w:val="21"/>
          <w:szCs w:val="21"/>
        </w:rPr>
        <w:t>发包人向承包人提供图纸的期限：</w:t>
      </w:r>
      <w:r>
        <w:rPr>
          <w:rFonts w:hint="eastAsia" w:hAnsi="宋体" w:cs="宋体"/>
          <w:b/>
          <w:bCs/>
          <w:sz w:val="21"/>
          <w:szCs w:val="21"/>
          <w:u w:val="single"/>
        </w:rPr>
        <w:t>技术交底前提供图纸，实际开工前3日内组织有关人员对承包人进行技术交底</w:t>
      </w:r>
      <w:r>
        <w:rPr>
          <w:rFonts w:hint="eastAsia" w:hAnsi="宋体" w:cs="MingLiU_HKSCS"/>
          <w:b/>
          <w:kern w:val="0"/>
          <w:sz w:val="21"/>
          <w:szCs w:val="21"/>
          <w:u w:val="single" w:color="000000"/>
        </w:rPr>
        <w:t>。</w:t>
      </w:r>
    </w:p>
    <w:p w14:paraId="5C8E331B">
      <w:pPr>
        <w:snapToGrid w:val="0"/>
        <w:spacing w:line="360" w:lineRule="auto"/>
        <w:ind w:firstLine="420" w:firstLineChars="200"/>
        <w:textAlignment w:val="baseline"/>
        <w:rPr>
          <w:rFonts w:hAnsi="宋体" w:cs="宋体"/>
          <w:sz w:val="21"/>
          <w:szCs w:val="21"/>
        </w:rPr>
      </w:pPr>
      <w:r>
        <w:rPr>
          <w:rFonts w:hint="eastAsia" w:hAnsi="宋体" w:cs="宋体"/>
          <w:sz w:val="21"/>
          <w:szCs w:val="21"/>
        </w:rPr>
        <w:t>发包人向承包人提供图纸的数量：</w:t>
      </w:r>
      <w:r>
        <w:rPr>
          <w:rFonts w:hint="eastAsia" w:hAnsi="宋体" w:cs="宋体"/>
          <w:b/>
          <w:bCs/>
          <w:sz w:val="21"/>
          <w:szCs w:val="21"/>
          <w:u w:val="single"/>
        </w:rPr>
        <w:t>发包人向承包人提供工程图纸6套，如承包人额外需要提供施工图纸的，则额外增加的施工图纸的制作费由承包人承担</w:t>
      </w:r>
      <w:r>
        <w:rPr>
          <w:rFonts w:hint="eastAsia" w:hAnsi="宋体" w:cs="宋体"/>
          <w:b/>
          <w:bCs/>
          <w:sz w:val="21"/>
          <w:szCs w:val="21"/>
          <w:u w:val="single" w:color="000000"/>
        </w:rPr>
        <w:t>。</w:t>
      </w:r>
    </w:p>
    <w:p w14:paraId="7D98421A">
      <w:pPr>
        <w:snapToGrid w:val="0"/>
        <w:spacing w:line="360" w:lineRule="auto"/>
        <w:ind w:firstLine="420" w:firstLineChars="200"/>
        <w:textAlignment w:val="baseline"/>
        <w:rPr>
          <w:rFonts w:hAnsi="宋体" w:cs="宋体"/>
          <w:b/>
          <w:kern w:val="0"/>
          <w:sz w:val="21"/>
          <w:szCs w:val="21"/>
          <w:u w:val="single"/>
        </w:rPr>
      </w:pPr>
      <w:r>
        <w:rPr>
          <w:rFonts w:hint="eastAsia" w:hAnsi="宋体" w:cs="宋体"/>
          <w:sz w:val="21"/>
          <w:szCs w:val="21"/>
        </w:rPr>
        <w:t>发包人向承包人提供图纸的内容：</w:t>
      </w:r>
      <w:r>
        <w:rPr>
          <w:rFonts w:hint="eastAsia" w:hAnsi="宋体" w:cs="宋体"/>
          <w:b/>
          <w:kern w:val="0"/>
          <w:sz w:val="21"/>
          <w:szCs w:val="21"/>
          <w:u w:val="single" w:color="000000"/>
        </w:rPr>
        <w:t>施工图、设计联系单等工程施工所需的全部资料。施工过程中承包人要求增加图纸的，发包人应在承包人支付复制工本费后提供承包人要求增加的图纸。使用标准图的，标准图由承包人负责提供，产生的费用由承包人承担。</w:t>
      </w:r>
    </w:p>
    <w:p w14:paraId="0C48938E">
      <w:pPr>
        <w:snapToGrid w:val="0"/>
        <w:spacing w:line="360" w:lineRule="auto"/>
        <w:ind w:firstLine="420" w:firstLineChars="200"/>
        <w:textAlignment w:val="baseline"/>
        <w:rPr>
          <w:rFonts w:hAnsi="宋体" w:cs="宋体"/>
          <w:sz w:val="21"/>
          <w:szCs w:val="21"/>
        </w:rPr>
      </w:pPr>
      <w:r>
        <w:rPr>
          <w:rFonts w:hint="eastAsia" w:hAnsi="宋体" w:cs="宋体"/>
          <w:sz w:val="21"/>
          <w:szCs w:val="21"/>
        </w:rPr>
        <w:t>1.6.4 承包人文件</w:t>
      </w:r>
    </w:p>
    <w:p w14:paraId="27484F42">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需要由承包人提供的文件，包括：</w:t>
      </w:r>
      <w:r>
        <w:rPr>
          <w:rFonts w:hint="eastAsia" w:hAnsi="宋体" w:cs="MingLiU_HKSCS"/>
          <w:sz w:val="21"/>
          <w:szCs w:val="21"/>
          <w:u w:val="single" w:color="000000"/>
        </w:rPr>
        <w:t xml:space="preserve"> </w:t>
      </w:r>
      <w:r>
        <w:rPr>
          <w:rFonts w:hint="eastAsia" w:hAnsi="宋体" w:cs="宋体"/>
          <w:b/>
          <w:kern w:val="0"/>
          <w:sz w:val="21"/>
          <w:szCs w:val="21"/>
          <w:u w:val="single" w:color="000000"/>
        </w:rPr>
        <w:t>修正的施工组织设计；对危险性较大的分部分项工程，投标人需提供与自身报价相应的安全专项施工方案。</w:t>
      </w:r>
    </w:p>
    <w:p w14:paraId="40AA352C">
      <w:pPr>
        <w:snapToGrid w:val="0"/>
        <w:spacing w:line="360" w:lineRule="auto"/>
        <w:ind w:firstLine="420" w:firstLineChars="200"/>
        <w:textAlignment w:val="baseline"/>
        <w:rPr>
          <w:rFonts w:hAnsi="宋体" w:cs="宋体"/>
          <w:b/>
          <w:kern w:val="0"/>
          <w:sz w:val="21"/>
          <w:szCs w:val="21"/>
          <w:u w:val="single"/>
        </w:rPr>
      </w:pPr>
      <w:r>
        <w:rPr>
          <w:rFonts w:hint="eastAsia" w:hAnsi="宋体" w:cs="宋体"/>
          <w:sz w:val="21"/>
          <w:szCs w:val="21"/>
        </w:rPr>
        <w:t>承包人提供的文件的期限为：</w:t>
      </w:r>
      <w:r>
        <w:rPr>
          <w:rFonts w:hint="eastAsia" w:hAnsi="宋体" w:cs="MingLiU_HKSCS"/>
          <w:sz w:val="21"/>
          <w:szCs w:val="21"/>
          <w:u w:val="single" w:color="000000"/>
        </w:rPr>
        <w:t xml:space="preserve"> </w:t>
      </w:r>
      <w:r>
        <w:rPr>
          <w:rFonts w:hint="eastAsia" w:hAnsi="宋体" w:cs="宋体"/>
          <w:b/>
          <w:kern w:val="0"/>
          <w:sz w:val="21"/>
          <w:szCs w:val="21"/>
          <w:u w:val="single" w:color="000000"/>
        </w:rPr>
        <w:t>签订合同后一周内</w:t>
      </w:r>
      <w:r>
        <w:rPr>
          <w:rFonts w:hint="eastAsia" w:hAnsi="宋体" w:cs="MingLiU_HKSCS"/>
          <w:b/>
          <w:kern w:val="0"/>
          <w:sz w:val="21"/>
          <w:szCs w:val="21"/>
          <w:u w:val="single" w:color="000000"/>
        </w:rPr>
        <w:t xml:space="preserve"> </w:t>
      </w:r>
      <w:r>
        <w:rPr>
          <w:rFonts w:hint="eastAsia" w:hAnsi="宋体" w:cs="宋体"/>
          <w:b/>
          <w:kern w:val="0"/>
          <w:sz w:val="21"/>
          <w:szCs w:val="21"/>
          <w:u w:val="single" w:color="000000"/>
        </w:rPr>
        <w:t>；</w:t>
      </w:r>
    </w:p>
    <w:p w14:paraId="322BBB87">
      <w:pPr>
        <w:snapToGrid w:val="0"/>
        <w:spacing w:line="360" w:lineRule="auto"/>
        <w:ind w:firstLine="420" w:firstLineChars="200"/>
        <w:textAlignment w:val="baseline"/>
        <w:rPr>
          <w:rFonts w:hAnsi="宋体" w:cs="宋体"/>
          <w:b/>
          <w:kern w:val="0"/>
          <w:sz w:val="21"/>
          <w:szCs w:val="21"/>
          <w:u w:val="single"/>
        </w:rPr>
      </w:pPr>
      <w:r>
        <w:rPr>
          <w:rFonts w:hint="eastAsia" w:hAnsi="宋体" w:cs="宋体"/>
          <w:sz w:val="21"/>
          <w:szCs w:val="21"/>
        </w:rPr>
        <w:t>承包人提供的文件的数量为：</w:t>
      </w:r>
      <w:r>
        <w:rPr>
          <w:rFonts w:hint="eastAsia" w:hAnsi="宋体" w:cs="MingLiU_HKSCS"/>
          <w:b/>
          <w:kern w:val="0"/>
          <w:sz w:val="21"/>
          <w:szCs w:val="21"/>
          <w:u w:val="single" w:color="000000"/>
        </w:rPr>
        <w:t xml:space="preserve"> </w:t>
      </w:r>
      <w:r>
        <w:rPr>
          <w:rFonts w:hint="eastAsia" w:hAnsi="宋体" w:cs="宋体"/>
          <w:b/>
          <w:kern w:val="0"/>
          <w:sz w:val="21"/>
          <w:szCs w:val="21"/>
          <w:u w:val="single" w:color="000000"/>
        </w:rPr>
        <w:t>四份</w:t>
      </w:r>
      <w:r>
        <w:rPr>
          <w:rFonts w:hint="eastAsia" w:hAnsi="宋体" w:cs="MingLiU_HKSCS"/>
          <w:b/>
          <w:kern w:val="0"/>
          <w:sz w:val="21"/>
          <w:szCs w:val="21"/>
          <w:u w:val="single" w:color="000000"/>
        </w:rPr>
        <w:t xml:space="preserve"> </w:t>
      </w:r>
      <w:r>
        <w:rPr>
          <w:rFonts w:hint="eastAsia" w:hAnsi="宋体" w:cs="宋体"/>
          <w:b/>
          <w:kern w:val="0"/>
          <w:sz w:val="21"/>
          <w:szCs w:val="21"/>
          <w:u w:val="single" w:color="000000"/>
        </w:rPr>
        <w:t>；</w:t>
      </w:r>
    </w:p>
    <w:p w14:paraId="7A1FBB62">
      <w:pPr>
        <w:snapToGrid w:val="0"/>
        <w:spacing w:line="360" w:lineRule="auto"/>
        <w:ind w:firstLine="420" w:firstLineChars="200"/>
        <w:textAlignment w:val="baseline"/>
        <w:rPr>
          <w:rFonts w:hAnsi="宋体" w:cs="宋体"/>
          <w:b/>
          <w:kern w:val="0"/>
          <w:sz w:val="21"/>
          <w:szCs w:val="21"/>
          <w:u w:val="single"/>
        </w:rPr>
      </w:pPr>
      <w:r>
        <w:rPr>
          <w:rFonts w:hint="eastAsia" w:hAnsi="宋体" w:cs="宋体"/>
          <w:sz w:val="21"/>
          <w:szCs w:val="21"/>
        </w:rPr>
        <w:t>承包人提供的文件的形式为：</w:t>
      </w:r>
      <w:r>
        <w:rPr>
          <w:rFonts w:hint="eastAsia" w:hAnsi="宋体" w:cs="MingLiU_HKSCS"/>
          <w:b/>
          <w:kern w:val="0"/>
          <w:sz w:val="21"/>
          <w:szCs w:val="21"/>
          <w:u w:val="single" w:color="000000"/>
        </w:rPr>
        <w:t xml:space="preserve"> </w:t>
      </w:r>
      <w:r>
        <w:rPr>
          <w:rFonts w:hint="eastAsia" w:hAnsi="宋体" w:cs="宋体"/>
          <w:b/>
          <w:kern w:val="0"/>
          <w:sz w:val="21"/>
          <w:szCs w:val="21"/>
          <w:u w:val="single" w:color="000000"/>
        </w:rPr>
        <w:t>纸质；</w:t>
      </w:r>
    </w:p>
    <w:p w14:paraId="79B231C7">
      <w:pPr>
        <w:snapToGrid w:val="0"/>
        <w:spacing w:line="360" w:lineRule="auto"/>
        <w:ind w:firstLine="420" w:firstLineChars="200"/>
        <w:textAlignment w:val="baseline"/>
        <w:rPr>
          <w:rFonts w:hAnsi="宋体" w:cs="宋体"/>
          <w:b/>
          <w:kern w:val="0"/>
          <w:sz w:val="21"/>
          <w:szCs w:val="21"/>
          <w:u w:val="single"/>
        </w:rPr>
      </w:pPr>
      <w:r>
        <w:rPr>
          <w:rFonts w:hint="eastAsia" w:hAnsi="宋体" w:cs="宋体"/>
          <w:sz w:val="21"/>
          <w:szCs w:val="21"/>
        </w:rPr>
        <w:t>发包人审批承包人文件的期限：</w:t>
      </w:r>
      <w:r>
        <w:rPr>
          <w:rFonts w:hint="eastAsia" w:hAnsi="宋体" w:cs="宋体"/>
          <w:b/>
          <w:kern w:val="0"/>
          <w:sz w:val="21"/>
          <w:szCs w:val="21"/>
          <w:u w:val="single" w:color="000000"/>
        </w:rPr>
        <w:t>收到文件后一周内</w:t>
      </w:r>
      <w:r>
        <w:rPr>
          <w:rFonts w:hint="eastAsia" w:hAnsi="宋体" w:cs="MingLiU_HKSCS"/>
          <w:b/>
          <w:kern w:val="0"/>
          <w:sz w:val="21"/>
          <w:szCs w:val="21"/>
          <w:u w:val="single" w:color="000000"/>
        </w:rPr>
        <w:t xml:space="preserve"> </w:t>
      </w:r>
      <w:r>
        <w:rPr>
          <w:rFonts w:hint="eastAsia" w:hAnsi="宋体" w:cs="宋体"/>
          <w:b/>
          <w:kern w:val="0"/>
          <w:sz w:val="21"/>
          <w:szCs w:val="21"/>
          <w:u w:val="single" w:color="000000"/>
        </w:rPr>
        <w:t>。</w:t>
      </w:r>
    </w:p>
    <w:p w14:paraId="7C069671">
      <w:pPr>
        <w:snapToGrid w:val="0"/>
        <w:spacing w:line="360" w:lineRule="auto"/>
        <w:ind w:firstLine="420" w:firstLineChars="200"/>
        <w:textAlignment w:val="baseline"/>
        <w:rPr>
          <w:rFonts w:hAnsi="宋体" w:cs="宋体"/>
          <w:sz w:val="21"/>
          <w:szCs w:val="21"/>
        </w:rPr>
      </w:pPr>
      <w:r>
        <w:rPr>
          <w:rFonts w:hint="eastAsia" w:hAnsi="宋体" w:cs="宋体"/>
          <w:sz w:val="21"/>
          <w:szCs w:val="21"/>
        </w:rPr>
        <w:t>1.6.5 现场图纸准备</w:t>
      </w:r>
    </w:p>
    <w:p w14:paraId="03004160">
      <w:pPr>
        <w:snapToGrid w:val="0"/>
        <w:spacing w:line="360" w:lineRule="auto"/>
        <w:ind w:firstLine="420" w:firstLineChars="200"/>
        <w:jc w:val="left"/>
        <w:textAlignment w:val="baseline"/>
        <w:rPr>
          <w:rFonts w:hAnsi="宋体" w:cs="宋体"/>
          <w:b/>
          <w:kern w:val="0"/>
          <w:sz w:val="21"/>
          <w:szCs w:val="21"/>
          <w:u w:val="single"/>
        </w:rPr>
      </w:pPr>
      <w:r>
        <w:rPr>
          <w:rFonts w:hint="eastAsia" w:hAnsi="宋体" w:cs="宋体"/>
          <w:sz w:val="21"/>
          <w:szCs w:val="21"/>
        </w:rPr>
        <w:t>关于现场图纸准备的约定：</w:t>
      </w:r>
      <w:r>
        <w:rPr>
          <w:rFonts w:hint="eastAsia" w:hAnsi="宋体" w:cs="MingLiU_HKSCS"/>
          <w:sz w:val="21"/>
          <w:szCs w:val="21"/>
          <w:u w:val="single" w:color="000000"/>
        </w:rPr>
        <w:t xml:space="preserve"> </w:t>
      </w:r>
      <w:r>
        <w:rPr>
          <w:rFonts w:hint="eastAsia" w:hAnsi="宋体" w:cs="宋体"/>
          <w:b/>
          <w:kern w:val="0"/>
          <w:sz w:val="21"/>
          <w:szCs w:val="21"/>
          <w:u w:val="single" w:color="000000"/>
        </w:rPr>
        <w:t>承包人应在施工现场另外保存一套完整的图纸和承包人文件，供发包人、监理人及有关人员进行工程检查时使用。</w:t>
      </w:r>
    </w:p>
    <w:p w14:paraId="3474358B">
      <w:pPr>
        <w:snapToGrid w:val="0"/>
        <w:spacing w:line="360" w:lineRule="auto"/>
        <w:ind w:firstLine="420" w:firstLineChars="200"/>
        <w:textAlignment w:val="baseline"/>
        <w:rPr>
          <w:rFonts w:hAnsi="宋体" w:cs="宋体"/>
          <w:sz w:val="21"/>
          <w:szCs w:val="21"/>
        </w:rPr>
      </w:pPr>
      <w:r>
        <w:rPr>
          <w:rFonts w:hint="eastAsia" w:hAnsi="宋体" w:cs="宋体"/>
          <w:sz w:val="21"/>
          <w:szCs w:val="21"/>
        </w:rPr>
        <w:t>1.7 联络</w:t>
      </w:r>
    </w:p>
    <w:p w14:paraId="33C14EA6">
      <w:pPr>
        <w:snapToGrid w:val="0"/>
        <w:spacing w:line="360" w:lineRule="auto"/>
        <w:ind w:firstLine="420" w:firstLineChars="200"/>
        <w:textAlignment w:val="baseline"/>
        <w:rPr>
          <w:rFonts w:hAnsi="宋体" w:cs="宋体"/>
          <w:kern w:val="0"/>
          <w:sz w:val="21"/>
          <w:szCs w:val="21"/>
        </w:rPr>
      </w:pPr>
      <w:r>
        <w:rPr>
          <w:rFonts w:hint="eastAsia" w:hAnsi="宋体" w:cs="宋体"/>
          <w:kern w:val="0"/>
          <w:sz w:val="21"/>
          <w:szCs w:val="21"/>
        </w:rPr>
        <w:t>1.7.1发包人和承包人应当在</w:t>
      </w:r>
      <w:r>
        <w:rPr>
          <w:rFonts w:hint="eastAsia" w:hAnsi="宋体" w:cs="MingLiU_HKSCS"/>
          <w:b/>
          <w:bCs/>
          <w:sz w:val="21"/>
          <w:szCs w:val="21"/>
          <w:u w:val="single" w:color="000000"/>
        </w:rPr>
        <w:t xml:space="preserve"> </w:t>
      </w:r>
      <w:r>
        <w:rPr>
          <w:rFonts w:hAnsi="宋体" w:cs="宋体"/>
          <w:b/>
          <w:bCs/>
          <w:sz w:val="21"/>
          <w:szCs w:val="21"/>
          <w:u w:val="single" w:color="000000"/>
        </w:rPr>
        <w:t>3</w:t>
      </w:r>
      <w:r>
        <w:rPr>
          <w:rFonts w:hint="eastAsia" w:hAnsi="宋体" w:cs="宋体"/>
          <w:b/>
          <w:bCs/>
          <w:sz w:val="21"/>
          <w:szCs w:val="21"/>
          <w:u w:val="single" w:color="000000"/>
        </w:rPr>
        <w:t xml:space="preserve"> </w:t>
      </w:r>
      <w:r>
        <w:rPr>
          <w:rFonts w:hint="eastAsia" w:hAnsi="宋体" w:cs="宋体"/>
          <w:kern w:val="0"/>
          <w:sz w:val="21"/>
          <w:szCs w:val="21"/>
        </w:rPr>
        <w:t>天内将与合同有关的通知、批准、证明、证书、指示、指令、要求、请求、同意、意见、确定和决定等书面函件送达对方当事人。</w:t>
      </w:r>
    </w:p>
    <w:p w14:paraId="1F3C20D9">
      <w:pPr>
        <w:snapToGrid w:val="0"/>
        <w:spacing w:line="360" w:lineRule="auto"/>
        <w:ind w:firstLine="420" w:firstLineChars="200"/>
        <w:textAlignment w:val="baseline"/>
        <w:rPr>
          <w:rFonts w:hAnsi="宋体" w:cs="宋体"/>
          <w:b/>
          <w:bCs/>
          <w:kern w:val="0"/>
          <w:sz w:val="21"/>
          <w:szCs w:val="21"/>
        </w:rPr>
      </w:pPr>
      <w:r>
        <w:rPr>
          <w:rFonts w:hint="eastAsia" w:hAnsi="宋体" w:cs="宋体"/>
          <w:kern w:val="0"/>
          <w:sz w:val="21"/>
          <w:szCs w:val="21"/>
        </w:rPr>
        <w:t>1.7.2 发包人接收文件的地点</w:t>
      </w:r>
      <w:r>
        <w:rPr>
          <w:rFonts w:hint="eastAsia" w:hAnsi="宋体" w:cs="宋体"/>
          <w:b/>
          <w:bCs/>
          <w:kern w:val="0"/>
          <w:sz w:val="21"/>
          <w:szCs w:val="21"/>
        </w:rPr>
        <w:t>：</w:t>
      </w:r>
      <w:r>
        <w:rPr>
          <w:rFonts w:hint="eastAsia" w:hAnsi="宋体" w:cs="宋体"/>
          <w:b/>
          <w:bCs/>
          <w:sz w:val="21"/>
          <w:szCs w:val="21"/>
          <w:u w:val="single" w:color="000000"/>
        </w:rPr>
        <w:t>工程现场或发包人所在地</w:t>
      </w:r>
      <w:r>
        <w:rPr>
          <w:rFonts w:hint="eastAsia" w:hAnsi="宋体" w:cs="MingLiU_HKSCS"/>
          <w:b/>
          <w:bCs/>
          <w:sz w:val="21"/>
          <w:szCs w:val="21"/>
          <w:u w:val="single" w:color="000000"/>
        </w:rPr>
        <w:t xml:space="preserve"> </w:t>
      </w:r>
      <w:r>
        <w:rPr>
          <w:rFonts w:hint="eastAsia" w:hAnsi="宋体" w:cs="宋体"/>
          <w:b/>
          <w:bCs/>
          <w:kern w:val="0"/>
          <w:sz w:val="21"/>
          <w:szCs w:val="21"/>
        </w:rPr>
        <w:t>；</w:t>
      </w:r>
    </w:p>
    <w:p w14:paraId="156A6223">
      <w:pPr>
        <w:snapToGrid w:val="0"/>
        <w:spacing w:line="360" w:lineRule="auto"/>
        <w:ind w:firstLine="420" w:firstLineChars="200"/>
        <w:textAlignment w:val="baseline"/>
        <w:rPr>
          <w:rFonts w:hAnsi="宋体" w:cs="宋体"/>
          <w:b/>
          <w:bCs/>
          <w:kern w:val="0"/>
          <w:sz w:val="21"/>
          <w:szCs w:val="21"/>
        </w:rPr>
      </w:pPr>
      <w:r>
        <w:rPr>
          <w:rFonts w:hint="eastAsia" w:hAnsi="宋体" w:cs="宋体"/>
          <w:kern w:val="0"/>
          <w:sz w:val="21"/>
          <w:szCs w:val="21"/>
        </w:rPr>
        <w:t>发包人指定的接收人为：</w:t>
      </w:r>
      <w:r>
        <w:rPr>
          <w:rFonts w:hint="eastAsia" w:hAnsi="宋体" w:cs="MingLiU_HKSCS"/>
          <w:b/>
          <w:bCs/>
          <w:sz w:val="21"/>
          <w:szCs w:val="21"/>
          <w:u w:val="single" w:color="000000"/>
        </w:rPr>
        <w:t xml:space="preserve"> </w:t>
      </w:r>
      <w:r>
        <w:rPr>
          <w:rFonts w:hint="eastAsia" w:hAnsi="宋体" w:cs="宋体"/>
          <w:b/>
          <w:bCs/>
          <w:sz w:val="21"/>
          <w:szCs w:val="21"/>
          <w:u w:val="single" w:color="000000"/>
        </w:rPr>
        <w:t>发包人代表</w:t>
      </w:r>
      <w:r>
        <w:rPr>
          <w:rFonts w:hint="eastAsia" w:hAnsi="宋体" w:cs="MingLiU_HKSCS"/>
          <w:b/>
          <w:bCs/>
          <w:sz w:val="21"/>
          <w:szCs w:val="21"/>
          <w:u w:val="single" w:color="000000"/>
        </w:rPr>
        <w:t xml:space="preserve"> </w:t>
      </w:r>
      <w:r>
        <w:rPr>
          <w:rFonts w:hint="eastAsia" w:hAnsi="宋体" w:cs="宋体"/>
          <w:b/>
          <w:bCs/>
          <w:kern w:val="0"/>
          <w:sz w:val="21"/>
          <w:szCs w:val="21"/>
        </w:rPr>
        <w:t>。</w:t>
      </w:r>
    </w:p>
    <w:p w14:paraId="0D050060">
      <w:pPr>
        <w:snapToGrid w:val="0"/>
        <w:spacing w:line="360" w:lineRule="auto"/>
        <w:ind w:firstLine="420" w:firstLineChars="200"/>
        <w:textAlignment w:val="baseline"/>
        <w:rPr>
          <w:rFonts w:hAnsi="宋体" w:cs="宋体"/>
          <w:b/>
          <w:bCs/>
          <w:kern w:val="0"/>
          <w:sz w:val="21"/>
          <w:szCs w:val="21"/>
        </w:rPr>
      </w:pPr>
      <w:r>
        <w:rPr>
          <w:rFonts w:hint="eastAsia" w:hAnsi="宋体" w:cs="宋体"/>
          <w:kern w:val="0"/>
          <w:sz w:val="21"/>
          <w:szCs w:val="21"/>
        </w:rPr>
        <w:t>承包人接收文件的地点：</w:t>
      </w:r>
      <w:r>
        <w:rPr>
          <w:rFonts w:hint="eastAsia" w:hAnsi="宋体" w:cs="MingLiU_HKSCS"/>
          <w:b/>
          <w:bCs/>
          <w:sz w:val="21"/>
          <w:szCs w:val="21"/>
          <w:u w:val="single" w:color="000000"/>
        </w:rPr>
        <w:t xml:space="preserve"> </w:t>
      </w:r>
      <w:r>
        <w:rPr>
          <w:rFonts w:hint="eastAsia" w:hAnsi="宋体" w:cs="宋体"/>
          <w:b/>
          <w:bCs/>
          <w:sz w:val="21"/>
          <w:szCs w:val="21"/>
          <w:u w:val="single" w:color="000000"/>
        </w:rPr>
        <w:t>工程现场</w:t>
      </w:r>
      <w:r>
        <w:rPr>
          <w:rFonts w:hint="eastAsia" w:hAnsi="宋体" w:cs="MingLiU_HKSCS"/>
          <w:b/>
          <w:bCs/>
          <w:sz w:val="21"/>
          <w:szCs w:val="21"/>
          <w:u w:val="single" w:color="000000"/>
        </w:rPr>
        <w:t xml:space="preserve"> </w:t>
      </w:r>
      <w:r>
        <w:rPr>
          <w:rFonts w:hint="eastAsia" w:hAnsi="宋体" w:cs="宋体"/>
          <w:b/>
          <w:bCs/>
          <w:kern w:val="0"/>
          <w:sz w:val="21"/>
          <w:szCs w:val="21"/>
        </w:rPr>
        <w:t>；</w:t>
      </w:r>
    </w:p>
    <w:p w14:paraId="7D648E57">
      <w:pPr>
        <w:snapToGrid w:val="0"/>
        <w:spacing w:line="360" w:lineRule="auto"/>
        <w:ind w:firstLine="420" w:firstLineChars="200"/>
        <w:textAlignment w:val="baseline"/>
        <w:rPr>
          <w:rFonts w:hAnsi="宋体" w:cs="宋体"/>
          <w:b/>
          <w:bCs/>
          <w:kern w:val="0"/>
          <w:sz w:val="21"/>
          <w:szCs w:val="21"/>
        </w:rPr>
      </w:pPr>
      <w:r>
        <w:rPr>
          <w:rFonts w:hint="eastAsia" w:hAnsi="宋体" w:cs="宋体"/>
          <w:kern w:val="0"/>
          <w:sz w:val="21"/>
          <w:szCs w:val="21"/>
        </w:rPr>
        <w:t>承包人指定的接收人为：</w:t>
      </w:r>
      <w:r>
        <w:rPr>
          <w:rFonts w:hint="eastAsia" w:hAnsi="宋体" w:cs="MingLiU_HKSCS"/>
          <w:b/>
          <w:bCs/>
          <w:sz w:val="21"/>
          <w:szCs w:val="21"/>
          <w:u w:val="single" w:color="000000"/>
        </w:rPr>
        <w:t xml:space="preserve"> </w:t>
      </w:r>
      <w:r>
        <w:rPr>
          <w:rFonts w:hint="eastAsia" w:hAnsi="宋体" w:cs="宋体"/>
          <w:b/>
          <w:bCs/>
          <w:sz w:val="21"/>
          <w:szCs w:val="21"/>
          <w:u w:val="single" w:color="000000"/>
        </w:rPr>
        <w:t>项目经理</w:t>
      </w:r>
      <w:r>
        <w:rPr>
          <w:rFonts w:hint="eastAsia" w:hAnsi="宋体" w:cs="MingLiU_HKSCS"/>
          <w:b/>
          <w:bCs/>
          <w:sz w:val="21"/>
          <w:szCs w:val="21"/>
          <w:u w:val="single" w:color="000000"/>
        </w:rPr>
        <w:t xml:space="preserve"> </w:t>
      </w:r>
      <w:r>
        <w:rPr>
          <w:rFonts w:hint="eastAsia" w:hAnsi="宋体" w:cs="宋体"/>
          <w:b/>
          <w:bCs/>
          <w:kern w:val="0"/>
          <w:sz w:val="21"/>
          <w:szCs w:val="21"/>
        </w:rPr>
        <w:t>。</w:t>
      </w:r>
    </w:p>
    <w:p w14:paraId="73BD5E75">
      <w:pPr>
        <w:snapToGrid w:val="0"/>
        <w:spacing w:line="360" w:lineRule="auto"/>
        <w:ind w:firstLine="420" w:firstLineChars="200"/>
        <w:textAlignment w:val="baseline"/>
        <w:rPr>
          <w:rFonts w:hAnsi="宋体" w:cs="宋体"/>
          <w:b/>
          <w:bCs/>
          <w:kern w:val="0"/>
          <w:sz w:val="21"/>
          <w:szCs w:val="21"/>
        </w:rPr>
      </w:pPr>
      <w:r>
        <w:rPr>
          <w:rFonts w:hint="eastAsia" w:hAnsi="宋体" w:cs="宋体"/>
          <w:kern w:val="0"/>
          <w:sz w:val="21"/>
          <w:szCs w:val="21"/>
        </w:rPr>
        <w:t>监理人接收文件的地点：</w:t>
      </w:r>
      <w:r>
        <w:rPr>
          <w:rFonts w:hint="eastAsia" w:hAnsi="宋体" w:cs="MingLiU_HKSCS"/>
          <w:b/>
          <w:bCs/>
          <w:sz w:val="21"/>
          <w:szCs w:val="21"/>
          <w:u w:val="single" w:color="000000"/>
        </w:rPr>
        <w:t xml:space="preserve"> </w:t>
      </w:r>
      <w:r>
        <w:rPr>
          <w:rFonts w:hint="eastAsia" w:hAnsi="宋体" w:cs="宋体"/>
          <w:b/>
          <w:bCs/>
          <w:sz w:val="21"/>
          <w:szCs w:val="21"/>
          <w:u w:val="single" w:color="000000"/>
        </w:rPr>
        <w:t xml:space="preserve">工程现场 </w:t>
      </w:r>
      <w:r>
        <w:rPr>
          <w:rFonts w:hint="eastAsia" w:hAnsi="宋体" w:cs="MingLiU_HKSCS"/>
          <w:b/>
          <w:bCs/>
          <w:sz w:val="21"/>
          <w:szCs w:val="21"/>
          <w:u w:val="single" w:color="000000"/>
        </w:rPr>
        <w:t xml:space="preserve"> </w:t>
      </w:r>
      <w:r>
        <w:rPr>
          <w:rFonts w:hint="eastAsia" w:hAnsi="宋体" w:cs="宋体"/>
          <w:b/>
          <w:bCs/>
          <w:kern w:val="0"/>
          <w:sz w:val="21"/>
          <w:szCs w:val="21"/>
        </w:rPr>
        <w:t>；</w:t>
      </w:r>
    </w:p>
    <w:p w14:paraId="6401FC51">
      <w:pPr>
        <w:snapToGrid w:val="0"/>
        <w:spacing w:line="360" w:lineRule="auto"/>
        <w:ind w:firstLine="420" w:firstLineChars="200"/>
        <w:textAlignment w:val="baseline"/>
        <w:rPr>
          <w:rFonts w:hAnsi="宋体" w:cs="宋体"/>
          <w:b/>
          <w:bCs/>
          <w:kern w:val="0"/>
          <w:sz w:val="21"/>
          <w:szCs w:val="21"/>
        </w:rPr>
      </w:pPr>
      <w:r>
        <w:rPr>
          <w:rFonts w:hint="eastAsia" w:hAnsi="宋体" w:cs="宋体"/>
          <w:kern w:val="0"/>
          <w:sz w:val="21"/>
          <w:szCs w:val="21"/>
        </w:rPr>
        <w:t>监理人指定的接收人为：</w:t>
      </w:r>
      <w:r>
        <w:rPr>
          <w:rFonts w:hint="eastAsia" w:hAnsi="宋体" w:cs="MingLiU_HKSCS"/>
          <w:b/>
          <w:bCs/>
          <w:sz w:val="21"/>
          <w:szCs w:val="21"/>
          <w:u w:val="single" w:color="000000"/>
        </w:rPr>
        <w:t xml:space="preserve"> </w:t>
      </w:r>
      <w:r>
        <w:rPr>
          <w:rFonts w:hint="eastAsia" w:hAnsi="宋体" w:cs="宋体"/>
          <w:b/>
          <w:bCs/>
          <w:sz w:val="21"/>
          <w:szCs w:val="21"/>
          <w:u w:val="single" w:color="000000"/>
        </w:rPr>
        <w:t>总监或总监代表</w:t>
      </w:r>
      <w:r>
        <w:rPr>
          <w:rFonts w:hint="eastAsia" w:hAnsi="宋体" w:cs="MingLiU_HKSCS"/>
          <w:b/>
          <w:bCs/>
          <w:sz w:val="21"/>
          <w:szCs w:val="21"/>
          <w:u w:val="single" w:color="000000"/>
        </w:rPr>
        <w:t xml:space="preserve"> </w:t>
      </w:r>
      <w:r>
        <w:rPr>
          <w:rFonts w:hint="eastAsia" w:hAnsi="宋体" w:cs="宋体"/>
          <w:b/>
          <w:bCs/>
          <w:kern w:val="0"/>
          <w:sz w:val="21"/>
          <w:szCs w:val="21"/>
        </w:rPr>
        <w:t>。</w:t>
      </w:r>
    </w:p>
    <w:p w14:paraId="2F83280A">
      <w:pPr>
        <w:snapToGrid w:val="0"/>
        <w:spacing w:line="360" w:lineRule="auto"/>
        <w:ind w:firstLine="420" w:firstLineChars="200"/>
        <w:textAlignment w:val="baseline"/>
        <w:rPr>
          <w:rFonts w:hAnsi="宋体" w:cs="宋体"/>
          <w:sz w:val="21"/>
          <w:szCs w:val="21"/>
        </w:rPr>
      </w:pPr>
      <w:r>
        <w:rPr>
          <w:rFonts w:hint="eastAsia" w:hAnsi="宋体" w:cs="宋体"/>
          <w:sz w:val="21"/>
          <w:szCs w:val="21"/>
        </w:rPr>
        <w:t>1.10 交通运输</w:t>
      </w:r>
    </w:p>
    <w:p w14:paraId="5B50B7C7">
      <w:pPr>
        <w:snapToGrid w:val="0"/>
        <w:spacing w:line="360" w:lineRule="auto"/>
        <w:ind w:firstLine="420" w:firstLineChars="200"/>
        <w:textAlignment w:val="baseline"/>
        <w:rPr>
          <w:rFonts w:hAnsi="宋体" w:cs="宋体"/>
          <w:sz w:val="21"/>
          <w:szCs w:val="21"/>
        </w:rPr>
      </w:pPr>
      <w:r>
        <w:rPr>
          <w:rFonts w:hint="eastAsia" w:hAnsi="宋体" w:cs="宋体"/>
          <w:sz w:val="21"/>
          <w:szCs w:val="21"/>
        </w:rPr>
        <w:t>1.10.1 出入现场的权利</w:t>
      </w:r>
    </w:p>
    <w:p w14:paraId="4FCA7C6A">
      <w:pPr>
        <w:snapToGrid w:val="0"/>
        <w:spacing w:line="360" w:lineRule="auto"/>
        <w:ind w:firstLine="420" w:firstLineChars="200"/>
        <w:textAlignment w:val="baseline"/>
        <w:rPr>
          <w:rFonts w:hAnsi="宋体" w:cs="宋体"/>
          <w:sz w:val="21"/>
          <w:szCs w:val="21"/>
          <w:u w:val="single"/>
        </w:rPr>
      </w:pPr>
      <w:r>
        <w:rPr>
          <w:rFonts w:hint="eastAsia" w:hAnsi="宋体" w:cs="宋体"/>
          <w:sz w:val="21"/>
          <w:szCs w:val="21"/>
        </w:rPr>
        <w:t>关于出入现场的权利的约定：</w:t>
      </w:r>
      <w:r>
        <w:rPr>
          <w:rFonts w:hint="eastAsia" w:hAnsi="宋体" w:cs="MingLiU_HKSCS"/>
          <w:sz w:val="21"/>
          <w:szCs w:val="21"/>
          <w:u w:val="single" w:color="000000"/>
        </w:rPr>
        <w:t xml:space="preserve"> </w:t>
      </w:r>
      <w:r>
        <w:rPr>
          <w:rFonts w:hint="eastAsia" w:hAnsi="宋体" w:cs="宋体"/>
          <w:sz w:val="21"/>
          <w:szCs w:val="21"/>
          <w:u w:val="single" w:color="000000"/>
        </w:rPr>
        <w:t>按通用条款约定</w:t>
      </w:r>
      <w:r>
        <w:rPr>
          <w:rFonts w:hint="eastAsia" w:hAnsi="宋体" w:cs="MingLiU_HKSCS"/>
          <w:sz w:val="21"/>
          <w:szCs w:val="21"/>
          <w:u w:val="single" w:color="000000"/>
        </w:rPr>
        <w:t xml:space="preserve"> </w:t>
      </w:r>
      <w:r>
        <w:rPr>
          <w:rFonts w:hint="eastAsia" w:hAnsi="宋体" w:cs="宋体"/>
          <w:sz w:val="21"/>
          <w:szCs w:val="21"/>
        </w:rPr>
        <w:t>。</w:t>
      </w:r>
    </w:p>
    <w:p w14:paraId="2C1B9258">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w:t>
      </w:r>
      <w:bookmarkStart w:id="431" w:name="_Toc300934944"/>
      <w:bookmarkStart w:id="432" w:name="_Toc312677987"/>
      <w:bookmarkStart w:id="433" w:name="_Toc318581156"/>
      <w:bookmarkStart w:id="434" w:name="_Toc303539101"/>
      <w:bookmarkStart w:id="435" w:name="_Toc304295522"/>
      <w:r>
        <w:rPr>
          <w:rFonts w:hint="eastAsia" w:hAnsi="宋体" w:cs="宋体"/>
          <w:sz w:val="21"/>
          <w:szCs w:val="21"/>
        </w:rPr>
        <w:t>.10.3 场内交通</w:t>
      </w:r>
    </w:p>
    <w:p w14:paraId="752E847F">
      <w:pPr>
        <w:snapToGrid w:val="0"/>
        <w:spacing w:line="360" w:lineRule="auto"/>
        <w:ind w:firstLine="420" w:firstLineChars="200"/>
        <w:jc w:val="left"/>
        <w:textAlignment w:val="baseline"/>
        <w:rPr>
          <w:rFonts w:hAnsi="宋体" w:cs="宋体"/>
          <w:sz w:val="21"/>
          <w:szCs w:val="21"/>
          <w:u w:val="single"/>
        </w:rPr>
      </w:pPr>
      <w:r>
        <w:rPr>
          <w:rFonts w:hint="eastAsia" w:hAnsi="宋体" w:cs="宋体"/>
          <w:kern w:val="0"/>
          <w:sz w:val="21"/>
          <w:szCs w:val="21"/>
        </w:rPr>
        <w:t>关于场外交通和场内交通的边界的约定：</w:t>
      </w:r>
      <w:r>
        <w:rPr>
          <w:rFonts w:hint="eastAsia" w:hAnsi="宋体" w:cs="MingLiU_HKSCS"/>
          <w:sz w:val="21"/>
          <w:szCs w:val="21"/>
          <w:u w:val="single" w:color="000000"/>
        </w:rPr>
        <w:t xml:space="preserve"> </w:t>
      </w:r>
      <w:r>
        <w:rPr>
          <w:rFonts w:hint="eastAsia" w:hAnsi="宋体" w:cs="宋体"/>
          <w:sz w:val="21"/>
          <w:szCs w:val="21"/>
          <w:u w:val="single" w:color="000000"/>
        </w:rPr>
        <w:t>/</w:t>
      </w:r>
      <w:r>
        <w:rPr>
          <w:rFonts w:hint="eastAsia" w:hAnsi="宋体" w:cs="MingLiU_HKSCS"/>
          <w:sz w:val="21"/>
          <w:szCs w:val="21"/>
          <w:u w:val="single" w:color="000000"/>
        </w:rPr>
        <w:t xml:space="preserve"> </w:t>
      </w:r>
      <w:r>
        <w:rPr>
          <w:rFonts w:hint="eastAsia" w:hAnsi="宋体" w:cs="宋体"/>
          <w:sz w:val="21"/>
          <w:szCs w:val="21"/>
        </w:rPr>
        <w:t>。</w:t>
      </w:r>
    </w:p>
    <w:p w14:paraId="052AE102">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关于发包人向承包人免费提供满足工程施工需要的场内道路和交通设施的约定：</w:t>
      </w:r>
      <w:r>
        <w:rPr>
          <w:rFonts w:hint="eastAsia" w:hAnsi="宋体" w:cs="宋体"/>
          <w:sz w:val="21"/>
          <w:szCs w:val="21"/>
          <w:u w:val="single" w:color="000000"/>
        </w:rPr>
        <w:t>发包人不提供场内道路和交通设施，由承包人自行解决承担</w:t>
      </w:r>
      <w:r>
        <w:rPr>
          <w:rFonts w:hint="eastAsia" w:hAnsi="宋体" w:cs="MingLiU_HKSCS"/>
          <w:sz w:val="21"/>
          <w:szCs w:val="21"/>
          <w:u w:val="single" w:color="000000"/>
        </w:rPr>
        <w:t xml:space="preserve"> </w:t>
      </w:r>
      <w:r>
        <w:rPr>
          <w:rFonts w:hint="eastAsia" w:hAnsi="宋体" w:cs="宋体"/>
          <w:sz w:val="21"/>
          <w:szCs w:val="21"/>
          <w:u w:val="single" w:color="000000"/>
        </w:rPr>
        <w:t>。</w:t>
      </w:r>
      <w:bookmarkEnd w:id="431"/>
      <w:bookmarkEnd w:id="432"/>
      <w:bookmarkEnd w:id="433"/>
      <w:bookmarkEnd w:id="434"/>
      <w:bookmarkEnd w:id="435"/>
      <w:r>
        <w:rPr>
          <w:rFonts w:hint="eastAsia" w:hAnsi="宋体" w:cs="宋体"/>
          <w:sz w:val="21"/>
          <w:szCs w:val="21"/>
        </w:rPr>
        <w:t xml:space="preserve">  </w:t>
      </w:r>
    </w:p>
    <w:p w14:paraId="789F2B7D">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1.10.4超大件和超重件的运输</w:t>
      </w:r>
    </w:p>
    <w:p w14:paraId="5DF15E0D">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运输超大件或超重件所需的道路和桥梁临时加固改造费用和其他有关费用由</w:t>
      </w:r>
      <w:r>
        <w:rPr>
          <w:rFonts w:hint="eastAsia" w:hAnsi="宋体" w:cs="宋体"/>
          <w:sz w:val="21"/>
          <w:szCs w:val="21"/>
          <w:u w:val="single" w:color="000000"/>
        </w:rPr>
        <w:t xml:space="preserve">  承包人</w:t>
      </w:r>
      <w:r>
        <w:rPr>
          <w:rFonts w:hint="eastAsia" w:hAnsi="宋体" w:cs="宋体"/>
          <w:sz w:val="21"/>
          <w:szCs w:val="21"/>
        </w:rPr>
        <w:t>承担。</w:t>
      </w:r>
    </w:p>
    <w:p w14:paraId="6C01AEB6">
      <w:pPr>
        <w:snapToGrid w:val="0"/>
        <w:spacing w:line="360" w:lineRule="auto"/>
        <w:ind w:firstLine="422" w:firstLineChars="200"/>
        <w:jc w:val="left"/>
        <w:textAlignment w:val="baseline"/>
        <w:rPr>
          <w:rFonts w:hAnsi="宋体" w:cs="宋体"/>
          <w:b/>
          <w:sz w:val="21"/>
          <w:szCs w:val="21"/>
        </w:rPr>
      </w:pPr>
      <w:r>
        <w:rPr>
          <w:rFonts w:hint="eastAsia" w:hAnsi="宋体" w:cs="宋体"/>
          <w:b/>
          <w:sz w:val="21"/>
          <w:szCs w:val="21"/>
        </w:rPr>
        <w:t>本工程的超大件：</w:t>
      </w:r>
      <w:r>
        <w:rPr>
          <w:rFonts w:hint="eastAsia" w:hAnsi="宋体" w:cs="宋体"/>
          <w:b/>
          <w:sz w:val="21"/>
          <w:szCs w:val="21"/>
          <w:u w:val="single" w:color="000000"/>
        </w:rPr>
        <w:t xml:space="preserve">     /      </w:t>
      </w:r>
    </w:p>
    <w:p w14:paraId="7D7D53D6">
      <w:pPr>
        <w:snapToGrid w:val="0"/>
        <w:spacing w:line="360" w:lineRule="auto"/>
        <w:ind w:firstLine="422" w:firstLineChars="200"/>
        <w:jc w:val="left"/>
        <w:textAlignment w:val="baseline"/>
        <w:rPr>
          <w:rFonts w:hAnsi="宋体" w:cs="宋体"/>
          <w:sz w:val="21"/>
          <w:szCs w:val="21"/>
        </w:rPr>
      </w:pPr>
      <w:r>
        <w:rPr>
          <w:rFonts w:hint="eastAsia" w:hAnsi="宋体" w:cs="宋体"/>
          <w:b/>
          <w:sz w:val="21"/>
          <w:szCs w:val="21"/>
        </w:rPr>
        <w:t>本工程的超重件：</w:t>
      </w:r>
      <w:r>
        <w:rPr>
          <w:rFonts w:hint="eastAsia" w:hAnsi="宋体" w:cs="宋体"/>
          <w:b/>
          <w:sz w:val="21"/>
          <w:szCs w:val="21"/>
          <w:u w:val="single" w:color="000000"/>
        </w:rPr>
        <w:t xml:space="preserve">  /</w:t>
      </w:r>
      <w:r>
        <w:rPr>
          <w:rFonts w:hint="eastAsia" w:hAnsi="宋体" w:cs="宋体"/>
          <w:sz w:val="21"/>
          <w:szCs w:val="21"/>
          <w:u w:val="single" w:color="000000"/>
        </w:rPr>
        <w:t xml:space="preserve">     </w:t>
      </w:r>
    </w:p>
    <w:p w14:paraId="3019F394">
      <w:pPr>
        <w:snapToGrid w:val="0"/>
        <w:spacing w:line="360" w:lineRule="auto"/>
        <w:ind w:firstLine="420" w:firstLineChars="200"/>
        <w:textAlignment w:val="baseline"/>
        <w:rPr>
          <w:rFonts w:hAnsi="宋体" w:cs="宋体"/>
          <w:sz w:val="21"/>
          <w:szCs w:val="21"/>
        </w:rPr>
      </w:pPr>
      <w:r>
        <w:rPr>
          <w:rFonts w:hint="eastAsia" w:hAnsi="宋体" w:cs="宋体"/>
          <w:sz w:val="21"/>
          <w:szCs w:val="21"/>
        </w:rPr>
        <w:t>1.11 知识产权</w:t>
      </w:r>
    </w:p>
    <w:p w14:paraId="635242A9">
      <w:pPr>
        <w:snapToGrid w:val="0"/>
        <w:spacing w:line="360" w:lineRule="auto"/>
        <w:ind w:firstLine="420" w:firstLineChars="200"/>
        <w:textAlignment w:val="baseline"/>
        <w:rPr>
          <w:rFonts w:hAnsi="宋体" w:cs="宋体"/>
          <w:sz w:val="21"/>
          <w:szCs w:val="21"/>
          <w:u w:val="single"/>
        </w:rPr>
      </w:pPr>
      <w:r>
        <w:rPr>
          <w:rFonts w:hint="eastAsia" w:hAnsi="宋体" w:cs="宋体"/>
          <w:sz w:val="21"/>
          <w:szCs w:val="21"/>
        </w:rPr>
        <w:t>1.11.1关于发包人提供给承包人的图纸、发包人为实施工程自行编制或委托编制的技术规范以及反映发包人关于合同要求或其他类似性质的文件的著作权的归属：</w:t>
      </w:r>
      <w:r>
        <w:rPr>
          <w:rFonts w:hint="eastAsia" w:hAnsi="宋体" w:cs="宋体"/>
          <w:sz w:val="21"/>
          <w:szCs w:val="21"/>
          <w:u w:val="single" w:color="000000"/>
        </w:rPr>
        <w:t>按通用条款 。</w:t>
      </w:r>
    </w:p>
    <w:p w14:paraId="3412BF87">
      <w:pPr>
        <w:snapToGrid w:val="0"/>
        <w:spacing w:line="360" w:lineRule="auto"/>
        <w:ind w:firstLine="420" w:firstLineChars="200"/>
        <w:textAlignment w:val="baseline"/>
        <w:rPr>
          <w:rFonts w:hAnsi="宋体" w:cs="宋体"/>
          <w:sz w:val="21"/>
          <w:szCs w:val="21"/>
          <w:u w:val="single"/>
        </w:rPr>
      </w:pPr>
      <w:r>
        <w:rPr>
          <w:rFonts w:hint="eastAsia" w:hAnsi="宋体" w:cs="宋体"/>
          <w:sz w:val="21"/>
          <w:szCs w:val="21"/>
        </w:rPr>
        <w:t>关于发包人提供的上述文件的使用限制的要求：</w:t>
      </w:r>
      <w:r>
        <w:rPr>
          <w:rFonts w:hint="eastAsia" w:hAnsi="宋体" w:cs="宋体"/>
          <w:sz w:val="21"/>
          <w:szCs w:val="21"/>
          <w:u w:val="single" w:color="000000"/>
        </w:rPr>
        <w:t xml:space="preserve">按通用条款           </w:t>
      </w:r>
    </w:p>
    <w:p w14:paraId="5146AB58">
      <w:pPr>
        <w:snapToGrid w:val="0"/>
        <w:spacing w:line="360" w:lineRule="auto"/>
        <w:ind w:firstLine="420" w:firstLineChars="200"/>
        <w:textAlignment w:val="baseline"/>
        <w:rPr>
          <w:rFonts w:hAnsi="宋体" w:cs="宋体"/>
          <w:sz w:val="21"/>
          <w:szCs w:val="21"/>
        </w:rPr>
      </w:pPr>
      <w:r>
        <w:rPr>
          <w:rFonts w:hint="eastAsia" w:hAnsi="宋体" w:cs="宋体"/>
          <w:sz w:val="21"/>
          <w:szCs w:val="21"/>
        </w:rPr>
        <w:t>1.11.2 关于承包人为实施工程所编制文件的著作权的归属：</w:t>
      </w:r>
      <w:r>
        <w:rPr>
          <w:rFonts w:hint="eastAsia" w:hAnsi="宋体" w:cs="宋体"/>
          <w:sz w:val="21"/>
          <w:szCs w:val="21"/>
          <w:u w:val="single" w:color="000000"/>
        </w:rPr>
        <w:t>按通用条款</w:t>
      </w:r>
      <w:r>
        <w:rPr>
          <w:rFonts w:hint="eastAsia" w:hAnsi="宋体" w:cs="宋体"/>
          <w:sz w:val="21"/>
          <w:szCs w:val="21"/>
        </w:rPr>
        <w:t>。</w:t>
      </w:r>
    </w:p>
    <w:p w14:paraId="53FA63AD">
      <w:pPr>
        <w:snapToGrid w:val="0"/>
        <w:spacing w:line="360" w:lineRule="auto"/>
        <w:ind w:firstLine="420" w:firstLineChars="200"/>
        <w:textAlignment w:val="baseline"/>
        <w:rPr>
          <w:rFonts w:hAnsi="宋体" w:cs="宋体"/>
          <w:sz w:val="21"/>
          <w:szCs w:val="21"/>
          <w:u w:val="single"/>
        </w:rPr>
      </w:pPr>
      <w:r>
        <w:rPr>
          <w:rFonts w:hint="eastAsia" w:hAnsi="宋体" w:cs="宋体"/>
          <w:sz w:val="21"/>
          <w:szCs w:val="21"/>
        </w:rPr>
        <w:t>关于承包人提供的上述文件的使用限制的要求：</w:t>
      </w:r>
      <w:r>
        <w:rPr>
          <w:rFonts w:hint="eastAsia" w:hAnsi="宋体" w:cs="宋体"/>
          <w:sz w:val="21"/>
          <w:szCs w:val="21"/>
          <w:u w:val="single" w:color="000000"/>
        </w:rPr>
        <w:t>本工程实施、结算全过程。</w:t>
      </w:r>
    </w:p>
    <w:p w14:paraId="50264ADD">
      <w:pPr>
        <w:snapToGrid w:val="0"/>
        <w:spacing w:line="360" w:lineRule="auto"/>
        <w:ind w:firstLine="420" w:firstLineChars="200"/>
        <w:textAlignment w:val="baseline"/>
        <w:rPr>
          <w:rFonts w:hAnsi="宋体" w:cs="宋体"/>
          <w:sz w:val="21"/>
          <w:szCs w:val="21"/>
        </w:rPr>
      </w:pPr>
      <w:r>
        <w:rPr>
          <w:rFonts w:hint="eastAsia" w:hAnsi="宋体" w:cs="宋体"/>
          <w:sz w:val="21"/>
          <w:szCs w:val="21"/>
        </w:rPr>
        <w:t>1.11.4 承包人在施工过程中所采用的专利、专有技术、技术秘密的使用费的承担方式：</w:t>
      </w:r>
      <w:r>
        <w:rPr>
          <w:rFonts w:hint="eastAsia" w:hAnsi="宋体" w:cs="宋体"/>
          <w:b/>
          <w:sz w:val="21"/>
          <w:szCs w:val="21"/>
          <w:u w:val="single" w:color="000000"/>
        </w:rPr>
        <w:t xml:space="preserve">（除发包人指明外）承包人在施工过程中所采用的专利、专有技术、技术秘密的使用费包含在合同价款内   </w:t>
      </w:r>
      <w:r>
        <w:rPr>
          <w:rFonts w:hint="eastAsia" w:hAnsi="宋体" w:cs="宋体"/>
          <w:b/>
          <w:sz w:val="21"/>
          <w:szCs w:val="21"/>
        </w:rPr>
        <w:t>。</w:t>
      </w:r>
    </w:p>
    <w:p w14:paraId="7FEA9722">
      <w:pPr>
        <w:snapToGrid w:val="0"/>
        <w:spacing w:line="360" w:lineRule="auto"/>
        <w:ind w:firstLine="420" w:firstLineChars="200"/>
        <w:textAlignment w:val="baseline"/>
        <w:rPr>
          <w:rFonts w:hAnsi="宋体" w:cs="宋体"/>
          <w:sz w:val="21"/>
          <w:szCs w:val="21"/>
        </w:rPr>
      </w:pPr>
      <w:r>
        <w:rPr>
          <w:rFonts w:hint="eastAsia" w:hAnsi="宋体" w:cs="宋体"/>
          <w:sz w:val="21"/>
          <w:szCs w:val="21"/>
        </w:rPr>
        <w:t>1.13工程量清单错误的修正</w:t>
      </w:r>
    </w:p>
    <w:p w14:paraId="7F911C8D">
      <w:pPr>
        <w:snapToGrid w:val="0"/>
        <w:spacing w:line="360" w:lineRule="auto"/>
        <w:ind w:firstLine="420" w:firstLineChars="200"/>
        <w:textAlignment w:val="baseline"/>
        <w:rPr>
          <w:rFonts w:hAnsi="宋体" w:cs="宋体"/>
          <w:kern w:val="0"/>
          <w:sz w:val="21"/>
          <w:szCs w:val="21"/>
        </w:rPr>
      </w:pPr>
      <w:r>
        <w:rPr>
          <w:rFonts w:hint="eastAsia" w:hAnsi="宋体" w:cs="宋体"/>
          <w:sz w:val="21"/>
          <w:szCs w:val="21"/>
        </w:rPr>
        <w:t>出现工程量清单错误时，是否调整合同价格：</w:t>
      </w:r>
      <w:r>
        <w:rPr>
          <w:rFonts w:hint="eastAsia" w:hAnsi="宋体" w:cs="宋体"/>
          <w:b/>
          <w:sz w:val="21"/>
          <w:szCs w:val="21"/>
          <w:u w:val="single" w:color="000000"/>
        </w:rPr>
        <w:t xml:space="preserve">   是   </w:t>
      </w:r>
      <w:r>
        <w:rPr>
          <w:rFonts w:hint="eastAsia" w:hAnsi="宋体" w:cs="宋体"/>
          <w:b/>
          <w:sz w:val="21"/>
          <w:szCs w:val="21"/>
        </w:rPr>
        <w:t>；</w:t>
      </w:r>
    </w:p>
    <w:p w14:paraId="0830D807">
      <w:pPr>
        <w:snapToGrid w:val="0"/>
        <w:spacing w:line="360" w:lineRule="auto"/>
        <w:ind w:firstLine="420" w:firstLineChars="200"/>
        <w:textAlignment w:val="baseline"/>
        <w:rPr>
          <w:rFonts w:hAnsi="宋体" w:cs="宋体"/>
          <w:sz w:val="21"/>
          <w:szCs w:val="21"/>
        </w:rPr>
      </w:pPr>
      <w:r>
        <w:rPr>
          <w:rFonts w:hint="eastAsia" w:hAnsi="宋体" w:cs="宋体"/>
          <w:sz w:val="21"/>
          <w:szCs w:val="21"/>
        </w:rPr>
        <w:t>允许调整合同价格的工程量偏差范围：</w:t>
      </w:r>
      <w:r>
        <w:rPr>
          <w:rFonts w:hint="eastAsia" w:hAnsi="宋体" w:cs="宋体"/>
          <w:b/>
          <w:sz w:val="21"/>
          <w:szCs w:val="21"/>
          <w:u w:val="single" w:color="000000"/>
        </w:rPr>
        <w:t>应按承包人在履行合同义务中完成的工程量计量，并按实调整（合同中约定范围的包干内容除外的，只要有偏差就按实际发生数量进行调整）,范围包括工程量清单中出现漏项、工程量计算偏差，以及工程变更而引起工程量的增减等，价格调整方式按专用条款10.4.1条款执行</w:t>
      </w:r>
      <w:r>
        <w:rPr>
          <w:rFonts w:hint="eastAsia" w:hAnsi="宋体" w:cs="宋体"/>
          <w:sz w:val="21"/>
          <w:szCs w:val="21"/>
          <w:u w:val="single" w:color="000000"/>
        </w:rPr>
        <w:t>；</w:t>
      </w:r>
    </w:p>
    <w:p w14:paraId="541C88D1">
      <w:pPr>
        <w:snapToGrid w:val="0"/>
        <w:spacing w:line="360" w:lineRule="auto"/>
        <w:ind w:firstLine="422" w:firstLineChars="200"/>
        <w:textAlignment w:val="baseline"/>
        <w:rPr>
          <w:rFonts w:hAnsi="宋体" w:cs="宋体"/>
          <w:b/>
          <w:sz w:val="21"/>
          <w:szCs w:val="21"/>
        </w:rPr>
      </w:pPr>
      <w:r>
        <w:rPr>
          <w:rFonts w:hint="eastAsia" w:hAnsi="宋体" w:cs="宋体"/>
          <w:b/>
          <w:sz w:val="21"/>
          <w:szCs w:val="21"/>
        </w:rPr>
        <w:t>调整合同价格的</w:t>
      </w:r>
      <w:r>
        <w:rPr>
          <w:rFonts w:hint="eastAsia" w:hAnsi="宋体" w:cs="宋体"/>
          <w:b/>
          <w:kern w:val="0"/>
          <w:sz w:val="21"/>
          <w:szCs w:val="21"/>
        </w:rPr>
        <w:t>修正时间：</w:t>
      </w:r>
      <w:r>
        <w:rPr>
          <w:rFonts w:hint="eastAsia" w:hAnsi="宋体" w:cs="宋体"/>
          <w:b/>
          <w:sz w:val="21"/>
          <w:szCs w:val="21"/>
          <w:u w:val="single" w:color="000000"/>
        </w:rPr>
        <w:t xml:space="preserve">  竣工验收合格后结算</w:t>
      </w:r>
      <w:r>
        <w:rPr>
          <w:rFonts w:hint="eastAsia" w:hAnsi="宋体" w:cs="宋体"/>
          <w:b/>
          <w:sz w:val="21"/>
          <w:szCs w:val="21"/>
        </w:rPr>
        <w:t>。</w:t>
      </w:r>
    </w:p>
    <w:p w14:paraId="00E9C8BB">
      <w:pPr>
        <w:snapToGrid w:val="0"/>
        <w:spacing w:line="360" w:lineRule="auto"/>
        <w:ind w:firstLine="420" w:firstLineChars="200"/>
        <w:textAlignment w:val="baseline"/>
        <w:rPr>
          <w:rFonts w:hAnsi="宋体" w:cs="宋体"/>
          <w:sz w:val="21"/>
          <w:szCs w:val="21"/>
        </w:rPr>
      </w:pPr>
      <w:r>
        <w:rPr>
          <w:rFonts w:hint="eastAsia" w:hAnsi="宋体" w:cs="宋体"/>
          <w:sz w:val="21"/>
          <w:szCs w:val="21"/>
        </w:rPr>
        <w:t>2. 发包人</w:t>
      </w:r>
    </w:p>
    <w:p w14:paraId="72D5EC48">
      <w:pPr>
        <w:snapToGrid w:val="0"/>
        <w:spacing w:line="360" w:lineRule="auto"/>
        <w:ind w:firstLine="422" w:firstLineChars="200"/>
        <w:textAlignment w:val="baseline"/>
        <w:rPr>
          <w:rFonts w:hAnsi="宋体" w:cs="宋体"/>
          <w:sz w:val="21"/>
          <w:szCs w:val="21"/>
        </w:rPr>
      </w:pPr>
      <w:r>
        <w:rPr>
          <w:rFonts w:hint="eastAsia" w:hAnsi="宋体" w:cs="宋体"/>
          <w:b/>
          <w:sz w:val="21"/>
          <w:szCs w:val="21"/>
        </w:rPr>
        <w:t>发包人应根据工程所需配备发包人代表，同时配备1-2名相关人员到岗履职。</w:t>
      </w:r>
    </w:p>
    <w:p w14:paraId="04F50EDB">
      <w:pPr>
        <w:snapToGrid w:val="0"/>
        <w:spacing w:line="360" w:lineRule="auto"/>
        <w:ind w:firstLine="420" w:firstLineChars="200"/>
        <w:textAlignment w:val="baseline"/>
        <w:rPr>
          <w:rFonts w:hAnsi="宋体" w:cs="宋体"/>
          <w:sz w:val="21"/>
          <w:szCs w:val="21"/>
        </w:rPr>
      </w:pPr>
      <w:r>
        <w:rPr>
          <w:rFonts w:hint="eastAsia" w:hAnsi="宋体" w:cs="宋体"/>
          <w:sz w:val="21"/>
          <w:szCs w:val="21"/>
        </w:rPr>
        <w:t>2.2 发包人代表</w:t>
      </w:r>
    </w:p>
    <w:p w14:paraId="4E259FBC">
      <w:pPr>
        <w:snapToGrid w:val="0"/>
        <w:spacing w:line="360" w:lineRule="auto"/>
        <w:ind w:firstLine="420" w:firstLineChars="200"/>
        <w:textAlignment w:val="baseline"/>
        <w:rPr>
          <w:rFonts w:hAnsi="宋体" w:cs="宋体"/>
          <w:sz w:val="21"/>
          <w:szCs w:val="21"/>
        </w:rPr>
      </w:pPr>
      <w:r>
        <w:rPr>
          <w:rFonts w:hint="eastAsia" w:hAnsi="宋体" w:cs="宋体"/>
          <w:sz w:val="21"/>
          <w:szCs w:val="21"/>
        </w:rPr>
        <w:t>发包人代表：</w:t>
      </w:r>
    </w:p>
    <w:p w14:paraId="0D21195D">
      <w:pPr>
        <w:snapToGrid w:val="0"/>
        <w:spacing w:line="360" w:lineRule="auto"/>
        <w:ind w:firstLine="420" w:firstLineChars="200"/>
        <w:textAlignment w:val="baseline"/>
        <w:rPr>
          <w:rFonts w:hAnsi="宋体" w:cs="宋体"/>
          <w:sz w:val="21"/>
          <w:szCs w:val="21"/>
        </w:rPr>
      </w:pPr>
      <w:r>
        <w:rPr>
          <w:rFonts w:hint="eastAsia" w:hAnsi="宋体" w:cs="宋体"/>
          <w:sz w:val="21"/>
          <w:szCs w:val="21"/>
        </w:rPr>
        <w:t>姓    名：</w:t>
      </w:r>
      <w:r>
        <w:rPr>
          <w:rFonts w:hint="eastAsia" w:hAnsi="宋体" w:cs="宋体"/>
          <w:sz w:val="21"/>
          <w:szCs w:val="21"/>
          <w:u w:val="single" w:color="000000"/>
        </w:rPr>
        <w:t xml:space="preserve">                               </w:t>
      </w:r>
      <w:r>
        <w:rPr>
          <w:rFonts w:hint="eastAsia" w:hAnsi="宋体" w:cs="MingLiU_HKSCS"/>
          <w:sz w:val="21"/>
          <w:szCs w:val="21"/>
          <w:u w:val="single" w:color="000000"/>
        </w:rPr>
        <w:t xml:space="preserve"> </w:t>
      </w:r>
      <w:r>
        <w:rPr>
          <w:rFonts w:hint="eastAsia" w:hAnsi="宋体" w:cs="宋体"/>
          <w:sz w:val="21"/>
          <w:szCs w:val="21"/>
          <w:u w:val="single" w:color="000000"/>
        </w:rPr>
        <w:t xml:space="preserve"> </w:t>
      </w:r>
      <w:r>
        <w:rPr>
          <w:rFonts w:hint="eastAsia" w:hAnsi="宋体" w:cs="MingLiU_HKSCS"/>
          <w:sz w:val="21"/>
          <w:szCs w:val="21"/>
          <w:u w:val="single" w:color="000000"/>
        </w:rPr>
        <w:t xml:space="preserve"> </w:t>
      </w:r>
      <w:r>
        <w:rPr>
          <w:rFonts w:hint="eastAsia" w:hAnsi="宋体" w:cs="宋体"/>
          <w:sz w:val="21"/>
          <w:szCs w:val="21"/>
        </w:rPr>
        <w:t>；</w:t>
      </w:r>
    </w:p>
    <w:p w14:paraId="6822B182">
      <w:pPr>
        <w:snapToGrid w:val="0"/>
        <w:spacing w:line="360" w:lineRule="auto"/>
        <w:ind w:firstLine="420" w:firstLineChars="200"/>
        <w:textAlignment w:val="baseline"/>
        <w:rPr>
          <w:rFonts w:hAnsi="宋体" w:cs="宋体"/>
          <w:sz w:val="21"/>
          <w:szCs w:val="21"/>
        </w:rPr>
      </w:pPr>
      <w:r>
        <w:rPr>
          <w:rFonts w:hint="eastAsia" w:hAnsi="宋体" w:cs="宋体"/>
          <w:sz w:val="21"/>
          <w:szCs w:val="21"/>
        </w:rPr>
        <w:t>身份证号：</w:t>
      </w:r>
      <w:r>
        <w:rPr>
          <w:rFonts w:hint="eastAsia" w:hAnsi="宋体" w:cs="宋体"/>
          <w:sz w:val="21"/>
          <w:szCs w:val="21"/>
          <w:u w:val="single" w:color="000000"/>
        </w:rPr>
        <w:t xml:space="preserve"> </w:t>
      </w:r>
      <w:r>
        <w:rPr>
          <w:rFonts w:hint="eastAsia" w:hAnsi="宋体" w:cs="MingLiU_HKSCS"/>
          <w:sz w:val="21"/>
          <w:szCs w:val="21"/>
          <w:u w:val="single" w:color="000000"/>
        </w:rPr>
        <w:t xml:space="preserve"> </w:t>
      </w:r>
      <w:r>
        <w:rPr>
          <w:rFonts w:hint="eastAsia" w:hAnsi="宋体" w:cs="宋体"/>
          <w:sz w:val="21"/>
          <w:szCs w:val="21"/>
          <w:u w:val="single" w:color="000000"/>
        </w:rPr>
        <w:t xml:space="preserve">                                </w:t>
      </w:r>
      <w:r>
        <w:rPr>
          <w:rFonts w:hint="eastAsia" w:hAnsi="宋体" w:cs="宋体"/>
          <w:sz w:val="21"/>
          <w:szCs w:val="21"/>
        </w:rPr>
        <w:t>；</w:t>
      </w:r>
    </w:p>
    <w:p w14:paraId="0263910C">
      <w:pPr>
        <w:snapToGrid w:val="0"/>
        <w:spacing w:line="360" w:lineRule="auto"/>
        <w:ind w:firstLine="420" w:firstLineChars="200"/>
        <w:textAlignment w:val="baseline"/>
        <w:rPr>
          <w:rFonts w:hAnsi="宋体" w:cs="宋体"/>
          <w:sz w:val="21"/>
          <w:szCs w:val="21"/>
        </w:rPr>
      </w:pPr>
      <w:r>
        <w:rPr>
          <w:rFonts w:hint="eastAsia" w:hAnsi="宋体" w:cs="宋体"/>
          <w:sz w:val="21"/>
          <w:szCs w:val="21"/>
        </w:rPr>
        <w:t>职    务：</w:t>
      </w:r>
      <w:r>
        <w:rPr>
          <w:rFonts w:hint="eastAsia" w:hAnsi="宋体" w:cs="宋体"/>
          <w:sz w:val="21"/>
          <w:szCs w:val="21"/>
          <w:u w:val="single" w:color="000000"/>
        </w:rPr>
        <w:t xml:space="preserve"> </w:t>
      </w:r>
      <w:r>
        <w:rPr>
          <w:rFonts w:hint="eastAsia" w:hAnsi="宋体" w:cs="MingLiU_HKSCS"/>
          <w:sz w:val="21"/>
          <w:szCs w:val="21"/>
          <w:u w:val="single" w:color="000000"/>
        </w:rPr>
        <w:t xml:space="preserve">                             </w:t>
      </w:r>
      <w:r>
        <w:rPr>
          <w:rFonts w:hint="eastAsia" w:hAnsi="宋体" w:cs="宋体"/>
          <w:sz w:val="21"/>
          <w:szCs w:val="21"/>
          <w:u w:val="single" w:color="000000"/>
        </w:rPr>
        <w:t xml:space="preserve">    </w:t>
      </w:r>
      <w:r>
        <w:rPr>
          <w:rFonts w:hint="eastAsia" w:hAnsi="宋体" w:cs="宋体"/>
          <w:sz w:val="21"/>
          <w:szCs w:val="21"/>
        </w:rPr>
        <w:t>；</w:t>
      </w:r>
    </w:p>
    <w:p w14:paraId="66772188">
      <w:pPr>
        <w:snapToGrid w:val="0"/>
        <w:spacing w:line="360" w:lineRule="auto"/>
        <w:ind w:firstLine="420" w:firstLineChars="200"/>
        <w:textAlignment w:val="baseline"/>
        <w:rPr>
          <w:rFonts w:hAnsi="宋体" w:cs="宋体"/>
          <w:sz w:val="21"/>
          <w:szCs w:val="21"/>
        </w:rPr>
      </w:pPr>
      <w:r>
        <w:rPr>
          <w:rFonts w:hint="eastAsia" w:hAnsi="宋体" w:cs="宋体"/>
          <w:sz w:val="21"/>
          <w:szCs w:val="21"/>
        </w:rPr>
        <w:t>联系电话：</w:t>
      </w:r>
      <w:r>
        <w:rPr>
          <w:rFonts w:hint="eastAsia" w:hAnsi="宋体" w:cs="MingLiU_HKSCS"/>
          <w:sz w:val="21"/>
          <w:szCs w:val="21"/>
          <w:u w:val="single" w:color="000000"/>
        </w:rPr>
        <w:t xml:space="preserve"> </w:t>
      </w:r>
      <w:r>
        <w:rPr>
          <w:rFonts w:hint="eastAsia" w:hAnsi="宋体" w:cs="宋体"/>
          <w:sz w:val="21"/>
          <w:szCs w:val="21"/>
          <w:u w:val="single" w:color="000000"/>
        </w:rPr>
        <w:t xml:space="preserve">                                 </w:t>
      </w:r>
      <w:r>
        <w:rPr>
          <w:rFonts w:hint="eastAsia" w:hAnsi="宋体" w:cs="宋体"/>
          <w:sz w:val="21"/>
          <w:szCs w:val="21"/>
        </w:rPr>
        <w:t>；</w:t>
      </w:r>
    </w:p>
    <w:p w14:paraId="7F3165E9">
      <w:pPr>
        <w:snapToGrid w:val="0"/>
        <w:spacing w:line="360" w:lineRule="auto"/>
        <w:ind w:firstLine="420" w:firstLineChars="200"/>
        <w:textAlignment w:val="baseline"/>
        <w:rPr>
          <w:rFonts w:hAnsi="宋体" w:cs="宋体"/>
          <w:sz w:val="21"/>
          <w:szCs w:val="21"/>
        </w:rPr>
      </w:pPr>
      <w:r>
        <w:rPr>
          <w:rFonts w:hint="eastAsia" w:hAnsi="宋体" w:cs="宋体"/>
          <w:sz w:val="21"/>
          <w:szCs w:val="21"/>
        </w:rPr>
        <w:t>电子信箱：</w:t>
      </w:r>
      <w:r>
        <w:rPr>
          <w:rFonts w:hint="eastAsia" w:hAnsi="宋体" w:cs="宋体"/>
          <w:sz w:val="21"/>
          <w:szCs w:val="21"/>
          <w:u w:val="single" w:color="000000"/>
        </w:rPr>
        <w:t xml:space="preserve"> </w:t>
      </w:r>
      <w:r>
        <w:rPr>
          <w:rFonts w:hint="eastAsia" w:hAnsi="宋体" w:cs="MingLiU_HKSCS"/>
          <w:sz w:val="21"/>
          <w:szCs w:val="21"/>
          <w:u w:val="single" w:color="000000"/>
        </w:rPr>
        <w:t xml:space="preserve"> </w:t>
      </w:r>
      <w:r>
        <w:rPr>
          <w:rFonts w:hint="eastAsia" w:hAnsi="宋体" w:cs="宋体"/>
          <w:sz w:val="21"/>
          <w:szCs w:val="21"/>
          <w:u w:val="single" w:color="000000"/>
        </w:rPr>
        <w:t xml:space="preserve">                                </w:t>
      </w:r>
      <w:r>
        <w:rPr>
          <w:rFonts w:hint="eastAsia" w:hAnsi="宋体" w:cs="宋体"/>
          <w:sz w:val="21"/>
          <w:szCs w:val="21"/>
        </w:rPr>
        <w:t>；</w:t>
      </w:r>
    </w:p>
    <w:p w14:paraId="5146C673">
      <w:pPr>
        <w:snapToGrid w:val="0"/>
        <w:spacing w:line="360" w:lineRule="auto"/>
        <w:ind w:firstLine="420" w:firstLineChars="200"/>
        <w:textAlignment w:val="baseline"/>
        <w:rPr>
          <w:rFonts w:hAnsi="宋体" w:cs="宋体"/>
          <w:sz w:val="21"/>
          <w:szCs w:val="21"/>
        </w:rPr>
      </w:pPr>
      <w:r>
        <w:rPr>
          <w:rFonts w:hint="eastAsia" w:hAnsi="宋体" w:cs="宋体"/>
          <w:sz w:val="21"/>
          <w:szCs w:val="21"/>
        </w:rPr>
        <w:t>通信地址：</w:t>
      </w:r>
      <w:r>
        <w:rPr>
          <w:rFonts w:hint="eastAsia" w:hAnsi="宋体" w:cs="宋体"/>
          <w:bCs/>
          <w:sz w:val="21"/>
          <w:szCs w:val="21"/>
          <w:u w:val="single" w:color="000000"/>
        </w:rPr>
        <w:t xml:space="preserve">                               </w:t>
      </w:r>
      <w:r>
        <w:rPr>
          <w:rFonts w:hint="eastAsia" w:hAnsi="宋体" w:cs="MingLiU_HKSCS"/>
          <w:bCs/>
          <w:sz w:val="21"/>
          <w:szCs w:val="21"/>
          <w:u w:val="single" w:color="000000"/>
        </w:rPr>
        <w:t xml:space="preserve"> </w:t>
      </w:r>
      <w:r>
        <w:rPr>
          <w:rFonts w:hint="eastAsia" w:hAnsi="宋体" w:cs="宋体"/>
          <w:bCs/>
          <w:sz w:val="21"/>
          <w:szCs w:val="21"/>
          <w:u w:val="single" w:color="000000"/>
        </w:rPr>
        <w:t xml:space="preserve"> </w:t>
      </w:r>
      <w:r>
        <w:rPr>
          <w:rFonts w:hint="eastAsia" w:hAnsi="宋体" w:cs="MingLiU_HKSCS"/>
          <w:bCs/>
          <w:sz w:val="21"/>
          <w:szCs w:val="21"/>
          <w:u w:val="single" w:color="000000"/>
        </w:rPr>
        <w:t xml:space="preserve"> </w:t>
      </w:r>
      <w:r>
        <w:rPr>
          <w:rFonts w:hint="eastAsia" w:hAnsi="宋体" w:cs="宋体"/>
          <w:sz w:val="21"/>
          <w:szCs w:val="21"/>
        </w:rPr>
        <w:t>。</w:t>
      </w:r>
    </w:p>
    <w:p w14:paraId="71373F34">
      <w:pPr>
        <w:snapToGrid w:val="0"/>
        <w:spacing w:line="360" w:lineRule="auto"/>
        <w:ind w:firstLine="420" w:firstLineChars="200"/>
        <w:textAlignment w:val="baseline"/>
        <w:rPr>
          <w:rFonts w:hAnsi="宋体" w:cs="宋体"/>
          <w:b/>
          <w:bCs/>
          <w:sz w:val="21"/>
          <w:szCs w:val="21"/>
          <w:u w:val="single"/>
        </w:rPr>
      </w:pPr>
      <w:r>
        <w:rPr>
          <w:rFonts w:hint="eastAsia" w:hAnsi="宋体" w:cs="宋体"/>
          <w:sz w:val="21"/>
          <w:szCs w:val="21"/>
        </w:rPr>
        <w:t>发包人对发包人代表的授权范围如下：</w:t>
      </w:r>
      <w:r>
        <w:rPr>
          <w:rFonts w:hint="eastAsia" w:hAnsi="宋体" w:cs="宋体"/>
          <w:b/>
          <w:bCs/>
          <w:sz w:val="21"/>
          <w:szCs w:val="21"/>
          <w:u w:val="single" w:color="000000"/>
        </w:rPr>
        <w:t>代表发包方行使工程现场管理协调，对任何作为结算价款调整依据的工期、工程变更、签证单的审核，最终须经发包人盖章确认</w:t>
      </w:r>
      <w:r>
        <w:rPr>
          <w:rFonts w:hint="eastAsia" w:hAnsi="宋体" w:cs="宋体"/>
          <w:b/>
          <w:bCs/>
          <w:sz w:val="21"/>
          <w:szCs w:val="21"/>
        </w:rPr>
        <w:t>。</w:t>
      </w:r>
    </w:p>
    <w:p w14:paraId="39AE09BA">
      <w:pPr>
        <w:snapToGrid w:val="0"/>
        <w:spacing w:line="360" w:lineRule="auto"/>
        <w:ind w:firstLine="420" w:firstLineChars="200"/>
        <w:textAlignment w:val="baseline"/>
        <w:rPr>
          <w:rFonts w:hAnsi="宋体" w:cs="宋体"/>
          <w:sz w:val="21"/>
          <w:szCs w:val="21"/>
        </w:rPr>
      </w:pPr>
      <w:r>
        <w:rPr>
          <w:rFonts w:hint="eastAsia" w:hAnsi="宋体" w:cs="宋体"/>
          <w:sz w:val="21"/>
          <w:szCs w:val="21"/>
        </w:rPr>
        <w:t>2.4 施工现场、施工条件和基础资料的提供</w:t>
      </w:r>
    </w:p>
    <w:p w14:paraId="40280DC8">
      <w:pPr>
        <w:snapToGrid w:val="0"/>
        <w:spacing w:line="360" w:lineRule="auto"/>
        <w:ind w:firstLine="420" w:firstLineChars="200"/>
        <w:textAlignment w:val="baseline"/>
        <w:rPr>
          <w:rFonts w:hAnsi="宋体" w:cs="宋体"/>
          <w:sz w:val="21"/>
          <w:szCs w:val="21"/>
        </w:rPr>
      </w:pPr>
      <w:r>
        <w:rPr>
          <w:rFonts w:hint="eastAsia" w:hAnsi="宋体" w:cs="宋体"/>
          <w:sz w:val="21"/>
          <w:szCs w:val="21"/>
        </w:rPr>
        <w:t>2.4.1 提供施工现场</w:t>
      </w:r>
    </w:p>
    <w:p w14:paraId="090EB90C">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关于发包人移交施工现场的期限要求：</w:t>
      </w:r>
      <w:r>
        <w:rPr>
          <w:rFonts w:hint="eastAsia" w:hAnsi="宋体" w:cs="宋体"/>
          <w:sz w:val="21"/>
          <w:szCs w:val="21"/>
          <w:u w:val="single" w:color="000000"/>
        </w:rPr>
        <w:t xml:space="preserve"> / </w:t>
      </w:r>
    </w:p>
    <w:p w14:paraId="72496E09">
      <w:pPr>
        <w:snapToGrid w:val="0"/>
        <w:spacing w:line="360" w:lineRule="auto"/>
        <w:ind w:firstLine="420" w:firstLineChars="200"/>
        <w:textAlignment w:val="baseline"/>
        <w:rPr>
          <w:rFonts w:hAnsi="宋体" w:cs="宋体"/>
          <w:sz w:val="21"/>
          <w:szCs w:val="21"/>
        </w:rPr>
      </w:pPr>
      <w:r>
        <w:rPr>
          <w:rFonts w:hint="eastAsia" w:hAnsi="宋体" w:cs="宋体"/>
          <w:sz w:val="21"/>
          <w:szCs w:val="21"/>
        </w:rPr>
        <w:t>2.4.2 提供施工条件</w:t>
      </w:r>
    </w:p>
    <w:p w14:paraId="0C3A7C71">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关于发包人应负责提供施工所需要的条件，包括：</w:t>
      </w:r>
    </w:p>
    <w:p w14:paraId="1DC4EAF9">
      <w:pPr>
        <w:snapToGrid w:val="0"/>
        <w:spacing w:line="360" w:lineRule="auto"/>
        <w:ind w:firstLine="420" w:firstLineChars="200"/>
        <w:jc w:val="left"/>
        <w:textAlignment w:val="baseline"/>
        <w:rPr>
          <w:rFonts w:hint="eastAsia" w:hAnsi="宋体" w:cs="宋体"/>
          <w:sz w:val="21"/>
          <w:szCs w:val="21"/>
          <w:u w:val="single" w:color="000000"/>
        </w:rPr>
      </w:pPr>
      <w:r>
        <w:rPr>
          <w:rFonts w:hint="eastAsia" w:hAnsi="宋体" w:cs="宋体"/>
          <w:sz w:val="21"/>
          <w:szCs w:val="21"/>
          <w:u w:val="single" w:color="000000"/>
        </w:rPr>
        <w:t>(1)</w:t>
      </w:r>
      <w:r>
        <w:rPr>
          <w:rFonts w:hint="eastAsia" w:hAnsi="宋体" w:cs="宋体"/>
          <w:sz w:val="21"/>
          <w:szCs w:val="21"/>
          <w:u w:val="single" w:color="000000"/>
        </w:rPr>
        <w:tab/>
      </w:r>
      <w:r>
        <w:rPr>
          <w:rFonts w:hint="eastAsia" w:hAnsi="宋体" w:cs="宋体"/>
          <w:sz w:val="21"/>
          <w:szCs w:val="21"/>
          <w:u w:val="single" w:color="000000"/>
        </w:rPr>
        <w:t>施工用水、施工用电由承包人自行考虑，</w:t>
      </w:r>
      <w:r>
        <w:rPr>
          <w:rFonts w:hint="eastAsia" w:hAnsi="宋体" w:cs="宋体"/>
          <w:sz w:val="21"/>
          <w:szCs w:val="21"/>
          <w:u w:val="single" w:color="000000"/>
          <w:lang w:val="en-US" w:eastAsia="zh-CN"/>
        </w:rPr>
        <w:t>水电费用按实际发生费用（装表计量）在结算时扣除，若未装表计量的，水电费用按照结算审定价的千分之一计取，在结算时扣除</w:t>
      </w:r>
      <w:r>
        <w:rPr>
          <w:rFonts w:hint="eastAsia" w:hAnsi="宋体" w:cs="宋体"/>
          <w:sz w:val="21"/>
          <w:szCs w:val="21"/>
          <w:u w:val="single" w:color="000000"/>
        </w:rPr>
        <w:t>。电讯相关所有费用由承包人自行承担。承包人配备必要的应急发电设备保证施工的正常进行;</w:t>
      </w:r>
    </w:p>
    <w:p w14:paraId="3A902266">
      <w:pPr>
        <w:snapToGrid w:val="0"/>
        <w:spacing w:line="360" w:lineRule="auto"/>
        <w:ind w:firstLine="420" w:firstLineChars="200"/>
        <w:jc w:val="left"/>
        <w:textAlignment w:val="baseline"/>
        <w:rPr>
          <w:rFonts w:hint="eastAsia" w:hAnsi="宋体" w:cs="宋体"/>
          <w:sz w:val="21"/>
          <w:szCs w:val="21"/>
          <w:u w:val="single" w:color="000000"/>
        </w:rPr>
      </w:pPr>
      <w:r>
        <w:rPr>
          <w:rFonts w:hint="eastAsia" w:hAnsi="宋体" w:cs="宋体"/>
          <w:sz w:val="21"/>
          <w:szCs w:val="21"/>
          <w:u w:val="single" w:color="000000"/>
        </w:rPr>
        <w:t>(2)</w:t>
      </w:r>
      <w:r>
        <w:rPr>
          <w:rFonts w:hint="eastAsia" w:hAnsi="宋体" w:cs="宋体"/>
          <w:sz w:val="21"/>
          <w:szCs w:val="21"/>
          <w:u w:val="single" w:color="000000"/>
        </w:rPr>
        <w:tab/>
      </w:r>
      <w:r>
        <w:rPr>
          <w:rFonts w:hint="eastAsia" w:hAnsi="宋体" w:cs="宋体"/>
          <w:sz w:val="21"/>
          <w:szCs w:val="21"/>
          <w:u w:val="single" w:color="000000"/>
        </w:rPr>
        <w:t>交通条件： 承包人应遵守杭州市交通管理部门限制通行的有关规定;</w:t>
      </w:r>
    </w:p>
    <w:p w14:paraId="75FD947B">
      <w:pPr>
        <w:snapToGrid w:val="0"/>
        <w:spacing w:line="360" w:lineRule="auto"/>
        <w:ind w:firstLine="420" w:firstLineChars="200"/>
        <w:jc w:val="left"/>
        <w:textAlignment w:val="baseline"/>
        <w:rPr>
          <w:rFonts w:hint="eastAsia" w:hAnsi="宋体" w:cs="宋体"/>
          <w:sz w:val="21"/>
          <w:szCs w:val="21"/>
          <w:u w:val="single" w:color="000000"/>
        </w:rPr>
      </w:pPr>
      <w:r>
        <w:rPr>
          <w:rFonts w:hint="eastAsia" w:hAnsi="宋体" w:cs="宋体"/>
          <w:sz w:val="21"/>
          <w:szCs w:val="21"/>
          <w:u w:val="single" w:color="000000"/>
        </w:rPr>
        <w:t>(3)</w:t>
      </w:r>
      <w:r>
        <w:rPr>
          <w:rFonts w:hint="eastAsia" w:hAnsi="宋体" w:cs="宋体"/>
          <w:sz w:val="21"/>
          <w:szCs w:val="21"/>
          <w:u w:val="single" w:color="000000"/>
        </w:rPr>
        <w:tab/>
      </w:r>
      <w:r>
        <w:rPr>
          <w:rFonts w:hint="eastAsia" w:hAnsi="宋体" w:cs="宋体"/>
          <w:sz w:val="21"/>
          <w:szCs w:val="21"/>
          <w:u w:val="single" w:color="000000"/>
        </w:rPr>
        <w:t>开工前向承包人提交工程地质和地下管网线资料，承包人收到发包人提交的资料后7 日内对资料进行复核，逾期未提异议的，视为承包人对资料无异议。承包人需采取措施保护地下管网线，费用由承包人负责，如工程施工损坏地下管线的，由承包人承担责任。非因发包人原因，发包人向承包人提交工程地质和地下管网线资料不全的，施工过程中，承包人如发现施工场地周围可能存在资料中未反映的地下管网线的，应立即停止施工并向发包人及相关单位书面报告，待确认安全后方可施工，否则，因施工损坏地下管网线的，由承包人承担责任;</w:t>
      </w:r>
    </w:p>
    <w:p w14:paraId="1AD99D26">
      <w:pPr>
        <w:snapToGrid w:val="0"/>
        <w:spacing w:line="360" w:lineRule="auto"/>
        <w:ind w:firstLine="420" w:firstLineChars="200"/>
        <w:jc w:val="left"/>
        <w:textAlignment w:val="baseline"/>
        <w:rPr>
          <w:rFonts w:hint="eastAsia" w:hAnsi="宋体" w:cs="宋体"/>
          <w:sz w:val="21"/>
          <w:szCs w:val="21"/>
          <w:u w:val="single" w:color="000000"/>
        </w:rPr>
      </w:pPr>
      <w:r>
        <w:rPr>
          <w:rFonts w:hint="eastAsia" w:hAnsi="宋体" w:cs="宋体"/>
          <w:sz w:val="21"/>
          <w:szCs w:val="21"/>
          <w:u w:val="single" w:color="000000"/>
        </w:rPr>
        <w:t>(4)</w:t>
      </w:r>
      <w:r>
        <w:rPr>
          <w:rFonts w:hint="eastAsia" w:hAnsi="宋体" w:cs="宋体"/>
          <w:sz w:val="21"/>
          <w:szCs w:val="21"/>
          <w:u w:val="single" w:color="000000"/>
        </w:rPr>
        <w:tab/>
      </w:r>
      <w:r>
        <w:rPr>
          <w:rFonts w:hint="eastAsia" w:hAnsi="宋体" w:cs="宋体"/>
          <w:sz w:val="21"/>
          <w:szCs w:val="21"/>
          <w:u w:val="single" w:color="000000"/>
        </w:rPr>
        <w:t>施工现场周围地下管线和道路、邻近建筑物、构筑物、古树名木保护：承包人应采取切实有效措施，做好施工过程中遇到的各种管线的施工配合与协调，以及设计文件和招标资料已明确体现或说明的施工影响范围内、外的杆线、道路、已交底的现状地下管线、邻近建筑物、构筑物的保护，并由承包人承担所需的相关费用；工程施工招标范围内、外不明管线和道路、建构筑物保护费用以监理工程师签证工程量以及本合同条款精神结算，如因施工不慎造成第三方人员或房屋、设备等财产损失，一切责任由承包人承担。古树名木保护按通用合同条款约定执行。</w:t>
      </w:r>
    </w:p>
    <w:p w14:paraId="73F06E7E">
      <w:pPr>
        <w:snapToGrid w:val="0"/>
        <w:spacing w:line="360" w:lineRule="auto"/>
        <w:ind w:firstLine="420" w:firstLineChars="200"/>
        <w:jc w:val="left"/>
        <w:textAlignment w:val="baseline"/>
        <w:rPr>
          <w:rFonts w:hAnsi="宋体" w:cs="宋体"/>
          <w:sz w:val="21"/>
          <w:szCs w:val="21"/>
          <w:u w:val="single" w:color="000000"/>
        </w:rPr>
      </w:pPr>
      <w:r>
        <w:rPr>
          <w:rFonts w:hint="eastAsia" w:hAnsi="宋体" w:cs="宋体"/>
          <w:sz w:val="21"/>
          <w:szCs w:val="21"/>
          <w:u w:val="single" w:color="000000"/>
        </w:rPr>
        <w:t>(5)</w:t>
      </w:r>
      <w:r>
        <w:rPr>
          <w:rFonts w:hint="eastAsia" w:hAnsi="宋体" w:cs="宋体"/>
          <w:sz w:val="21"/>
          <w:szCs w:val="21"/>
          <w:u w:val="single" w:color="000000"/>
        </w:rPr>
        <w:tab/>
      </w:r>
      <w:r>
        <w:rPr>
          <w:rFonts w:hint="eastAsia" w:hAnsi="宋体" w:cs="宋体"/>
          <w:sz w:val="21"/>
          <w:szCs w:val="21"/>
          <w:u w:val="single" w:color="000000"/>
        </w:rPr>
        <w:t>承包人在投标前已踏勘现场，进出场通道和临时施工便道由承包人自行考虑，费用已计入报价。通道在施工期间由承包人围护，道路围护、清洁所发生的费用由承包人承担。</w:t>
      </w:r>
    </w:p>
    <w:p w14:paraId="3745D91F">
      <w:pPr>
        <w:snapToGrid w:val="0"/>
        <w:spacing w:line="360" w:lineRule="auto"/>
        <w:ind w:firstLine="420" w:firstLineChars="200"/>
        <w:textAlignment w:val="baseline"/>
        <w:rPr>
          <w:rFonts w:hAnsi="宋体" w:cs="宋体"/>
          <w:sz w:val="21"/>
          <w:szCs w:val="21"/>
        </w:rPr>
      </w:pPr>
      <w:r>
        <w:rPr>
          <w:rFonts w:hint="eastAsia" w:hAnsi="宋体" w:cs="宋体"/>
          <w:sz w:val="21"/>
          <w:szCs w:val="21"/>
        </w:rPr>
        <w:t>2.5 资金来源证明及支付担保</w:t>
      </w:r>
    </w:p>
    <w:p w14:paraId="5CF3A6EC">
      <w:pPr>
        <w:snapToGrid w:val="0"/>
        <w:spacing w:line="360" w:lineRule="auto"/>
        <w:ind w:firstLine="420" w:firstLineChars="200"/>
        <w:textAlignment w:val="baseline"/>
        <w:rPr>
          <w:rFonts w:hAnsi="宋体" w:cs="宋体"/>
          <w:sz w:val="21"/>
          <w:szCs w:val="21"/>
        </w:rPr>
      </w:pPr>
      <w:r>
        <w:rPr>
          <w:rFonts w:hint="eastAsia" w:hAnsi="宋体" w:cs="宋体"/>
          <w:sz w:val="21"/>
          <w:szCs w:val="21"/>
        </w:rPr>
        <w:t>发包人提供资金来源证明的期限要求：</w:t>
      </w:r>
      <w:r>
        <w:rPr>
          <w:rFonts w:hint="eastAsia" w:hAnsi="宋体" w:cs="MingLiU_HKSCS"/>
          <w:sz w:val="21"/>
          <w:szCs w:val="21"/>
          <w:u w:val="single" w:color="000000"/>
        </w:rPr>
        <w:t xml:space="preserve"> </w:t>
      </w:r>
      <w:r>
        <w:rPr>
          <w:rFonts w:hint="eastAsia" w:hAnsi="宋体" w:cs="宋体"/>
          <w:sz w:val="21"/>
          <w:szCs w:val="21"/>
          <w:u w:val="single" w:color="000000"/>
        </w:rPr>
        <w:t xml:space="preserve"> </w:t>
      </w:r>
      <w:r>
        <w:rPr>
          <w:rFonts w:hAnsi="宋体" w:cs="宋体"/>
          <w:sz w:val="21"/>
          <w:szCs w:val="21"/>
          <w:u w:val="single" w:color="000000"/>
        </w:rPr>
        <w:t>/</w:t>
      </w:r>
      <w:r>
        <w:rPr>
          <w:rFonts w:hint="eastAsia" w:hAnsi="宋体" w:cs="宋体"/>
          <w:sz w:val="21"/>
          <w:szCs w:val="21"/>
          <w:u w:val="single" w:color="000000"/>
        </w:rPr>
        <w:t xml:space="preserve"> </w:t>
      </w:r>
      <w:r>
        <w:rPr>
          <w:rFonts w:hint="eastAsia" w:hAnsi="宋体" w:cs="宋体"/>
          <w:sz w:val="21"/>
          <w:szCs w:val="21"/>
        </w:rPr>
        <w:t>。</w:t>
      </w:r>
    </w:p>
    <w:p w14:paraId="7F001B01">
      <w:pPr>
        <w:snapToGrid w:val="0"/>
        <w:spacing w:line="360" w:lineRule="auto"/>
        <w:ind w:firstLine="420" w:firstLineChars="200"/>
        <w:textAlignment w:val="baseline"/>
        <w:rPr>
          <w:rFonts w:hAnsi="宋体" w:cs="宋体"/>
          <w:sz w:val="21"/>
          <w:szCs w:val="21"/>
        </w:rPr>
      </w:pPr>
      <w:r>
        <w:rPr>
          <w:rFonts w:hint="eastAsia" w:hAnsi="宋体" w:cs="宋体"/>
          <w:sz w:val="21"/>
          <w:szCs w:val="21"/>
        </w:rPr>
        <w:t>发包人是否提供支付担保：</w:t>
      </w:r>
      <w:r>
        <w:rPr>
          <w:rFonts w:hint="eastAsia" w:hAnsi="宋体" w:cs="宋体"/>
          <w:sz w:val="21"/>
          <w:szCs w:val="21"/>
          <w:u w:val="single" w:color="000000"/>
        </w:rPr>
        <w:t xml:space="preserve">/  </w:t>
      </w:r>
      <w:r>
        <w:rPr>
          <w:rFonts w:hint="eastAsia" w:hAnsi="宋体" w:cs="宋体"/>
          <w:sz w:val="21"/>
          <w:szCs w:val="21"/>
        </w:rPr>
        <w:t>。</w:t>
      </w:r>
    </w:p>
    <w:p w14:paraId="683D3A86">
      <w:pPr>
        <w:snapToGrid w:val="0"/>
        <w:spacing w:line="360" w:lineRule="auto"/>
        <w:ind w:firstLine="420" w:firstLineChars="200"/>
        <w:textAlignment w:val="baseline"/>
        <w:rPr>
          <w:rFonts w:hAnsi="宋体" w:cs="宋体"/>
          <w:sz w:val="21"/>
          <w:szCs w:val="21"/>
          <w:u w:val="single"/>
        </w:rPr>
      </w:pPr>
      <w:r>
        <w:rPr>
          <w:rFonts w:hint="eastAsia" w:hAnsi="宋体" w:cs="宋体"/>
          <w:sz w:val="21"/>
          <w:szCs w:val="21"/>
        </w:rPr>
        <w:t>发包人提供支付担保的形式：</w:t>
      </w:r>
      <w:r>
        <w:rPr>
          <w:rFonts w:hint="eastAsia" w:hAnsi="宋体" w:cs="MingLiU_HKSCS"/>
          <w:sz w:val="21"/>
          <w:szCs w:val="21"/>
          <w:u w:val="single" w:color="000000"/>
        </w:rPr>
        <w:t xml:space="preserve"> </w:t>
      </w:r>
      <w:r>
        <w:rPr>
          <w:rFonts w:hint="eastAsia" w:hAnsi="宋体" w:cs="宋体"/>
          <w:sz w:val="21"/>
          <w:szCs w:val="21"/>
          <w:u w:val="single" w:color="000000"/>
        </w:rPr>
        <w:t>/</w:t>
      </w:r>
      <w:r>
        <w:rPr>
          <w:rFonts w:hint="eastAsia" w:hAnsi="宋体" w:cs="MingLiU_HKSCS"/>
          <w:sz w:val="21"/>
          <w:szCs w:val="21"/>
          <w:u w:val="single" w:color="000000"/>
        </w:rPr>
        <w:t xml:space="preserve"> </w:t>
      </w:r>
      <w:r>
        <w:rPr>
          <w:rFonts w:hint="eastAsia" w:hAnsi="宋体" w:cs="宋体"/>
          <w:sz w:val="21"/>
          <w:szCs w:val="21"/>
        </w:rPr>
        <w:t>。</w:t>
      </w:r>
    </w:p>
    <w:p w14:paraId="4F2F084E">
      <w:pPr>
        <w:snapToGrid w:val="0"/>
        <w:spacing w:line="360" w:lineRule="auto"/>
        <w:ind w:firstLine="420" w:firstLineChars="200"/>
        <w:textAlignment w:val="baseline"/>
        <w:rPr>
          <w:rFonts w:hAnsi="宋体" w:cs="宋体"/>
          <w:sz w:val="21"/>
          <w:szCs w:val="21"/>
        </w:rPr>
      </w:pPr>
      <w:bookmarkStart w:id="436" w:name="_Toc351203635"/>
      <w:r>
        <w:rPr>
          <w:rFonts w:hint="eastAsia" w:hAnsi="宋体" w:cs="宋体"/>
          <w:sz w:val="21"/>
          <w:szCs w:val="21"/>
        </w:rPr>
        <w:t>3. 承包人</w:t>
      </w:r>
      <w:bookmarkEnd w:id="436"/>
    </w:p>
    <w:p w14:paraId="69344539">
      <w:pPr>
        <w:snapToGrid w:val="0"/>
        <w:spacing w:line="360" w:lineRule="auto"/>
        <w:ind w:firstLine="420" w:firstLineChars="200"/>
        <w:textAlignment w:val="baseline"/>
        <w:rPr>
          <w:rFonts w:hAnsi="宋体" w:cs="宋体"/>
          <w:sz w:val="21"/>
          <w:szCs w:val="21"/>
        </w:rPr>
      </w:pPr>
      <w:r>
        <w:rPr>
          <w:rFonts w:hint="eastAsia" w:hAnsi="宋体" w:cs="宋体"/>
          <w:sz w:val="21"/>
          <w:szCs w:val="21"/>
        </w:rPr>
        <w:t>3.1 承包人的一般义务</w:t>
      </w:r>
    </w:p>
    <w:p w14:paraId="1CA24C00">
      <w:pPr>
        <w:snapToGrid w:val="0"/>
        <w:spacing w:line="360" w:lineRule="auto"/>
        <w:ind w:firstLine="420" w:firstLineChars="200"/>
        <w:jc w:val="left"/>
        <w:textAlignment w:val="baseline"/>
        <w:rPr>
          <w:rFonts w:hAnsi="宋体" w:cs="宋体"/>
          <w:b/>
          <w:bCs/>
          <w:sz w:val="21"/>
          <w:szCs w:val="21"/>
          <w:u w:val="single"/>
        </w:rPr>
      </w:pPr>
      <w:r>
        <w:rPr>
          <w:rFonts w:hint="eastAsia" w:hAnsi="宋体" w:cs="宋体"/>
          <w:kern w:val="0"/>
          <w:sz w:val="21"/>
          <w:szCs w:val="21"/>
        </w:rPr>
        <w:t>（</w:t>
      </w:r>
      <w:r>
        <w:rPr>
          <w:rFonts w:hAnsi="宋体" w:cs="宋体"/>
          <w:kern w:val="0"/>
          <w:sz w:val="21"/>
          <w:szCs w:val="21"/>
        </w:rPr>
        <w:t>9</w:t>
      </w:r>
      <w:r>
        <w:rPr>
          <w:rFonts w:hint="eastAsia" w:hAnsi="宋体" w:cs="宋体"/>
          <w:kern w:val="0"/>
          <w:sz w:val="21"/>
          <w:szCs w:val="21"/>
        </w:rPr>
        <w:t>）</w:t>
      </w:r>
      <w:r>
        <w:rPr>
          <w:rFonts w:hint="eastAsia" w:hAnsi="宋体" w:cs="宋体"/>
          <w:sz w:val="21"/>
          <w:szCs w:val="21"/>
        </w:rPr>
        <w:t>承包人提交的竣工资料的内容：</w:t>
      </w:r>
      <w:r>
        <w:rPr>
          <w:rFonts w:hint="eastAsia" w:hAnsi="宋体" w:cs="宋体"/>
          <w:b/>
          <w:bCs/>
          <w:sz w:val="21"/>
          <w:szCs w:val="21"/>
          <w:u w:val="single" w:color="000000"/>
        </w:rPr>
        <w:t>竣工图，竣工报告，技术复核资料，工程原始施工纪录（包括影像和相片资料）及验收签证单，材料质保书、检验签证单、材质试验报告，有关设计变更的技术资料，工程的检测数据、质量评定报告等的全部资料。按照法律规定编制竣工资料，完成竣工资料立卷及归档</w:t>
      </w:r>
      <w:r>
        <w:rPr>
          <w:rFonts w:hint="eastAsia" w:hAnsi="宋体" w:cs="宋体"/>
          <w:b/>
          <w:bCs/>
          <w:sz w:val="21"/>
          <w:szCs w:val="21"/>
        </w:rPr>
        <w:t xml:space="preserve"> 。</w:t>
      </w:r>
    </w:p>
    <w:p w14:paraId="002000AF">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承包人需要提交的竣工资料套数：</w:t>
      </w:r>
      <w:r>
        <w:rPr>
          <w:rFonts w:hint="eastAsia" w:hAnsi="宋体" w:cs="宋体"/>
          <w:b/>
          <w:bCs/>
          <w:sz w:val="21"/>
          <w:szCs w:val="21"/>
          <w:u w:val="single" w:color="000000"/>
        </w:rPr>
        <w:t xml:space="preserve">  六套  </w:t>
      </w:r>
      <w:r>
        <w:rPr>
          <w:rFonts w:hint="eastAsia" w:hAnsi="宋体" w:cs="宋体"/>
          <w:b/>
          <w:bCs/>
          <w:sz w:val="21"/>
          <w:szCs w:val="21"/>
        </w:rPr>
        <w:t>。</w:t>
      </w:r>
    </w:p>
    <w:p w14:paraId="17BB1E17">
      <w:pPr>
        <w:snapToGrid w:val="0"/>
        <w:spacing w:line="360" w:lineRule="auto"/>
        <w:ind w:firstLine="420" w:firstLineChars="200"/>
        <w:jc w:val="left"/>
        <w:textAlignment w:val="baseline"/>
        <w:rPr>
          <w:rFonts w:hAnsi="宋体" w:cs="宋体"/>
          <w:b/>
          <w:bCs/>
          <w:sz w:val="21"/>
          <w:szCs w:val="21"/>
        </w:rPr>
      </w:pPr>
      <w:r>
        <w:rPr>
          <w:rFonts w:hint="eastAsia" w:hAnsi="宋体" w:cs="宋体"/>
          <w:sz w:val="21"/>
          <w:szCs w:val="21"/>
        </w:rPr>
        <w:t>承包人提交的竣工资料的费用承担：</w:t>
      </w:r>
      <w:r>
        <w:rPr>
          <w:rFonts w:hint="eastAsia" w:hAnsi="宋体" w:cs="宋体"/>
          <w:b/>
          <w:bCs/>
          <w:sz w:val="21"/>
          <w:szCs w:val="21"/>
          <w:u w:val="single" w:color="000000"/>
        </w:rPr>
        <w:t>承包人承担</w:t>
      </w:r>
      <w:r>
        <w:rPr>
          <w:rFonts w:hint="eastAsia" w:hAnsi="宋体" w:cs="宋体"/>
          <w:b/>
          <w:bCs/>
          <w:sz w:val="21"/>
          <w:szCs w:val="21"/>
        </w:rPr>
        <w:t>。</w:t>
      </w:r>
    </w:p>
    <w:p w14:paraId="18650ADC">
      <w:pPr>
        <w:snapToGrid w:val="0"/>
        <w:spacing w:line="360" w:lineRule="auto"/>
        <w:ind w:firstLine="420" w:firstLineChars="200"/>
        <w:jc w:val="left"/>
        <w:textAlignment w:val="baseline"/>
        <w:rPr>
          <w:rFonts w:hAnsi="宋体" w:cs="宋体"/>
          <w:b/>
          <w:bCs/>
          <w:sz w:val="21"/>
          <w:szCs w:val="21"/>
        </w:rPr>
      </w:pPr>
      <w:r>
        <w:rPr>
          <w:rFonts w:hint="eastAsia" w:hAnsi="宋体" w:cs="宋体"/>
          <w:sz w:val="21"/>
          <w:szCs w:val="21"/>
        </w:rPr>
        <w:t>承包人提交的竣工资料移交时间</w:t>
      </w:r>
      <w:r>
        <w:rPr>
          <w:rFonts w:hint="eastAsia" w:hAnsi="宋体" w:cs="宋体"/>
          <w:b/>
          <w:bCs/>
          <w:sz w:val="21"/>
          <w:szCs w:val="21"/>
        </w:rPr>
        <w:t>：</w:t>
      </w:r>
      <w:r>
        <w:rPr>
          <w:rFonts w:hint="eastAsia" w:hAnsi="宋体" w:cs="宋体"/>
          <w:b/>
          <w:bCs/>
          <w:sz w:val="21"/>
          <w:szCs w:val="21"/>
          <w:u w:val="single" w:color="000000"/>
        </w:rPr>
        <w:t>竣工验收合格后28日内</w:t>
      </w:r>
      <w:r>
        <w:rPr>
          <w:rFonts w:hint="eastAsia" w:hAnsi="宋体" w:cs="宋体"/>
          <w:b/>
          <w:bCs/>
          <w:sz w:val="21"/>
          <w:szCs w:val="21"/>
        </w:rPr>
        <w:t>。</w:t>
      </w:r>
    </w:p>
    <w:p w14:paraId="35999908">
      <w:pPr>
        <w:snapToGrid w:val="0"/>
        <w:spacing w:line="360" w:lineRule="auto"/>
        <w:ind w:firstLine="420" w:firstLineChars="200"/>
        <w:jc w:val="left"/>
        <w:textAlignment w:val="baseline"/>
        <w:rPr>
          <w:rFonts w:hAnsi="宋体" w:cs="宋体"/>
          <w:b/>
          <w:bCs/>
          <w:sz w:val="21"/>
          <w:szCs w:val="21"/>
        </w:rPr>
      </w:pPr>
      <w:r>
        <w:rPr>
          <w:rFonts w:hint="eastAsia" w:hAnsi="宋体" w:cs="宋体"/>
          <w:sz w:val="21"/>
          <w:szCs w:val="21"/>
        </w:rPr>
        <w:t>承包人提交的竣工资料形式要求：</w:t>
      </w:r>
      <w:r>
        <w:rPr>
          <w:rFonts w:hint="eastAsia" w:hAnsi="宋体" w:cs="宋体"/>
          <w:b/>
          <w:bCs/>
          <w:sz w:val="21"/>
          <w:szCs w:val="21"/>
          <w:u w:val="single" w:color="000000"/>
        </w:rPr>
        <w:t xml:space="preserve"> 纸质及电子文档一份 </w:t>
      </w:r>
      <w:r>
        <w:rPr>
          <w:rFonts w:hint="eastAsia" w:hAnsi="宋体" w:cs="宋体"/>
          <w:b/>
          <w:bCs/>
          <w:sz w:val="21"/>
          <w:szCs w:val="21"/>
        </w:rPr>
        <w:t>。</w:t>
      </w:r>
    </w:p>
    <w:p w14:paraId="31E2B6A0">
      <w:pPr>
        <w:snapToGrid w:val="0"/>
        <w:spacing w:line="360" w:lineRule="auto"/>
        <w:textAlignment w:val="baseline"/>
        <w:rPr>
          <w:rFonts w:hAnsi="宋体" w:cs="宋体"/>
          <w:kern w:val="0"/>
          <w:sz w:val="21"/>
          <w:szCs w:val="21"/>
        </w:rPr>
      </w:pPr>
      <w:r>
        <w:rPr>
          <w:rFonts w:hint="eastAsia"/>
        </w:rPr>
        <w:t xml:space="preserve">   </w:t>
      </w:r>
      <w:r>
        <w:rPr>
          <w:rFonts w:hint="eastAsia" w:hAnsi="宋体" w:cs="宋体"/>
          <w:kern w:val="0"/>
          <w:sz w:val="21"/>
          <w:szCs w:val="21"/>
        </w:rPr>
        <w:t>（</w:t>
      </w:r>
      <w:r>
        <w:rPr>
          <w:rFonts w:hAnsi="宋体" w:cs="宋体"/>
          <w:kern w:val="0"/>
          <w:sz w:val="21"/>
          <w:szCs w:val="21"/>
        </w:rPr>
        <w:t>10</w:t>
      </w:r>
      <w:r>
        <w:rPr>
          <w:rFonts w:hint="eastAsia" w:hAnsi="宋体" w:cs="宋体"/>
          <w:kern w:val="0"/>
          <w:sz w:val="21"/>
          <w:szCs w:val="21"/>
        </w:rPr>
        <w:t>）承包人应履行的其他义务：</w:t>
      </w:r>
    </w:p>
    <w:p w14:paraId="6382577F">
      <w:pPr>
        <w:snapToGrid w:val="0"/>
        <w:spacing w:line="360" w:lineRule="auto"/>
        <w:ind w:firstLine="420" w:firstLineChars="200"/>
        <w:textAlignment w:val="baseline"/>
        <w:rPr>
          <w:rFonts w:hAnsi="宋体" w:cs="宋体"/>
          <w:kern w:val="0"/>
          <w:sz w:val="21"/>
          <w:szCs w:val="21"/>
          <w:u w:val="single"/>
        </w:rPr>
      </w:pPr>
      <w:r>
        <w:rPr>
          <w:rFonts w:hint="eastAsia"/>
        </w:rPr>
        <w:t>a</w:t>
      </w:r>
      <w:r>
        <w:t>.</w:t>
      </w:r>
      <w:r>
        <w:rPr>
          <w:rFonts w:hint="eastAsia" w:hAnsi="宋体" w:cs="宋体"/>
          <w:b/>
          <w:bCs/>
          <w:kern w:val="0"/>
          <w:sz w:val="21"/>
          <w:szCs w:val="21"/>
          <w:u w:val="single" w:color="000000"/>
        </w:rPr>
        <w:t>承包人完工后7天内通过预验收。竣工预验收后1个月内提交工程竣工结算资料，否则每延迟一天，向发包人支付违约金壹仟元整。</w:t>
      </w:r>
    </w:p>
    <w:p w14:paraId="228B79F2">
      <w:pPr>
        <w:snapToGrid w:val="0"/>
        <w:spacing w:line="360" w:lineRule="auto"/>
        <w:ind w:firstLine="422" w:firstLineChars="200"/>
        <w:textAlignment w:val="baseline"/>
        <w:rPr>
          <w:rFonts w:hAnsi="宋体" w:cs="宋体"/>
          <w:b/>
          <w:bCs/>
          <w:kern w:val="0"/>
          <w:sz w:val="21"/>
          <w:szCs w:val="21"/>
          <w:u w:val="single"/>
        </w:rPr>
      </w:pPr>
      <w:r>
        <w:rPr>
          <w:rFonts w:hint="eastAsia" w:hAnsi="宋体" w:cs="宋体"/>
          <w:b/>
          <w:bCs/>
          <w:kern w:val="0"/>
          <w:sz w:val="21"/>
          <w:szCs w:val="21"/>
          <w:u w:val="single" w:color="000000"/>
        </w:rPr>
        <w:t>b</w:t>
      </w:r>
      <w:r>
        <w:rPr>
          <w:rFonts w:hAnsi="宋体" w:cs="宋体"/>
          <w:b/>
          <w:bCs/>
          <w:kern w:val="0"/>
          <w:sz w:val="21"/>
          <w:szCs w:val="21"/>
          <w:u w:val="single" w:color="000000"/>
        </w:rPr>
        <w:t>.</w:t>
      </w:r>
      <w:r>
        <w:rPr>
          <w:rFonts w:hint="eastAsia" w:hAnsi="宋体" w:cs="宋体"/>
          <w:b/>
          <w:bCs/>
          <w:kern w:val="0"/>
          <w:sz w:val="21"/>
          <w:szCs w:val="21"/>
          <w:u w:val="single" w:color="000000"/>
        </w:rPr>
        <w:t xml:space="preserve"> 承包人须配合发包人、监理单位做好各类与工程相关的检查台账。</w:t>
      </w:r>
    </w:p>
    <w:p w14:paraId="64745BC7">
      <w:pPr>
        <w:snapToGrid w:val="0"/>
        <w:spacing w:line="360" w:lineRule="auto"/>
        <w:ind w:firstLine="422" w:firstLineChars="200"/>
        <w:textAlignment w:val="baseline"/>
        <w:rPr>
          <w:rFonts w:hAnsi="宋体" w:cs="宋体"/>
          <w:b/>
          <w:bCs/>
          <w:kern w:val="0"/>
          <w:sz w:val="21"/>
          <w:szCs w:val="21"/>
          <w:u w:val="single"/>
        </w:rPr>
      </w:pPr>
      <w:r>
        <w:rPr>
          <w:rFonts w:hint="eastAsia" w:hAnsi="宋体" w:cs="宋体"/>
          <w:b/>
          <w:bCs/>
          <w:kern w:val="0"/>
          <w:sz w:val="21"/>
          <w:szCs w:val="21"/>
          <w:u w:val="single" w:color="000000"/>
        </w:rPr>
        <w:t>c</w:t>
      </w:r>
      <w:r>
        <w:rPr>
          <w:rFonts w:hAnsi="宋体" w:cs="宋体"/>
          <w:b/>
          <w:bCs/>
          <w:kern w:val="0"/>
          <w:sz w:val="21"/>
          <w:szCs w:val="21"/>
          <w:u w:val="single" w:color="000000"/>
        </w:rPr>
        <w:t>.</w:t>
      </w:r>
      <w:r>
        <w:rPr>
          <w:rFonts w:hint="eastAsia" w:hAnsi="宋体" w:cs="宋体"/>
          <w:b/>
          <w:bCs/>
          <w:kern w:val="0"/>
          <w:sz w:val="21"/>
          <w:szCs w:val="21"/>
          <w:u w:val="single" w:color="000000"/>
        </w:rPr>
        <w:t>工地监理例会、协调会等会议，承包人的项目经理主要负责人必须准时到位，不得无故缺席。</w:t>
      </w:r>
    </w:p>
    <w:p w14:paraId="4325CB1C">
      <w:pPr>
        <w:snapToGrid w:val="0"/>
        <w:spacing w:line="360" w:lineRule="auto"/>
        <w:ind w:firstLine="422" w:firstLineChars="200"/>
        <w:textAlignment w:val="baseline"/>
        <w:rPr>
          <w:rFonts w:hAnsi="宋体" w:cs="宋体"/>
          <w:b/>
          <w:bCs/>
          <w:kern w:val="0"/>
          <w:sz w:val="21"/>
          <w:szCs w:val="21"/>
          <w:u w:val="single" w:color="000000"/>
        </w:rPr>
      </w:pPr>
      <w:r>
        <w:rPr>
          <w:rFonts w:hint="eastAsia" w:hAnsi="宋体" w:cs="宋体"/>
          <w:b/>
          <w:bCs/>
          <w:kern w:val="0"/>
          <w:sz w:val="21"/>
          <w:szCs w:val="21"/>
          <w:u w:val="single" w:color="000000"/>
        </w:rPr>
        <w:t>d</w:t>
      </w:r>
      <w:r>
        <w:rPr>
          <w:rFonts w:hAnsi="宋体" w:cs="宋体"/>
          <w:b/>
          <w:bCs/>
          <w:kern w:val="0"/>
          <w:sz w:val="21"/>
          <w:szCs w:val="21"/>
          <w:u w:val="single" w:color="000000"/>
        </w:rPr>
        <w:t>.</w:t>
      </w:r>
      <w:r>
        <w:rPr>
          <w:rFonts w:hint="eastAsia" w:hAnsi="宋体" w:cs="宋体"/>
          <w:b/>
          <w:bCs/>
          <w:kern w:val="0"/>
          <w:sz w:val="21"/>
          <w:szCs w:val="21"/>
          <w:u w:val="single" w:color="000000"/>
        </w:rPr>
        <w:t>承包人应当在工程开工建设前，应承诺有专项资金用于支付工程建设项目农民工工资。</w:t>
      </w:r>
    </w:p>
    <w:p w14:paraId="39BE92AC">
      <w:pPr>
        <w:snapToGrid w:val="0"/>
        <w:spacing w:line="360" w:lineRule="auto"/>
        <w:ind w:firstLine="422" w:firstLineChars="200"/>
        <w:textAlignment w:val="baseline"/>
        <w:rPr>
          <w:rFonts w:hAnsi="宋体" w:cs="宋体"/>
          <w:b/>
          <w:bCs/>
          <w:kern w:val="0"/>
          <w:sz w:val="21"/>
          <w:szCs w:val="21"/>
          <w:u w:val="single"/>
        </w:rPr>
      </w:pPr>
      <w:r>
        <w:rPr>
          <w:rFonts w:hint="eastAsia" w:hAnsi="宋体" w:cs="宋体"/>
          <w:b/>
          <w:bCs/>
          <w:kern w:val="0"/>
          <w:sz w:val="21"/>
          <w:szCs w:val="21"/>
          <w:u w:val="single" w:color="000000"/>
        </w:rPr>
        <w:t>按规定办理农民工工伤保险，保险费用按照杭政办函（2007）148号规定的公式计算。</w:t>
      </w:r>
    </w:p>
    <w:p w14:paraId="0A3F941E">
      <w:pPr>
        <w:snapToGrid w:val="0"/>
        <w:spacing w:line="360" w:lineRule="auto"/>
        <w:ind w:firstLine="422" w:firstLineChars="200"/>
        <w:textAlignment w:val="baseline"/>
        <w:rPr>
          <w:rFonts w:hAnsi="宋体" w:cs="宋体"/>
          <w:b/>
          <w:bCs/>
          <w:kern w:val="0"/>
          <w:sz w:val="21"/>
          <w:szCs w:val="21"/>
          <w:u w:val="single"/>
        </w:rPr>
      </w:pPr>
      <w:r>
        <w:rPr>
          <w:rFonts w:hint="eastAsia" w:hAnsi="宋体" w:cs="宋体"/>
          <w:b/>
          <w:bCs/>
          <w:kern w:val="0"/>
          <w:sz w:val="21"/>
          <w:szCs w:val="21"/>
          <w:u w:val="single" w:color="000000"/>
        </w:rPr>
        <w:t>e</w:t>
      </w:r>
      <w:r>
        <w:rPr>
          <w:rFonts w:hAnsi="宋体" w:cs="宋体"/>
          <w:b/>
          <w:bCs/>
          <w:kern w:val="0"/>
          <w:sz w:val="21"/>
          <w:szCs w:val="21"/>
          <w:u w:val="single" w:color="000000"/>
        </w:rPr>
        <w:t>.</w:t>
      </w:r>
      <w:r>
        <w:rPr>
          <w:rFonts w:hint="eastAsia" w:hAnsi="宋体" w:cs="宋体"/>
          <w:b/>
          <w:bCs/>
          <w:kern w:val="0"/>
          <w:sz w:val="21"/>
          <w:szCs w:val="21"/>
          <w:u w:val="single" w:color="000000"/>
        </w:rPr>
        <w:t>承包人须完成被杭州市城管办数字城管抄告的整改项目，若整改原因由承包人造成，则费用由承包人自行承担，若整改非承包人原因造成，则费用由发包人代表及监理签证后由发包人支付，但若承包人不按有关要求进行整改，或超出规定整改期限的，发包人每发现一次将按5000元/次要求承包人支付违约金。</w:t>
      </w:r>
    </w:p>
    <w:p w14:paraId="7B9F889B">
      <w:pPr>
        <w:snapToGrid w:val="0"/>
        <w:spacing w:line="360" w:lineRule="auto"/>
        <w:ind w:firstLine="422" w:firstLineChars="200"/>
        <w:textAlignment w:val="baseline"/>
        <w:rPr>
          <w:rFonts w:hint="eastAsia" w:hAnsi="宋体" w:cs="宋体"/>
          <w:b/>
          <w:bCs/>
          <w:kern w:val="0"/>
          <w:sz w:val="21"/>
          <w:szCs w:val="21"/>
          <w:u w:val="single" w:color="000000"/>
        </w:rPr>
      </w:pPr>
      <w:r>
        <w:rPr>
          <w:rFonts w:hint="eastAsia" w:hAnsi="宋体" w:cs="宋体"/>
          <w:b/>
          <w:bCs/>
          <w:kern w:val="0"/>
          <w:sz w:val="21"/>
          <w:szCs w:val="21"/>
          <w:u w:val="single" w:color="000000"/>
        </w:rPr>
        <w:t>f</w:t>
      </w:r>
      <w:r>
        <w:rPr>
          <w:rFonts w:hAnsi="宋体" w:cs="宋体"/>
          <w:b/>
          <w:bCs/>
          <w:kern w:val="0"/>
          <w:sz w:val="21"/>
          <w:szCs w:val="21"/>
          <w:u w:val="single" w:color="000000"/>
        </w:rPr>
        <w:t>.</w:t>
      </w:r>
      <w:r>
        <w:rPr>
          <w:rFonts w:hint="eastAsia" w:hAnsi="宋体" w:cs="宋体"/>
          <w:b/>
          <w:bCs/>
          <w:kern w:val="0"/>
          <w:sz w:val="21"/>
          <w:szCs w:val="21"/>
          <w:u w:val="single" w:color="000000"/>
        </w:rPr>
        <w:t>承包人应根据相关文件要求施工现场根据实际情况安装在线监测系统（必须包括扬尘实时监控设备），费用由承包人承担，如果承包人拒不安装，发包人有权自行安装，费用由承包人承担。</w:t>
      </w:r>
    </w:p>
    <w:p w14:paraId="3F3020CA">
      <w:pPr>
        <w:snapToGrid w:val="0"/>
        <w:spacing w:line="360" w:lineRule="auto"/>
        <w:ind w:left="5" w:firstLine="422" w:firstLineChars="200"/>
        <w:textAlignment w:val="baseline"/>
        <w:rPr>
          <w:rFonts w:hAnsi="宋体" w:cs="宋体"/>
          <w:b/>
          <w:bCs/>
          <w:kern w:val="0"/>
          <w:sz w:val="21"/>
          <w:szCs w:val="21"/>
          <w:u w:val="single" w:color="000000"/>
        </w:rPr>
      </w:pPr>
      <w:r>
        <w:rPr>
          <w:rFonts w:hint="eastAsia" w:hAnsi="宋体" w:cs="宋体"/>
          <w:b/>
          <w:bCs/>
          <w:kern w:val="0"/>
          <w:sz w:val="21"/>
          <w:szCs w:val="21"/>
          <w:u w:val="single" w:color="000000"/>
        </w:rPr>
        <w:t>g</w:t>
      </w:r>
      <w:r>
        <w:rPr>
          <w:rFonts w:hAnsi="宋体" w:cs="宋体"/>
          <w:b/>
          <w:bCs/>
          <w:kern w:val="0"/>
          <w:sz w:val="21"/>
          <w:szCs w:val="21"/>
          <w:u w:val="single" w:color="000000"/>
        </w:rPr>
        <w:t>.</w:t>
      </w:r>
      <w:r>
        <w:rPr>
          <w:rFonts w:hint="eastAsia" w:hAnsi="宋体" w:cs="宋体"/>
          <w:b/>
          <w:bCs/>
          <w:kern w:val="0"/>
          <w:sz w:val="21"/>
          <w:szCs w:val="21"/>
          <w:u w:val="single" w:color="000000"/>
        </w:rPr>
        <w:t>施工现场准备满足开工条件的，如因承包人原因无法按期完成的，每延误一天向发包人支付1000元违约金。项目开工后，承包人须在每周一向发包人提交每周工作计划，由发包人每周根据实际完成情况核对，如因承包人原因无法按期完成的，发包人有权要求承包人按照1000元/次支付违约金。</w:t>
      </w:r>
    </w:p>
    <w:p w14:paraId="6D8A9F1E">
      <w:pPr>
        <w:snapToGrid w:val="0"/>
        <w:spacing w:line="360" w:lineRule="auto"/>
        <w:ind w:left="5" w:firstLine="422" w:firstLineChars="200"/>
        <w:textAlignment w:val="baseline"/>
        <w:rPr>
          <w:rFonts w:hAnsi="宋体" w:cs="宋体"/>
          <w:b/>
          <w:bCs/>
          <w:kern w:val="0"/>
          <w:sz w:val="21"/>
          <w:szCs w:val="21"/>
          <w:u w:val="single" w:color="000000"/>
        </w:rPr>
      </w:pPr>
      <w:r>
        <w:rPr>
          <w:rFonts w:hint="eastAsia" w:hAnsi="宋体" w:cs="宋体"/>
          <w:b/>
          <w:bCs/>
          <w:kern w:val="0"/>
          <w:sz w:val="21"/>
          <w:szCs w:val="21"/>
          <w:u w:val="single" w:color="000000"/>
        </w:rPr>
        <w:t>h</w:t>
      </w:r>
      <w:r>
        <w:rPr>
          <w:rFonts w:hAnsi="宋体" w:cs="宋体"/>
          <w:b/>
          <w:bCs/>
          <w:kern w:val="0"/>
          <w:sz w:val="21"/>
          <w:szCs w:val="21"/>
          <w:u w:val="single" w:color="000000"/>
        </w:rPr>
        <w:t>.</w:t>
      </w:r>
      <w:r>
        <w:rPr>
          <w:rFonts w:hint="eastAsia" w:hAnsi="宋体" w:cs="宋体"/>
          <w:b/>
          <w:bCs/>
          <w:kern w:val="0"/>
          <w:sz w:val="21"/>
          <w:szCs w:val="21"/>
          <w:u w:val="single" w:color="000000"/>
        </w:rPr>
        <w:t>承包人应编制突发性事件处理专项方案。若施工现场发生重大交通事故、重大火灾事故、重大自然灾害事故、重大暴力性刑事案件、重大治安案件等突发性事件，要求立即上报并按照专项方案进行处理，由承包人承担所有损失。如承包人未按照专项方案及时处理，属于合同重大违约，发包人有权单方解除本合同，造成的一切损失由承包人承担。</w:t>
      </w:r>
    </w:p>
    <w:p w14:paraId="158FE2B9">
      <w:pPr>
        <w:snapToGrid w:val="0"/>
        <w:spacing w:line="360" w:lineRule="auto"/>
        <w:ind w:left="5" w:firstLine="422" w:firstLineChars="200"/>
        <w:textAlignment w:val="baseline"/>
        <w:rPr>
          <w:rFonts w:hAnsi="宋体" w:cs="宋体"/>
          <w:b/>
          <w:bCs/>
          <w:kern w:val="0"/>
          <w:sz w:val="21"/>
          <w:szCs w:val="21"/>
          <w:u w:val="single" w:color="000000"/>
        </w:rPr>
      </w:pPr>
      <w:r>
        <w:rPr>
          <w:rFonts w:hint="eastAsia" w:hAnsi="宋体" w:cs="宋体"/>
          <w:b/>
          <w:bCs/>
          <w:kern w:val="0"/>
          <w:sz w:val="21"/>
          <w:szCs w:val="21"/>
          <w:u w:val="single" w:color="000000"/>
        </w:rPr>
        <w:t>i</w:t>
      </w:r>
      <w:r>
        <w:rPr>
          <w:rFonts w:hAnsi="宋体" w:cs="宋体"/>
          <w:b/>
          <w:bCs/>
          <w:kern w:val="0"/>
          <w:sz w:val="21"/>
          <w:szCs w:val="21"/>
          <w:u w:val="single" w:color="000000"/>
        </w:rPr>
        <w:t>.</w:t>
      </w:r>
      <w:r>
        <w:rPr>
          <w:rFonts w:hint="eastAsia" w:hAnsi="宋体" w:cs="宋体"/>
          <w:b/>
          <w:bCs/>
          <w:kern w:val="0"/>
          <w:sz w:val="21"/>
          <w:szCs w:val="21"/>
          <w:u w:val="single" w:color="000000"/>
        </w:rPr>
        <w:t>根据相关职能部门及规范要求由承包人负责施工场地周围邻近建筑物、构筑物（含文物保护建筑）、古树名木的保护并承担相关费用，因承包人原因损坏的，由承包人承担一切责任和费用。</w:t>
      </w:r>
    </w:p>
    <w:p w14:paraId="130BA86C">
      <w:pPr>
        <w:snapToGrid w:val="0"/>
        <w:spacing w:line="360" w:lineRule="auto"/>
        <w:ind w:left="5" w:firstLine="422" w:firstLineChars="200"/>
        <w:textAlignment w:val="baseline"/>
        <w:rPr>
          <w:rFonts w:hAnsi="宋体" w:cs="宋体"/>
          <w:b/>
          <w:bCs/>
          <w:kern w:val="0"/>
          <w:sz w:val="21"/>
          <w:szCs w:val="21"/>
          <w:u w:val="single" w:color="000000"/>
        </w:rPr>
      </w:pPr>
      <w:r>
        <w:rPr>
          <w:rFonts w:hint="eastAsia" w:hAnsi="宋体" w:cs="宋体"/>
          <w:b/>
          <w:bCs/>
          <w:kern w:val="0"/>
          <w:sz w:val="21"/>
          <w:szCs w:val="21"/>
          <w:u w:val="single" w:color="000000"/>
        </w:rPr>
        <w:t>j</w:t>
      </w:r>
      <w:r>
        <w:rPr>
          <w:rFonts w:hAnsi="宋体" w:cs="宋体"/>
          <w:b/>
          <w:bCs/>
          <w:kern w:val="0"/>
          <w:sz w:val="21"/>
          <w:szCs w:val="21"/>
          <w:u w:val="single" w:color="000000"/>
        </w:rPr>
        <w:t>.</w:t>
      </w:r>
      <w:r>
        <w:rPr>
          <w:rFonts w:hint="eastAsia" w:hAnsi="宋体" w:cs="宋体"/>
          <w:b/>
          <w:bCs/>
          <w:kern w:val="0"/>
          <w:sz w:val="21"/>
          <w:szCs w:val="21"/>
          <w:u w:val="single" w:color="000000"/>
        </w:rPr>
        <w:t>承包人应了解邻近建筑物、构筑物、道路、设施、设备的基础、结构状况，地下管线、隧道、管沟、高低压电缆线等的埋设情况，采取合理的施工方法和有效的加固措施，避免邻近建筑物、构筑物、道路、设施、设备等发生沉降、开裂和倒塌或塌陷。承包人应把邻近建筑物、构筑物、道路、设施、设备、地下管线、隧道、管沟、高低压电缆线等的保护措施列入施工组织设计。在工程施工期间，严密注视邻近建筑物、构筑物、道路、设施、设备、地下管线、隧道、管沟、高低压电缆线等的位移和沉降等； 对周边的建筑物、构筑物、道路、设施、设备、地下管线、隧道、管沟、高低压电缆线等有特殊要求的，承包人根据相关单位要求委托有相应资质的单位做好实时监测和检测工作，期间产生的费用，承包人在施工措施费中一并考虑，发包人不再单独支付。承包人在施工过程中造成邻近建筑物、构筑物、道路、设施、设备、地下管线、隧道、管沟、高低压电缆线等损坏的，应由承包人负责加以修复并赔偿，直至符合发包人及相关部门的要求，即使承包人采取的保护措施已得到监理工程师的批准，承包人仍负全部责任。如承包人对在施工过程中造成邻近建筑物、构筑物、道路、设施、设备、地下管线、隧道、管沟、高低压电缆线等损坏不加以修复和/或赔偿的，发包人有权指派他人完成修复工作，发生的费用可以从应支付给承包人的款项中扣除。</w:t>
      </w:r>
    </w:p>
    <w:p w14:paraId="65DA8E69">
      <w:pPr>
        <w:snapToGrid w:val="0"/>
        <w:spacing w:line="360" w:lineRule="auto"/>
        <w:ind w:firstLine="422" w:firstLineChars="200"/>
        <w:textAlignment w:val="baseline"/>
        <w:rPr>
          <w:rFonts w:hAnsi="宋体" w:cs="宋体"/>
          <w:b/>
          <w:bCs/>
          <w:kern w:val="0"/>
          <w:sz w:val="21"/>
          <w:szCs w:val="21"/>
          <w:u w:val="single" w:color="000000"/>
        </w:rPr>
      </w:pPr>
      <w:r>
        <w:rPr>
          <w:rFonts w:hint="eastAsia" w:hAnsi="宋体" w:cs="宋体"/>
          <w:b/>
          <w:bCs/>
          <w:kern w:val="0"/>
          <w:sz w:val="21"/>
          <w:szCs w:val="21"/>
          <w:u w:val="single" w:color="000000"/>
        </w:rPr>
        <w:t>承包人不得随意砍伐、搬迁和破坏树木。（除发包人许可外）对资料和现场已明确的施工场地周围地下管线和邻近建筑物、构筑物（含文物保护建筑）、古树名木的保护费均由承包人负责，费用已包含在合同价款中。</w:t>
      </w:r>
    </w:p>
    <w:p w14:paraId="2E17C030">
      <w:pPr>
        <w:snapToGrid w:val="0"/>
        <w:spacing w:line="360" w:lineRule="auto"/>
        <w:ind w:left="5" w:firstLine="422" w:firstLineChars="200"/>
        <w:textAlignment w:val="baseline"/>
        <w:rPr>
          <w:rFonts w:hAnsi="宋体" w:cs="宋体"/>
          <w:b/>
          <w:bCs/>
          <w:kern w:val="0"/>
          <w:sz w:val="21"/>
          <w:szCs w:val="21"/>
          <w:u w:val="single" w:color="000000"/>
        </w:rPr>
      </w:pPr>
      <w:r>
        <w:rPr>
          <w:rFonts w:hint="eastAsia" w:hAnsi="宋体" w:cs="宋体"/>
          <w:b/>
          <w:bCs/>
          <w:kern w:val="0"/>
          <w:sz w:val="21"/>
          <w:szCs w:val="21"/>
          <w:u w:val="single" w:color="000000"/>
        </w:rPr>
        <w:t>k</w:t>
      </w:r>
      <w:r>
        <w:rPr>
          <w:rFonts w:hAnsi="宋体" w:cs="宋体"/>
          <w:b/>
          <w:bCs/>
          <w:kern w:val="0"/>
          <w:sz w:val="21"/>
          <w:szCs w:val="21"/>
          <w:u w:val="single" w:color="000000"/>
        </w:rPr>
        <w:t>.</w:t>
      </w:r>
      <w:r>
        <w:rPr>
          <w:rFonts w:hint="eastAsia" w:hAnsi="宋体" w:cs="宋体"/>
          <w:b/>
          <w:bCs/>
          <w:kern w:val="0"/>
          <w:sz w:val="21"/>
          <w:szCs w:val="21"/>
          <w:u w:val="single" w:color="000000"/>
        </w:rPr>
        <w:t>承包人负责施工场地内水电管网（线路）铺设及其设施，并严格按供水、供电的有关规定执行，否则一切后果均由承包人负责。如施工时需对管道、管沟等进行挖除，承包人应事先征得产权单位同意后才能实施，并进行封堵处理，以避免泥浆、水泥、混凝土等倒灌进现有管道导致堵塞等情况的发生。若发生管道堵塞的情况，由承包人自行疏通并承担全部责任。承包人只有在准确确定了现场的管线并经发包人、监理单位核实之后才能进行挖土作业，须采取预防措施以避免在施工过程中损坏地下管线，如因施工造成管线的损坏由承包人负全责。</w:t>
      </w:r>
    </w:p>
    <w:p w14:paraId="0B31C152">
      <w:pPr>
        <w:snapToGrid w:val="0"/>
        <w:spacing w:line="360" w:lineRule="auto"/>
        <w:ind w:left="5" w:firstLine="422" w:firstLineChars="200"/>
        <w:textAlignment w:val="baseline"/>
        <w:rPr>
          <w:rFonts w:hAnsi="宋体" w:cs="宋体"/>
          <w:b/>
          <w:bCs/>
          <w:kern w:val="0"/>
          <w:sz w:val="21"/>
          <w:szCs w:val="21"/>
          <w:u w:val="single" w:color="000000"/>
        </w:rPr>
      </w:pPr>
      <w:r>
        <w:rPr>
          <w:rFonts w:hint="eastAsia" w:hAnsi="宋体" w:cs="宋体"/>
          <w:b/>
          <w:bCs/>
          <w:kern w:val="0"/>
          <w:sz w:val="21"/>
          <w:szCs w:val="21"/>
          <w:u w:val="single" w:color="000000"/>
        </w:rPr>
        <w:t>l</w:t>
      </w:r>
      <w:r>
        <w:rPr>
          <w:rFonts w:hAnsi="宋体" w:cs="宋体"/>
          <w:b/>
          <w:bCs/>
          <w:kern w:val="0"/>
          <w:sz w:val="21"/>
          <w:szCs w:val="21"/>
          <w:u w:val="single" w:color="000000"/>
        </w:rPr>
        <w:t>.</w:t>
      </w:r>
      <w:r>
        <w:rPr>
          <w:rFonts w:hint="eastAsia" w:hAnsi="宋体" w:cs="宋体"/>
          <w:b/>
          <w:bCs/>
          <w:kern w:val="0"/>
          <w:sz w:val="21"/>
          <w:szCs w:val="21"/>
          <w:u w:val="single" w:color="000000"/>
        </w:rPr>
        <w:t>承包人在施工过程中，应负责与周边厂房、单位、社区村委、居民的协调及负责所有的施工程序及过程得到政府相关职能部门的许可，由此引起的任何工期与费用索赔将不获得批准，并承担相应违约责任。</w:t>
      </w:r>
    </w:p>
    <w:p w14:paraId="502FADB9">
      <w:pPr>
        <w:snapToGrid w:val="0"/>
        <w:spacing w:line="360" w:lineRule="auto"/>
        <w:ind w:left="5" w:firstLine="422" w:firstLineChars="200"/>
        <w:textAlignment w:val="baseline"/>
        <w:rPr>
          <w:rFonts w:hAnsi="宋体" w:cs="宋体"/>
          <w:b/>
          <w:bCs/>
          <w:kern w:val="0"/>
          <w:sz w:val="21"/>
          <w:szCs w:val="21"/>
          <w:u w:val="single" w:color="000000"/>
        </w:rPr>
      </w:pPr>
      <w:r>
        <w:rPr>
          <w:rFonts w:hint="eastAsia" w:hAnsi="宋体" w:cs="宋体"/>
          <w:b/>
          <w:bCs/>
          <w:kern w:val="0"/>
          <w:sz w:val="21"/>
          <w:szCs w:val="21"/>
          <w:u w:val="single" w:color="000000"/>
        </w:rPr>
        <w:t>m</w:t>
      </w:r>
      <w:r>
        <w:rPr>
          <w:rFonts w:hAnsi="宋体" w:cs="宋体"/>
          <w:b/>
          <w:bCs/>
          <w:kern w:val="0"/>
          <w:sz w:val="21"/>
          <w:szCs w:val="21"/>
          <w:u w:val="single" w:color="000000"/>
        </w:rPr>
        <w:t>.</w:t>
      </w:r>
      <w:r>
        <w:rPr>
          <w:rFonts w:hint="eastAsia" w:hAnsi="宋体" w:cs="宋体"/>
          <w:b/>
          <w:bCs/>
          <w:kern w:val="0"/>
          <w:sz w:val="21"/>
          <w:szCs w:val="21"/>
          <w:u w:val="single" w:color="000000"/>
        </w:rPr>
        <w:t>在暴雨（雪）、台风等突发自然灾害发生时，承包方应及时抢险、抗台（雨、雪），做到“开工有预案，事前有准备，事发及时果断处理”；抢险需配备的机械设备费用，已包含在合同价款中，由承包人承担。</w:t>
      </w:r>
    </w:p>
    <w:p w14:paraId="64CDE948">
      <w:pPr>
        <w:snapToGrid w:val="0"/>
        <w:spacing w:line="360" w:lineRule="auto"/>
        <w:ind w:left="5" w:firstLine="422" w:firstLineChars="200"/>
        <w:textAlignment w:val="baseline"/>
        <w:rPr>
          <w:rFonts w:hAnsi="宋体" w:cs="宋体"/>
          <w:b/>
          <w:bCs/>
          <w:kern w:val="0"/>
          <w:sz w:val="21"/>
          <w:szCs w:val="21"/>
          <w:u w:val="single" w:color="000000"/>
        </w:rPr>
      </w:pPr>
      <w:r>
        <w:rPr>
          <w:rFonts w:hint="eastAsia" w:hAnsi="宋体" w:cs="宋体"/>
          <w:b/>
          <w:bCs/>
          <w:kern w:val="0"/>
          <w:sz w:val="21"/>
          <w:szCs w:val="21"/>
          <w:u w:val="single" w:color="000000"/>
        </w:rPr>
        <w:t>n</w:t>
      </w:r>
      <w:r>
        <w:rPr>
          <w:rFonts w:hAnsi="宋体" w:cs="宋体"/>
          <w:b/>
          <w:bCs/>
          <w:kern w:val="0"/>
          <w:sz w:val="21"/>
          <w:szCs w:val="21"/>
          <w:u w:val="single" w:color="000000"/>
        </w:rPr>
        <w:t>.</w:t>
      </w:r>
      <w:r>
        <w:rPr>
          <w:rFonts w:hint="eastAsia" w:hAnsi="宋体" w:cs="宋体"/>
          <w:b/>
          <w:bCs/>
          <w:kern w:val="0"/>
          <w:sz w:val="21"/>
          <w:szCs w:val="21"/>
          <w:u w:val="single" w:color="000000"/>
        </w:rPr>
        <w:t>从工程进场之日起到工程移交发包人止，安排专人配合发包人处理工程范围内所有投诉、信访、行政处罚、司法诉讼等从工程开工至竣工验收交付的相关事项,数字城管及时解决率应达到100%。承包单位须在相关数字城管投诉要求期间内完成相关整改内容，费用由承包人自行承担，未在规定时间内整改的，发包人有权委托其他人整改，因此产生的整改费用由承包人承担，发包人有权从应支付给承包人的款项中扣除。</w:t>
      </w:r>
    </w:p>
    <w:p w14:paraId="0CF861FA">
      <w:pPr>
        <w:snapToGrid w:val="0"/>
        <w:spacing w:line="360" w:lineRule="auto"/>
        <w:ind w:left="5" w:firstLine="422" w:firstLineChars="200"/>
        <w:textAlignment w:val="baseline"/>
        <w:rPr>
          <w:rFonts w:hAnsi="宋体" w:cs="宋体"/>
          <w:b/>
          <w:bCs/>
          <w:kern w:val="0"/>
          <w:sz w:val="21"/>
          <w:szCs w:val="21"/>
          <w:u w:val="single" w:color="000000"/>
        </w:rPr>
      </w:pPr>
      <w:r>
        <w:rPr>
          <w:rFonts w:hint="eastAsia" w:hAnsi="宋体" w:cs="宋体"/>
          <w:b/>
          <w:bCs/>
          <w:kern w:val="0"/>
          <w:sz w:val="21"/>
          <w:szCs w:val="21"/>
          <w:u w:val="single" w:color="000000"/>
        </w:rPr>
        <w:t>o</w:t>
      </w:r>
      <w:r>
        <w:rPr>
          <w:rFonts w:hAnsi="宋体" w:cs="宋体"/>
          <w:b/>
          <w:bCs/>
          <w:kern w:val="0"/>
          <w:sz w:val="21"/>
          <w:szCs w:val="21"/>
          <w:u w:val="single" w:color="000000"/>
        </w:rPr>
        <w:t>.</w:t>
      </w:r>
      <w:r>
        <w:rPr>
          <w:rFonts w:hint="eastAsia" w:hAnsi="宋体" w:cs="宋体"/>
          <w:b/>
          <w:bCs/>
          <w:kern w:val="0"/>
          <w:sz w:val="21"/>
          <w:szCs w:val="21"/>
          <w:u w:val="single" w:color="000000"/>
        </w:rPr>
        <w:t>承包人应严格按照相关要求组织施工，遵守工程建设安全文明施工的有关规定，认真落实各项安全保护措施，并随时接受发包人或监理单位及有关部门的监督检查；并根据相关规范规定的要求，承包人应根据发包人现场管理要求办理进场手续和对进入施工现场的施工人员进行安全文明教育，统一着装并持证上岗，配备必要的劳动保护用具，保证工程的施工安全和人身安全。因承包人未按上述要求给发包人造成损失的，由承包人负责赔偿。</w:t>
      </w:r>
    </w:p>
    <w:p w14:paraId="28086F27">
      <w:pPr>
        <w:pStyle w:val="5"/>
        <w:rPr>
          <w:rFonts w:hint="eastAsia"/>
        </w:rPr>
      </w:pPr>
    </w:p>
    <w:p w14:paraId="24C92B07">
      <w:pPr>
        <w:snapToGrid w:val="0"/>
        <w:spacing w:line="360" w:lineRule="auto"/>
        <w:ind w:firstLine="420" w:firstLineChars="200"/>
        <w:textAlignment w:val="baseline"/>
        <w:rPr>
          <w:rFonts w:hAnsi="宋体" w:cs="宋体"/>
          <w:sz w:val="21"/>
          <w:szCs w:val="21"/>
        </w:rPr>
      </w:pPr>
      <w:r>
        <w:rPr>
          <w:rFonts w:hint="eastAsia" w:hAnsi="宋体" w:cs="宋体"/>
          <w:sz w:val="21"/>
          <w:szCs w:val="21"/>
        </w:rPr>
        <w:t>3.2 项目经理</w:t>
      </w:r>
    </w:p>
    <w:p w14:paraId="6B6FF335">
      <w:pPr>
        <w:snapToGrid w:val="0"/>
        <w:spacing w:line="360" w:lineRule="auto"/>
        <w:ind w:firstLine="420" w:firstLineChars="200"/>
        <w:textAlignment w:val="baseline"/>
        <w:rPr>
          <w:rFonts w:hAnsi="宋体" w:cs="宋体"/>
          <w:sz w:val="21"/>
          <w:szCs w:val="21"/>
        </w:rPr>
      </w:pPr>
      <w:r>
        <w:rPr>
          <w:rFonts w:hint="eastAsia" w:hAnsi="宋体" w:cs="宋体"/>
          <w:kern w:val="0"/>
          <w:sz w:val="21"/>
          <w:szCs w:val="21"/>
        </w:rPr>
        <w:t xml:space="preserve">3.2.1 </w:t>
      </w:r>
      <w:r>
        <w:rPr>
          <w:rFonts w:hint="eastAsia" w:hAnsi="宋体" w:cs="宋体"/>
          <w:sz w:val="21"/>
          <w:szCs w:val="21"/>
        </w:rPr>
        <w:t>项目经理：</w:t>
      </w:r>
    </w:p>
    <w:p w14:paraId="0C706B8D">
      <w:pPr>
        <w:snapToGrid w:val="0"/>
        <w:spacing w:line="360" w:lineRule="auto"/>
        <w:ind w:firstLine="420" w:firstLineChars="200"/>
        <w:textAlignment w:val="baseline"/>
        <w:rPr>
          <w:rFonts w:hAnsi="宋体" w:cs="宋体"/>
          <w:sz w:val="21"/>
          <w:szCs w:val="21"/>
        </w:rPr>
      </w:pPr>
      <w:r>
        <w:rPr>
          <w:rFonts w:hint="eastAsia" w:hAnsi="宋体" w:cs="宋体"/>
          <w:sz w:val="21"/>
          <w:szCs w:val="21"/>
        </w:rPr>
        <w:t>姓    名：</w:t>
      </w:r>
      <w:r>
        <w:rPr>
          <w:rFonts w:hint="eastAsia" w:hAnsi="宋体" w:cs="宋体"/>
          <w:sz w:val="21"/>
          <w:szCs w:val="21"/>
          <w:u w:val="single" w:color="000000"/>
        </w:rPr>
        <w:t xml:space="preserve">  </w:t>
      </w:r>
      <w:r>
        <w:rPr>
          <w:rFonts w:hint="eastAsia"/>
          <w:sz w:val="21"/>
          <w:szCs w:val="21"/>
          <w:u w:val="single"/>
        </w:rPr>
        <w:t xml:space="preserve"> </w:t>
      </w:r>
      <w:r>
        <w:rPr>
          <w:sz w:val="21"/>
          <w:szCs w:val="21"/>
          <w:u w:val="single"/>
        </w:rPr>
        <w:t xml:space="preserve">    </w:t>
      </w:r>
      <w:r>
        <w:rPr>
          <w:rFonts w:hint="eastAsia" w:hAnsi="宋体" w:cs="宋体"/>
          <w:sz w:val="21"/>
          <w:szCs w:val="21"/>
          <w:u w:val="single" w:color="000000"/>
        </w:rPr>
        <w:t xml:space="preserve"> </w:t>
      </w:r>
      <w:r>
        <w:rPr>
          <w:rFonts w:hint="eastAsia" w:hAnsi="宋体" w:cs="MingLiU_HKSCS"/>
          <w:sz w:val="21"/>
          <w:szCs w:val="21"/>
          <w:u w:val="single" w:color="000000"/>
        </w:rPr>
        <w:t xml:space="preserve"> </w:t>
      </w:r>
      <w:r>
        <w:rPr>
          <w:rFonts w:hint="eastAsia" w:hAnsi="宋体" w:cs="宋体"/>
          <w:sz w:val="21"/>
          <w:szCs w:val="21"/>
        </w:rPr>
        <w:t>；</w:t>
      </w:r>
    </w:p>
    <w:p w14:paraId="624B3F76">
      <w:pPr>
        <w:snapToGrid w:val="0"/>
        <w:spacing w:line="360" w:lineRule="auto"/>
        <w:ind w:firstLine="420" w:firstLineChars="200"/>
        <w:textAlignment w:val="baseline"/>
        <w:rPr>
          <w:rFonts w:hAnsi="宋体" w:cs="宋体"/>
          <w:sz w:val="21"/>
          <w:szCs w:val="21"/>
        </w:rPr>
      </w:pPr>
      <w:r>
        <w:rPr>
          <w:rFonts w:hint="eastAsia" w:hAnsi="宋体" w:cs="宋体"/>
          <w:sz w:val="21"/>
          <w:szCs w:val="21"/>
        </w:rPr>
        <w:t>身份证号：</w:t>
      </w:r>
      <w:r>
        <w:rPr>
          <w:rFonts w:hint="eastAsia" w:hAnsi="宋体" w:cs="宋体"/>
          <w:sz w:val="21"/>
          <w:szCs w:val="21"/>
          <w:u w:val="single" w:color="000000"/>
        </w:rPr>
        <w:t xml:space="preserve">  </w:t>
      </w:r>
      <w:r>
        <w:rPr>
          <w:rFonts w:hAnsi="宋体" w:cs="宋体"/>
          <w:sz w:val="21"/>
          <w:szCs w:val="21"/>
          <w:u w:val="single"/>
          <w:lang w:bidi="zh-CN"/>
        </w:rPr>
        <w:t xml:space="preserve">      </w:t>
      </w:r>
      <w:r>
        <w:rPr>
          <w:rFonts w:hint="eastAsia" w:hAnsi="宋体" w:cs="宋体"/>
          <w:sz w:val="21"/>
          <w:szCs w:val="21"/>
        </w:rPr>
        <w:t>；</w:t>
      </w:r>
    </w:p>
    <w:p w14:paraId="365C6532">
      <w:pPr>
        <w:spacing w:line="360" w:lineRule="exact"/>
        <w:ind w:firstLine="420" w:firstLineChars="200"/>
        <w:rPr>
          <w:rFonts w:ascii="Times New Roman" w:eastAsia="仿宋_GB2312"/>
          <w:sz w:val="21"/>
          <w:szCs w:val="21"/>
        </w:rPr>
      </w:pPr>
      <w:r>
        <w:rPr>
          <w:rFonts w:ascii="Times New Roman" w:eastAsia="仿宋_GB2312"/>
          <w:sz w:val="21"/>
          <w:szCs w:val="21"/>
        </w:rPr>
        <w:t>建造师执业资格等级：</w:t>
      </w:r>
      <w:r>
        <w:rPr>
          <w:rFonts w:hint="eastAsia" w:ascii="Times New Roman" w:eastAsia="仿宋_GB2312"/>
          <w:sz w:val="21"/>
          <w:szCs w:val="21"/>
          <w:u w:val="single"/>
        </w:rPr>
        <w:t xml:space="preserve"> </w:t>
      </w:r>
      <w:r>
        <w:rPr>
          <w:rFonts w:ascii="Times New Roman" w:eastAsia="仿宋_GB2312"/>
          <w:sz w:val="21"/>
          <w:szCs w:val="21"/>
          <w:u w:val="single"/>
        </w:rPr>
        <w:t xml:space="preserve">     </w:t>
      </w:r>
      <w:r>
        <w:rPr>
          <w:rFonts w:ascii="Times New Roman" w:eastAsia="仿宋_GB2312"/>
          <w:sz w:val="21"/>
          <w:szCs w:val="21"/>
        </w:rPr>
        <w:t>；</w:t>
      </w:r>
    </w:p>
    <w:p w14:paraId="61263118">
      <w:pPr>
        <w:spacing w:line="360" w:lineRule="exact"/>
        <w:ind w:firstLine="420" w:firstLineChars="200"/>
        <w:rPr>
          <w:rFonts w:hint="eastAsia" w:ascii="Times New Roman" w:eastAsia="仿宋_GB2312"/>
          <w:sz w:val="21"/>
          <w:szCs w:val="21"/>
        </w:rPr>
      </w:pPr>
      <w:r>
        <w:rPr>
          <w:rFonts w:ascii="Times New Roman" w:eastAsia="仿宋_GB2312"/>
          <w:sz w:val="21"/>
          <w:szCs w:val="21"/>
        </w:rPr>
        <w:t>建造师注册证书号：</w:t>
      </w:r>
      <w:r>
        <w:rPr>
          <w:rFonts w:hint="eastAsia" w:ascii="Times New Roman" w:eastAsia="仿宋_GB2312"/>
          <w:sz w:val="21"/>
          <w:szCs w:val="21"/>
          <w:u w:val="single"/>
        </w:rPr>
        <w:t xml:space="preserve"> </w:t>
      </w:r>
      <w:r>
        <w:rPr>
          <w:rFonts w:ascii="Times New Roman" w:eastAsia="仿宋_GB2312"/>
          <w:sz w:val="21"/>
          <w:szCs w:val="21"/>
          <w:u w:val="single"/>
        </w:rPr>
        <w:t xml:space="preserve">                       </w:t>
      </w:r>
      <w:r>
        <w:rPr>
          <w:rFonts w:hint="eastAsia" w:ascii="Times New Roman" w:eastAsia="仿宋_GB2312"/>
          <w:sz w:val="21"/>
          <w:szCs w:val="21"/>
        </w:rPr>
        <w:t>；</w:t>
      </w:r>
    </w:p>
    <w:p w14:paraId="16253454">
      <w:pPr>
        <w:spacing w:line="360" w:lineRule="exact"/>
        <w:ind w:firstLine="420" w:firstLineChars="200"/>
        <w:rPr>
          <w:rFonts w:ascii="Times New Roman" w:eastAsia="仿宋_GB2312"/>
          <w:sz w:val="21"/>
          <w:szCs w:val="21"/>
        </w:rPr>
      </w:pPr>
      <w:r>
        <w:rPr>
          <w:rFonts w:hint="eastAsia" w:ascii="Times New Roman" w:eastAsia="仿宋_GB2312"/>
          <w:sz w:val="21"/>
          <w:szCs w:val="21"/>
        </w:rPr>
        <w:t>建造师执业印章号：</w:t>
      </w:r>
      <w:r>
        <w:rPr>
          <w:rFonts w:hint="eastAsia" w:ascii="Times New Roman" w:eastAsia="仿宋_GB2312"/>
          <w:sz w:val="21"/>
          <w:szCs w:val="21"/>
          <w:u w:val="single"/>
        </w:rPr>
        <w:t xml:space="preserve"> </w:t>
      </w:r>
      <w:r>
        <w:rPr>
          <w:rFonts w:ascii="Times New Roman" w:eastAsia="仿宋_GB2312"/>
          <w:sz w:val="21"/>
          <w:szCs w:val="21"/>
          <w:u w:val="single"/>
        </w:rPr>
        <w:t xml:space="preserve">                               </w:t>
      </w:r>
      <w:r>
        <w:rPr>
          <w:rFonts w:ascii="Times New Roman" w:eastAsia="仿宋_GB2312"/>
          <w:sz w:val="21"/>
          <w:szCs w:val="21"/>
        </w:rPr>
        <w:t>；</w:t>
      </w:r>
    </w:p>
    <w:p w14:paraId="69D78988">
      <w:pPr>
        <w:spacing w:line="360" w:lineRule="exact"/>
        <w:ind w:firstLine="420" w:firstLineChars="200"/>
        <w:rPr>
          <w:rFonts w:ascii="Times New Roman" w:eastAsia="仿宋_GB2312"/>
          <w:sz w:val="21"/>
          <w:szCs w:val="21"/>
        </w:rPr>
      </w:pPr>
      <w:r>
        <w:rPr>
          <w:rFonts w:ascii="Times New Roman" w:eastAsia="仿宋_GB2312"/>
          <w:sz w:val="21"/>
          <w:szCs w:val="21"/>
        </w:rPr>
        <w:t>安全生产考核合格证书号：</w:t>
      </w:r>
      <w:r>
        <w:rPr>
          <w:rFonts w:hint="eastAsia" w:ascii="Times New Roman" w:eastAsia="仿宋_GB2312"/>
          <w:sz w:val="21"/>
          <w:szCs w:val="21"/>
          <w:u w:val="single"/>
        </w:rPr>
        <w:t xml:space="preserve"> </w:t>
      </w:r>
      <w:r>
        <w:rPr>
          <w:rFonts w:ascii="Times New Roman" w:eastAsia="仿宋_GB2312"/>
          <w:sz w:val="21"/>
          <w:szCs w:val="21"/>
          <w:u w:val="single"/>
        </w:rPr>
        <w:t xml:space="preserve">                                     </w:t>
      </w:r>
      <w:r>
        <w:rPr>
          <w:rFonts w:ascii="Times New Roman" w:eastAsia="仿宋_GB2312"/>
          <w:sz w:val="21"/>
          <w:szCs w:val="21"/>
        </w:rPr>
        <w:t>；</w:t>
      </w:r>
    </w:p>
    <w:p w14:paraId="0B8772F0">
      <w:pPr>
        <w:spacing w:line="360" w:lineRule="exact"/>
        <w:ind w:firstLine="420" w:firstLineChars="200"/>
        <w:rPr>
          <w:rFonts w:ascii="Times New Roman" w:eastAsia="仿宋_GB2312"/>
          <w:sz w:val="21"/>
          <w:szCs w:val="21"/>
        </w:rPr>
      </w:pPr>
      <w:r>
        <w:rPr>
          <w:rFonts w:ascii="Times New Roman" w:eastAsia="仿宋_GB2312"/>
          <w:sz w:val="21"/>
          <w:szCs w:val="21"/>
        </w:rPr>
        <w:t>联系电话：</w:t>
      </w:r>
      <w:r>
        <w:rPr>
          <w:rFonts w:ascii="Times New Roman" w:eastAsia="仿宋_GB2312"/>
          <w:sz w:val="21"/>
          <w:szCs w:val="21"/>
          <w:u w:val="single"/>
        </w:rPr>
        <w:t xml:space="preserve">                        </w:t>
      </w:r>
      <w:r>
        <w:rPr>
          <w:rFonts w:ascii="Times New Roman" w:eastAsia="仿宋_GB2312"/>
          <w:sz w:val="21"/>
          <w:szCs w:val="21"/>
        </w:rPr>
        <w:t>；</w:t>
      </w:r>
    </w:p>
    <w:p w14:paraId="72C1B17B">
      <w:pPr>
        <w:spacing w:line="360" w:lineRule="exact"/>
        <w:ind w:firstLine="420" w:firstLineChars="200"/>
        <w:rPr>
          <w:rFonts w:ascii="Times New Roman" w:eastAsia="仿宋_GB2312"/>
          <w:sz w:val="21"/>
          <w:szCs w:val="21"/>
        </w:rPr>
      </w:pPr>
      <w:r>
        <w:rPr>
          <w:rFonts w:ascii="Times New Roman" w:eastAsia="仿宋_GB2312"/>
          <w:sz w:val="21"/>
          <w:szCs w:val="21"/>
        </w:rPr>
        <w:t>电子信箱：</w:t>
      </w:r>
      <w:r>
        <w:rPr>
          <w:rFonts w:hint="eastAsia" w:ascii="Times New Roman" w:eastAsia="仿宋_GB2312"/>
          <w:sz w:val="21"/>
          <w:szCs w:val="21"/>
          <w:u w:val="single"/>
        </w:rPr>
        <w:fldChar w:fldCharType="begin"/>
      </w:r>
      <w:r>
        <w:rPr>
          <w:rFonts w:hint="eastAsia" w:ascii="Times New Roman" w:eastAsia="仿宋_GB2312"/>
          <w:sz w:val="21"/>
          <w:szCs w:val="21"/>
          <w:u w:val="single"/>
        </w:rPr>
        <w:instrText xml:space="preserve"> HYPERLINK "mailto:361564191@qq.com" </w:instrText>
      </w:r>
      <w:r>
        <w:rPr>
          <w:rFonts w:hint="eastAsia" w:ascii="Times New Roman" w:eastAsia="仿宋_GB2312"/>
          <w:sz w:val="21"/>
          <w:szCs w:val="21"/>
          <w:u w:val="single"/>
        </w:rPr>
        <w:fldChar w:fldCharType="separate"/>
      </w:r>
      <w:r>
        <w:rPr>
          <w:rFonts w:hint="eastAsia" w:ascii="Times New Roman" w:eastAsia="仿宋_GB2312"/>
          <w:sz w:val="21"/>
          <w:szCs w:val="21"/>
          <w:u w:val="single"/>
        </w:rPr>
        <w:fldChar w:fldCharType="end"/>
      </w:r>
      <w:r>
        <w:rPr>
          <w:rFonts w:ascii="Times New Roman" w:eastAsia="仿宋_GB2312"/>
          <w:sz w:val="21"/>
          <w:szCs w:val="21"/>
          <w:u w:val="single"/>
        </w:rPr>
        <w:t xml:space="preserve">                                 </w:t>
      </w:r>
      <w:r>
        <w:rPr>
          <w:rFonts w:ascii="Times New Roman" w:eastAsia="仿宋_GB2312"/>
          <w:sz w:val="21"/>
          <w:szCs w:val="21"/>
        </w:rPr>
        <w:t>；</w:t>
      </w:r>
    </w:p>
    <w:p w14:paraId="17E33BB5">
      <w:pPr>
        <w:snapToGrid w:val="0"/>
        <w:spacing w:line="360" w:lineRule="auto"/>
        <w:ind w:firstLine="420" w:firstLineChars="200"/>
        <w:textAlignment w:val="baseline"/>
        <w:rPr>
          <w:rFonts w:hAnsi="宋体" w:cs="宋体"/>
          <w:sz w:val="21"/>
          <w:szCs w:val="21"/>
        </w:rPr>
      </w:pPr>
      <w:r>
        <w:rPr>
          <w:rFonts w:ascii="Times New Roman" w:eastAsia="仿宋_GB2312"/>
          <w:sz w:val="21"/>
          <w:szCs w:val="21"/>
        </w:rPr>
        <w:t>通信地址</w:t>
      </w:r>
      <w:r>
        <w:rPr>
          <w:rFonts w:hint="eastAsia" w:ascii="Times New Roman" w:eastAsia="仿宋_GB2312"/>
          <w:sz w:val="21"/>
          <w:szCs w:val="21"/>
        </w:rPr>
        <w:t>：</w:t>
      </w:r>
      <w:r>
        <w:rPr>
          <w:rFonts w:hint="eastAsia" w:ascii="Times New Roman" w:eastAsia="仿宋_GB2312"/>
          <w:sz w:val="21"/>
          <w:szCs w:val="21"/>
          <w:u w:val="single"/>
        </w:rPr>
        <w:t xml:space="preserve"> </w:t>
      </w:r>
      <w:r>
        <w:rPr>
          <w:rFonts w:ascii="Times New Roman" w:eastAsia="仿宋_GB2312"/>
          <w:sz w:val="21"/>
          <w:szCs w:val="21"/>
          <w:u w:val="single"/>
        </w:rPr>
        <w:t xml:space="preserve">                                 </w:t>
      </w:r>
      <w:r>
        <w:rPr>
          <w:rFonts w:hint="eastAsia" w:hAnsi="宋体" w:cs="宋体"/>
          <w:sz w:val="21"/>
          <w:szCs w:val="21"/>
        </w:rPr>
        <w:t>；</w:t>
      </w:r>
    </w:p>
    <w:p w14:paraId="19E4DAD2">
      <w:pPr>
        <w:snapToGrid w:val="0"/>
        <w:spacing w:line="400" w:lineRule="exact"/>
        <w:ind w:firstLine="420" w:firstLineChars="200"/>
        <w:rPr>
          <w:rFonts w:hint="eastAsia" w:hAnsi="宋体" w:cs="宋体"/>
          <w:sz w:val="21"/>
          <w:szCs w:val="21"/>
        </w:rPr>
      </w:pPr>
      <w:r>
        <w:rPr>
          <w:rFonts w:hint="eastAsia" w:hAnsi="宋体" w:cs="宋体"/>
          <w:sz w:val="21"/>
          <w:szCs w:val="21"/>
        </w:rPr>
        <w:t>承包人对项目经理的授权范围如下：</w:t>
      </w:r>
      <w:r>
        <w:rPr>
          <w:rFonts w:hint="eastAsia" w:hAnsi="宋体" w:cs="宋体"/>
          <w:b/>
          <w:bCs/>
          <w:sz w:val="21"/>
          <w:szCs w:val="21"/>
          <w:u w:val="single"/>
        </w:rPr>
        <w:t>项目经理为承包人在该项目上的代表人，全权代行承包方职权，全面负责本工程的质量、安全、工期及成本控制</w:t>
      </w:r>
      <w:r>
        <w:rPr>
          <w:rFonts w:hint="eastAsia" w:hAnsi="宋体" w:cs="宋体"/>
          <w:sz w:val="21"/>
          <w:szCs w:val="21"/>
        </w:rPr>
        <w:t>。</w:t>
      </w:r>
    </w:p>
    <w:p w14:paraId="59C4C950">
      <w:pPr>
        <w:snapToGrid w:val="0"/>
        <w:spacing w:line="360" w:lineRule="auto"/>
        <w:ind w:firstLine="422" w:firstLineChars="200"/>
        <w:textAlignment w:val="baseline"/>
        <w:rPr>
          <w:rFonts w:hAnsi="宋体" w:cs="宋体"/>
          <w:b/>
          <w:bCs/>
          <w:sz w:val="21"/>
          <w:szCs w:val="21"/>
        </w:rPr>
      </w:pPr>
    </w:p>
    <w:p w14:paraId="41ED01CE">
      <w:pPr>
        <w:snapToGrid w:val="0"/>
        <w:spacing w:line="360" w:lineRule="auto"/>
        <w:ind w:firstLine="420" w:firstLineChars="200"/>
        <w:jc w:val="left"/>
        <w:textAlignment w:val="baseline"/>
        <w:rPr>
          <w:rFonts w:hAnsi="宋体" w:cs="宋体"/>
          <w:b/>
          <w:bCs/>
          <w:sz w:val="21"/>
          <w:szCs w:val="21"/>
          <w:u w:val="single"/>
        </w:rPr>
      </w:pPr>
      <w:r>
        <w:rPr>
          <w:rFonts w:hint="eastAsia" w:hAnsi="宋体" w:cs="宋体"/>
          <w:kern w:val="0"/>
          <w:sz w:val="21"/>
          <w:szCs w:val="21"/>
        </w:rPr>
        <w:t>关于项目经理每月在施工现场的时间要求：</w:t>
      </w:r>
      <w:r>
        <w:rPr>
          <w:rFonts w:hint="eastAsia" w:hAnsi="宋体" w:cs="宋体"/>
          <w:b/>
          <w:bCs/>
          <w:sz w:val="21"/>
          <w:szCs w:val="21"/>
          <w:u w:val="single" w:color="000000"/>
        </w:rPr>
        <w:t>派驻本工程的项目经理、技术负责人、其他项目管理班子人员到位率不得低于85%(</w:t>
      </w:r>
      <w:r>
        <w:rPr>
          <w:rFonts w:hint="eastAsia" w:hAnsi="宋体" w:cs="宋体"/>
          <w:b/>
          <w:bCs/>
          <w:sz w:val="21"/>
          <w:szCs w:val="21"/>
          <w:u w:val="single"/>
        </w:rPr>
        <w:t>按每月必须到位26天，每天工作8小时考勤，一天工作不足8小时的视为缺勤一天</w:t>
      </w:r>
      <w:r>
        <w:rPr>
          <w:rFonts w:hint="eastAsia" w:hAnsi="宋体" w:cs="宋体"/>
          <w:b/>
          <w:bCs/>
          <w:sz w:val="21"/>
          <w:szCs w:val="21"/>
          <w:u w:val="single" w:color="000000"/>
        </w:rPr>
        <w:t>)，并必须严格按照投标文件项目班子成员全部到岗、到位。若在工程实施过程中到岗、到位率达不到承诺，由发包人没收履约保证金，同时按下列标准向发包人支付违约金：按月考核，项目经理到位率不足时按人民币</w:t>
      </w:r>
      <w:r>
        <w:rPr>
          <w:rFonts w:hAnsi="宋体" w:cs="宋体"/>
          <w:b/>
          <w:bCs/>
          <w:sz w:val="21"/>
          <w:szCs w:val="21"/>
          <w:u w:val="single" w:color="000000"/>
        </w:rPr>
        <w:t>3</w:t>
      </w:r>
      <w:r>
        <w:rPr>
          <w:rFonts w:hint="eastAsia" w:hAnsi="宋体" w:cs="宋体"/>
          <w:b/>
          <w:bCs/>
          <w:sz w:val="21"/>
          <w:szCs w:val="21"/>
          <w:u w:val="single" w:color="000000"/>
        </w:rPr>
        <w:t>000元/天支付违约金；技术负责人、施工班组负责人到位率不足时按人民币</w:t>
      </w:r>
      <w:r>
        <w:rPr>
          <w:rFonts w:hAnsi="宋体" w:cs="宋体"/>
          <w:b/>
          <w:bCs/>
          <w:sz w:val="21"/>
          <w:szCs w:val="21"/>
          <w:u w:val="single" w:color="000000"/>
        </w:rPr>
        <w:t>3</w:t>
      </w:r>
      <w:r>
        <w:rPr>
          <w:rFonts w:hint="eastAsia" w:hAnsi="宋体" w:cs="宋体"/>
          <w:b/>
          <w:bCs/>
          <w:sz w:val="21"/>
          <w:szCs w:val="21"/>
          <w:u w:val="single" w:color="000000"/>
        </w:rPr>
        <w:t>000元/天支付违约金；施工员、质量员、安全员等管理人员到位率不足时按人民币1000元/天支付违约金，上述扣款在支付工程进度款中逐期扣除。</w:t>
      </w:r>
    </w:p>
    <w:p w14:paraId="42AC66DD">
      <w:pPr>
        <w:snapToGrid w:val="0"/>
        <w:spacing w:line="360" w:lineRule="auto"/>
        <w:ind w:firstLine="420" w:firstLineChars="200"/>
        <w:textAlignment w:val="baseline"/>
        <w:rPr>
          <w:rFonts w:hAnsi="宋体" w:cs="宋体"/>
          <w:b/>
          <w:bCs/>
          <w:sz w:val="21"/>
          <w:szCs w:val="21"/>
          <w:u w:val="single"/>
        </w:rPr>
      </w:pPr>
      <w:r>
        <w:rPr>
          <w:rFonts w:hint="eastAsia" w:hAnsi="宋体" w:cs="宋体"/>
          <w:kern w:val="0"/>
          <w:sz w:val="21"/>
          <w:szCs w:val="21"/>
        </w:rPr>
        <w:t>承包人未提交劳动合同，以及没有为项目经理缴纳社会保险证明的违约责任</w:t>
      </w:r>
      <w:r>
        <w:rPr>
          <w:rFonts w:hint="eastAsia" w:hAnsi="宋体" w:cs="宋体"/>
          <w:b/>
          <w:bCs/>
          <w:kern w:val="0"/>
          <w:sz w:val="21"/>
          <w:szCs w:val="21"/>
        </w:rPr>
        <w:t>：</w:t>
      </w:r>
      <w:r>
        <w:rPr>
          <w:rFonts w:hint="eastAsia" w:hAnsi="宋体" w:cs="宋体"/>
          <w:b/>
          <w:bCs/>
          <w:sz w:val="21"/>
          <w:szCs w:val="21"/>
          <w:u w:val="single" w:color="000000"/>
        </w:rPr>
        <w:t>发包人有权要求更换项目经理，并通报有关建设行政主管部门进行处罚。</w:t>
      </w:r>
    </w:p>
    <w:p w14:paraId="16278577">
      <w:pPr>
        <w:snapToGrid w:val="0"/>
        <w:spacing w:line="360" w:lineRule="auto"/>
        <w:ind w:firstLine="420" w:firstLineChars="200"/>
        <w:textAlignment w:val="baseline"/>
        <w:rPr>
          <w:rFonts w:hAnsi="宋体" w:cs="宋体"/>
          <w:b/>
          <w:bCs/>
          <w:sz w:val="21"/>
          <w:szCs w:val="21"/>
          <w:u w:val="single"/>
        </w:rPr>
      </w:pPr>
      <w:r>
        <w:rPr>
          <w:rFonts w:hint="eastAsia" w:hAnsi="宋体" w:cs="宋体"/>
          <w:kern w:val="0"/>
          <w:sz w:val="21"/>
          <w:szCs w:val="21"/>
        </w:rPr>
        <w:t>项目经理未经批准，擅自离开施工现场的违约责任</w:t>
      </w:r>
      <w:r>
        <w:rPr>
          <w:rFonts w:hint="eastAsia" w:hAnsi="宋体" w:cs="宋体"/>
          <w:b/>
          <w:bCs/>
          <w:kern w:val="0"/>
          <w:sz w:val="21"/>
          <w:szCs w:val="21"/>
        </w:rPr>
        <w:t>：若</w:t>
      </w:r>
      <w:r>
        <w:rPr>
          <w:rFonts w:hint="eastAsia" w:hAnsi="宋体" w:cs="宋体"/>
          <w:b/>
          <w:bCs/>
          <w:sz w:val="21"/>
          <w:szCs w:val="21"/>
          <w:u w:val="single" w:color="000000"/>
        </w:rPr>
        <w:t>缺岗则每次承包人应向发包人支付违约金3000 元，工程损失费用由承包人承担。</w:t>
      </w:r>
    </w:p>
    <w:p w14:paraId="2028EA4E">
      <w:pPr>
        <w:snapToGrid w:val="0"/>
        <w:spacing w:line="360" w:lineRule="auto"/>
        <w:ind w:firstLine="420" w:firstLineChars="200"/>
        <w:textAlignment w:val="baseline"/>
        <w:rPr>
          <w:rFonts w:hAnsi="宋体" w:cs="宋体"/>
          <w:sz w:val="21"/>
          <w:szCs w:val="21"/>
          <w:u w:val="single"/>
        </w:rPr>
      </w:pPr>
      <w:r>
        <w:rPr>
          <w:rFonts w:hint="eastAsia" w:hAnsi="宋体" w:cs="宋体"/>
          <w:sz w:val="21"/>
          <w:szCs w:val="21"/>
        </w:rPr>
        <w:t>3.2.3 承包人擅自更换项目经理的违约责任：</w:t>
      </w:r>
    </w:p>
    <w:p w14:paraId="1E814363">
      <w:pPr>
        <w:snapToGrid w:val="0"/>
        <w:spacing w:line="360" w:lineRule="auto"/>
        <w:ind w:firstLine="422" w:firstLineChars="200"/>
        <w:textAlignment w:val="baseline"/>
        <w:rPr>
          <w:rFonts w:hAnsi="宋体" w:cs="宋体"/>
          <w:b/>
          <w:sz w:val="21"/>
          <w:szCs w:val="21"/>
          <w:u w:val="single"/>
        </w:rPr>
      </w:pPr>
      <w:r>
        <w:rPr>
          <w:rFonts w:hint="eastAsia" w:hAnsi="宋体" w:cs="宋体"/>
          <w:b/>
          <w:sz w:val="21"/>
          <w:szCs w:val="21"/>
        </w:rPr>
        <w:t>（1）</w:t>
      </w:r>
      <w:r>
        <w:rPr>
          <w:rFonts w:hint="eastAsia" w:hAnsi="宋体" w:cs="宋体"/>
          <w:b/>
          <w:kern w:val="0"/>
          <w:sz w:val="21"/>
          <w:szCs w:val="21"/>
        </w:rPr>
        <w:t>承包人确需更换项目经理的，继任项目经理注册执业资格、管理经验的约定：</w:t>
      </w:r>
      <w:r>
        <w:rPr>
          <w:rFonts w:hint="eastAsia" w:hAnsi="宋体" w:cs="宋体"/>
          <w:b/>
          <w:kern w:val="0"/>
          <w:sz w:val="21"/>
          <w:szCs w:val="21"/>
          <w:u w:val="single" w:color="000000"/>
        </w:rPr>
        <w:t xml:space="preserve">  </w:t>
      </w:r>
      <w:r>
        <w:rPr>
          <w:rFonts w:hint="eastAsia" w:hAnsi="宋体" w:cs="宋体"/>
          <w:b/>
          <w:sz w:val="21"/>
          <w:szCs w:val="21"/>
          <w:u w:val="single" w:color="000000"/>
        </w:rPr>
        <w:t xml:space="preserve">不得低于原项目经理的注册执业资格、管理经验 </w:t>
      </w:r>
    </w:p>
    <w:p w14:paraId="1B251AF1">
      <w:pPr>
        <w:snapToGrid w:val="0"/>
        <w:spacing w:line="360" w:lineRule="auto"/>
        <w:ind w:firstLine="420" w:firstLineChars="200"/>
        <w:textAlignment w:val="baseline"/>
        <w:rPr>
          <w:rFonts w:hAnsi="宋体" w:cs="宋体"/>
          <w:b/>
          <w:bCs/>
          <w:sz w:val="21"/>
          <w:szCs w:val="21"/>
          <w:u w:val="single"/>
        </w:rPr>
      </w:pPr>
      <w:r>
        <w:rPr>
          <w:rFonts w:hint="eastAsia" w:hAnsi="宋体" w:cs="宋体"/>
          <w:kern w:val="0"/>
          <w:sz w:val="21"/>
          <w:szCs w:val="21"/>
        </w:rPr>
        <w:t>（2）</w:t>
      </w:r>
      <w:r>
        <w:rPr>
          <w:rFonts w:hint="eastAsia" w:hAnsi="宋体" w:cs="宋体"/>
          <w:sz w:val="21"/>
          <w:szCs w:val="21"/>
        </w:rPr>
        <w:t>承包人擅自更换项目经理的违约责任：</w:t>
      </w:r>
      <w:r>
        <w:rPr>
          <w:rFonts w:hint="eastAsia" w:hAnsi="宋体" w:cs="宋体"/>
          <w:b/>
          <w:bCs/>
          <w:sz w:val="21"/>
          <w:szCs w:val="21"/>
          <w:u w:val="single" w:color="000000"/>
        </w:rPr>
        <w:t>发包人通报有关建设行政主管部门进行处罚，同时扣没全部履约保证金，工程损失由承包人承担。</w:t>
      </w:r>
    </w:p>
    <w:p w14:paraId="29AA84F7">
      <w:pPr>
        <w:snapToGrid w:val="0"/>
        <w:spacing w:line="360" w:lineRule="auto"/>
        <w:ind w:firstLine="420" w:firstLineChars="200"/>
        <w:textAlignment w:val="baseline"/>
        <w:rPr>
          <w:rFonts w:hAnsi="宋体" w:cs="宋体"/>
          <w:b/>
          <w:bCs/>
          <w:sz w:val="21"/>
          <w:szCs w:val="21"/>
          <w:u w:val="single"/>
        </w:rPr>
      </w:pPr>
      <w:r>
        <w:rPr>
          <w:rFonts w:hint="eastAsia" w:hAnsi="宋体" w:cs="宋体"/>
          <w:sz w:val="21"/>
          <w:szCs w:val="21"/>
        </w:rPr>
        <w:t>3.2.4 承包人无正当理由拒绝更换项目经理的违约责任：</w:t>
      </w:r>
      <w:r>
        <w:rPr>
          <w:rFonts w:hint="eastAsia" w:hAnsi="宋体" w:cs="宋体"/>
          <w:b/>
          <w:bCs/>
          <w:sz w:val="21"/>
          <w:szCs w:val="21"/>
          <w:u w:val="single" w:color="000000"/>
        </w:rPr>
        <w:t>发包人通报有关建设行政主管部门进行处罚，同时扣没全部履约保证金，工程损失由承包人承担。</w:t>
      </w:r>
    </w:p>
    <w:p w14:paraId="38AEF804">
      <w:pPr>
        <w:snapToGrid w:val="0"/>
        <w:spacing w:line="360" w:lineRule="auto"/>
        <w:ind w:firstLine="420" w:firstLineChars="200"/>
        <w:textAlignment w:val="baseline"/>
        <w:rPr>
          <w:rFonts w:hAnsi="宋体" w:cs="宋体"/>
          <w:sz w:val="21"/>
          <w:szCs w:val="21"/>
        </w:rPr>
      </w:pPr>
      <w:r>
        <w:rPr>
          <w:rFonts w:hint="eastAsia" w:hAnsi="宋体" w:cs="宋体"/>
          <w:sz w:val="21"/>
          <w:szCs w:val="21"/>
        </w:rPr>
        <w:t>3.3 承包人人员</w:t>
      </w:r>
    </w:p>
    <w:p w14:paraId="44F282AC">
      <w:pPr>
        <w:snapToGrid w:val="0"/>
        <w:spacing w:line="360" w:lineRule="auto"/>
        <w:ind w:firstLine="420" w:firstLineChars="200"/>
        <w:jc w:val="left"/>
        <w:textAlignment w:val="baseline"/>
        <w:rPr>
          <w:rFonts w:hAnsi="宋体" w:cs="宋体"/>
          <w:b/>
          <w:sz w:val="21"/>
          <w:szCs w:val="21"/>
          <w:u w:val="single"/>
        </w:rPr>
      </w:pPr>
      <w:r>
        <w:rPr>
          <w:rFonts w:hint="eastAsia" w:hAnsi="宋体" w:cs="宋体"/>
          <w:sz w:val="21"/>
          <w:szCs w:val="21"/>
        </w:rPr>
        <w:t>3.3.1 承包人提交项目管理机构及施工现场管理人员安排报告的期限：</w:t>
      </w:r>
      <w:r>
        <w:rPr>
          <w:rFonts w:hint="eastAsia" w:hAnsi="宋体" w:cs="宋体"/>
          <w:b/>
          <w:sz w:val="21"/>
          <w:szCs w:val="21"/>
          <w:u w:val="single" w:color="000000"/>
        </w:rPr>
        <w:t>按通用条款约定。</w:t>
      </w:r>
    </w:p>
    <w:p w14:paraId="28FBB5E6">
      <w:pPr>
        <w:snapToGrid w:val="0"/>
        <w:spacing w:line="360" w:lineRule="auto"/>
        <w:ind w:firstLine="422" w:firstLineChars="200"/>
        <w:jc w:val="left"/>
        <w:textAlignment w:val="baseline"/>
        <w:rPr>
          <w:rFonts w:hAnsi="宋体" w:cs="宋体"/>
          <w:b/>
          <w:sz w:val="21"/>
          <w:szCs w:val="21"/>
          <w:u w:val="single"/>
        </w:rPr>
      </w:pPr>
      <w:r>
        <w:rPr>
          <w:rFonts w:hint="eastAsia" w:hAnsi="宋体" w:cs="宋体"/>
          <w:b/>
          <w:sz w:val="21"/>
          <w:szCs w:val="21"/>
        </w:rPr>
        <w:t>3.3.2 承包人需更换主要施工管理人员的，继任人员的数量、注册执业资格、管理经验的约定：</w:t>
      </w:r>
      <w:r>
        <w:rPr>
          <w:rFonts w:hint="eastAsia" w:hAnsi="宋体" w:cs="宋体"/>
          <w:b/>
          <w:sz w:val="21"/>
          <w:szCs w:val="21"/>
          <w:u w:val="single" w:color="000000"/>
        </w:rPr>
        <w:t xml:space="preserve">  不得低于原施工团队人员的注册执业资格、管理经验  。</w:t>
      </w:r>
    </w:p>
    <w:p w14:paraId="751FC643">
      <w:pPr>
        <w:snapToGrid w:val="0"/>
        <w:spacing w:line="360" w:lineRule="auto"/>
        <w:ind w:firstLine="420" w:firstLineChars="200"/>
        <w:jc w:val="left"/>
        <w:textAlignment w:val="baseline"/>
        <w:rPr>
          <w:rFonts w:hAnsi="宋体" w:cs="宋体"/>
          <w:b/>
          <w:sz w:val="21"/>
          <w:szCs w:val="21"/>
          <w:u w:val="single"/>
        </w:rPr>
      </w:pPr>
      <w:r>
        <w:rPr>
          <w:rFonts w:hint="eastAsia" w:hAnsi="宋体" w:cs="宋体"/>
          <w:sz w:val="21"/>
          <w:szCs w:val="21"/>
        </w:rPr>
        <w:t>3.3.3 承包人无正当理由拒绝撤换主要施工管理人员的违约责任：</w:t>
      </w:r>
      <w:r>
        <w:rPr>
          <w:rFonts w:hint="eastAsia" w:hAnsi="宋体" w:cs="宋体"/>
          <w:sz w:val="21"/>
          <w:szCs w:val="21"/>
          <w:u w:val="single" w:color="000000"/>
        </w:rPr>
        <w:t xml:space="preserve">  </w:t>
      </w:r>
      <w:r>
        <w:rPr>
          <w:rFonts w:hint="eastAsia" w:hAnsi="宋体" w:cs="宋体"/>
          <w:b/>
          <w:sz w:val="21"/>
          <w:szCs w:val="21"/>
          <w:u w:val="single" w:color="000000"/>
        </w:rPr>
        <w:t>发包人扣没履约保证金，因此给工程造成的损失由承包人承担。</w:t>
      </w:r>
    </w:p>
    <w:p w14:paraId="46795B1E">
      <w:pPr>
        <w:snapToGrid w:val="0"/>
        <w:spacing w:line="360" w:lineRule="auto"/>
        <w:ind w:firstLine="420" w:firstLineChars="200"/>
        <w:jc w:val="left"/>
        <w:textAlignment w:val="baseline"/>
        <w:rPr>
          <w:rFonts w:hAnsi="宋体" w:cs="宋体"/>
          <w:b/>
          <w:sz w:val="21"/>
          <w:szCs w:val="21"/>
          <w:u w:val="single"/>
        </w:rPr>
      </w:pPr>
      <w:r>
        <w:rPr>
          <w:rFonts w:hint="eastAsia" w:hAnsi="宋体" w:cs="宋体"/>
          <w:sz w:val="21"/>
          <w:szCs w:val="21"/>
        </w:rPr>
        <w:t>3.3.4 承包人主要施工管理人员离开施工现场的批准要求：</w:t>
      </w:r>
      <w:r>
        <w:rPr>
          <w:rFonts w:hint="eastAsia" w:hAnsi="宋体" w:cs="宋体"/>
          <w:b/>
          <w:sz w:val="21"/>
          <w:szCs w:val="21"/>
          <w:u w:val="single" w:color="000000"/>
        </w:rPr>
        <w:t>承包人主要管理人员离开施工现场，应通知监理人及发包人，并征得监理人、发包人书面同意，主要施工管理人员离开施工现场前应指定一名有经验的管理人员临时代替其职责，该人员应具备履行相应职责的资格和能力，并征得监理人和发包人的同意。</w:t>
      </w:r>
    </w:p>
    <w:p w14:paraId="5A9E1681">
      <w:pPr>
        <w:snapToGrid w:val="0"/>
        <w:spacing w:line="360" w:lineRule="auto"/>
        <w:ind w:firstLine="420" w:firstLineChars="200"/>
        <w:jc w:val="left"/>
        <w:textAlignment w:val="baseline"/>
        <w:rPr>
          <w:rFonts w:hAnsi="宋体" w:cs="宋体"/>
          <w:b/>
          <w:sz w:val="21"/>
          <w:szCs w:val="21"/>
          <w:u w:val="single"/>
        </w:rPr>
      </w:pPr>
      <w:r>
        <w:rPr>
          <w:rFonts w:hint="eastAsia" w:hAnsi="宋体" w:cs="宋体"/>
          <w:sz w:val="21"/>
          <w:szCs w:val="21"/>
        </w:rPr>
        <w:t>3.3.5承包人擅自更换主要施工管理人员的违约责任</w:t>
      </w:r>
      <w:r>
        <w:rPr>
          <w:rFonts w:hint="eastAsia" w:hAnsi="宋体" w:cs="宋体"/>
          <w:b/>
          <w:sz w:val="21"/>
          <w:szCs w:val="21"/>
          <w:u w:val="single" w:color="000000"/>
        </w:rPr>
        <w:t>：扣没履约保证金，工程损失由承包人承担；</w:t>
      </w:r>
    </w:p>
    <w:p w14:paraId="28FDEFFE">
      <w:pPr>
        <w:snapToGrid w:val="0"/>
        <w:spacing w:line="360" w:lineRule="auto"/>
        <w:ind w:firstLine="420" w:firstLineChars="200"/>
        <w:jc w:val="left"/>
        <w:textAlignment w:val="baseline"/>
        <w:rPr>
          <w:rFonts w:hAnsi="宋体" w:cs="宋体"/>
          <w:b/>
          <w:sz w:val="21"/>
          <w:szCs w:val="21"/>
          <w:u w:val="single"/>
        </w:rPr>
      </w:pPr>
      <w:r>
        <w:rPr>
          <w:rFonts w:hint="eastAsia" w:hAnsi="宋体" w:cs="宋体"/>
          <w:sz w:val="21"/>
          <w:szCs w:val="21"/>
        </w:rPr>
        <w:t>承包人主要施工管理人员擅自离开施工现场的违约责任：</w:t>
      </w:r>
      <w:r>
        <w:rPr>
          <w:rFonts w:hint="eastAsia" w:hAnsi="宋体" w:cs="宋体"/>
          <w:b/>
          <w:sz w:val="21"/>
          <w:szCs w:val="21"/>
          <w:u w:val="single" w:color="000000"/>
        </w:rPr>
        <w:t>由监理进行每天日常考核，缺岗每人每次扣履约保证金500元，累计缺岗3天或主要机具不到位，将扣没承包人全部履约保证金。到岗情况以监理出具的考勤记录为准。</w:t>
      </w:r>
    </w:p>
    <w:p w14:paraId="3BB98ABC">
      <w:pPr>
        <w:snapToGrid w:val="0"/>
        <w:spacing w:line="360" w:lineRule="auto"/>
        <w:ind w:firstLine="420" w:firstLineChars="200"/>
        <w:textAlignment w:val="baseline"/>
        <w:rPr>
          <w:rFonts w:hAnsi="宋体" w:cs="宋体"/>
          <w:sz w:val="21"/>
          <w:szCs w:val="21"/>
        </w:rPr>
      </w:pPr>
      <w:r>
        <w:rPr>
          <w:rFonts w:hint="eastAsia" w:hAnsi="宋体" w:cs="宋体"/>
          <w:sz w:val="21"/>
          <w:szCs w:val="21"/>
        </w:rPr>
        <w:t>3.5 分包</w:t>
      </w:r>
    </w:p>
    <w:p w14:paraId="64275B75">
      <w:pPr>
        <w:snapToGrid w:val="0"/>
        <w:spacing w:line="360" w:lineRule="auto"/>
        <w:ind w:firstLine="420" w:firstLineChars="200"/>
        <w:textAlignment w:val="baseline"/>
        <w:rPr>
          <w:rFonts w:hAnsi="宋体" w:cs="宋体"/>
          <w:sz w:val="21"/>
          <w:szCs w:val="21"/>
        </w:rPr>
      </w:pPr>
      <w:r>
        <w:rPr>
          <w:rFonts w:hint="eastAsia" w:hAnsi="宋体" w:cs="宋体"/>
          <w:sz w:val="21"/>
          <w:szCs w:val="21"/>
        </w:rPr>
        <w:t>3</w:t>
      </w:r>
      <w:bookmarkStart w:id="437" w:name="_Toc297120460"/>
      <w:bookmarkStart w:id="438" w:name="_Toc297048346"/>
      <w:bookmarkStart w:id="439" w:name="_Toc296347159"/>
      <w:bookmarkStart w:id="440" w:name="_Toc296503160"/>
      <w:bookmarkStart w:id="441" w:name="_Toc292559365"/>
      <w:bookmarkStart w:id="442" w:name="_Toc292559870"/>
      <w:bookmarkStart w:id="443" w:name="_Toc296346661"/>
      <w:bookmarkStart w:id="444" w:name="_Toc297216152"/>
      <w:bookmarkStart w:id="445" w:name="_Toc303539103"/>
      <w:bookmarkStart w:id="446" w:name="_Toc296944499"/>
      <w:bookmarkStart w:id="447" w:name="_Toc296891200"/>
      <w:bookmarkStart w:id="448" w:name="_Toc304295524"/>
      <w:bookmarkStart w:id="449" w:name="_Toc300934946"/>
      <w:bookmarkStart w:id="450" w:name="_Toc297123493"/>
      <w:bookmarkStart w:id="451" w:name="_Toc296890988"/>
      <w:r>
        <w:rPr>
          <w:rFonts w:hint="eastAsia" w:hAnsi="宋体" w:cs="宋体"/>
          <w:sz w:val="21"/>
          <w:szCs w:val="21"/>
        </w:rPr>
        <w:t>.5.1 分包的一般约定</w:t>
      </w:r>
    </w:p>
    <w:p w14:paraId="5DED4A3A">
      <w:pPr>
        <w:snapToGrid w:val="0"/>
        <w:spacing w:line="360" w:lineRule="auto"/>
        <w:ind w:firstLine="420" w:firstLineChars="200"/>
        <w:jc w:val="left"/>
        <w:textAlignment w:val="baseline"/>
        <w:rPr>
          <w:rFonts w:hAnsi="宋体" w:cs="宋体"/>
          <w:b/>
          <w:sz w:val="21"/>
          <w:szCs w:val="21"/>
        </w:rPr>
      </w:pPr>
      <w:r>
        <w:rPr>
          <w:rFonts w:hint="eastAsia" w:hAnsi="宋体" w:cs="宋体"/>
          <w:sz w:val="21"/>
          <w:szCs w:val="21"/>
        </w:rPr>
        <w:t>禁止分包的工程包括：</w:t>
      </w:r>
      <w:r>
        <w:rPr>
          <w:rFonts w:hint="eastAsia" w:hAnsi="宋体" w:cs="MingLiU_HKSCS"/>
          <w:b/>
          <w:sz w:val="21"/>
          <w:szCs w:val="21"/>
          <w:u w:val="single" w:color="000000"/>
        </w:rPr>
        <w:t xml:space="preserve"> </w:t>
      </w:r>
      <w:r>
        <w:rPr>
          <w:rFonts w:hint="eastAsia" w:hAnsi="宋体" w:cs="宋体"/>
          <w:b/>
          <w:sz w:val="21"/>
          <w:szCs w:val="21"/>
          <w:u w:val="single" w:color="000000"/>
        </w:rPr>
        <w:t xml:space="preserve">按通用条款约定 </w:t>
      </w:r>
      <w:r>
        <w:rPr>
          <w:rFonts w:hint="eastAsia" w:hAnsi="宋体" w:cs="宋体"/>
          <w:b/>
          <w:sz w:val="21"/>
          <w:szCs w:val="21"/>
        </w:rPr>
        <w:t>。</w:t>
      </w:r>
    </w:p>
    <w:p w14:paraId="2F3CBF4F">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主体结构、关键性工作的范围：</w:t>
      </w:r>
      <w:r>
        <w:rPr>
          <w:rFonts w:hint="eastAsia" w:hAnsi="宋体" w:cs="宋体"/>
          <w:sz w:val="21"/>
          <w:szCs w:val="21"/>
          <w:u w:val="single" w:color="000000"/>
        </w:rPr>
        <w:t xml:space="preserve">     /           </w:t>
      </w:r>
      <w:r>
        <w:rPr>
          <w:rFonts w:hint="eastAsia" w:hAnsi="宋体" w:cs="宋体"/>
          <w:sz w:val="21"/>
          <w:szCs w:val="21"/>
        </w:rPr>
        <w:t>。</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14:paraId="691FD482">
      <w:pPr>
        <w:snapToGrid w:val="0"/>
        <w:spacing w:line="360" w:lineRule="auto"/>
        <w:ind w:firstLine="420" w:firstLineChars="200"/>
        <w:textAlignment w:val="baseline"/>
        <w:rPr>
          <w:rFonts w:hAnsi="宋体" w:cs="宋体"/>
          <w:sz w:val="21"/>
          <w:szCs w:val="21"/>
        </w:rPr>
      </w:pPr>
      <w:r>
        <w:rPr>
          <w:rFonts w:hint="eastAsia" w:hAnsi="宋体" w:cs="宋体"/>
          <w:sz w:val="21"/>
          <w:szCs w:val="21"/>
        </w:rPr>
        <w:t>3.5.2分包的确定</w:t>
      </w:r>
    </w:p>
    <w:p w14:paraId="23499B1D">
      <w:pPr>
        <w:snapToGrid w:val="0"/>
        <w:spacing w:line="360" w:lineRule="auto"/>
        <w:ind w:firstLine="420" w:firstLineChars="200"/>
        <w:textAlignment w:val="baseline"/>
        <w:rPr>
          <w:rFonts w:hAnsi="宋体" w:cs="宋体"/>
          <w:sz w:val="21"/>
          <w:szCs w:val="21"/>
          <w:u w:val="single"/>
        </w:rPr>
      </w:pPr>
      <w:r>
        <w:rPr>
          <w:rFonts w:hint="eastAsia" w:hAnsi="宋体" w:cs="宋体"/>
          <w:sz w:val="21"/>
          <w:szCs w:val="21"/>
        </w:rPr>
        <w:t>允许分包的专业工程包括：</w:t>
      </w:r>
      <w:r>
        <w:rPr>
          <w:rFonts w:hint="eastAsia" w:hAnsi="宋体" w:cs="宋体"/>
          <w:sz w:val="21"/>
          <w:szCs w:val="21"/>
          <w:u w:val="single" w:color="000000"/>
        </w:rPr>
        <w:t xml:space="preserve">    /             </w:t>
      </w:r>
      <w:r>
        <w:rPr>
          <w:rFonts w:hint="eastAsia" w:hAnsi="宋体" w:cs="宋体"/>
          <w:sz w:val="21"/>
          <w:szCs w:val="21"/>
        </w:rPr>
        <w:t>。</w:t>
      </w:r>
    </w:p>
    <w:p w14:paraId="2CC89147">
      <w:pPr>
        <w:snapToGrid w:val="0"/>
        <w:spacing w:line="360" w:lineRule="auto"/>
        <w:ind w:firstLine="420" w:firstLineChars="200"/>
        <w:textAlignment w:val="baseline"/>
        <w:rPr>
          <w:rFonts w:hAnsi="宋体" w:cs="宋体"/>
          <w:sz w:val="21"/>
          <w:szCs w:val="21"/>
          <w:u w:val="single"/>
        </w:rPr>
      </w:pPr>
      <w:r>
        <w:rPr>
          <w:rFonts w:hint="eastAsia" w:hAnsi="宋体" w:cs="宋体"/>
          <w:sz w:val="21"/>
          <w:szCs w:val="21"/>
        </w:rPr>
        <w:t>其他关于分包的约定：</w:t>
      </w:r>
      <w:r>
        <w:rPr>
          <w:rFonts w:hint="eastAsia" w:hAnsi="宋体" w:cs="宋体"/>
          <w:sz w:val="21"/>
          <w:szCs w:val="21"/>
          <w:u w:val="single" w:color="000000"/>
        </w:rPr>
        <w:t xml:space="preserve">         /          </w:t>
      </w:r>
      <w:r>
        <w:rPr>
          <w:rFonts w:hint="eastAsia" w:hAnsi="宋体" w:cs="宋体"/>
          <w:sz w:val="21"/>
          <w:szCs w:val="21"/>
        </w:rPr>
        <w:t>。</w:t>
      </w:r>
    </w:p>
    <w:p w14:paraId="64E084AF">
      <w:pPr>
        <w:snapToGrid w:val="0"/>
        <w:spacing w:line="360" w:lineRule="auto"/>
        <w:ind w:firstLine="420" w:firstLineChars="200"/>
        <w:textAlignment w:val="baseline"/>
        <w:rPr>
          <w:rFonts w:hAnsi="宋体" w:cs="宋体"/>
          <w:sz w:val="21"/>
          <w:szCs w:val="21"/>
        </w:rPr>
      </w:pPr>
      <w:r>
        <w:rPr>
          <w:rFonts w:hint="eastAsia" w:hAnsi="宋体" w:cs="宋体"/>
          <w:sz w:val="21"/>
          <w:szCs w:val="21"/>
        </w:rPr>
        <w:t>3.5.4 分包合同价款</w:t>
      </w:r>
    </w:p>
    <w:p w14:paraId="5564C4E1">
      <w:pPr>
        <w:snapToGrid w:val="0"/>
        <w:spacing w:line="360" w:lineRule="auto"/>
        <w:ind w:firstLine="420" w:firstLineChars="200"/>
        <w:textAlignment w:val="baseline"/>
        <w:rPr>
          <w:rFonts w:hAnsi="宋体" w:cs="宋体"/>
          <w:b/>
          <w:sz w:val="21"/>
          <w:szCs w:val="21"/>
          <w:u w:val="single"/>
        </w:rPr>
      </w:pPr>
      <w:r>
        <w:rPr>
          <w:rFonts w:hint="eastAsia" w:hAnsi="宋体" w:cs="宋体"/>
          <w:sz w:val="21"/>
          <w:szCs w:val="21"/>
        </w:rPr>
        <w:t>关于分包合同价款支付的约定：</w:t>
      </w:r>
      <w:r>
        <w:rPr>
          <w:rFonts w:hint="eastAsia" w:hAnsi="宋体" w:cs="宋体"/>
          <w:b/>
          <w:sz w:val="21"/>
          <w:szCs w:val="21"/>
          <w:u w:val="single" w:color="000000"/>
        </w:rPr>
        <w:t>按通用条款约定</w:t>
      </w:r>
      <w:r>
        <w:rPr>
          <w:rFonts w:hint="eastAsia" w:hAnsi="宋体" w:cs="宋体"/>
          <w:b/>
          <w:sz w:val="21"/>
          <w:szCs w:val="21"/>
        </w:rPr>
        <w:t>。</w:t>
      </w:r>
    </w:p>
    <w:p w14:paraId="0362ADB8">
      <w:pPr>
        <w:snapToGrid w:val="0"/>
        <w:spacing w:line="360" w:lineRule="auto"/>
        <w:ind w:firstLine="420" w:firstLineChars="200"/>
        <w:textAlignment w:val="baseline"/>
        <w:rPr>
          <w:rFonts w:hAnsi="宋体" w:cs="宋体"/>
          <w:sz w:val="21"/>
          <w:szCs w:val="21"/>
        </w:rPr>
      </w:pPr>
      <w:r>
        <w:rPr>
          <w:rFonts w:hint="eastAsia" w:hAnsi="宋体" w:cs="宋体"/>
          <w:sz w:val="21"/>
          <w:szCs w:val="21"/>
        </w:rPr>
        <w:t>3.6 工程照管与成品、半成品保护</w:t>
      </w:r>
    </w:p>
    <w:p w14:paraId="1D28B955">
      <w:pPr>
        <w:snapToGrid w:val="0"/>
        <w:spacing w:line="360" w:lineRule="auto"/>
        <w:ind w:firstLine="420" w:firstLineChars="200"/>
        <w:textAlignment w:val="baseline"/>
        <w:rPr>
          <w:rFonts w:hAnsi="宋体" w:cs="宋体"/>
          <w:b/>
          <w:sz w:val="21"/>
          <w:szCs w:val="21"/>
          <w:u w:val="single"/>
        </w:rPr>
      </w:pPr>
      <w:r>
        <w:rPr>
          <w:rFonts w:hint="eastAsia" w:hAnsi="宋体" w:cs="宋体"/>
          <w:kern w:val="0"/>
          <w:sz w:val="21"/>
          <w:szCs w:val="21"/>
        </w:rPr>
        <w:t>承包人负责照管工程及工程相关的材料、工程设备的起始时间：</w:t>
      </w:r>
      <w:r>
        <w:rPr>
          <w:rFonts w:hint="eastAsia" w:hAnsi="宋体" w:cs="宋体"/>
          <w:b/>
          <w:sz w:val="21"/>
          <w:szCs w:val="21"/>
          <w:u w:val="single" w:color="000000"/>
        </w:rPr>
        <w:t>按通用条款约定。</w:t>
      </w:r>
    </w:p>
    <w:p w14:paraId="232356AF">
      <w:pPr>
        <w:snapToGrid w:val="0"/>
        <w:spacing w:line="360" w:lineRule="auto"/>
        <w:ind w:firstLine="420" w:firstLineChars="200"/>
        <w:textAlignment w:val="baseline"/>
        <w:rPr>
          <w:rFonts w:hAnsi="宋体" w:cs="宋体"/>
          <w:sz w:val="21"/>
          <w:szCs w:val="21"/>
        </w:rPr>
      </w:pPr>
      <w:r>
        <w:rPr>
          <w:rFonts w:hint="eastAsia" w:hAnsi="宋体" w:cs="宋体"/>
          <w:sz w:val="21"/>
          <w:szCs w:val="21"/>
        </w:rPr>
        <w:t>3.7 履约担保</w:t>
      </w:r>
    </w:p>
    <w:p w14:paraId="0057D154">
      <w:pPr>
        <w:snapToGrid w:val="0"/>
        <w:spacing w:line="360" w:lineRule="auto"/>
        <w:ind w:firstLine="420" w:firstLineChars="200"/>
        <w:jc w:val="left"/>
        <w:textAlignment w:val="baseline"/>
        <w:rPr>
          <w:rFonts w:hAnsi="宋体" w:cs="宋体"/>
          <w:b/>
          <w:sz w:val="21"/>
          <w:szCs w:val="21"/>
          <w:u w:val="single"/>
        </w:rPr>
      </w:pPr>
      <w:r>
        <w:rPr>
          <w:rFonts w:hint="eastAsia" w:hAnsi="宋体" w:cs="宋体"/>
          <w:sz w:val="21"/>
          <w:szCs w:val="21"/>
        </w:rPr>
        <w:t>承包人是否提供履约担保：</w:t>
      </w:r>
      <w:r>
        <w:rPr>
          <w:rFonts w:hint="eastAsia" w:hAnsi="宋体" w:cs="宋体"/>
          <w:b/>
          <w:sz w:val="21"/>
          <w:szCs w:val="21"/>
          <w:u w:val="single" w:color="000000"/>
        </w:rPr>
        <w:t xml:space="preserve">  是 。</w:t>
      </w:r>
    </w:p>
    <w:p w14:paraId="01EE7103">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承包人提供履约担保的形式、金额及期限的：</w:t>
      </w:r>
      <w:r>
        <w:rPr>
          <w:rFonts w:hint="eastAsia" w:hAnsi="宋体" w:cs="宋体"/>
          <w:sz w:val="21"/>
          <w:szCs w:val="21"/>
          <w:u w:val="single"/>
        </w:rPr>
        <w:t>承包人在合同签订后7天内，提供以见索即付、无条件的不可撤销的工程保函（工程保函包括银行保函、保险机构保证保险保单或融资担保公司保函），或等值履约保证金，履约担保的金额为签约合同价的2%，（若中标价低于风险控制价的，承包人在提交履约担保时还应同时提交中标价净值与风险控制价之差额）。工程竣工验收合格、并经决算审计通过后一周内根据相关条款退还保证金（不计息）。</w:t>
      </w:r>
    </w:p>
    <w:p w14:paraId="295FD5BC">
      <w:pPr>
        <w:snapToGrid w:val="0"/>
        <w:spacing w:line="360" w:lineRule="auto"/>
        <w:ind w:firstLine="420" w:firstLineChars="200"/>
        <w:textAlignment w:val="baseline"/>
        <w:rPr>
          <w:rFonts w:hAnsi="宋体" w:cs="宋体"/>
          <w:sz w:val="21"/>
          <w:szCs w:val="21"/>
        </w:rPr>
      </w:pPr>
      <w:bookmarkStart w:id="452" w:name="_Toc351203636"/>
      <w:r>
        <w:rPr>
          <w:rFonts w:hint="eastAsia" w:hAnsi="宋体" w:cs="宋体"/>
          <w:sz w:val="21"/>
          <w:szCs w:val="21"/>
        </w:rPr>
        <w:t>4</w:t>
      </w:r>
      <w:bookmarkStart w:id="453" w:name="_Toc297048348"/>
      <w:bookmarkStart w:id="454" w:name="_Toc296890990"/>
      <w:bookmarkStart w:id="455" w:name="_Toc296503162"/>
      <w:bookmarkStart w:id="456" w:name="_Toc296347161"/>
      <w:bookmarkStart w:id="457" w:name="_Toc296891202"/>
      <w:bookmarkStart w:id="458" w:name="_Toc297120462"/>
      <w:bookmarkStart w:id="459" w:name="_Toc296346663"/>
      <w:bookmarkStart w:id="460" w:name="_Toc292559871"/>
      <w:bookmarkStart w:id="461" w:name="_Toc292559366"/>
      <w:bookmarkStart w:id="462" w:name="_Toc296944501"/>
      <w:bookmarkStart w:id="463" w:name="_Toc267251413"/>
      <w:r>
        <w:rPr>
          <w:rFonts w:hint="eastAsia" w:hAnsi="宋体" w:cs="宋体"/>
          <w:sz w:val="21"/>
          <w:szCs w:val="21"/>
        </w:rPr>
        <w:t>. 监</w:t>
      </w:r>
      <w:bookmarkEnd w:id="453"/>
      <w:bookmarkEnd w:id="454"/>
      <w:bookmarkEnd w:id="455"/>
      <w:bookmarkEnd w:id="456"/>
      <w:bookmarkEnd w:id="457"/>
      <w:bookmarkEnd w:id="458"/>
      <w:bookmarkEnd w:id="459"/>
      <w:bookmarkEnd w:id="460"/>
      <w:bookmarkEnd w:id="461"/>
      <w:bookmarkEnd w:id="462"/>
      <w:bookmarkEnd w:id="463"/>
      <w:r>
        <w:rPr>
          <w:rFonts w:hint="eastAsia" w:hAnsi="宋体" w:cs="宋体"/>
          <w:sz w:val="21"/>
          <w:szCs w:val="21"/>
        </w:rPr>
        <w:t>理人</w:t>
      </w:r>
      <w:bookmarkEnd w:id="452"/>
    </w:p>
    <w:p w14:paraId="65D90820">
      <w:pPr>
        <w:snapToGrid w:val="0"/>
        <w:spacing w:line="360" w:lineRule="auto"/>
        <w:ind w:firstLine="420" w:firstLineChars="200"/>
        <w:textAlignment w:val="baseline"/>
        <w:rPr>
          <w:rFonts w:hAnsi="宋体" w:cs="宋体"/>
          <w:sz w:val="21"/>
          <w:szCs w:val="21"/>
        </w:rPr>
      </w:pPr>
      <w:r>
        <w:rPr>
          <w:rFonts w:hint="eastAsia" w:hAnsi="宋体" w:cs="宋体"/>
          <w:sz w:val="21"/>
          <w:szCs w:val="21"/>
        </w:rPr>
        <w:t>4.1监理人的一般规定</w:t>
      </w:r>
    </w:p>
    <w:p w14:paraId="4C49F138">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关于监理人的监理内容：</w:t>
      </w:r>
      <w:r>
        <w:rPr>
          <w:rFonts w:hint="eastAsia" w:hAnsi="宋体" w:cs="宋体"/>
          <w:sz w:val="21"/>
          <w:szCs w:val="21"/>
          <w:u w:val="single" w:color="000000"/>
        </w:rPr>
        <w:t xml:space="preserve">  </w:t>
      </w:r>
      <w:r>
        <w:rPr>
          <w:rFonts w:hint="eastAsia" w:hAnsi="宋体" w:cs="宋体"/>
          <w:sz w:val="21"/>
          <w:szCs w:val="21"/>
          <w:u w:val="single"/>
        </w:rPr>
        <w:t>本工程实施范围内的所有工程内容的全过程监理</w:t>
      </w:r>
      <w:r>
        <w:rPr>
          <w:rFonts w:hint="eastAsia" w:hAnsi="宋体" w:cs="宋体"/>
          <w:sz w:val="21"/>
          <w:szCs w:val="21"/>
          <w:u w:val="single" w:color="000000"/>
        </w:rPr>
        <w:t xml:space="preserve">  。</w:t>
      </w:r>
    </w:p>
    <w:p w14:paraId="16415DF6">
      <w:pPr>
        <w:snapToGrid w:val="0"/>
        <w:spacing w:line="360" w:lineRule="auto"/>
        <w:ind w:firstLine="420" w:firstLineChars="200"/>
        <w:jc w:val="left"/>
        <w:textAlignment w:val="baseline"/>
        <w:rPr>
          <w:rFonts w:hint="eastAsia" w:hAnsi="宋体" w:cs="宋体"/>
          <w:sz w:val="21"/>
          <w:szCs w:val="21"/>
          <w:u w:val="single"/>
        </w:rPr>
      </w:pPr>
      <w:r>
        <w:rPr>
          <w:rFonts w:hint="eastAsia" w:hAnsi="宋体" w:cs="宋体"/>
          <w:sz w:val="21"/>
          <w:szCs w:val="21"/>
        </w:rPr>
        <w:t>关于监理人的监理权限：</w:t>
      </w:r>
      <w:r>
        <w:rPr>
          <w:rFonts w:hint="eastAsia" w:hAnsi="宋体" w:cs="宋体"/>
          <w:sz w:val="21"/>
          <w:szCs w:val="21"/>
          <w:u w:val="single" w:color="000000"/>
        </w:rPr>
        <w:t xml:space="preserve">   </w:t>
      </w:r>
      <w:r>
        <w:rPr>
          <w:rFonts w:hint="eastAsia" w:hAnsi="宋体" w:cs="宋体"/>
          <w:sz w:val="21"/>
          <w:szCs w:val="21"/>
          <w:u w:val="single"/>
        </w:rPr>
        <w:t>详见监理合同，但涉及设计变更、工程量确认、工期顺延、材料（设备）价格、用材、追加工程款、停/复工令、工程索赔、经济补偿等可能影响工程价款或工期的签证以及对合同条款的实质性变更文件，需经发包人书面同意（须发包人派驻的工程师签字并经发包人按其公司内部审批流程加盖发包人公章）后，该签证才有效</w:t>
      </w:r>
      <w:r>
        <w:rPr>
          <w:rFonts w:hint="eastAsia" w:hAnsi="宋体" w:cs="宋体"/>
          <w:sz w:val="21"/>
          <w:szCs w:val="21"/>
          <w:u w:val="single" w:color="000000"/>
        </w:rPr>
        <w:t xml:space="preserve"> 。 </w:t>
      </w:r>
    </w:p>
    <w:p w14:paraId="78A87917">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关于监理人在施工现场的办公场所、生活场所的提供和费用承担的约定：</w:t>
      </w:r>
      <w:r>
        <w:rPr>
          <w:rFonts w:hint="eastAsia" w:hAnsi="宋体" w:cs="宋体"/>
          <w:sz w:val="21"/>
          <w:szCs w:val="21"/>
          <w:u w:val="single" w:color="000000"/>
        </w:rPr>
        <w:t xml:space="preserve">  按通用条款约定  。</w:t>
      </w:r>
    </w:p>
    <w:p w14:paraId="3691BFEA">
      <w:pPr>
        <w:snapToGrid w:val="0"/>
        <w:spacing w:line="360" w:lineRule="auto"/>
        <w:ind w:firstLine="420" w:firstLineChars="200"/>
        <w:textAlignment w:val="baseline"/>
        <w:rPr>
          <w:rFonts w:hAnsi="宋体" w:cs="宋体"/>
          <w:sz w:val="21"/>
          <w:szCs w:val="21"/>
        </w:rPr>
      </w:pPr>
      <w:r>
        <w:rPr>
          <w:rFonts w:hint="eastAsia" w:hAnsi="宋体" w:cs="宋体"/>
          <w:sz w:val="21"/>
          <w:szCs w:val="21"/>
        </w:rPr>
        <w:t>4.2 监理人员</w:t>
      </w:r>
    </w:p>
    <w:p w14:paraId="32AB03DE">
      <w:pPr>
        <w:snapToGrid w:val="0"/>
        <w:spacing w:line="360" w:lineRule="auto"/>
        <w:ind w:firstLine="420" w:firstLineChars="200"/>
        <w:textAlignment w:val="baseline"/>
        <w:rPr>
          <w:rFonts w:hAnsi="宋体" w:cs="宋体"/>
          <w:sz w:val="21"/>
          <w:szCs w:val="21"/>
        </w:rPr>
      </w:pPr>
      <w:r>
        <w:rPr>
          <w:rFonts w:hint="eastAsia" w:hAnsi="宋体" w:cs="宋体"/>
          <w:sz w:val="21"/>
          <w:szCs w:val="21"/>
        </w:rPr>
        <w:t>总监理工程师：</w:t>
      </w:r>
    </w:p>
    <w:p w14:paraId="7468D3E0">
      <w:pPr>
        <w:snapToGrid w:val="0"/>
        <w:spacing w:line="360" w:lineRule="auto"/>
        <w:ind w:firstLine="420" w:firstLineChars="200"/>
        <w:textAlignment w:val="baseline"/>
        <w:rPr>
          <w:rFonts w:hAnsi="宋体" w:cs="宋体"/>
          <w:sz w:val="21"/>
          <w:szCs w:val="21"/>
        </w:rPr>
      </w:pPr>
      <w:r>
        <w:rPr>
          <w:rFonts w:hint="eastAsia" w:hAnsi="宋体" w:cs="宋体"/>
          <w:sz w:val="21"/>
          <w:szCs w:val="21"/>
        </w:rPr>
        <w:t>姓    名：</w:t>
      </w:r>
      <w:r>
        <w:rPr>
          <w:rFonts w:hint="eastAsia" w:hAnsi="宋体" w:cs="宋体"/>
          <w:sz w:val="21"/>
          <w:szCs w:val="21"/>
          <w:u w:val="single" w:color="000000"/>
        </w:rPr>
        <w:t xml:space="preserve">             </w:t>
      </w:r>
      <w:r>
        <w:rPr>
          <w:rFonts w:hint="eastAsia" w:hAnsi="宋体" w:cs="宋体"/>
          <w:sz w:val="21"/>
          <w:szCs w:val="21"/>
        </w:rPr>
        <w:t>；</w:t>
      </w:r>
    </w:p>
    <w:p w14:paraId="16DDBB13">
      <w:pPr>
        <w:snapToGrid w:val="0"/>
        <w:spacing w:line="360" w:lineRule="auto"/>
        <w:ind w:firstLine="420" w:firstLineChars="200"/>
        <w:textAlignment w:val="baseline"/>
        <w:rPr>
          <w:rFonts w:hAnsi="宋体" w:cs="宋体"/>
          <w:sz w:val="21"/>
          <w:szCs w:val="21"/>
        </w:rPr>
      </w:pPr>
      <w:r>
        <w:rPr>
          <w:rFonts w:hint="eastAsia" w:hAnsi="宋体" w:cs="宋体"/>
          <w:sz w:val="21"/>
          <w:szCs w:val="21"/>
        </w:rPr>
        <w:t>职    务：</w:t>
      </w:r>
      <w:r>
        <w:rPr>
          <w:rFonts w:hint="eastAsia" w:hAnsi="宋体" w:cs="宋体"/>
          <w:sz w:val="21"/>
          <w:szCs w:val="21"/>
          <w:u w:val="single" w:color="000000"/>
        </w:rPr>
        <w:t xml:space="preserve">            </w:t>
      </w:r>
      <w:r>
        <w:rPr>
          <w:rFonts w:hint="eastAsia" w:hAnsi="宋体" w:cs="宋体"/>
          <w:sz w:val="21"/>
          <w:szCs w:val="21"/>
        </w:rPr>
        <w:t>；</w:t>
      </w:r>
    </w:p>
    <w:p w14:paraId="00662A1B">
      <w:pPr>
        <w:snapToGrid w:val="0"/>
        <w:spacing w:line="360" w:lineRule="auto"/>
        <w:ind w:firstLine="420" w:firstLineChars="200"/>
        <w:textAlignment w:val="baseline"/>
        <w:rPr>
          <w:rFonts w:hAnsi="宋体" w:cs="宋体"/>
          <w:sz w:val="21"/>
          <w:szCs w:val="21"/>
        </w:rPr>
      </w:pPr>
      <w:r>
        <w:rPr>
          <w:rFonts w:hint="eastAsia" w:hAnsi="宋体" w:cs="宋体"/>
          <w:sz w:val="21"/>
          <w:szCs w:val="21"/>
        </w:rPr>
        <w:t>监理工程师执业资格证书号：</w:t>
      </w:r>
      <w:r>
        <w:rPr>
          <w:rFonts w:hint="eastAsia" w:hAnsi="宋体" w:cs="MingLiU_HKSCS"/>
          <w:sz w:val="21"/>
          <w:szCs w:val="21"/>
          <w:u w:val="single" w:color="000000"/>
        </w:rPr>
        <w:t xml:space="preserve"> </w:t>
      </w:r>
      <w:r>
        <w:rPr>
          <w:rFonts w:hint="eastAsia" w:hAnsi="宋体" w:cs="宋体"/>
          <w:sz w:val="21"/>
          <w:szCs w:val="21"/>
          <w:u w:val="single" w:color="000000"/>
        </w:rPr>
        <w:t xml:space="preserve">    </w:t>
      </w:r>
      <w:r>
        <w:rPr>
          <w:rFonts w:hint="eastAsia" w:hAnsi="宋体" w:cs="MingLiU_HKSCS"/>
          <w:sz w:val="21"/>
          <w:szCs w:val="21"/>
          <w:u w:val="single" w:color="000000"/>
        </w:rPr>
        <w:t xml:space="preserve"> </w:t>
      </w:r>
      <w:r>
        <w:rPr>
          <w:rFonts w:hint="eastAsia" w:hAnsi="宋体" w:cs="宋体"/>
          <w:sz w:val="21"/>
          <w:szCs w:val="21"/>
        </w:rPr>
        <w:t>；</w:t>
      </w:r>
    </w:p>
    <w:p w14:paraId="57F3074D">
      <w:pPr>
        <w:snapToGrid w:val="0"/>
        <w:spacing w:line="360" w:lineRule="auto"/>
        <w:ind w:firstLine="420" w:firstLineChars="200"/>
        <w:textAlignment w:val="baseline"/>
        <w:rPr>
          <w:rFonts w:hAnsi="宋体" w:cs="宋体"/>
          <w:sz w:val="21"/>
          <w:szCs w:val="21"/>
        </w:rPr>
      </w:pPr>
      <w:r>
        <w:rPr>
          <w:rFonts w:hint="eastAsia" w:hAnsi="宋体" w:cs="宋体"/>
          <w:sz w:val="21"/>
          <w:szCs w:val="21"/>
        </w:rPr>
        <w:t>联系电话：</w:t>
      </w:r>
      <w:r>
        <w:rPr>
          <w:rFonts w:hint="eastAsia" w:hAnsi="宋体" w:cs="宋体"/>
          <w:sz w:val="21"/>
          <w:szCs w:val="21"/>
          <w:u w:val="single" w:color="000000"/>
        </w:rPr>
        <w:t xml:space="preserve">  </w:t>
      </w:r>
      <w:r>
        <w:rPr>
          <w:rFonts w:hint="eastAsia" w:hAnsi="宋体" w:cs="MingLiU_HKSCS"/>
          <w:sz w:val="21"/>
          <w:szCs w:val="21"/>
          <w:u w:val="single" w:color="000000"/>
        </w:rPr>
        <w:t xml:space="preserve"> </w:t>
      </w:r>
      <w:r>
        <w:rPr>
          <w:rFonts w:hint="eastAsia" w:hAnsi="宋体" w:cs="宋体"/>
          <w:sz w:val="21"/>
          <w:szCs w:val="21"/>
          <w:u w:val="single" w:color="000000"/>
        </w:rPr>
        <w:t xml:space="preserve">                  </w:t>
      </w:r>
      <w:r>
        <w:rPr>
          <w:rFonts w:hint="eastAsia" w:hAnsi="宋体" w:cs="MingLiU_HKSCS"/>
          <w:sz w:val="21"/>
          <w:szCs w:val="21"/>
          <w:u w:val="single" w:color="000000"/>
        </w:rPr>
        <w:t xml:space="preserve"> </w:t>
      </w:r>
      <w:r>
        <w:rPr>
          <w:rFonts w:hint="eastAsia" w:hAnsi="宋体" w:cs="宋体"/>
          <w:sz w:val="21"/>
          <w:szCs w:val="21"/>
        </w:rPr>
        <w:t>；</w:t>
      </w:r>
    </w:p>
    <w:p w14:paraId="695949B3">
      <w:pPr>
        <w:snapToGrid w:val="0"/>
        <w:spacing w:line="360" w:lineRule="auto"/>
        <w:ind w:firstLine="420" w:firstLineChars="200"/>
        <w:textAlignment w:val="baseline"/>
        <w:rPr>
          <w:rFonts w:hAnsi="宋体" w:cs="宋体"/>
          <w:sz w:val="21"/>
          <w:szCs w:val="21"/>
        </w:rPr>
      </w:pPr>
      <w:r>
        <w:rPr>
          <w:rFonts w:hint="eastAsia" w:hAnsi="宋体" w:cs="宋体"/>
          <w:sz w:val="21"/>
          <w:szCs w:val="21"/>
        </w:rPr>
        <w:t>电子信箱：</w:t>
      </w:r>
      <w:r>
        <w:rPr>
          <w:rFonts w:hint="eastAsia" w:hAnsi="宋体" w:cs="MingLiU_HKSCS"/>
          <w:sz w:val="21"/>
          <w:szCs w:val="21"/>
          <w:u w:val="single" w:color="000000"/>
        </w:rPr>
        <w:t xml:space="preserve"> </w:t>
      </w:r>
      <w:r>
        <w:rPr>
          <w:rFonts w:hint="eastAsia" w:hAnsi="宋体" w:cs="宋体"/>
          <w:sz w:val="21"/>
          <w:szCs w:val="21"/>
          <w:u w:val="single" w:color="000000"/>
        </w:rPr>
        <w:t xml:space="preserve">                      </w:t>
      </w:r>
      <w:r>
        <w:rPr>
          <w:rFonts w:hint="eastAsia" w:hAnsi="宋体" w:cs="宋体"/>
          <w:sz w:val="21"/>
          <w:szCs w:val="21"/>
        </w:rPr>
        <w:t>；</w:t>
      </w:r>
    </w:p>
    <w:p w14:paraId="4298E07F">
      <w:pPr>
        <w:snapToGrid w:val="0"/>
        <w:spacing w:line="360" w:lineRule="auto"/>
        <w:ind w:firstLine="420" w:firstLineChars="200"/>
        <w:textAlignment w:val="baseline"/>
        <w:rPr>
          <w:rFonts w:hAnsi="宋体" w:cs="宋体"/>
          <w:sz w:val="21"/>
          <w:szCs w:val="21"/>
        </w:rPr>
      </w:pPr>
      <w:r>
        <w:rPr>
          <w:rFonts w:hint="eastAsia" w:hAnsi="宋体" w:cs="宋体"/>
          <w:sz w:val="21"/>
          <w:szCs w:val="21"/>
        </w:rPr>
        <w:t>通信地址：</w:t>
      </w:r>
      <w:r>
        <w:rPr>
          <w:rFonts w:hint="eastAsia" w:hAnsi="宋体" w:cs="宋体"/>
          <w:sz w:val="21"/>
          <w:szCs w:val="21"/>
          <w:u w:val="single" w:color="000000"/>
        </w:rPr>
        <w:t xml:space="preserve"> </w:t>
      </w:r>
      <w:r>
        <w:rPr>
          <w:rFonts w:hint="eastAsia" w:hAnsi="宋体" w:cs="MingLiU_HKSCS"/>
          <w:sz w:val="21"/>
          <w:szCs w:val="21"/>
          <w:u w:val="single" w:color="000000"/>
        </w:rPr>
        <w:t xml:space="preserve"> </w:t>
      </w:r>
      <w:r>
        <w:rPr>
          <w:rFonts w:hint="eastAsia" w:hAnsi="宋体" w:cs="宋体"/>
          <w:sz w:val="21"/>
          <w:szCs w:val="21"/>
          <w:u w:val="single" w:color="000000"/>
        </w:rPr>
        <w:t xml:space="preserve">                      </w:t>
      </w:r>
      <w:r>
        <w:rPr>
          <w:rFonts w:hint="eastAsia" w:hAnsi="宋体" w:cs="宋体"/>
          <w:sz w:val="21"/>
          <w:szCs w:val="21"/>
        </w:rPr>
        <w:t>；</w:t>
      </w:r>
    </w:p>
    <w:p w14:paraId="6D42CC37">
      <w:pPr>
        <w:snapToGrid w:val="0"/>
        <w:spacing w:line="360" w:lineRule="auto"/>
        <w:ind w:firstLine="420" w:firstLineChars="200"/>
        <w:textAlignment w:val="baseline"/>
        <w:rPr>
          <w:rFonts w:hAnsi="宋体" w:cs="宋体"/>
          <w:sz w:val="21"/>
          <w:szCs w:val="21"/>
        </w:rPr>
      </w:pPr>
      <w:r>
        <w:rPr>
          <w:rFonts w:hint="eastAsia" w:hAnsi="宋体" w:cs="宋体"/>
          <w:sz w:val="21"/>
          <w:szCs w:val="21"/>
        </w:rPr>
        <w:t>关于监理人的其他约定：</w:t>
      </w:r>
      <w:r>
        <w:rPr>
          <w:rFonts w:hint="eastAsia" w:hAnsi="宋体" w:cs="宋体"/>
          <w:sz w:val="21"/>
          <w:szCs w:val="21"/>
          <w:u w:val="single" w:color="000000"/>
        </w:rPr>
        <w:t xml:space="preserve"> </w:t>
      </w:r>
      <w:r>
        <w:rPr>
          <w:rFonts w:hint="eastAsia" w:hAnsi="宋体" w:cs="MingLiU_HKSCS"/>
          <w:sz w:val="21"/>
          <w:szCs w:val="21"/>
          <w:u w:val="single" w:color="000000"/>
        </w:rPr>
        <w:t xml:space="preserve"> </w:t>
      </w:r>
      <w:r>
        <w:rPr>
          <w:rFonts w:hint="eastAsia" w:hAnsi="宋体" w:cs="宋体"/>
          <w:sz w:val="21"/>
          <w:szCs w:val="21"/>
          <w:u w:val="single" w:color="000000"/>
        </w:rPr>
        <w:t xml:space="preserve">          </w:t>
      </w:r>
      <w:r>
        <w:rPr>
          <w:rFonts w:hint="eastAsia" w:hAnsi="宋体" w:cs="宋体"/>
          <w:sz w:val="21"/>
          <w:szCs w:val="21"/>
        </w:rPr>
        <w:t>。</w:t>
      </w:r>
    </w:p>
    <w:p w14:paraId="7885434C">
      <w:pPr>
        <w:snapToGrid w:val="0"/>
        <w:spacing w:line="360" w:lineRule="auto"/>
        <w:ind w:firstLine="420" w:firstLineChars="200"/>
        <w:textAlignment w:val="baseline"/>
        <w:rPr>
          <w:rFonts w:hAnsi="宋体" w:cs="宋体"/>
          <w:sz w:val="21"/>
          <w:szCs w:val="21"/>
        </w:rPr>
      </w:pPr>
      <w:r>
        <w:rPr>
          <w:rFonts w:hint="eastAsia" w:hAnsi="宋体" w:cs="宋体"/>
          <w:sz w:val="21"/>
          <w:szCs w:val="21"/>
        </w:rPr>
        <w:t>4.4 商定或确定</w:t>
      </w:r>
    </w:p>
    <w:p w14:paraId="7C57958F">
      <w:pPr>
        <w:snapToGrid w:val="0"/>
        <w:spacing w:line="360" w:lineRule="auto"/>
        <w:ind w:firstLine="420" w:firstLineChars="200"/>
        <w:textAlignment w:val="baseline"/>
        <w:rPr>
          <w:rFonts w:hAnsi="宋体" w:cs="宋体"/>
          <w:sz w:val="21"/>
          <w:szCs w:val="21"/>
        </w:rPr>
      </w:pPr>
      <w:bookmarkStart w:id="464" w:name="_Toc267251418"/>
      <w:r>
        <w:rPr>
          <w:rFonts w:hint="eastAsia" w:hAnsi="宋体" w:cs="宋体"/>
          <w:sz w:val="21"/>
          <w:szCs w:val="21"/>
        </w:rPr>
        <w:t>在发包人和承包人不能通过协商达成一致意见时，发包人授权监理人对以下事项进行确定：</w:t>
      </w:r>
    </w:p>
    <w:p w14:paraId="5B3E9FD3">
      <w:pPr>
        <w:snapToGrid w:val="0"/>
        <w:spacing w:line="360" w:lineRule="auto"/>
        <w:ind w:firstLine="420" w:firstLineChars="200"/>
        <w:jc w:val="left"/>
        <w:textAlignment w:val="baseline"/>
        <w:rPr>
          <w:rFonts w:hAnsi="宋体" w:cs="宋体"/>
          <w:kern w:val="0"/>
          <w:sz w:val="21"/>
          <w:szCs w:val="21"/>
        </w:rPr>
      </w:pPr>
      <w:r>
        <w:rPr>
          <w:rFonts w:hint="eastAsia" w:hAnsi="宋体" w:cs="宋体"/>
          <w:kern w:val="0"/>
          <w:sz w:val="21"/>
          <w:szCs w:val="21"/>
        </w:rPr>
        <w:t>（1）</w:t>
      </w:r>
      <w:r>
        <w:rPr>
          <w:rFonts w:hint="eastAsia" w:hAnsi="宋体" w:cs="宋体"/>
          <w:sz w:val="21"/>
          <w:szCs w:val="21"/>
          <w:u w:val="single" w:color="000000"/>
        </w:rPr>
        <w:t xml:space="preserve">           /                  </w:t>
      </w:r>
      <w:r>
        <w:rPr>
          <w:rFonts w:hint="eastAsia" w:hAnsi="宋体" w:cs="宋体"/>
          <w:sz w:val="21"/>
          <w:szCs w:val="21"/>
        </w:rPr>
        <w:t>；</w:t>
      </w:r>
    </w:p>
    <w:p w14:paraId="66D0745F">
      <w:pPr>
        <w:snapToGrid w:val="0"/>
        <w:spacing w:line="360" w:lineRule="auto"/>
        <w:ind w:firstLine="420" w:firstLineChars="200"/>
        <w:jc w:val="left"/>
        <w:textAlignment w:val="baseline"/>
        <w:rPr>
          <w:rFonts w:hAnsi="宋体" w:cs="宋体"/>
          <w:kern w:val="0"/>
          <w:sz w:val="21"/>
          <w:szCs w:val="21"/>
        </w:rPr>
      </w:pPr>
      <w:r>
        <w:rPr>
          <w:rFonts w:hint="eastAsia" w:hAnsi="宋体" w:cs="宋体"/>
          <w:kern w:val="0"/>
          <w:sz w:val="21"/>
          <w:szCs w:val="21"/>
        </w:rPr>
        <w:t>（2）</w:t>
      </w:r>
      <w:r>
        <w:rPr>
          <w:rFonts w:hint="eastAsia" w:hAnsi="宋体" w:cs="宋体"/>
          <w:sz w:val="21"/>
          <w:szCs w:val="21"/>
          <w:u w:val="single" w:color="000000"/>
        </w:rPr>
        <w:t xml:space="preserve">        /                 </w:t>
      </w:r>
      <w:r>
        <w:rPr>
          <w:rFonts w:hint="eastAsia" w:hAnsi="宋体" w:cs="宋体"/>
          <w:sz w:val="21"/>
          <w:szCs w:val="21"/>
        </w:rPr>
        <w:t>；</w:t>
      </w:r>
    </w:p>
    <w:p w14:paraId="390D1749">
      <w:pPr>
        <w:snapToGrid w:val="0"/>
        <w:spacing w:line="360" w:lineRule="auto"/>
        <w:ind w:firstLine="420" w:firstLineChars="200"/>
        <w:jc w:val="left"/>
        <w:textAlignment w:val="baseline"/>
        <w:rPr>
          <w:rFonts w:hAnsi="宋体" w:cs="宋体"/>
          <w:kern w:val="0"/>
          <w:sz w:val="21"/>
          <w:szCs w:val="21"/>
        </w:rPr>
      </w:pPr>
      <w:r>
        <w:rPr>
          <w:rFonts w:hint="eastAsia" w:hAnsi="宋体" w:cs="宋体"/>
          <w:kern w:val="0"/>
          <w:sz w:val="21"/>
          <w:szCs w:val="21"/>
        </w:rPr>
        <w:t>（3）</w:t>
      </w:r>
      <w:r>
        <w:rPr>
          <w:rFonts w:hint="eastAsia" w:hAnsi="宋体" w:cs="宋体"/>
          <w:sz w:val="21"/>
          <w:szCs w:val="21"/>
          <w:u w:val="single" w:color="000000"/>
        </w:rPr>
        <w:t xml:space="preserve">       /           </w:t>
      </w:r>
      <w:r>
        <w:rPr>
          <w:rFonts w:hint="eastAsia" w:hAnsi="宋体" w:cs="宋体"/>
          <w:sz w:val="21"/>
          <w:szCs w:val="21"/>
        </w:rPr>
        <w:t>。</w:t>
      </w:r>
    </w:p>
    <w:p w14:paraId="4267B87A">
      <w:pPr>
        <w:snapToGrid w:val="0"/>
        <w:spacing w:line="360" w:lineRule="auto"/>
        <w:ind w:firstLine="420" w:firstLineChars="200"/>
        <w:textAlignment w:val="baseline"/>
        <w:rPr>
          <w:rFonts w:hAnsi="宋体" w:cs="宋体"/>
          <w:sz w:val="21"/>
          <w:szCs w:val="21"/>
        </w:rPr>
      </w:pPr>
      <w:bookmarkStart w:id="465" w:name="_Toc351203637"/>
      <w:r>
        <w:rPr>
          <w:rFonts w:hint="eastAsia" w:hAnsi="宋体" w:cs="宋体"/>
          <w:sz w:val="21"/>
          <w:szCs w:val="21"/>
        </w:rPr>
        <w:t>5</w:t>
      </w:r>
      <w:bookmarkEnd w:id="464"/>
      <w:r>
        <w:rPr>
          <w:rFonts w:hint="eastAsia" w:hAnsi="宋体" w:cs="宋体"/>
          <w:sz w:val="21"/>
          <w:szCs w:val="21"/>
        </w:rPr>
        <w:t>. 工程质量</w:t>
      </w:r>
      <w:bookmarkEnd w:id="465"/>
    </w:p>
    <w:p w14:paraId="12D09247">
      <w:pPr>
        <w:snapToGrid w:val="0"/>
        <w:spacing w:line="360" w:lineRule="auto"/>
        <w:ind w:firstLine="420" w:firstLineChars="200"/>
        <w:textAlignment w:val="baseline"/>
        <w:rPr>
          <w:rFonts w:hAnsi="宋体" w:cs="宋体"/>
          <w:sz w:val="21"/>
          <w:szCs w:val="21"/>
        </w:rPr>
      </w:pPr>
      <w:r>
        <w:rPr>
          <w:rFonts w:hint="eastAsia" w:hAnsi="宋体" w:cs="宋体"/>
          <w:sz w:val="21"/>
          <w:szCs w:val="21"/>
        </w:rPr>
        <w:t>5.1 质量要求</w:t>
      </w:r>
    </w:p>
    <w:p w14:paraId="2DF973DB">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5.1.1 特殊质量标准和要求：</w:t>
      </w:r>
      <w:r>
        <w:rPr>
          <w:rFonts w:hAnsi="宋体" w:cs="Arial"/>
          <w:sz w:val="21"/>
          <w:szCs w:val="21"/>
          <w:u w:val="single" w:color="000000"/>
        </w:rPr>
        <w:t>工程质量达到国家及行业相关验收规范标准合格要求</w:t>
      </w:r>
      <w:r>
        <w:rPr>
          <w:rFonts w:hint="eastAsia" w:hAnsi="宋体" w:cs="宋体"/>
          <w:sz w:val="21"/>
          <w:szCs w:val="21"/>
          <w:u w:val="single" w:color="000000"/>
        </w:rPr>
        <w:t>。</w:t>
      </w:r>
    </w:p>
    <w:p w14:paraId="4EDBFE0B">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关于工程奖项的约定：</w:t>
      </w:r>
      <w:r>
        <w:rPr>
          <w:rFonts w:hint="eastAsia" w:hAnsi="宋体" w:cs="宋体"/>
          <w:sz w:val="21"/>
          <w:szCs w:val="21"/>
          <w:u w:val="single" w:color="000000"/>
        </w:rPr>
        <w:t xml:space="preserve">   / </w:t>
      </w:r>
    </w:p>
    <w:p w14:paraId="726DE8F4">
      <w:pPr>
        <w:snapToGrid w:val="0"/>
        <w:spacing w:line="360" w:lineRule="auto"/>
        <w:ind w:firstLine="420" w:firstLineChars="200"/>
        <w:textAlignment w:val="baseline"/>
        <w:rPr>
          <w:rFonts w:hAnsi="宋体" w:cs="宋体"/>
          <w:sz w:val="21"/>
          <w:szCs w:val="21"/>
        </w:rPr>
      </w:pPr>
      <w:r>
        <w:rPr>
          <w:rFonts w:hint="eastAsia" w:hAnsi="宋体" w:cs="宋体"/>
          <w:sz w:val="21"/>
          <w:szCs w:val="21"/>
        </w:rPr>
        <w:t>5.3 隐蔽工程检查</w:t>
      </w:r>
    </w:p>
    <w:p w14:paraId="144FAA29">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5.3.2承包人提前通知监理人隐蔽工程检查的期限的约定</w:t>
      </w:r>
      <w:r>
        <w:rPr>
          <w:rFonts w:hint="eastAsia" w:hAnsi="宋体" w:cs="宋体"/>
          <w:sz w:val="21"/>
          <w:szCs w:val="21"/>
          <w:u w:val="single" w:color="000000"/>
        </w:rPr>
        <w:t>：按通用条款约定。</w:t>
      </w:r>
    </w:p>
    <w:p w14:paraId="1643664F">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监理人不能按时进行检查时，应提前</w:t>
      </w:r>
      <w:r>
        <w:rPr>
          <w:rFonts w:hint="eastAsia" w:hAnsi="宋体" w:cs="宋体"/>
          <w:sz w:val="21"/>
          <w:szCs w:val="21"/>
          <w:u w:val="single" w:color="000000"/>
        </w:rPr>
        <w:t xml:space="preserve">  24   </w:t>
      </w:r>
      <w:r>
        <w:rPr>
          <w:rFonts w:hint="eastAsia" w:hAnsi="宋体" w:cs="宋体"/>
          <w:sz w:val="21"/>
          <w:szCs w:val="21"/>
        </w:rPr>
        <w:t>小时提交书面延期要求。</w:t>
      </w:r>
    </w:p>
    <w:p w14:paraId="77F6B22F">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关于延期最长不得超过：</w:t>
      </w:r>
      <w:r>
        <w:rPr>
          <w:rFonts w:hint="eastAsia" w:hAnsi="宋体" w:cs="宋体"/>
          <w:sz w:val="21"/>
          <w:szCs w:val="21"/>
          <w:u w:val="single" w:color="000000"/>
        </w:rPr>
        <w:t xml:space="preserve">   24  </w:t>
      </w:r>
      <w:r>
        <w:rPr>
          <w:rFonts w:hint="eastAsia" w:hAnsi="宋体" w:cs="宋体"/>
          <w:sz w:val="21"/>
          <w:szCs w:val="21"/>
        </w:rPr>
        <w:t>小时。</w:t>
      </w:r>
    </w:p>
    <w:p w14:paraId="45FF6BE3">
      <w:pPr>
        <w:snapToGrid w:val="0"/>
        <w:spacing w:line="360" w:lineRule="auto"/>
        <w:ind w:firstLine="420" w:firstLineChars="200"/>
        <w:textAlignment w:val="baseline"/>
        <w:rPr>
          <w:rFonts w:hAnsi="宋体" w:cs="宋体"/>
          <w:sz w:val="21"/>
          <w:szCs w:val="21"/>
        </w:rPr>
      </w:pPr>
      <w:bookmarkStart w:id="466" w:name="_Toc351203638"/>
      <w:r>
        <w:rPr>
          <w:rFonts w:hint="eastAsia" w:hAnsi="宋体" w:cs="宋体"/>
          <w:sz w:val="21"/>
          <w:szCs w:val="21"/>
        </w:rPr>
        <w:t>6. 安全文明施工与环境保护</w:t>
      </w:r>
      <w:bookmarkEnd w:id="466"/>
    </w:p>
    <w:p w14:paraId="7DC8C548">
      <w:pPr>
        <w:snapToGrid w:val="0"/>
        <w:spacing w:line="360" w:lineRule="auto"/>
        <w:ind w:firstLine="420" w:firstLineChars="200"/>
        <w:textAlignment w:val="baseline"/>
        <w:rPr>
          <w:rFonts w:hAnsi="宋体" w:cs="宋体"/>
          <w:sz w:val="21"/>
          <w:szCs w:val="21"/>
        </w:rPr>
      </w:pPr>
      <w:r>
        <w:rPr>
          <w:rFonts w:hint="eastAsia" w:hAnsi="宋体" w:cs="宋体"/>
          <w:sz w:val="21"/>
          <w:szCs w:val="21"/>
        </w:rPr>
        <w:t>6.1安全文明施工</w:t>
      </w:r>
    </w:p>
    <w:p w14:paraId="551F4B1F">
      <w:pPr>
        <w:snapToGrid w:val="0"/>
        <w:spacing w:line="360" w:lineRule="auto"/>
        <w:ind w:firstLine="420" w:firstLineChars="200"/>
        <w:jc w:val="left"/>
        <w:textAlignment w:val="baseline"/>
        <w:rPr>
          <w:rFonts w:hAnsi="宋体" w:cs="宋体"/>
          <w:b/>
          <w:sz w:val="21"/>
          <w:szCs w:val="21"/>
          <w:u w:val="single"/>
        </w:rPr>
      </w:pPr>
      <w:r>
        <w:rPr>
          <w:rFonts w:hint="eastAsia" w:hAnsi="宋体" w:cs="宋体"/>
          <w:sz w:val="21"/>
          <w:szCs w:val="21"/>
        </w:rPr>
        <w:t>6.1.1 项目安全生产的达标目标及相应事项的约定：</w:t>
      </w:r>
      <w:r>
        <w:rPr>
          <w:rFonts w:hint="eastAsia" w:hAnsi="宋体" w:cs="宋体"/>
          <w:b/>
          <w:sz w:val="21"/>
          <w:szCs w:val="21"/>
          <w:u w:val="single" w:color="000000"/>
        </w:rPr>
        <w:t>施工现场按照《建筑施工安全检查标准》（JGJ59-2011）评定达到“合格”标准。</w:t>
      </w:r>
    </w:p>
    <w:p w14:paraId="673148CC">
      <w:pPr>
        <w:snapToGrid w:val="0"/>
        <w:spacing w:line="360" w:lineRule="auto"/>
        <w:ind w:firstLine="420" w:firstLineChars="200"/>
        <w:jc w:val="left"/>
        <w:textAlignment w:val="baseline"/>
        <w:rPr>
          <w:rFonts w:hAnsi="宋体" w:cs="宋体"/>
          <w:b/>
          <w:sz w:val="21"/>
          <w:szCs w:val="21"/>
          <w:u w:val="single"/>
        </w:rPr>
      </w:pPr>
      <w:r>
        <w:rPr>
          <w:rFonts w:hint="eastAsia" w:hAnsi="宋体" w:cs="宋体"/>
          <w:sz w:val="21"/>
          <w:szCs w:val="21"/>
        </w:rPr>
        <w:t>6.1.4 关于治安保卫的特别约定：</w:t>
      </w:r>
      <w:r>
        <w:rPr>
          <w:rFonts w:hint="eastAsia" w:hAnsi="宋体" w:cs="宋体"/>
          <w:b/>
          <w:sz w:val="21"/>
          <w:szCs w:val="21"/>
          <w:u w:val="single" w:color="000000"/>
        </w:rPr>
        <w:t>无特殊约定，按通用条款约定。</w:t>
      </w:r>
    </w:p>
    <w:p w14:paraId="05D409E6">
      <w:pPr>
        <w:snapToGrid w:val="0"/>
        <w:spacing w:line="360" w:lineRule="auto"/>
        <w:ind w:firstLine="420" w:firstLineChars="200"/>
        <w:jc w:val="left"/>
        <w:textAlignment w:val="baseline"/>
        <w:rPr>
          <w:rFonts w:hAnsi="宋体" w:cs="宋体"/>
          <w:b/>
          <w:sz w:val="21"/>
          <w:szCs w:val="21"/>
          <w:u w:val="single"/>
        </w:rPr>
      </w:pPr>
      <w:r>
        <w:rPr>
          <w:rFonts w:hint="eastAsia" w:hAnsi="宋体" w:cs="宋体"/>
          <w:sz w:val="21"/>
          <w:szCs w:val="21"/>
        </w:rPr>
        <w:t>关于编制施工场地治安管理计划的约定：</w:t>
      </w:r>
      <w:r>
        <w:rPr>
          <w:rFonts w:hint="eastAsia" w:hAnsi="宋体" w:cs="宋体"/>
          <w:sz w:val="21"/>
          <w:szCs w:val="21"/>
          <w:u w:val="single"/>
        </w:rPr>
        <w:t>承包人应在工程开工后3天内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r>
        <w:rPr>
          <w:rFonts w:hint="eastAsia" w:hAnsi="宋体" w:cs="宋体"/>
          <w:b/>
          <w:sz w:val="21"/>
          <w:szCs w:val="21"/>
          <w:u w:val="single" w:color="000000"/>
        </w:rPr>
        <w:t>。</w:t>
      </w:r>
    </w:p>
    <w:p w14:paraId="6C283E56">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6.1.5 文明施工</w:t>
      </w:r>
    </w:p>
    <w:p w14:paraId="2A71E742">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合同当事人对文明施工的要求：</w:t>
      </w:r>
    </w:p>
    <w:p w14:paraId="4846869D">
      <w:pPr>
        <w:snapToGrid w:val="0"/>
        <w:spacing w:line="360" w:lineRule="auto"/>
        <w:ind w:firstLine="422" w:firstLineChars="200"/>
        <w:jc w:val="left"/>
        <w:textAlignment w:val="baseline"/>
        <w:rPr>
          <w:rFonts w:hAnsi="宋体" w:cs="宋体"/>
          <w:b/>
          <w:sz w:val="21"/>
          <w:szCs w:val="21"/>
        </w:rPr>
      </w:pPr>
      <w:r>
        <w:rPr>
          <w:rFonts w:hint="eastAsia" w:hAnsi="宋体" w:cs="宋体"/>
          <w:b/>
          <w:sz w:val="21"/>
          <w:szCs w:val="21"/>
        </w:rPr>
        <w:t>（1）遵守地方政府和有关部门对施工场地交通、环卫、安全和施工噪音等管理规定，并办理相关审批手续。</w:t>
      </w:r>
    </w:p>
    <w:p w14:paraId="025A7C7B">
      <w:pPr>
        <w:snapToGrid w:val="0"/>
        <w:spacing w:line="360" w:lineRule="auto"/>
        <w:ind w:firstLine="422" w:firstLineChars="200"/>
        <w:jc w:val="left"/>
        <w:textAlignment w:val="baseline"/>
        <w:rPr>
          <w:rFonts w:hAnsi="宋体" w:cs="宋体"/>
          <w:b/>
          <w:sz w:val="21"/>
          <w:szCs w:val="21"/>
        </w:rPr>
      </w:pPr>
      <w:r>
        <w:rPr>
          <w:rFonts w:hint="eastAsia" w:hAnsi="宋体" w:cs="宋体"/>
          <w:b/>
          <w:sz w:val="21"/>
          <w:szCs w:val="21"/>
        </w:rPr>
        <w:t>（2）承包人应采取有效措施尽量减小尘土和噪音污染，需要进行夜间作业时应经有关部门批准。</w:t>
      </w:r>
    </w:p>
    <w:p w14:paraId="18C708E7">
      <w:pPr>
        <w:snapToGrid w:val="0"/>
        <w:spacing w:line="360" w:lineRule="auto"/>
        <w:ind w:firstLine="422" w:firstLineChars="200"/>
        <w:jc w:val="left"/>
        <w:textAlignment w:val="baseline"/>
        <w:rPr>
          <w:rFonts w:hAnsi="宋体" w:cs="宋体"/>
          <w:b/>
          <w:sz w:val="21"/>
          <w:szCs w:val="21"/>
        </w:rPr>
      </w:pPr>
      <w:r>
        <w:rPr>
          <w:rFonts w:hint="eastAsia" w:hAnsi="宋体" w:cs="宋体"/>
          <w:b/>
          <w:sz w:val="21"/>
          <w:szCs w:val="21"/>
        </w:rPr>
        <w:t>（3）其他：</w:t>
      </w:r>
    </w:p>
    <w:p w14:paraId="086F6F38">
      <w:pPr>
        <w:snapToGrid w:val="0"/>
        <w:spacing w:line="360" w:lineRule="auto"/>
        <w:ind w:firstLine="422" w:firstLineChars="200"/>
        <w:jc w:val="left"/>
        <w:textAlignment w:val="baseline"/>
        <w:rPr>
          <w:rFonts w:hAnsi="宋体" w:cs="宋体"/>
          <w:b/>
          <w:sz w:val="21"/>
          <w:szCs w:val="21"/>
        </w:rPr>
      </w:pPr>
      <w:r>
        <w:rPr>
          <w:rFonts w:hint="eastAsia" w:hAnsi="宋体" w:cs="宋体"/>
          <w:b/>
          <w:sz w:val="21"/>
          <w:szCs w:val="21"/>
        </w:rPr>
        <w:t>①承包人必须严格遵守和执行中华人民共和国以及杭州市安全生产和劳动保护的有关规定，保证采取一切必要的安全预防措施，以防其他雇员、业主和工程师的职员及其他人员因承包人的不当操作而受到伤害。</w:t>
      </w:r>
    </w:p>
    <w:p w14:paraId="3F1F66A1">
      <w:pPr>
        <w:snapToGrid w:val="0"/>
        <w:spacing w:line="360" w:lineRule="auto"/>
        <w:ind w:firstLine="422" w:firstLineChars="200"/>
        <w:jc w:val="left"/>
        <w:textAlignment w:val="baseline"/>
        <w:rPr>
          <w:rFonts w:hint="eastAsia" w:hAnsi="宋体" w:cs="宋体"/>
          <w:b/>
          <w:sz w:val="21"/>
          <w:szCs w:val="21"/>
        </w:rPr>
      </w:pPr>
      <w:r>
        <w:rPr>
          <w:rFonts w:hint="eastAsia" w:hAnsi="宋体" w:cs="宋体"/>
          <w:b/>
          <w:sz w:val="21"/>
          <w:szCs w:val="21"/>
        </w:rPr>
        <w:t>②承包人应按《关于做好打造“美丽杭州”建设“两美浙江”示范区环建设工程环境整治工作的补充通知》(杭建工发[2015]279号)文件规定执行。承包人合理安排并对现场的施工安全、保卫、夜间照明及场内、场内外接口交通疏导等负责，按建设地点建设管理部门有关规定搞好施工现场管理。如承包人未履行上述义务造成工程、财产和人身伤害，由承包人承担一切责任及发生的全部费用。发包人可视情况的严重程度，要求承包予以支付违约金</w:t>
      </w:r>
      <w:r>
        <w:rPr>
          <w:rFonts w:hint="eastAsia" w:hAnsi="宋体" w:cs="宋体"/>
          <w:b/>
          <w:sz w:val="21"/>
          <w:szCs w:val="21"/>
          <w:u w:val="single"/>
        </w:rPr>
        <w:t xml:space="preserve"> </w:t>
      </w:r>
      <w:r>
        <w:rPr>
          <w:rFonts w:hAnsi="宋体" w:cs="宋体"/>
          <w:b/>
          <w:sz w:val="21"/>
          <w:szCs w:val="21"/>
          <w:u w:val="single"/>
        </w:rPr>
        <w:t xml:space="preserve">          </w:t>
      </w:r>
      <w:r>
        <w:rPr>
          <w:rFonts w:hint="eastAsia" w:hAnsi="宋体" w:cs="宋体"/>
          <w:b/>
          <w:sz w:val="21"/>
          <w:szCs w:val="21"/>
        </w:rPr>
        <w:t>元。</w:t>
      </w:r>
    </w:p>
    <w:p w14:paraId="44CA8D2F">
      <w:pPr>
        <w:snapToGrid w:val="0"/>
        <w:spacing w:line="360" w:lineRule="auto"/>
        <w:ind w:firstLine="422" w:firstLineChars="200"/>
        <w:jc w:val="left"/>
        <w:textAlignment w:val="baseline"/>
        <w:rPr>
          <w:rFonts w:hint="eastAsia" w:hAnsi="宋体" w:cs="宋体"/>
          <w:b/>
          <w:sz w:val="21"/>
          <w:szCs w:val="21"/>
        </w:rPr>
      </w:pPr>
      <w:r>
        <w:rPr>
          <w:rFonts w:hint="eastAsia" w:hAnsi="宋体" w:cs="宋体"/>
          <w:b/>
          <w:sz w:val="21"/>
          <w:szCs w:val="21"/>
        </w:rPr>
        <w:t>③承包人必须认真执行国家、省、市、上城区有关施工安全生产条例和有关规定，施工期间必须认真做好安全管理工作，杜绝重大安全事故发生，同时做好社会综合治理工作。如因承包人管理不善，引起政府有关部门罚款或责令停工整改等，其发生的所有的费用或导致的损失均由承包人自行承担，工期不予顺延，且发包人保留因此而缓付工程进度款的权利。承包人在施工期间发生的事故，一切责任和经济补偿均由承包人自行负责，同时发包人将视情况要求承包人支付（</w:t>
      </w:r>
      <w:r>
        <w:rPr>
          <w:rFonts w:hAnsi="宋体" w:cs="宋体"/>
          <w:b/>
          <w:sz w:val="21"/>
          <w:szCs w:val="21"/>
        </w:rPr>
        <w:t>1</w:t>
      </w:r>
      <w:r>
        <w:rPr>
          <w:rFonts w:hint="eastAsia" w:hAnsi="宋体" w:cs="宋体"/>
          <w:b/>
          <w:sz w:val="21"/>
          <w:szCs w:val="21"/>
        </w:rPr>
        <w:t>0000-</w:t>
      </w:r>
      <w:r>
        <w:rPr>
          <w:rFonts w:hAnsi="宋体" w:cs="宋体"/>
          <w:b/>
          <w:sz w:val="21"/>
          <w:szCs w:val="21"/>
        </w:rPr>
        <w:t>5</w:t>
      </w:r>
      <w:r>
        <w:rPr>
          <w:rFonts w:hint="eastAsia" w:hAnsi="宋体" w:cs="宋体"/>
          <w:b/>
          <w:sz w:val="21"/>
          <w:szCs w:val="21"/>
        </w:rPr>
        <w:t>0000元/次）相应的违约金。</w:t>
      </w:r>
    </w:p>
    <w:p w14:paraId="0B3B0AA2">
      <w:pPr>
        <w:snapToGrid w:val="0"/>
        <w:spacing w:line="360" w:lineRule="auto"/>
        <w:ind w:firstLine="422" w:firstLineChars="200"/>
        <w:jc w:val="left"/>
        <w:textAlignment w:val="baseline"/>
        <w:rPr>
          <w:rFonts w:hint="eastAsia" w:hAnsi="宋体" w:cs="宋体"/>
          <w:b/>
          <w:sz w:val="21"/>
          <w:szCs w:val="21"/>
        </w:rPr>
      </w:pPr>
      <w:r>
        <w:rPr>
          <w:rFonts w:hint="eastAsia" w:hAnsi="宋体" w:cs="宋体"/>
          <w:b/>
          <w:sz w:val="21"/>
          <w:szCs w:val="21"/>
        </w:rPr>
        <w:t>④根据杭州市安委会《关于开展安全生产风险普查及“平安护航建党百年”安全隐患大排查大整治专项行动的通知》（杭安委〔2021〕6号）文件要求落实相关内容。</w:t>
      </w:r>
    </w:p>
    <w:p w14:paraId="2C74DE7B">
      <w:pPr>
        <w:snapToGrid w:val="0"/>
        <w:spacing w:line="360" w:lineRule="auto"/>
        <w:ind w:firstLine="422" w:firstLineChars="200"/>
        <w:jc w:val="left"/>
        <w:textAlignment w:val="baseline"/>
        <w:rPr>
          <w:rFonts w:hAnsi="宋体" w:cs="宋体"/>
          <w:b/>
          <w:sz w:val="21"/>
          <w:szCs w:val="21"/>
        </w:rPr>
      </w:pPr>
      <w:r>
        <w:rPr>
          <w:rFonts w:hint="eastAsia" w:hAnsi="宋体" w:cs="宋体"/>
          <w:b/>
          <w:sz w:val="21"/>
          <w:szCs w:val="21"/>
        </w:rPr>
        <w:t>⑤承包人进场后与发包人签订现场安全文明施工协议书，由承包人编制专项详细方案，经双方确认后，承包人严格按此方案要求实施。认真落实各项安全保护措施，并随时接受行业安全检查人员、发包人或监理单位及有关部门的监督检查。</w:t>
      </w:r>
    </w:p>
    <w:p w14:paraId="4EB15730">
      <w:pPr>
        <w:snapToGrid w:val="0"/>
        <w:spacing w:line="360" w:lineRule="auto"/>
        <w:ind w:firstLine="422" w:firstLineChars="200"/>
        <w:jc w:val="left"/>
        <w:textAlignment w:val="baseline"/>
        <w:rPr>
          <w:rFonts w:hAnsi="宋体" w:cs="宋体"/>
          <w:b/>
          <w:sz w:val="21"/>
          <w:szCs w:val="21"/>
        </w:rPr>
      </w:pPr>
      <w:r>
        <w:rPr>
          <w:rFonts w:hint="eastAsia" w:hAnsi="宋体" w:cs="宋体"/>
          <w:b/>
          <w:sz w:val="21"/>
          <w:szCs w:val="21"/>
        </w:rPr>
        <w:t>⑥管理人员、班组长、特殊工种、专业施工人员应有上岗证。</w:t>
      </w:r>
    </w:p>
    <w:p w14:paraId="3D9263D2">
      <w:pPr>
        <w:snapToGrid w:val="0"/>
        <w:spacing w:line="360" w:lineRule="auto"/>
        <w:ind w:firstLine="422" w:firstLineChars="200"/>
        <w:jc w:val="left"/>
        <w:textAlignment w:val="baseline"/>
        <w:rPr>
          <w:rFonts w:hAnsi="宋体" w:cs="宋体"/>
          <w:b/>
          <w:sz w:val="21"/>
          <w:szCs w:val="21"/>
        </w:rPr>
      </w:pPr>
      <w:r>
        <w:rPr>
          <w:rFonts w:hint="eastAsia" w:hAnsi="宋体" w:cs="宋体"/>
          <w:b/>
          <w:sz w:val="21"/>
          <w:szCs w:val="21"/>
        </w:rPr>
        <w:t>⑦如施工队伍出现打架现象，发包人有权视情节严重程度</w:t>
      </w:r>
      <w:r>
        <w:rPr>
          <w:rFonts w:hAnsi="宋体" w:cs="宋体"/>
          <w:b/>
          <w:sz w:val="21"/>
          <w:szCs w:val="21"/>
        </w:rPr>
        <w:t>对</w:t>
      </w:r>
      <w:r>
        <w:rPr>
          <w:rFonts w:hint="eastAsia" w:hAnsi="宋体" w:cs="宋体"/>
          <w:b/>
          <w:sz w:val="21"/>
          <w:szCs w:val="21"/>
        </w:rPr>
        <w:t>承包人每次处以扣没工程款</w:t>
      </w:r>
      <w:r>
        <w:rPr>
          <w:rFonts w:hAnsi="宋体" w:cs="宋体"/>
          <w:b/>
          <w:sz w:val="21"/>
          <w:szCs w:val="21"/>
        </w:rPr>
        <w:t>5</w:t>
      </w:r>
      <w:r>
        <w:rPr>
          <w:rFonts w:hint="eastAsia" w:hAnsi="宋体" w:cs="宋体"/>
          <w:b/>
          <w:sz w:val="21"/>
          <w:szCs w:val="21"/>
        </w:rPr>
        <w:t>000—10</w:t>
      </w:r>
      <w:r>
        <w:rPr>
          <w:rFonts w:hAnsi="宋体" w:cs="宋体"/>
          <w:b/>
          <w:sz w:val="21"/>
          <w:szCs w:val="21"/>
        </w:rPr>
        <w:t>0</w:t>
      </w:r>
      <w:r>
        <w:rPr>
          <w:rFonts w:hint="eastAsia" w:hAnsi="宋体" w:cs="宋体"/>
          <w:b/>
          <w:sz w:val="21"/>
          <w:szCs w:val="21"/>
        </w:rPr>
        <w:t>00元。</w:t>
      </w:r>
    </w:p>
    <w:p w14:paraId="07BB33E4">
      <w:pPr>
        <w:snapToGrid w:val="0"/>
        <w:spacing w:line="360" w:lineRule="auto"/>
        <w:ind w:firstLine="422" w:firstLineChars="200"/>
        <w:jc w:val="left"/>
        <w:textAlignment w:val="baseline"/>
        <w:rPr>
          <w:rFonts w:hAnsi="宋体" w:cs="宋体"/>
          <w:b/>
          <w:sz w:val="21"/>
          <w:szCs w:val="21"/>
        </w:rPr>
      </w:pPr>
      <w:r>
        <w:rPr>
          <w:rFonts w:hint="eastAsia" w:hAnsi="宋体" w:cs="宋体"/>
          <w:b/>
          <w:sz w:val="21"/>
          <w:szCs w:val="21"/>
        </w:rPr>
        <w:t>⑧承包人应对进入施工现场的施工人员进行安全文明施工教育，配备必要的劳动保护用具，保证工程的施工安全和人身安全。</w:t>
      </w:r>
    </w:p>
    <w:p w14:paraId="15728785">
      <w:pPr>
        <w:snapToGrid w:val="0"/>
        <w:spacing w:line="360" w:lineRule="auto"/>
        <w:ind w:firstLine="422" w:firstLineChars="200"/>
        <w:jc w:val="left"/>
        <w:textAlignment w:val="baseline"/>
        <w:rPr>
          <w:rFonts w:hAnsi="宋体" w:cs="宋体"/>
          <w:b/>
          <w:sz w:val="21"/>
          <w:szCs w:val="21"/>
        </w:rPr>
      </w:pPr>
      <w:r>
        <w:rPr>
          <w:rFonts w:hint="eastAsia" w:hAnsi="宋体" w:cs="宋体"/>
          <w:b/>
          <w:sz w:val="21"/>
          <w:szCs w:val="21"/>
        </w:rPr>
        <w:t>⑨如由于承包人安全措施不力造成事故的责任和由此发生的费用，由承包人承担。</w:t>
      </w:r>
    </w:p>
    <w:p w14:paraId="6F51007E">
      <w:pPr>
        <w:snapToGrid w:val="0"/>
        <w:spacing w:line="360" w:lineRule="auto"/>
        <w:ind w:firstLine="422" w:firstLineChars="200"/>
        <w:jc w:val="left"/>
        <w:textAlignment w:val="baseline"/>
        <w:rPr>
          <w:rFonts w:hAnsi="宋体" w:cs="宋体"/>
          <w:b/>
          <w:sz w:val="21"/>
          <w:szCs w:val="21"/>
        </w:rPr>
      </w:pPr>
      <w:r>
        <w:rPr>
          <w:rFonts w:hint="eastAsia" w:hAnsi="宋体" w:cs="宋体"/>
          <w:b/>
          <w:sz w:val="21"/>
          <w:szCs w:val="21"/>
        </w:rPr>
        <w:t>⑩文明施工违规处罚细则：</w:t>
      </w:r>
    </w:p>
    <w:tbl>
      <w:tblPr>
        <w:tblStyle w:val="62"/>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5718"/>
        <w:gridCol w:w="2540"/>
      </w:tblGrid>
      <w:tr w14:paraId="6CFD0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noWrap w:val="0"/>
            <w:vAlign w:val="center"/>
          </w:tcPr>
          <w:p w14:paraId="6C3E6008">
            <w:pPr>
              <w:jc w:val="center"/>
              <w:rPr>
                <w:rFonts w:hAnsi="宋体" w:cs="仿宋"/>
                <w:b/>
                <w:bCs/>
                <w:sz w:val="21"/>
                <w:szCs w:val="21"/>
              </w:rPr>
            </w:pPr>
            <w:r>
              <w:rPr>
                <w:rFonts w:hint="eastAsia" w:hAnsi="宋体" w:cs="仿宋"/>
                <w:b/>
                <w:bCs/>
                <w:sz w:val="21"/>
                <w:szCs w:val="21"/>
              </w:rPr>
              <w:t>序号</w:t>
            </w:r>
          </w:p>
        </w:tc>
        <w:tc>
          <w:tcPr>
            <w:tcW w:w="5718" w:type="dxa"/>
            <w:noWrap w:val="0"/>
            <w:vAlign w:val="center"/>
          </w:tcPr>
          <w:p w14:paraId="779B01BA">
            <w:pPr>
              <w:jc w:val="center"/>
              <w:rPr>
                <w:rFonts w:hAnsi="宋体" w:cs="仿宋"/>
                <w:b/>
                <w:bCs/>
                <w:sz w:val="21"/>
                <w:szCs w:val="21"/>
              </w:rPr>
            </w:pPr>
            <w:r>
              <w:rPr>
                <w:rFonts w:hint="eastAsia" w:hAnsi="宋体" w:cs="仿宋"/>
                <w:b/>
                <w:bCs/>
                <w:sz w:val="21"/>
                <w:szCs w:val="21"/>
              </w:rPr>
              <w:t>考核项目</w:t>
            </w:r>
          </w:p>
        </w:tc>
        <w:tc>
          <w:tcPr>
            <w:tcW w:w="2540" w:type="dxa"/>
            <w:noWrap w:val="0"/>
            <w:vAlign w:val="center"/>
          </w:tcPr>
          <w:p w14:paraId="21F35F0A">
            <w:pPr>
              <w:jc w:val="center"/>
              <w:rPr>
                <w:rFonts w:hAnsi="宋体" w:cs="仿宋"/>
                <w:b/>
                <w:bCs/>
                <w:sz w:val="21"/>
                <w:szCs w:val="21"/>
              </w:rPr>
            </w:pPr>
            <w:r>
              <w:rPr>
                <w:rFonts w:hint="eastAsia" w:hAnsi="宋体" w:cs="仿宋"/>
                <w:b/>
                <w:bCs/>
                <w:sz w:val="21"/>
                <w:szCs w:val="21"/>
              </w:rPr>
              <w:t>扣没工程款</w:t>
            </w:r>
          </w:p>
        </w:tc>
      </w:tr>
      <w:tr w14:paraId="2F77D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157" w:type="dxa"/>
            <w:noWrap w:val="0"/>
            <w:vAlign w:val="center"/>
          </w:tcPr>
          <w:p w14:paraId="56EB90F7">
            <w:pPr>
              <w:jc w:val="center"/>
              <w:rPr>
                <w:rFonts w:hAnsi="宋体" w:cs="仿宋"/>
                <w:b/>
                <w:bCs/>
                <w:sz w:val="21"/>
                <w:szCs w:val="21"/>
              </w:rPr>
            </w:pPr>
            <w:r>
              <w:rPr>
                <w:rFonts w:hint="eastAsia" w:hAnsi="宋体" w:cs="仿宋"/>
                <w:b/>
                <w:bCs/>
                <w:sz w:val="21"/>
                <w:szCs w:val="21"/>
              </w:rPr>
              <w:t>1</w:t>
            </w:r>
          </w:p>
        </w:tc>
        <w:tc>
          <w:tcPr>
            <w:tcW w:w="5718" w:type="dxa"/>
            <w:noWrap w:val="0"/>
            <w:vAlign w:val="center"/>
          </w:tcPr>
          <w:p w14:paraId="1D3F61D6">
            <w:pPr>
              <w:jc w:val="center"/>
              <w:rPr>
                <w:rFonts w:hAnsi="宋体" w:cs="仿宋"/>
                <w:b/>
                <w:bCs/>
                <w:sz w:val="21"/>
                <w:szCs w:val="21"/>
              </w:rPr>
            </w:pPr>
            <w:r>
              <w:rPr>
                <w:rFonts w:hint="eastAsia" w:hAnsi="宋体" w:cs="仿宋"/>
                <w:b/>
                <w:bCs/>
                <w:sz w:val="21"/>
                <w:szCs w:val="21"/>
              </w:rPr>
              <w:t>对未佩带安全帽而进入施工现场人员</w:t>
            </w:r>
          </w:p>
        </w:tc>
        <w:tc>
          <w:tcPr>
            <w:tcW w:w="2540" w:type="dxa"/>
            <w:noWrap w:val="0"/>
            <w:vAlign w:val="center"/>
          </w:tcPr>
          <w:p w14:paraId="64BF07DA">
            <w:pPr>
              <w:jc w:val="center"/>
              <w:rPr>
                <w:rFonts w:hAnsi="宋体" w:cs="仿宋"/>
                <w:b/>
                <w:bCs/>
                <w:sz w:val="21"/>
                <w:szCs w:val="21"/>
              </w:rPr>
            </w:pPr>
            <w:r>
              <w:rPr>
                <w:rFonts w:hint="eastAsia" w:hAnsi="宋体" w:cs="仿宋"/>
                <w:b/>
                <w:bCs/>
                <w:sz w:val="21"/>
                <w:szCs w:val="21"/>
              </w:rPr>
              <w:t>500元/每人次</w:t>
            </w:r>
          </w:p>
        </w:tc>
      </w:tr>
      <w:tr w14:paraId="4D149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7" w:type="dxa"/>
            <w:noWrap w:val="0"/>
            <w:vAlign w:val="center"/>
          </w:tcPr>
          <w:p w14:paraId="278194DE">
            <w:pPr>
              <w:jc w:val="center"/>
              <w:rPr>
                <w:rFonts w:hAnsi="宋体" w:cs="仿宋"/>
                <w:b/>
                <w:bCs/>
                <w:sz w:val="21"/>
                <w:szCs w:val="21"/>
              </w:rPr>
            </w:pPr>
            <w:r>
              <w:rPr>
                <w:rFonts w:hint="eastAsia" w:hAnsi="宋体" w:cs="仿宋"/>
                <w:b/>
                <w:bCs/>
                <w:sz w:val="21"/>
                <w:szCs w:val="21"/>
              </w:rPr>
              <w:t>2</w:t>
            </w:r>
          </w:p>
        </w:tc>
        <w:tc>
          <w:tcPr>
            <w:tcW w:w="5718" w:type="dxa"/>
            <w:noWrap w:val="0"/>
            <w:vAlign w:val="center"/>
          </w:tcPr>
          <w:p w14:paraId="15623B24">
            <w:pPr>
              <w:jc w:val="center"/>
              <w:rPr>
                <w:rFonts w:hAnsi="宋体" w:cs="仿宋"/>
                <w:b/>
                <w:bCs/>
                <w:sz w:val="21"/>
                <w:szCs w:val="21"/>
              </w:rPr>
            </w:pPr>
            <w:r>
              <w:rPr>
                <w:rFonts w:hint="eastAsia" w:hAnsi="宋体" w:cs="仿宋"/>
                <w:b/>
                <w:bCs/>
                <w:sz w:val="21"/>
                <w:szCs w:val="21"/>
              </w:rPr>
              <w:t>对翻越工地围墙者</w:t>
            </w:r>
          </w:p>
        </w:tc>
        <w:tc>
          <w:tcPr>
            <w:tcW w:w="2540" w:type="dxa"/>
            <w:noWrap w:val="0"/>
            <w:vAlign w:val="center"/>
          </w:tcPr>
          <w:p w14:paraId="52AB5D0E">
            <w:pPr>
              <w:jc w:val="center"/>
              <w:rPr>
                <w:rFonts w:hAnsi="宋体" w:cs="仿宋"/>
                <w:b/>
                <w:bCs/>
                <w:sz w:val="21"/>
                <w:szCs w:val="21"/>
              </w:rPr>
            </w:pPr>
            <w:r>
              <w:rPr>
                <w:rFonts w:hint="eastAsia" w:hAnsi="宋体" w:cs="仿宋"/>
                <w:b/>
                <w:bCs/>
                <w:sz w:val="21"/>
                <w:szCs w:val="21"/>
              </w:rPr>
              <w:t>500元/每人次</w:t>
            </w:r>
          </w:p>
        </w:tc>
      </w:tr>
      <w:tr w14:paraId="6D42B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1157" w:type="dxa"/>
            <w:noWrap w:val="0"/>
            <w:vAlign w:val="center"/>
          </w:tcPr>
          <w:p w14:paraId="318F5BB4">
            <w:pPr>
              <w:jc w:val="center"/>
              <w:rPr>
                <w:rFonts w:hAnsi="宋体" w:cs="仿宋"/>
                <w:b/>
                <w:bCs/>
                <w:sz w:val="21"/>
                <w:szCs w:val="21"/>
              </w:rPr>
            </w:pPr>
            <w:r>
              <w:rPr>
                <w:rFonts w:hint="eastAsia" w:hAnsi="宋体" w:cs="仿宋"/>
                <w:b/>
                <w:bCs/>
                <w:sz w:val="21"/>
                <w:szCs w:val="21"/>
              </w:rPr>
              <w:t>3</w:t>
            </w:r>
          </w:p>
        </w:tc>
        <w:tc>
          <w:tcPr>
            <w:tcW w:w="5718" w:type="dxa"/>
            <w:noWrap w:val="0"/>
            <w:vAlign w:val="center"/>
          </w:tcPr>
          <w:p w14:paraId="6328B57A">
            <w:pPr>
              <w:jc w:val="center"/>
              <w:rPr>
                <w:rFonts w:hAnsi="宋体" w:cs="仿宋"/>
                <w:b/>
                <w:bCs/>
                <w:sz w:val="21"/>
                <w:szCs w:val="21"/>
              </w:rPr>
            </w:pPr>
            <w:r>
              <w:rPr>
                <w:rFonts w:hint="eastAsia" w:hAnsi="宋体" w:cs="仿宋"/>
                <w:b/>
                <w:bCs/>
                <w:sz w:val="21"/>
                <w:szCs w:val="21"/>
              </w:rPr>
              <w:t>工地作业区有大小便现象</w:t>
            </w:r>
          </w:p>
        </w:tc>
        <w:tc>
          <w:tcPr>
            <w:tcW w:w="2540" w:type="dxa"/>
            <w:noWrap w:val="0"/>
            <w:vAlign w:val="center"/>
          </w:tcPr>
          <w:p w14:paraId="215B355C">
            <w:pPr>
              <w:jc w:val="center"/>
              <w:rPr>
                <w:rFonts w:hAnsi="宋体" w:cs="仿宋"/>
                <w:b/>
                <w:bCs/>
                <w:sz w:val="21"/>
                <w:szCs w:val="21"/>
              </w:rPr>
            </w:pPr>
            <w:r>
              <w:rPr>
                <w:rFonts w:hint="eastAsia" w:hAnsi="宋体" w:cs="仿宋"/>
                <w:b/>
                <w:bCs/>
                <w:sz w:val="21"/>
                <w:szCs w:val="21"/>
              </w:rPr>
              <w:t>500元/每人次</w:t>
            </w:r>
          </w:p>
        </w:tc>
      </w:tr>
      <w:tr w14:paraId="1A807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noWrap w:val="0"/>
            <w:vAlign w:val="center"/>
          </w:tcPr>
          <w:p w14:paraId="510044C6">
            <w:pPr>
              <w:jc w:val="center"/>
              <w:rPr>
                <w:rFonts w:hAnsi="宋体" w:cs="仿宋"/>
                <w:b/>
                <w:bCs/>
                <w:sz w:val="21"/>
                <w:szCs w:val="21"/>
              </w:rPr>
            </w:pPr>
            <w:r>
              <w:rPr>
                <w:rFonts w:hint="eastAsia" w:hAnsi="宋体" w:cs="仿宋"/>
                <w:b/>
                <w:bCs/>
                <w:sz w:val="21"/>
                <w:szCs w:val="21"/>
              </w:rPr>
              <w:t>4</w:t>
            </w:r>
          </w:p>
        </w:tc>
        <w:tc>
          <w:tcPr>
            <w:tcW w:w="5718" w:type="dxa"/>
            <w:noWrap w:val="0"/>
            <w:vAlign w:val="center"/>
          </w:tcPr>
          <w:p w14:paraId="6D0641C4">
            <w:pPr>
              <w:jc w:val="center"/>
              <w:rPr>
                <w:rFonts w:hAnsi="宋体" w:cs="仿宋"/>
                <w:b/>
                <w:bCs/>
                <w:sz w:val="21"/>
                <w:szCs w:val="21"/>
              </w:rPr>
            </w:pPr>
            <w:r>
              <w:rPr>
                <w:rFonts w:hint="eastAsia" w:hAnsi="宋体" w:cs="仿宋"/>
                <w:b/>
                <w:bCs/>
                <w:sz w:val="21"/>
                <w:szCs w:val="21"/>
              </w:rPr>
              <w:t>发现施工现场人员身体赤裸</w:t>
            </w:r>
          </w:p>
        </w:tc>
        <w:tc>
          <w:tcPr>
            <w:tcW w:w="2540" w:type="dxa"/>
            <w:noWrap w:val="0"/>
            <w:vAlign w:val="center"/>
          </w:tcPr>
          <w:p w14:paraId="1E82B179">
            <w:pPr>
              <w:jc w:val="center"/>
              <w:rPr>
                <w:rFonts w:hAnsi="宋体" w:cs="仿宋"/>
                <w:b/>
                <w:bCs/>
                <w:sz w:val="21"/>
                <w:szCs w:val="21"/>
              </w:rPr>
            </w:pPr>
            <w:r>
              <w:rPr>
                <w:rFonts w:hint="eastAsia" w:hAnsi="宋体" w:cs="仿宋"/>
                <w:b/>
                <w:bCs/>
                <w:sz w:val="21"/>
                <w:szCs w:val="21"/>
              </w:rPr>
              <w:t>500元/每人次</w:t>
            </w:r>
          </w:p>
        </w:tc>
      </w:tr>
      <w:tr w14:paraId="55B6A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noWrap w:val="0"/>
            <w:vAlign w:val="center"/>
          </w:tcPr>
          <w:p w14:paraId="5F65C4B8">
            <w:pPr>
              <w:jc w:val="center"/>
              <w:rPr>
                <w:rFonts w:hAnsi="宋体" w:cs="仿宋"/>
                <w:b/>
                <w:bCs/>
                <w:sz w:val="21"/>
                <w:szCs w:val="21"/>
              </w:rPr>
            </w:pPr>
            <w:r>
              <w:rPr>
                <w:rFonts w:hint="eastAsia" w:hAnsi="宋体" w:cs="仿宋"/>
                <w:b/>
                <w:bCs/>
                <w:sz w:val="21"/>
                <w:szCs w:val="21"/>
              </w:rPr>
              <w:t>5</w:t>
            </w:r>
          </w:p>
        </w:tc>
        <w:tc>
          <w:tcPr>
            <w:tcW w:w="5718" w:type="dxa"/>
            <w:noWrap w:val="0"/>
            <w:vAlign w:val="center"/>
          </w:tcPr>
          <w:p w14:paraId="6876AC72">
            <w:pPr>
              <w:jc w:val="center"/>
              <w:rPr>
                <w:rFonts w:hAnsi="宋体" w:cs="仿宋"/>
                <w:b/>
                <w:bCs/>
                <w:sz w:val="21"/>
                <w:szCs w:val="21"/>
              </w:rPr>
            </w:pPr>
            <w:r>
              <w:rPr>
                <w:rFonts w:hint="eastAsia" w:hAnsi="宋体" w:cs="仿宋"/>
                <w:b/>
                <w:bCs/>
                <w:sz w:val="21"/>
                <w:szCs w:val="21"/>
              </w:rPr>
              <w:t>从高处向下倾倒垃圾、材料</w:t>
            </w:r>
          </w:p>
        </w:tc>
        <w:tc>
          <w:tcPr>
            <w:tcW w:w="2540" w:type="dxa"/>
            <w:noWrap w:val="0"/>
            <w:vAlign w:val="center"/>
          </w:tcPr>
          <w:p w14:paraId="6B323863">
            <w:pPr>
              <w:jc w:val="center"/>
              <w:rPr>
                <w:rFonts w:hAnsi="宋体" w:cs="仿宋"/>
                <w:b/>
                <w:bCs/>
                <w:sz w:val="21"/>
                <w:szCs w:val="21"/>
              </w:rPr>
            </w:pPr>
            <w:r>
              <w:rPr>
                <w:rFonts w:hint="eastAsia" w:hAnsi="宋体" w:cs="仿宋"/>
                <w:b/>
                <w:bCs/>
                <w:sz w:val="21"/>
                <w:szCs w:val="21"/>
              </w:rPr>
              <w:t>2000元/每次</w:t>
            </w:r>
          </w:p>
        </w:tc>
      </w:tr>
      <w:tr w14:paraId="33D3E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noWrap w:val="0"/>
            <w:vAlign w:val="center"/>
          </w:tcPr>
          <w:p w14:paraId="1F1F5691">
            <w:pPr>
              <w:jc w:val="center"/>
              <w:rPr>
                <w:rFonts w:hAnsi="宋体" w:cs="仿宋"/>
                <w:b/>
                <w:bCs/>
                <w:sz w:val="21"/>
                <w:szCs w:val="21"/>
              </w:rPr>
            </w:pPr>
            <w:r>
              <w:rPr>
                <w:rFonts w:hint="eastAsia" w:hAnsi="宋体" w:cs="仿宋"/>
                <w:b/>
                <w:bCs/>
                <w:sz w:val="21"/>
                <w:szCs w:val="21"/>
              </w:rPr>
              <w:t>6</w:t>
            </w:r>
          </w:p>
        </w:tc>
        <w:tc>
          <w:tcPr>
            <w:tcW w:w="5718" w:type="dxa"/>
            <w:noWrap w:val="0"/>
            <w:vAlign w:val="center"/>
          </w:tcPr>
          <w:p w14:paraId="41AA7967">
            <w:pPr>
              <w:jc w:val="center"/>
              <w:rPr>
                <w:rFonts w:hAnsi="宋体" w:cs="仿宋"/>
                <w:b/>
                <w:bCs/>
                <w:sz w:val="21"/>
                <w:szCs w:val="21"/>
              </w:rPr>
            </w:pPr>
            <w:r>
              <w:rPr>
                <w:rFonts w:hint="eastAsia" w:hAnsi="宋体" w:cs="仿宋"/>
                <w:b/>
                <w:bCs/>
                <w:sz w:val="21"/>
                <w:szCs w:val="21"/>
              </w:rPr>
              <w:t>高空作业未系安全带</w:t>
            </w:r>
          </w:p>
        </w:tc>
        <w:tc>
          <w:tcPr>
            <w:tcW w:w="2540" w:type="dxa"/>
            <w:noWrap w:val="0"/>
            <w:vAlign w:val="center"/>
          </w:tcPr>
          <w:p w14:paraId="2173081C">
            <w:pPr>
              <w:jc w:val="center"/>
              <w:rPr>
                <w:rFonts w:hAnsi="宋体" w:cs="仿宋"/>
                <w:b/>
                <w:bCs/>
                <w:sz w:val="21"/>
                <w:szCs w:val="21"/>
              </w:rPr>
            </w:pPr>
            <w:r>
              <w:rPr>
                <w:rFonts w:hint="eastAsia" w:hAnsi="宋体" w:cs="仿宋"/>
                <w:b/>
                <w:bCs/>
                <w:sz w:val="21"/>
                <w:szCs w:val="21"/>
              </w:rPr>
              <w:t>2000元/每人次</w:t>
            </w:r>
          </w:p>
        </w:tc>
      </w:tr>
      <w:tr w14:paraId="53D7E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57" w:type="dxa"/>
            <w:noWrap w:val="0"/>
            <w:vAlign w:val="center"/>
          </w:tcPr>
          <w:p w14:paraId="2C5DB50B">
            <w:pPr>
              <w:jc w:val="center"/>
              <w:rPr>
                <w:rFonts w:hAnsi="宋体" w:cs="仿宋"/>
                <w:b/>
                <w:bCs/>
                <w:sz w:val="21"/>
                <w:szCs w:val="21"/>
              </w:rPr>
            </w:pPr>
            <w:r>
              <w:rPr>
                <w:rFonts w:hint="eastAsia" w:hAnsi="宋体" w:cs="仿宋"/>
                <w:b/>
                <w:bCs/>
                <w:sz w:val="21"/>
                <w:szCs w:val="21"/>
              </w:rPr>
              <w:t>7</w:t>
            </w:r>
          </w:p>
        </w:tc>
        <w:tc>
          <w:tcPr>
            <w:tcW w:w="5718" w:type="dxa"/>
            <w:noWrap w:val="0"/>
            <w:vAlign w:val="center"/>
          </w:tcPr>
          <w:p w14:paraId="165CA76C">
            <w:pPr>
              <w:jc w:val="center"/>
              <w:rPr>
                <w:rFonts w:hAnsi="宋体" w:cs="仿宋"/>
                <w:b/>
                <w:bCs/>
                <w:sz w:val="21"/>
                <w:szCs w:val="21"/>
              </w:rPr>
            </w:pPr>
            <w:r>
              <w:rPr>
                <w:rFonts w:hint="eastAsia" w:hAnsi="宋体" w:cs="仿宋"/>
                <w:b/>
                <w:bCs/>
                <w:sz w:val="21"/>
                <w:szCs w:val="21"/>
              </w:rPr>
              <w:t>工地内施工车辆超速行驶</w:t>
            </w:r>
          </w:p>
        </w:tc>
        <w:tc>
          <w:tcPr>
            <w:tcW w:w="2540" w:type="dxa"/>
            <w:noWrap w:val="0"/>
            <w:vAlign w:val="center"/>
          </w:tcPr>
          <w:p w14:paraId="2346C5CE">
            <w:pPr>
              <w:jc w:val="center"/>
              <w:rPr>
                <w:rFonts w:hAnsi="宋体" w:cs="仿宋"/>
                <w:b/>
                <w:bCs/>
                <w:sz w:val="21"/>
                <w:szCs w:val="21"/>
              </w:rPr>
            </w:pPr>
            <w:r>
              <w:rPr>
                <w:rFonts w:hint="eastAsia" w:hAnsi="宋体" w:cs="仿宋"/>
                <w:b/>
                <w:bCs/>
                <w:sz w:val="21"/>
                <w:szCs w:val="21"/>
              </w:rPr>
              <w:t>2000元/每次</w:t>
            </w:r>
          </w:p>
        </w:tc>
      </w:tr>
      <w:tr w14:paraId="6FF4D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157" w:type="dxa"/>
            <w:noWrap w:val="0"/>
            <w:vAlign w:val="center"/>
          </w:tcPr>
          <w:p w14:paraId="1CC674E6">
            <w:pPr>
              <w:jc w:val="center"/>
              <w:rPr>
                <w:rFonts w:hAnsi="宋体" w:cs="仿宋"/>
                <w:b/>
                <w:bCs/>
                <w:sz w:val="21"/>
                <w:szCs w:val="21"/>
              </w:rPr>
            </w:pPr>
            <w:r>
              <w:rPr>
                <w:rFonts w:hint="eastAsia" w:hAnsi="宋体" w:cs="仿宋"/>
                <w:b/>
                <w:bCs/>
                <w:sz w:val="21"/>
                <w:szCs w:val="21"/>
              </w:rPr>
              <w:t>8</w:t>
            </w:r>
          </w:p>
        </w:tc>
        <w:tc>
          <w:tcPr>
            <w:tcW w:w="5718" w:type="dxa"/>
            <w:noWrap w:val="0"/>
            <w:vAlign w:val="center"/>
          </w:tcPr>
          <w:p w14:paraId="1E294245">
            <w:pPr>
              <w:jc w:val="center"/>
              <w:rPr>
                <w:rFonts w:hAnsi="宋体" w:cs="仿宋"/>
                <w:b/>
                <w:bCs/>
                <w:sz w:val="21"/>
                <w:szCs w:val="21"/>
              </w:rPr>
            </w:pPr>
            <w:r>
              <w:rPr>
                <w:rFonts w:hint="eastAsia" w:hAnsi="宋体" w:cs="仿宋"/>
                <w:b/>
                <w:bCs/>
                <w:sz w:val="21"/>
                <w:szCs w:val="21"/>
              </w:rPr>
              <w:t>用电保护措施不到位</w:t>
            </w:r>
          </w:p>
        </w:tc>
        <w:tc>
          <w:tcPr>
            <w:tcW w:w="2540" w:type="dxa"/>
            <w:noWrap w:val="0"/>
            <w:vAlign w:val="center"/>
          </w:tcPr>
          <w:p w14:paraId="536EDA32">
            <w:pPr>
              <w:jc w:val="center"/>
              <w:rPr>
                <w:rFonts w:hAnsi="宋体" w:cs="仿宋"/>
                <w:b/>
                <w:bCs/>
                <w:sz w:val="21"/>
                <w:szCs w:val="21"/>
              </w:rPr>
            </w:pPr>
            <w:r>
              <w:rPr>
                <w:rFonts w:hint="eastAsia" w:hAnsi="宋体" w:cs="仿宋"/>
                <w:b/>
                <w:bCs/>
                <w:sz w:val="21"/>
                <w:szCs w:val="21"/>
              </w:rPr>
              <w:t>2000元/每处、每次</w:t>
            </w:r>
          </w:p>
        </w:tc>
      </w:tr>
      <w:tr w14:paraId="22C0F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157" w:type="dxa"/>
            <w:noWrap w:val="0"/>
            <w:vAlign w:val="center"/>
          </w:tcPr>
          <w:p w14:paraId="4B8D7BA5">
            <w:pPr>
              <w:jc w:val="center"/>
              <w:rPr>
                <w:rFonts w:hAnsi="宋体" w:cs="仿宋"/>
                <w:b/>
                <w:bCs/>
                <w:sz w:val="21"/>
                <w:szCs w:val="21"/>
              </w:rPr>
            </w:pPr>
            <w:r>
              <w:rPr>
                <w:rFonts w:hint="eastAsia" w:hAnsi="宋体" w:cs="仿宋"/>
                <w:b/>
                <w:bCs/>
                <w:sz w:val="21"/>
                <w:szCs w:val="21"/>
              </w:rPr>
              <w:t>9</w:t>
            </w:r>
          </w:p>
        </w:tc>
        <w:tc>
          <w:tcPr>
            <w:tcW w:w="5718" w:type="dxa"/>
            <w:noWrap w:val="0"/>
            <w:vAlign w:val="center"/>
          </w:tcPr>
          <w:p w14:paraId="5BE585C2">
            <w:pPr>
              <w:jc w:val="center"/>
              <w:rPr>
                <w:rFonts w:hAnsi="宋体" w:cs="仿宋"/>
                <w:b/>
                <w:bCs/>
                <w:sz w:val="21"/>
                <w:szCs w:val="21"/>
              </w:rPr>
            </w:pPr>
            <w:r>
              <w:rPr>
                <w:rFonts w:hint="eastAsia" w:hAnsi="宋体" w:cs="仿宋"/>
                <w:b/>
                <w:bCs/>
                <w:sz w:val="21"/>
                <w:szCs w:val="21"/>
              </w:rPr>
              <w:t>施工机械违章操作</w:t>
            </w:r>
          </w:p>
        </w:tc>
        <w:tc>
          <w:tcPr>
            <w:tcW w:w="2540" w:type="dxa"/>
            <w:noWrap w:val="0"/>
            <w:vAlign w:val="center"/>
          </w:tcPr>
          <w:p w14:paraId="100976E0">
            <w:pPr>
              <w:jc w:val="center"/>
              <w:rPr>
                <w:rFonts w:hAnsi="宋体" w:cs="仿宋"/>
                <w:b/>
                <w:bCs/>
                <w:sz w:val="21"/>
                <w:szCs w:val="21"/>
              </w:rPr>
            </w:pPr>
            <w:r>
              <w:rPr>
                <w:rFonts w:hint="eastAsia" w:hAnsi="宋体" w:cs="仿宋"/>
                <w:b/>
                <w:bCs/>
                <w:sz w:val="21"/>
                <w:szCs w:val="21"/>
              </w:rPr>
              <w:t>2000元/每次</w:t>
            </w:r>
          </w:p>
        </w:tc>
      </w:tr>
      <w:tr w14:paraId="09E80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157" w:type="dxa"/>
            <w:noWrap w:val="0"/>
            <w:vAlign w:val="center"/>
          </w:tcPr>
          <w:p w14:paraId="76613547">
            <w:pPr>
              <w:jc w:val="center"/>
              <w:rPr>
                <w:rFonts w:hAnsi="宋体" w:cs="仿宋"/>
                <w:b/>
                <w:bCs/>
                <w:sz w:val="21"/>
                <w:szCs w:val="21"/>
              </w:rPr>
            </w:pPr>
            <w:r>
              <w:rPr>
                <w:rFonts w:hint="eastAsia" w:hAnsi="宋体" w:cs="仿宋"/>
                <w:b/>
                <w:bCs/>
                <w:sz w:val="21"/>
                <w:szCs w:val="21"/>
              </w:rPr>
              <w:t>10</w:t>
            </w:r>
          </w:p>
        </w:tc>
        <w:tc>
          <w:tcPr>
            <w:tcW w:w="5718" w:type="dxa"/>
            <w:noWrap w:val="0"/>
            <w:vAlign w:val="center"/>
          </w:tcPr>
          <w:p w14:paraId="6539D7A1">
            <w:pPr>
              <w:jc w:val="center"/>
              <w:rPr>
                <w:rFonts w:hAnsi="宋体" w:cs="仿宋"/>
                <w:b/>
                <w:bCs/>
                <w:sz w:val="21"/>
                <w:szCs w:val="21"/>
              </w:rPr>
            </w:pPr>
            <w:r>
              <w:rPr>
                <w:rFonts w:hint="eastAsia" w:hAnsi="宋体" w:cs="仿宋"/>
                <w:b/>
                <w:bCs/>
                <w:sz w:val="21"/>
                <w:szCs w:val="21"/>
              </w:rPr>
              <w:t>违章接水、接电及动用明火</w:t>
            </w:r>
          </w:p>
        </w:tc>
        <w:tc>
          <w:tcPr>
            <w:tcW w:w="2540" w:type="dxa"/>
            <w:noWrap w:val="0"/>
            <w:vAlign w:val="center"/>
          </w:tcPr>
          <w:p w14:paraId="4661A749">
            <w:pPr>
              <w:jc w:val="center"/>
              <w:rPr>
                <w:rFonts w:hAnsi="宋体" w:cs="仿宋"/>
                <w:b/>
                <w:bCs/>
                <w:sz w:val="21"/>
                <w:szCs w:val="21"/>
              </w:rPr>
            </w:pPr>
            <w:r>
              <w:rPr>
                <w:rFonts w:hint="eastAsia" w:hAnsi="宋体" w:cs="仿宋"/>
                <w:b/>
                <w:bCs/>
                <w:sz w:val="21"/>
                <w:szCs w:val="21"/>
              </w:rPr>
              <w:t>2000元/每次</w:t>
            </w:r>
          </w:p>
        </w:tc>
      </w:tr>
      <w:tr w14:paraId="5C9EF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157" w:type="dxa"/>
            <w:noWrap w:val="0"/>
            <w:vAlign w:val="center"/>
          </w:tcPr>
          <w:p w14:paraId="1531302D">
            <w:pPr>
              <w:jc w:val="center"/>
              <w:rPr>
                <w:rFonts w:hAnsi="宋体" w:cs="仿宋"/>
                <w:b/>
                <w:bCs/>
                <w:sz w:val="21"/>
                <w:szCs w:val="21"/>
              </w:rPr>
            </w:pPr>
            <w:r>
              <w:rPr>
                <w:rFonts w:hint="eastAsia" w:hAnsi="宋体" w:cs="仿宋"/>
                <w:b/>
                <w:bCs/>
                <w:sz w:val="21"/>
                <w:szCs w:val="21"/>
              </w:rPr>
              <w:t>11</w:t>
            </w:r>
          </w:p>
        </w:tc>
        <w:tc>
          <w:tcPr>
            <w:tcW w:w="5718" w:type="dxa"/>
            <w:noWrap w:val="0"/>
            <w:vAlign w:val="center"/>
          </w:tcPr>
          <w:p w14:paraId="30B20D27">
            <w:pPr>
              <w:jc w:val="center"/>
              <w:rPr>
                <w:rFonts w:hAnsi="宋体" w:cs="仿宋"/>
                <w:b/>
                <w:bCs/>
                <w:sz w:val="21"/>
                <w:szCs w:val="21"/>
              </w:rPr>
            </w:pPr>
            <w:r>
              <w:rPr>
                <w:rFonts w:hint="eastAsia" w:hAnsi="宋体" w:cs="仿宋"/>
                <w:b/>
                <w:bCs/>
                <w:sz w:val="21"/>
                <w:szCs w:val="21"/>
              </w:rPr>
              <w:t>施工场地及道路不整洁、有积水</w:t>
            </w:r>
          </w:p>
        </w:tc>
        <w:tc>
          <w:tcPr>
            <w:tcW w:w="2540" w:type="dxa"/>
            <w:noWrap w:val="0"/>
            <w:vAlign w:val="center"/>
          </w:tcPr>
          <w:p w14:paraId="0EA2C38F">
            <w:pPr>
              <w:jc w:val="center"/>
              <w:rPr>
                <w:rFonts w:hAnsi="宋体" w:cs="仿宋"/>
                <w:b/>
                <w:bCs/>
                <w:sz w:val="21"/>
                <w:szCs w:val="21"/>
              </w:rPr>
            </w:pPr>
            <w:r>
              <w:rPr>
                <w:rFonts w:hint="eastAsia" w:hAnsi="宋体" w:cs="仿宋"/>
                <w:b/>
                <w:bCs/>
                <w:sz w:val="21"/>
                <w:szCs w:val="21"/>
              </w:rPr>
              <w:t>1000元/每次</w:t>
            </w:r>
          </w:p>
        </w:tc>
      </w:tr>
      <w:tr w14:paraId="07B8B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1157" w:type="dxa"/>
            <w:noWrap w:val="0"/>
            <w:vAlign w:val="center"/>
          </w:tcPr>
          <w:p w14:paraId="2EEBF235">
            <w:pPr>
              <w:jc w:val="center"/>
              <w:rPr>
                <w:rFonts w:hAnsi="宋体" w:cs="仿宋"/>
                <w:b/>
                <w:bCs/>
                <w:sz w:val="21"/>
                <w:szCs w:val="21"/>
              </w:rPr>
            </w:pPr>
            <w:r>
              <w:rPr>
                <w:rFonts w:hint="eastAsia" w:hAnsi="宋体" w:cs="仿宋"/>
                <w:b/>
                <w:bCs/>
                <w:sz w:val="21"/>
                <w:szCs w:val="21"/>
              </w:rPr>
              <w:t>12</w:t>
            </w:r>
          </w:p>
        </w:tc>
        <w:tc>
          <w:tcPr>
            <w:tcW w:w="5718" w:type="dxa"/>
            <w:noWrap w:val="0"/>
            <w:vAlign w:val="center"/>
          </w:tcPr>
          <w:p w14:paraId="383E0167">
            <w:pPr>
              <w:jc w:val="center"/>
              <w:rPr>
                <w:rFonts w:hAnsi="宋体" w:cs="仿宋"/>
                <w:b/>
                <w:bCs/>
                <w:sz w:val="21"/>
                <w:szCs w:val="21"/>
              </w:rPr>
            </w:pPr>
            <w:r>
              <w:rPr>
                <w:rFonts w:hint="eastAsia" w:hAnsi="宋体" w:cs="仿宋"/>
                <w:b/>
                <w:bCs/>
                <w:sz w:val="21"/>
                <w:szCs w:val="21"/>
              </w:rPr>
              <w:t>材料区堆放不整齐，无指示牌</w:t>
            </w:r>
          </w:p>
        </w:tc>
        <w:tc>
          <w:tcPr>
            <w:tcW w:w="2540" w:type="dxa"/>
            <w:noWrap w:val="0"/>
            <w:vAlign w:val="center"/>
          </w:tcPr>
          <w:p w14:paraId="327570C3">
            <w:pPr>
              <w:jc w:val="center"/>
              <w:rPr>
                <w:rFonts w:hAnsi="宋体" w:cs="仿宋"/>
                <w:b/>
                <w:bCs/>
                <w:sz w:val="21"/>
                <w:szCs w:val="21"/>
              </w:rPr>
            </w:pPr>
            <w:r>
              <w:rPr>
                <w:rFonts w:hint="eastAsia" w:hAnsi="宋体" w:cs="仿宋"/>
                <w:b/>
                <w:bCs/>
                <w:sz w:val="21"/>
                <w:szCs w:val="21"/>
              </w:rPr>
              <w:t>1000元/每次</w:t>
            </w:r>
          </w:p>
        </w:tc>
      </w:tr>
      <w:tr w14:paraId="33F7D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57" w:type="dxa"/>
            <w:noWrap w:val="0"/>
            <w:vAlign w:val="center"/>
          </w:tcPr>
          <w:p w14:paraId="4C64D517">
            <w:pPr>
              <w:jc w:val="center"/>
              <w:rPr>
                <w:rFonts w:hAnsi="宋体" w:cs="仿宋"/>
                <w:b/>
                <w:bCs/>
                <w:sz w:val="21"/>
                <w:szCs w:val="21"/>
              </w:rPr>
            </w:pPr>
            <w:r>
              <w:rPr>
                <w:rFonts w:hint="eastAsia" w:hAnsi="宋体" w:cs="仿宋"/>
                <w:b/>
                <w:bCs/>
                <w:sz w:val="21"/>
                <w:szCs w:val="21"/>
              </w:rPr>
              <w:t>13</w:t>
            </w:r>
          </w:p>
        </w:tc>
        <w:tc>
          <w:tcPr>
            <w:tcW w:w="5718" w:type="dxa"/>
            <w:noWrap w:val="0"/>
            <w:vAlign w:val="center"/>
          </w:tcPr>
          <w:p w14:paraId="3C972BE2">
            <w:pPr>
              <w:jc w:val="center"/>
              <w:rPr>
                <w:rFonts w:hAnsi="宋体" w:cs="仿宋"/>
                <w:b/>
                <w:bCs/>
                <w:sz w:val="21"/>
                <w:szCs w:val="21"/>
              </w:rPr>
            </w:pPr>
            <w:r>
              <w:rPr>
                <w:rFonts w:hint="eastAsia" w:hAnsi="宋体" w:cs="仿宋"/>
                <w:b/>
                <w:bCs/>
                <w:sz w:val="21"/>
                <w:szCs w:val="21"/>
              </w:rPr>
              <w:t>施工作业区未及时清除建筑垃圾，建材、周转材料乱堆乱放</w:t>
            </w:r>
          </w:p>
        </w:tc>
        <w:tc>
          <w:tcPr>
            <w:tcW w:w="2540" w:type="dxa"/>
            <w:noWrap w:val="0"/>
            <w:vAlign w:val="center"/>
          </w:tcPr>
          <w:p w14:paraId="2BBE4FEF">
            <w:pPr>
              <w:jc w:val="center"/>
              <w:rPr>
                <w:rFonts w:hAnsi="宋体" w:cs="仿宋"/>
                <w:b/>
                <w:bCs/>
                <w:sz w:val="21"/>
                <w:szCs w:val="21"/>
              </w:rPr>
            </w:pPr>
            <w:r>
              <w:rPr>
                <w:rFonts w:hint="eastAsia" w:hAnsi="宋体" w:cs="仿宋"/>
                <w:b/>
                <w:bCs/>
                <w:sz w:val="21"/>
                <w:szCs w:val="21"/>
              </w:rPr>
              <w:t>1000元/每次</w:t>
            </w:r>
          </w:p>
        </w:tc>
      </w:tr>
      <w:tr w14:paraId="0DFF5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57" w:type="dxa"/>
            <w:noWrap w:val="0"/>
            <w:vAlign w:val="center"/>
          </w:tcPr>
          <w:p w14:paraId="506624F5">
            <w:pPr>
              <w:jc w:val="center"/>
              <w:rPr>
                <w:rFonts w:hAnsi="宋体" w:cs="仿宋"/>
                <w:b/>
                <w:bCs/>
                <w:sz w:val="21"/>
                <w:szCs w:val="21"/>
              </w:rPr>
            </w:pPr>
            <w:r>
              <w:rPr>
                <w:rFonts w:hint="eastAsia" w:hAnsi="宋体" w:cs="仿宋"/>
                <w:b/>
                <w:bCs/>
                <w:sz w:val="21"/>
                <w:szCs w:val="21"/>
              </w:rPr>
              <w:t>14</w:t>
            </w:r>
          </w:p>
        </w:tc>
        <w:tc>
          <w:tcPr>
            <w:tcW w:w="5718" w:type="dxa"/>
            <w:noWrap w:val="0"/>
            <w:vAlign w:val="center"/>
          </w:tcPr>
          <w:p w14:paraId="2AA4EA92">
            <w:pPr>
              <w:jc w:val="center"/>
              <w:rPr>
                <w:rFonts w:hAnsi="宋体" w:cs="仿宋"/>
                <w:b/>
                <w:bCs/>
                <w:sz w:val="21"/>
                <w:szCs w:val="21"/>
              </w:rPr>
            </w:pPr>
            <w:r>
              <w:rPr>
                <w:rFonts w:hint="eastAsia" w:hAnsi="宋体" w:cs="仿宋"/>
                <w:b/>
                <w:bCs/>
                <w:sz w:val="21"/>
                <w:szCs w:val="21"/>
              </w:rPr>
              <w:t>工地内发现外来闲杂人员</w:t>
            </w:r>
          </w:p>
        </w:tc>
        <w:tc>
          <w:tcPr>
            <w:tcW w:w="2540" w:type="dxa"/>
            <w:noWrap w:val="0"/>
            <w:vAlign w:val="center"/>
          </w:tcPr>
          <w:p w14:paraId="5626562C">
            <w:pPr>
              <w:jc w:val="center"/>
              <w:rPr>
                <w:rFonts w:hAnsi="宋体" w:cs="仿宋"/>
                <w:b/>
                <w:bCs/>
                <w:sz w:val="21"/>
                <w:szCs w:val="21"/>
              </w:rPr>
            </w:pPr>
            <w:r>
              <w:rPr>
                <w:rFonts w:hint="eastAsia" w:hAnsi="宋体" w:cs="仿宋"/>
                <w:b/>
                <w:bCs/>
                <w:sz w:val="21"/>
                <w:szCs w:val="21"/>
              </w:rPr>
              <w:t>500元/每人次</w:t>
            </w:r>
          </w:p>
        </w:tc>
      </w:tr>
      <w:tr w14:paraId="606BC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57" w:type="dxa"/>
            <w:noWrap w:val="0"/>
            <w:vAlign w:val="center"/>
          </w:tcPr>
          <w:p w14:paraId="04C7DB9A">
            <w:pPr>
              <w:jc w:val="center"/>
              <w:rPr>
                <w:rFonts w:hAnsi="宋体" w:cs="仿宋"/>
                <w:b/>
                <w:bCs/>
                <w:sz w:val="21"/>
                <w:szCs w:val="21"/>
              </w:rPr>
            </w:pPr>
            <w:r>
              <w:rPr>
                <w:rFonts w:hint="eastAsia" w:hAnsi="宋体" w:cs="仿宋"/>
                <w:b/>
                <w:bCs/>
                <w:sz w:val="21"/>
                <w:szCs w:val="21"/>
              </w:rPr>
              <w:t>15</w:t>
            </w:r>
          </w:p>
        </w:tc>
        <w:tc>
          <w:tcPr>
            <w:tcW w:w="5718" w:type="dxa"/>
            <w:noWrap w:val="0"/>
            <w:vAlign w:val="center"/>
          </w:tcPr>
          <w:p w14:paraId="2C80474E">
            <w:pPr>
              <w:jc w:val="center"/>
              <w:rPr>
                <w:rFonts w:hAnsi="宋体" w:cs="仿宋"/>
                <w:b/>
                <w:bCs/>
                <w:sz w:val="21"/>
                <w:szCs w:val="21"/>
              </w:rPr>
            </w:pPr>
            <w:r>
              <w:rPr>
                <w:rFonts w:hint="eastAsia" w:hAnsi="宋体" w:cs="仿宋"/>
                <w:b/>
                <w:bCs/>
                <w:sz w:val="21"/>
                <w:szCs w:val="21"/>
              </w:rPr>
              <w:t>施工作业区各类基坑、爬梯、孔洞防护不严密，工程临边防护措施不到位</w:t>
            </w:r>
          </w:p>
        </w:tc>
        <w:tc>
          <w:tcPr>
            <w:tcW w:w="2540" w:type="dxa"/>
            <w:noWrap w:val="0"/>
            <w:vAlign w:val="center"/>
          </w:tcPr>
          <w:p w14:paraId="5BC9F00E">
            <w:pPr>
              <w:jc w:val="center"/>
              <w:rPr>
                <w:rFonts w:hAnsi="宋体" w:cs="仿宋"/>
                <w:b/>
                <w:bCs/>
                <w:sz w:val="21"/>
                <w:szCs w:val="21"/>
              </w:rPr>
            </w:pPr>
            <w:r>
              <w:rPr>
                <w:rFonts w:hint="eastAsia" w:hAnsi="宋体" w:cs="仿宋"/>
                <w:b/>
                <w:bCs/>
                <w:sz w:val="21"/>
                <w:szCs w:val="21"/>
              </w:rPr>
              <w:t>500元/每处</w:t>
            </w:r>
          </w:p>
        </w:tc>
      </w:tr>
      <w:tr w14:paraId="7C012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157" w:type="dxa"/>
            <w:noWrap w:val="0"/>
            <w:vAlign w:val="center"/>
          </w:tcPr>
          <w:p w14:paraId="735C26D4">
            <w:pPr>
              <w:jc w:val="center"/>
              <w:rPr>
                <w:rFonts w:hAnsi="宋体" w:cs="仿宋"/>
                <w:b/>
                <w:bCs/>
                <w:sz w:val="21"/>
                <w:szCs w:val="21"/>
              </w:rPr>
            </w:pPr>
            <w:r>
              <w:rPr>
                <w:rFonts w:hint="eastAsia" w:hAnsi="宋体" w:cs="仿宋"/>
                <w:b/>
                <w:bCs/>
                <w:sz w:val="21"/>
                <w:szCs w:val="21"/>
              </w:rPr>
              <w:t>16</w:t>
            </w:r>
          </w:p>
        </w:tc>
        <w:tc>
          <w:tcPr>
            <w:tcW w:w="5718" w:type="dxa"/>
            <w:noWrap w:val="0"/>
            <w:vAlign w:val="center"/>
          </w:tcPr>
          <w:p w14:paraId="2D6934E0">
            <w:pPr>
              <w:jc w:val="center"/>
              <w:rPr>
                <w:rFonts w:hAnsi="宋体" w:cs="仿宋"/>
                <w:b/>
                <w:bCs/>
                <w:sz w:val="21"/>
                <w:szCs w:val="21"/>
              </w:rPr>
            </w:pPr>
            <w:r>
              <w:rPr>
                <w:rFonts w:hint="eastAsia" w:hAnsi="宋体" w:cs="仿宋"/>
                <w:b/>
                <w:bCs/>
                <w:sz w:val="21"/>
                <w:szCs w:val="21"/>
              </w:rPr>
              <w:t>对其他的违反安全及文明工地规定的事项</w:t>
            </w:r>
          </w:p>
        </w:tc>
        <w:tc>
          <w:tcPr>
            <w:tcW w:w="2540" w:type="dxa"/>
            <w:noWrap w:val="0"/>
            <w:vAlign w:val="center"/>
          </w:tcPr>
          <w:p w14:paraId="5AD72E28">
            <w:pPr>
              <w:jc w:val="center"/>
              <w:rPr>
                <w:rFonts w:hAnsi="宋体" w:cs="仿宋"/>
                <w:b/>
                <w:bCs/>
                <w:sz w:val="21"/>
                <w:szCs w:val="21"/>
              </w:rPr>
            </w:pPr>
            <w:r>
              <w:rPr>
                <w:rFonts w:hint="eastAsia" w:hAnsi="宋体" w:cs="仿宋"/>
                <w:b/>
                <w:bCs/>
                <w:sz w:val="21"/>
                <w:szCs w:val="21"/>
              </w:rPr>
              <w:t>视具体情况而定，但不低于500元/每项</w:t>
            </w:r>
          </w:p>
        </w:tc>
      </w:tr>
    </w:tbl>
    <w:p w14:paraId="683456AA">
      <w:pPr>
        <w:rPr>
          <w:rFonts w:hAnsi="宋体"/>
          <w:sz w:val="21"/>
          <w:szCs w:val="21"/>
          <w:u w:val="single"/>
        </w:rPr>
      </w:pPr>
      <w:r>
        <w:rPr>
          <w:rFonts w:hint="eastAsia" w:hAnsi="宋体"/>
          <w:sz w:val="21"/>
          <w:szCs w:val="21"/>
          <w:u w:val="single"/>
        </w:rPr>
        <w:t>注：发包人将直接扣减承包人工程款，承包人再自行追究违规者责任；本合同中约定的扣没工程款并不减少或免除承包人根据合同应承担的有关责任。</w:t>
      </w:r>
    </w:p>
    <w:p w14:paraId="412EA32B">
      <w:pPr>
        <w:snapToGrid w:val="0"/>
        <w:spacing w:line="360" w:lineRule="auto"/>
        <w:ind w:firstLine="422" w:firstLineChars="200"/>
        <w:jc w:val="left"/>
        <w:textAlignment w:val="baseline"/>
        <w:rPr>
          <w:rFonts w:hAnsi="宋体" w:cs="宋体"/>
          <w:b/>
          <w:sz w:val="21"/>
          <w:szCs w:val="21"/>
          <w:u w:val="single"/>
        </w:rPr>
      </w:pPr>
    </w:p>
    <w:p w14:paraId="0396D275">
      <w:pPr>
        <w:snapToGrid w:val="0"/>
        <w:spacing w:line="360" w:lineRule="auto"/>
        <w:ind w:firstLine="422" w:firstLineChars="200"/>
        <w:jc w:val="left"/>
        <w:textAlignment w:val="baseline"/>
        <w:rPr>
          <w:rFonts w:hAnsi="宋体" w:cs="宋体"/>
          <w:b/>
          <w:sz w:val="21"/>
          <w:szCs w:val="21"/>
          <w:u w:val="single"/>
        </w:rPr>
      </w:pPr>
      <w:r>
        <w:rPr>
          <w:rFonts w:hint="eastAsia" w:hAnsi="宋体" w:cs="宋体"/>
          <w:b/>
          <w:sz w:val="21"/>
          <w:szCs w:val="21"/>
          <w:u w:val="single" w:color="000000"/>
        </w:rPr>
        <w:t>（4）上述手续办理费用约定如下：由承包人自行承担。</w:t>
      </w:r>
    </w:p>
    <w:p w14:paraId="2AB96259">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6.1.6 关于安全文明施工费支付比例和支付期限的约定，按以下</w:t>
      </w:r>
      <w:r>
        <w:rPr>
          <w:rFonts w:hint="eastAsia" w:hAnsi="宋体" w:cs="宋体"/>
          <w:sz w:val="21"/>
          <w:szCs w:val="21"/>
          <w:u w:val="single" w:color="000000"/>
        </w:rPr>
        <w:t>第</w:t>
      </w:r>
      <w:r>
        <w:rPr>
          <w:rFonts w:hint="eastAsia" w:hAnsi="宋体" w:cs="宋体"/>
          <w:sz w:val="21"/>
          <w:szCs w:val="21"/>
          <w:highlight w:val="green"/>
          <w:u w:val="single" w:color="000000"/>
        </w:rPr>
        <w:t>（</w:t>
      </w:r>
      <w:r>
        <w:rPr>
          <w:rFonts w:hint="eastAsia" w:hAnsi="宋体" w:cs="宋体"/>
          <w:sz w:val="21"/>
          <w:szCs w:val="21"/>
          <w:highlight w:val="green"/>
          <w:u w:val="single" w:color="000000"/>
          <w:lang w:val="en-US" w:eastAsia="zh-CN"/>
        </w:rPr>
        <w:t>1</w:t>
      </w:r>
      <w:r>
        <w:rPr>
          <w:rFonts w:hint="eastAsia" w:hAnsi="宋体" w:cs="宋体"/>
          <w:sz w:val="21"/>
          <w:szCs w:val="21"/>
          <w:highlight w:val="green"/>
          <w:u w:val="single" w:color="000000"/>
        </w:rPr>
        <w:t>）</w:t>
      </w:r>
      <w:r>
        <w:rPr>
          <w:rFonts w:hint="eastAsia" w:hAnsi="宋体" w:cs="宋体"/>
          <w:sz w:val="21"/>
          <w:szCs w:val="21"/>
          <w:u w:val="single" w:color="000000"/>
        </w:rPr>
        <w:t>种</w:t>
      </w:r>
      <w:r>
        <w:rPr>
          <w:rFonts w:hint="eastAsia" w:hAnsi="宋体" w:cs="宋体"/>
          <w:sz w:val="21"/>
          <w:szCs w:val="21"/>
        </w:rPr>
        <w:t>方式约定：</w:t>
      </w:r>
    </w:p>
    <w:p w14:paraId="75C3B50D">
      <w:pPr>
        <w:snapToGrid w:val="0"/>
        <w:spacing w:line="360" w:lineRule="auto"/>
        <w:ind w:firstLine="422" w:firstLineChars="200"/>
        <w:jc w:val="left"/>
        <w:textAlignment w:val="baseline"/>
        <w:rPr>
          <w:rFonts w:hAnsi="宋体" w:cs="宋体"/>
          <w:b/>
          <w:kern w:val="0"/>
          <w:sz w:val="21"/>
          <w:szCs w:val="21"/>
          <w:u w:val="single"/>
        </w:rPr>
      </w:pPr>
      <w:r>
        <w:rPr>
          <w:rFonts w:hint="eastAsia" w:hAnsi="宋体" w:cs="宋体"/>
          <w:b/>
          <w:sz w:val="21"/>
          <w:szCs w:val="21"/>
          <w:u w:val="single" w:color="000000"/>
        </w:rPr>
        <w:t>（1）</w:t>
      </w:r>
      <w:r>
        <w:rPr>
          <w:rFonts w:hint="eastAsia" w:hAnsi="宋体" w:cs="宋体"/>
          <w:b/>
          <w:kern w:val="0"/>
          <w:sz w:val="21"/>
          <w:szCs w:val="21"/>
          <w:u w:val="single" w:color="000000"/>
        </w:rPr>
        <w:t>发包人应在开工后28天内预付安全文明施工费总额的</w:t>
      </w:r>
      <w:r>
        <w:rPr>
          <w:rFonts w:hint="eastAsia" w:hAnsi="宋体" w:cs="宋体"/>
          <w:b/>
          <w:kern w:val="0"/>
          <w:sz w:val="21"/>
          <w:szCs w:val="21"/>
          <w:u w:val="single" w:color="000000"/>
          <w:lang w:val="en-US" w:eastAsia="zh-CN"/>
        </w:rPr>
        <w:t>6</w:t>
      </w:r>
      <w:r>
        <w:rPr>
          <w:rFonts w:hint="eastAsia" w:hAnsi="宋体" w:cs="宋体"/>
          <w:b/>
          <w:kern w:val="0"/>
          <w:sz w:val="21"/>
          <w:szCs w:val="21"/>
          <w:u w:val="single" w:color="000000"/>
        </w:rPr>
        <w:t xml:space="preserve">0%，剩余部分支付按以下第（ ① ）种方式约定 ：                           </w:t>
      </w:r>
    </w:p>
    <w:p w14:paraId="7A0B45CE">
      <w:pPr>
        <w:snapToGrid w:val="0"/>
        <w:spacing w:line="360" w:lineRule="auto"/>
        <w:ind w:firstLine="422" w:firstLineChars="200"/>
        <w:jc w:val="left"/>
        <w:textAlignment w:val="baseline"/>
        <w:rPr>
          <w:rFonts w:hAnsi="宋体" w:cs="宋体"/>
          <w:b/>
          <w:kern w:val="0"/>
          <w:sz w:val="21"/>
          <w:szCs w:val="21"/>
        </w:rPr>
      </w:pPr>
      <w:r>
        <w:rPr>
          <w:rFonts w:hint="eastAsia" w:hAnsi="宋体" w:cs="宋体"/>
          <w:b/>
          <w:kern w:val="0"/>
          <w:sz w:val="21"/>
          <w:szCs w:val="21"/>
        </w:rPr>
        <w:t>①</w:t>
      </w:r>
      <w:r>
        <w:rPr>
          <w:rFonts w:hint="eastAsia" w:hAnsi="宋体" w:cs="宋体"/>
          <w:b/>
          <w:kern w:val="0"/>
          <w:sz w:val="21"/>
          <w:szCs w:val="21"/>
          <w:u w:val="single" w:color="000000"/>
        </w:rPr>
        <w:t xml:space="preserve">  视相关措施的落实情况与进度款同期支付             </w:t>
      </w:r>
      <w:r>
        <w:rPr>
          <w:rFonts w:hint="eastAsia" w:hAnsi="宋体" w:cs="宋体"/>
          <w:b/>
          <w:kern w:val="0"/>
          <w:sz w:val="21"/>
          <w:szCs w:val="21"/>
        </w:rPr>
        <w:t>。</w:t>
      </w:r>
    </w:p>
    <w:p w14:paraId="5FF7A40A">
      <w:pPr>
        <w:snapToGrid w:val="0"/>
        <w:spacing w:line="360" w:lineRule="auto"/>
        <w:ind w:firstLine="422" w:firstLineChars="200"/>
        <w:jc w:val="left"/>
        <w:textAlignment w:val="baseline"/>
        <w:rPr>
          <w:rFonts w:hAnsi="宋体" w:cs="宋体"/>
          <w:sz w:val="21"/>
          <w:szCs w:val="21"/>
        </w:rPr>
      </w:pPr>
      <w:r>
        <w:rPr>
          <w:rFonts w:hint="eastAsia" w:hAnsi="宋体" w:cs="宋体"/>
          <w:b/>
          <w:kern w:val="0"/>
          <w:sz w:val="21"/>
          <w:szCs w:val="21"/>
        </w:rPr>
        <w:t>②</w:t>
      </w:r>
      <w:r>
        <w:rPr>
          <w:rFonts w:hint="eastAsia" w:hAnsi="宋体" w:cs="宋体"/>
          <w:b/>
          <w:kern w:val="0"/>
          <w:sz w:val="21"/>
          <w:szCs w:val="21"/>
          <w:u w:val="single" w:color="000000"/>
        </w:rPr>
        <w:t xml:space="preserve">  其他：                                            </w:t>
      </w:r>
      <w:r>
        <w:rPr>
          <w:rFonts w:hint="eastAsia" w:hAnsi="宋体" w:cs="宋体"/>
          <w:b/>
          <w:kern w:val="0"/>
          <w:sz w:val="21"/>
          <w:szCs w:val="21"/>
        </w:rPr>
        <w:t>。</w:t>
      </w:r>
    </w:p>
    <w:p w14:paraId="567291C1">
      <w:pPr>
        <w:snapToGrid w:val="0"/>
        <w:spacing w:line="360" w:lineRule="auto"/>
        <w:ind w:firstLine="420" w:firstLineChars="200"/>
        <w:jc w:val="left"/>
        <w:textAlignment w:val="baseline"/>
        <w:rPr>
          <w:rFonts w:hAnsi="宋体" w:cs="宋体"/>
          <w:b/>
          <w:color w:val="FF0000"/>
          <w:sz w:val="21"/>
          <w:szCs w:val="21"/>
          <w:u w:val="single" w:color="FF0000"/>
        </w:rPr>
      </w:pPr>
      <w:r>
        <w:rPr>
          <w:rFonts w:hint="eastAsia" w:hAnsi="宋体" w:cs="宋体"/>
          <w:sz w:val="21"/>
          <w:szCs w:val="21"/>
        </w:rPr>
        <w:t>（2）其他：</w:t>
      </w:r>
      <w:r>
        <w:rPr>
          <w:rFonts w:hint="eastAsia" w:hAnsi="宋体" w:cs="宋体"/>
          <w:b/>
          <w:color w:val="FF0000"/>
          <w:sz w:val="21"/>
          <w:szCs w:val="21"/>
          <w:u w:val="single" w:color="FF0000"/>
        </w:rPr>
        <w:t xml:space="preserve"> </w:t>
      </w:r>
      <w:r>
        <w:rPr>
          <w:rFonts w:hint="eastAsia" w:hAnsi="宋体" w:cs="宋体"/>
          <w:b/>
          <w:sz w:val="21"/>
          <w:szCs w:val="21"/>
          <w:u w:val="single" w:color="000000"/>
        </w:rPr>
        <w:t>/。</w:t>
      </w:r>
    </w:p>
    <w:p w14:paraId="5EF92E04">
      <w:pPr>
        <w:snapToGrid w:val="0"/>
        <w:spacing w:line="360" w:lineRule="auto"/>
        <w:ind w:firstLine="420" w:firstLineChars="200"/>
        <w:textAlignment w:val="baseline"/>
        <w:rPr>
          <w:rFonts w:hAnsi="宋体" w:cs="宋体"/>
          <w:sz w:val="21"/>
          <w:szCs w:val="21"/>
        </w:rPr>
      </w:pPr>
      <w:bookmarkStart w:id="467" w:name="_Toc351203639"/>
      <w:r>
        <w:rPr>
          <w:rFonts w:hint="eastAsia" w:hAnsi="宋体" w:cs="宋体"/>
          <w:sz w:val="21"/>
          <w:szCs w:val="21"/>
        </w:rPr>
        <w:t>7. 工期和进度</w:t>
      </w:r>
      <w:bookmarkEnd w:id="467"/>
    </w:p>
    <w:p w14:paraId="138688E2">
      <w:pPr>
        <w:snapToGrid w:val="0"/>
        <w:spacing w:line="360" w:lineRule="auto"/>
        <w:ind w:firstLine="420" w:firstLineChars="200"/>
        <w:textAlignment w:val="baseline"/>
        <w:rPr>
          <w:rFonts w:hAnsi="宋体" w:cs="宋体"/>
          <w:sz w:val="21"/>
          <w:szCs w:val="21"/>
        </w:rPr>
      </w:pPr>
      <w:r>
        <w:rPr>
          <w:rFonts w:hint="eastAsia" w:hAnsi="宋体" w:cs="宋体"/>
          <w:sz w:val="21"/>
          <w:szCs w:val="21"/>
        </w:rPr>
        <w:t>7.1 施工组织设计</w:t>
      </w:r>
    </w:p>
    <w:p w14:paraId="2AB18384">
      <w:pPr>
        <w:snapToGrid w:val="0"/>
        <w:spacing w:line="360" w:lineRule="auto"/>
        <w:ind w:firstLine="420" w:firstLineChars="200"/>
        <w:jc w:val="left"/>
        <w:textAlignment w:val="baseline"/>
        <w:rPr>
          <w:rFonts w:hAnsi="宋体" w:cs="宋体"/>
          <w:kern w:val="0"/>
          <w:sz w:val="21"/>
          <w:szCs w:val="21"/>
        </w:rPr>
      </w:pPr>
      <w:r>
        <w:rPr>
          <w:rFonts w:hint="eastAsia" w:hAnsi="宋体" w:cs="宋体"/>
          <w:sz w:val="21"/>
          <w:szCs w:val="21"/>
        </w:rPr>
        <w:t>7.1.1 合</w:t>
      </w:r>
      <w:r>
        <w:rPr>
          <w:rFonts w:hint="eastAsia" w:hAnsi="宋体" w:cs="宋体"/>
          <w:kern w:val="0"/>
          <w:sz w:val="21"/>
          <w:szCs w:val="21"/>
        </w:rPr>
        <w:t>同当事人约定的施工组织设计应包括的其他内容：</w:t>
      </w:r>
      <w:r>
        <w:rPr>
          <w:rFonts w:hint="eastAsia" w:hAnsi="宋体" w:cs="宋体"/>
          <w:sz w:val="21"/>
          <w:szCs w:val="21"/>
          <w:u w:val="single" w:color="000000"/>
        </w:rPr>
        <w:t xml:space="preserve">        </w:t>
      </w:r>
      <w:r>
        <w:rPr>
          <w:rFonts w:hint="eastAsia" w:hAnsi="宋体" w:cs="宋体"/>
          <w:sz w:val="21"/>
          <w:szCs w:val="21"/>
        </w:rPr>
        <w:t>。</w:t>
      </w:r>
    </w:p>
    <w:p w14:paraId="4A7239E6">
      <w:pPr>
        <w:snapToGrid w:val="0"/>
        <w:spacing w:line="360" w:lineRule="auto"/>
        <w:ind w:firstLine="420" w:firstLineChars="200"/>
        <w:jc w:val="left"/>
        <w:textAlignment w:val="baseline"/>
        <w:rPr>
          <w:rFonts w:hAnsi="宋体" w:cs="宋体"/>
          <w:kern w:val="0"/>
          <w:sz w:val="21"/>
          <w:szCs w:val="21"/>
        </w:rPr>
      </w:pPr>
      <w:r>
        <w:rPr>
          <w:rFonts w:hint="eastAsia" w:hAnsi="宋体" w:cs="宋体"/>
          <w:sz w:val="21"/>
          <w:szCs w:val="21"/>
        </w:rPr>
        <w:t xml:space="preserve">7.1.2 </w:t>
      </w:r>
      <w:r>
        <w:rPr>
          <w:rFonts w:hint="eastAsia" w:hAnsi="宋体" w:cs="宋体"/>
          <w:kern w:val="0"/>
          <w:sz w:val="21"/>
          <w:szCs w:val="21"/>
        </w:rPr>
        <w:t>施工组织设计的提交和修改</w:t>
      </w:r>
    </w:p>
    <w:p w14:paraId="53C1D54A">
      <w:pPr>
        <w:snapToGrid w:val="0"/>
        <w:spacing w:line="360" w:lineRule="auto"/>
        <w:ind w:firstLine="420" w:firstLineChars="200"/>
        <w:jc w:val="left"/>
        <w:textAlignment w:val="baseline"/>
        <w:rPr>
          <w:rFonts w:hAnsi="宋体" w:cs="宋体"/>
          <w:b/>
          <w:sz w:val="21"/>
          <w:szCs w:val="21"/>
          <w:u w:val="single"/>
        </w:rPr>
      </w:pPr>
      <w:r>
        <w:rPr>
          <w:rFonts w:hint="eastAsia" w:hAnsi="宋体" w:cs="宋体"/>
          <w:kern w:val="0"/>
          <w:sz w:val="21"/>
          <w:szCs w:val="21"/>
        </w:rPr>
        <w:t>承包人提交详细施工组织设计的期限的约定：</w:t>
      </w:r>
      <w:r>
        <w:rPr>
          <w:rFonts w:hint="eastAsia" w:hAnsi="宋体" w:cs="宋体"/>
          <w:b/>
          <w:sz w:val="21"/>
          <w:szCs w:val="21"/>
          <w:u w:val="single" w:color="000000"/>
        </w:rPr>
        <w:t>合同签订后（</w:t>
      </w:r>
      <w:r>
        <w:rPr>
          <w:rFonts w:hAnsi="宋体" w:cs="宋体"/>
          <w:b/>
          <w:sz w:val="21"/>
          <w:szCs w:val="21"/>
          <w:u w:val="single" w:color="000000"/>
        </w:rPr>
        <w:t>5</w:t>
      </w:r>
      <w:r>
        <w:rPr>
          <w:rFonts w:hint="eastAsia" w:hAnsi="宋体" w:cs="宋体"/>
          <w:b/>
          <w:sz w:val="21"/>
          <w:szCs w:val="21"/>
          <w:u w:val="single" w:color="000000"/>
        </w:rPr>
        <w:t>）天内提供</w:t>
      </w:r>
      <w:r>
        <w:rPr>
          <w:rFonts w:hint="eastAsia" w:hAnsi="宋体" w:cs="宋体"/>
          <w:b/>
          <w:kern w:val="0"/>
          <w:sz w:val="21"/>
          <w:szCs w:val="21"/>
          <w:u w:val="single" w:color="000000"/>
        </w:rPr>
        <w:t>详细</w:t>
      </w:r>
      <w:r>
        <w:rPr>
          <w:rFonts w:hint="eastAsia" w:hAnsi="宋体" w:cs="宋体"/>
          <w:b/>
          <w:sz w:val="21"/>
          <w:szCs w:val="21"/>
          <w:u w:val="single" w:color="000000"/>
        </w:rPr>
        <w:t>施工组织设计（施工方案）和进度计划。</w:t>
      </w:r>
    </w:p>
    <w:p w14:paraId="69EDA5BF">
      <w:pPr>
        <w:snapToGrid w:val="0"/>
        <w:spacing w:line="360" w:lineRule="auto"/>
        <w:ind w:firstLine="420" w:firstLineChars="200"/>
        <w:jc w:val="left"/>
        <w:textAlignment w:val="baseline"/>
        <w:rPr>
          <w:rFonts w:hAnsi="宋体" w:cs="宋体"/>
          <w:b/>
          <w:sz w:val="21"/>
          <w:szCs w:val="21"/>
          <w:u w:val="single"/>
        </w:rPr>
      </w:pPr>
      <w:r>
        <w:rPr>
          <w:rFonts w:hint="eastAsia" w:hAnsi="宋体" w:cs="宋体"/>
          <w:sz w:val="21"/>
          <w:szCs w:val="21"/>
        </w:rPr>
        <w:t>发包人和监理人在收到详细的施工组织设计后确认或提出修改意见的期限：</w:t>
      </w:r>
      <w:r>
        <w:rPr>
          <w:rFonts w:hint="eastAsia" w:hAnsi="宋体" w:cs="宋体"/>
          <w:b/>
          <w:sz w:val="21"/>
          <w:szCs w:val="21"/>
          <w:u w:val="single" w:color="000000"/>
        </w:rPr>
        <w:t>收到详细的施工组织设计后</w:t>
      </w:r>
      <w:r>
        <w:rPr>
          <w:rFonts w:hAnsi="宋体" w:cs="宋体"/>
          <w:b/>
          <w:sz w:val="21"/>
          <w:szCs w:val="21"/>
          <w:u w:val="single" w:color="000000"/>
        </w:rPr>
        <w:t>7</w:t>
      </w:r>
      <w:r>
        <w:rPr>
          <w:rFonts w:hint="eastAsia" w:hAnsi="宋体" w:cs="宋体"/>
          <w:b/>
          <w:sz w:val="21"/>
          <w:szCs w:val="21"/>
          <w:u w:val="single" w:color="000000"/>
        </w:rPr>
        <w:t xml:space="preserve"> 日内。</w:t>
      </w:r>
    </w:p>
    <w:p w14:paraId="138ED3FA">
      <w:pPr>
        <w:snapToGrid w:val="0"/>
        <w:spacing w:line="360" w:lineRule="auto"/>
        <w:ind w:firstLine="420" w:firstLineChars="200"/>
        <w:textAlignment w:val="baseline"/>
        <w:rPr>
          <w:rFonts w:hAnsi="宋体" w:cs="宋体"/>
          <w:sz w:val="21"/>
          <w:szCs w:val="21"/>
        </w:rPr>
      </w:pPr>
      <w:r>
        <w:rPr>
          <w:rFonts w:hint="eastAsia" w:hAnsi="宋体" w:cs="宋体"/>
          <w:sz w:val="21"/>
          <w:szCs w:val="21"/>
        </w:rPr>
        <w:t>7.2 施工进度计划</w:t>
      </w:r>
    </w:p>
    <w:p w14:paraId="001A7287">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7.2.2 施工进度计划的修订</w:t>
      </w:r>
    </w:p>
    <w:p w14:paraId="0ADB1C3D">
      <w:pPr>
        <w:snapToGrid w:val="0"/>
        <w:spacing w:line="360" w:lineRule="auto"/>
        <w:ind w:firstLine="420" w:firstLineChars="200"/>
        <w:jc w:val="left"/>
        <w:textAlignment w:val="baseline"/>
        <w:rPr>
          <w:rFonts w:hAnsi="宋体" w:cs="宋体"/>
          <w:b/>
          <w:sz w:val="21"/>
          <w:szCs w:val="21"/>
          <w:u w:val="single"/>
        </w:rPr>
      </w:pPr>
      <w:r>
        <w:rPr>
          <w:rFonts w:hint="eastAsia" w:hAnsi="宋体" w:cs="宋体"/>
          <w:sz w:val="21"/>
          <w:szCs w:val="21"/>
        </w:rPr>
        <w:t>发包人和监理人在收到修订的施工进度计划后确认或提出修改意见的期限：</w:t>
      </w:r>
      <w:r>
        <w:rPr>
          <w:rFonts w:hint="eastAsia" w:hAnsi="宋体" w:cs="宋体"/>
          <w:b/>
          <w:sz w:val="21"/>
          <w:szCs w:val="21"/>
          <w:u w:val="single" w:color="000000"/>
        </w:rPr>
        <w:t xml:space="preserve"> 收到修订的施工进度计划后</w:t>
      </w:r>
      <w:r>
        <w:rPr>
          <w:rFonts w:hAnsi="宋体" w:cs="宋体"/>
          <w:b/>
          <w:sz w:val="21"/>
          <w:szCs w:val="21"/>
          <w:u w:val="single" w:color="000000"/>
        </w:rPr>
        <w:t>7</w:t>
      </w:r>
      <w:r>
        <w:rPr>
          <w:rFonts w:hint="eastAsia" w:hAnsi="宋体" w:cs="宋体"/>
          <w:b/>
          <w:sz w:val="21"/>
          <w:szCs w:val="21"/>
          <w:u w:val="single" w:color="000000"/>
        </w:rPr>
        <w:t>日内。</w:t>
      </w:r>
    </w:p>
    <w:p w14:paraId="01732CD2">
      <w:pPr>
        <w:snapToGrid w:val="0"/>
        <w:spacing w:line="360" w:lineRule="auto"/>
        <w:ind w:firstLine="420" w:firstLineChars="200"/>
        <w:textAlignment w:val="baseline"/>
        <w:rPr>
          <w:rFonts w:hAnsi="宋体" w:cs="宋体"/>
          <w:sz w:val="21"/>
          <w:szCs w:val="21"/>
        </w:rPr>
      </w:pPr>
      <w:r>
        <w:rPr>
          <w:rFonts w:hint="eastAsia" w:hAnsi="宋体" w:cs="宋体"/>
          <w:sz w:val="21"/>
          <w:szCs w:val="21"/>
        </w:rPr>
        <w:t>7.3 开工</w:t>
      </w:r>
    </w:p>
    <w:p w14:paraId="2FF13A54">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7.3.1 开工准备</w:t>
      </w:r>
    </w:p>
    <w:p w14:paraId="0A2539F2">
      <w:pPr>
        <w:snapToGrid w:val="0"/>
        <w:spacing w:line="360" w:lineRule="auto"/>
        <w:ind w:firstLine="420" w:firstLineChars="200"/>
        <w:jc w:val="left"/>
        <w:textAlignment w:val="baseline"/>
        <w:rPr>
          <w:rFonts w:hAnsi="宋体" w:cs="宋体"/>
          <w:b/>
          <w:sz w:val="21"/>
          <w:szCs w:val="21"/>
          <w:u w:val="single"/>
        </w:rPr>
      </w:pPr>
      <w:r>
        <w:rPr>
          <w:rFonts w:hint="eastAsia" w:hAnsi="宋体" w:cs="宋体"/>
          <w:sz w:val="21"/>
          <w:szCs w:val="21"/>
        </w:rPr>
        <w:t>关于承包人提交</w:t>
      </w:r>
      <w:r>
        <w:rPr>
          <w:rFonts w:hint="eastAsia" w:hAnsi="宋体" w:cs="宋体"/>
          <w:kern w:val="0"/>
          <w:sz w:val="21"/>
          <w:szCs w:val="21"/>
        </w:rPr>
        <w:t>工程开工报审表的期限：</w:t>
      </w:r>
      <w:r>
        <w:rPr>
          <w:rFonts w:hint="eastAsia" w:hAnsi="宋体" w:cs="宋体"/>
          <w:b/>
          <w:sz w:val="21"/>
          <w:szCs w:val="21"/>
          <w:u w:val="single" w:color="000000"/>
        </w:rPr>
        <w:t>具备开工条件后 48 小时内 。</w:t>
      </w:r>
    </w:p>
    <w:p w14:paraId="5F8947C5">
      <w:pPr>
        <w:snapToGrid w:val="0"/>
        <w:spacing w:line="360" w:lineRule="auto"/>
        <w:ind w:firstLine="420" w:firstLineChars="200"/>
        <w:jc w:val="left"/>
        <w:textAlignment w:val="baseline"/>
        <w:rPr>
          <w:rFonts w:hAnsi="宋体" w:cs="宋体"/>
          <w:b/>
          <w:sz w:val="21"/>
          <w:szCs w:val="21"/>
          <w:u w:val="single"/>
        </w:rPr>
      </w:pPr>
      <w:r>
        <w:rPr>
          <w:rFonts w:hint="eastAsia" w:hAnsi="宋体" w:cs="宋体"/>
          <w:sz w:val="21"/>
          <w:szCs w:val="21"/>
        </w:rPr>
        <w:t>关于发包人应完成的其他开工准备工作及期限：</w:t>
      </w:r>
      <w:r>
        <w:rPr>
          <w:rFonts w:hint="eastAsia" w:hAnsi="宋体" w:cs="宋体"/>
          <w:b/>
          <w:sz w:val="21"/>
          <w:szCs w:val="21"/>
          <w:u w:val="single" w:color="000000"/>
        </w:rPr>
        <w:t>具备开工条件后 48 小时内  。</w:t>
      </w:r>
    </w:p>
    <w:p w14:paraId="6682FC5C">
      <w:pPr>
        <w:snapToGrid w:val="0"/>
        <w:spacing w:line="360" w:lineRule="auto"/>
        <w:ind w:firstLine="420" w:firstLineChars="200"/>
        <w:jc w:val="left"/>
        <w:textAlignment w:val="baseline"/>
        <w:rPr>
          <w:rFonts w:hAnsi="宋体" w:cs="宋体"/>
          <w:b/>
          <w:sz w:val="21"/>
          <w:szCs w:val="21"/>
          <w:u w:val="single"/>
        </w:rPr>
      </w:pPr>
      <w:r>
        <w:rPr>
          <w:rFonts w:hint="eastAsia" w:hAnsi="宋体" w:cs="宋体"/>
          <w:sz w:val="21"/>
          <w:szCs w:val="21"/>
        </w:rPr>
        <w:t>关于承包人应完成的其他开工准备工作及期限：</w:t>
      </w:r>
      <w:r>
        <w:rPr>
          <w:rFonts w:hint="eastAsia" w:hAnsi="宋体" w:cs="宋体"/>
          <w:b/>
          <w:sz w:val="21"/>
          <w:szCs w:val="21"/>
          <w:u w:val="single" w:color="000000"/>
        </w:rPr>
        <w:t>具备开工条件后 48 小时内。</w:t>
      </w:r>
    </w:p>
    <w:p w14:paraId="1441970B">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7.3.2开工通知</w:t>
      </w:r>
    </w:p>
    <w:p w14:paraId="37FD0972">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因发包人原因造成监理人未能在计划开工日期之日起</w:t>
      </w:r>
      <w:r>
        <w:rPr>
          <w:rFonts w:hint="eastAsia" w:hAnsi="宋体" w:cs="宋体"/>
          <w:sz w:val="21"/>
          <w:szCs w:val="21"/>
          <w:u w:val="single" w:color="000000"/>
        </w:rPr>
        <w:t xml:space="preserve"> 90  </w:t>
      </w:r>
      <w:r>
        <w:rPr>
          <w:rFonts w:hint="eastAsia" w:hAnsi="宋体" w:cs="宋体"/>
          <w:sz w:val="21"/>
          <w:szCs w:val="21"/>
        </w:rPr>
        <w:t>天内发出开工通知的，承包人有权提出价格调整要求，或者解除合同。</w:t>
      </w:r>
    </w:p>
    <w:p w14:paraId="4AB62DFB">
      <w:pPr>
        <w:snapToGrid w:val="0"/>
        <w:spacing w:line="360" w:lineRule="auto"/>
        <w:ind w:firstLine="420" w:firstLineChars="200"/>
        <w:textAlignment w:val="baseline"/>
        <w:rPr>
          <w:rFonts w:hAnsi="宋体" w:cs="宋体"/>
          <w:sz w:val="21"/>
          <w:szCs w:val="21"/>
        </w:rPr>
      </w:pPr>
      <w:r>
        <w:rPr>
          <w:rFonts w:hint="eastAsia" w:hAnsi="宋体" w:cs="宋体"/>
          <w:sz w:val="21"/>
          <w:szCs w:val="21"/>
        </w:rPr>
        <w:t>7.4 测量放线</w:t>
      </w:r>
    </w:p>
    <w:p w14:paraId="7E6456AB">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7.4.1发包人通过监理人向承包人提供测量基准点、基准线和水准点及其书面资料的期限：</w:t>
      </w:r>
      <w:r>
        <w:rPr>
          <w:rFonts w:hint="eastAsia" w:hAnsi="宋体" w:cs="宋体"/>
          <w:b/>
          <w:sz w:val="21"/>
          <w:szCs w:val="21"/>
          <w:u w:val="single" w:color="000000"/>
        </w:rPr>
        <w:t xml:space="preserve">  按通用条款约定  </w:t>
      </w:r>
      <w:r>
        <w:rPr>
          <w:rFonts w:hint="eastAsia" w:hAnsi="宋体" w:cs="宋体"/>
          <w:sz w:val="21"/>
          <w:szCs w:val="21"/>
        </w:rPr>
        <w:t>。</w:t>
      </w:r>
    </w:p>
    <w:p w14:paraId="006A34A9">
      <w:pPr>
        <w:snapToGrid w:val="0"/>
        <w:spacing w:line="360" w:lineRule="auto"/>
        <w:ind w:firstLine="420" w:firstLineChars="200"/>
        <w:textAlignment w:val="baseline"/>
        <w:rPr>
          <w:rFonts w:hAnsi="宋体" w:cs="宋体"/>
          <w:sz w:val="21"/>
          <w:szCs w:val="21"/>
        </w:rPr>
      </w:pPr>
      <w:r>
        <w:rPr>
          <w:rFonts w:hint="eastAsia" w:hAnsi="宋体" w:cs="宋体"/>
          <w:sz w:val="21"/>
          <w:szCs w:val="21"/>
        </w:rPr>
        <w:t>7.5 工期延误</w:t>
      </w:r>
    </w:p>
    <w:p w14:paraId="55931885">
      <w:pPr>
        <w:snapToGrid w:val="0"/>
        <w:spacing w:line="360" w:lineRule="auto"/>
        <w:ind w:firstLine="420" w:firstLineChars="200"/>
        <w:textAlignment w:val="baseline"/>
        <w:rPr>
          <w:rFonts w:hint="eastAsia" w:hAnsi="宋体" w:cs="宋体"/>
          <w:sz w:val="21"/>
          <w:szCs w:val="21"/>
          <w:u w:val="single"/>
        </w:rPr>
      </w:pPr>
      <w:r>
        <w:rPr>
          <w:rFonts w:hint="eastAsia" w:hAnsi="宋体" w:cs="宋体"/>
          <w:sz w:val="21"/>
          <w:szCs w:val="21"/>
          <w:u w:val="single"/>
        </w:rPr>
        <w:t>（1）本项目承包人需自行考虑因国际化公共活动，政府重要会议、活动、检查或其他特殊情况等，如亚运会、中高考、行业检查等各种影响因素，不得以上述原因为理由，提出工期增加和费用增加事宜，相关费用已计入合同总价款中，不得因此要求发包人给予任何费用补偿。</w:t>
      </w:r>
    </w:p>
    <w:p w14:paraId="6B1EEC87">
      <w:pPr>
        <w:snapToGrid w:val="0"/>
        <w:spacing w:line="360" w:lineRule="auto"/>
        <w:ind w:firstLine="420" w:firstLineChars="200"/>
        <w:textAlignment w:val="baseline"/>
        <w:rPr>
          <w:rFonts w:hint="eastAsia" w:hAnsi="宋体" w:cs="宋体"/>
          <w:sz w:val="21"/>
          <w:szCs w:val="21"/>
          <w:u w:val="single"/>
        </w:rPr>
      </w:pPr>
      <w:r>
        <w:rPr>
          <w:rFonts w:hint="eastAsia" w:hAnsi="宋体" w:cs="宋体"/>
          <w:sz w:val="21"/>
          <w:szCs w:val="21"/>
          <w:u w:val="single"/>
        </w:rPr>
        <w:t>（2）若政府部门以任何形式发布相关停工通知的，承包人必须无条件服从要求进行停工，由此产生的组织、技术措施增加费，人员、机械窝工费及由此产生的相关全部费用（除政策文件规定调整外，或若有上级主管部门相关文件要求的，则按文件要求执行）已综合考虑并包含在合同总价款中，费用不予调整，同时停工工期给予顺延。</w:t>
      </w:r>
    </w:p>
    <w:p w14:paraId="2D3DB420">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7.5.1 因发包人原因导致工期延误</w:t>
      </w:r>
    </w:p>
    <w:p w14:paraId="09757447">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（7）因发包人原因导致工期延误的其他情形：</w:t>
      </w:r>
    </w:p>
    <w:p w14:paraId="696A5E01">
      <w:pPr>
        <w:snapToGrid w:val="0"/>
        <w:spacing w:line="360" w:lineRule="auto"/>
        <w:ind w:firstLine="422" w:firstLineChars="200"/>
        <w:jc w:val="left"/>
        <w:textAlignment w:val="baseline"/>
        <w:rPr>
          <w:rFonts w:hAnsi="宋体" w:cs="宋体"/>
          <w:b/>
          <w:sz w:val="21"/>
          <w:szCs w:val="21"/>
          <w:u w:val="single"/>
        </w:rPr>
      </w:pPr>
      <w:r>
        <w:rPr>
          <w:rFonts w:hint="eastAsia" w:hAnsi="宋体" w:cs="宋体"/>
          <w:b/>
          <w:sz w:val="21"/>
          <w:szCs w:val="21"/>
          <w:u w:val="single" w:color="000000"/>
        </w:rPr>
        <w:t xml:space="preserve">①重大设计变更引起的工期延误                        </w:t>
      </w:r>
      <w:r>
        <w:rPr>
          <w:rFonts w:hint="eastAsia" w:hAnsi="宋体" w:cs="宋体"/>
          <w:b/>
          <w:sz w:val="21"/>
          <w:szCs w:val="21"/>
        </w:rPr>
        <w:t>；</w:t>
      </w:r>
    </w:p>
    <w:p w14:paraId="2C9682C1">
      <w:pPr>
        <w:snapToGrid w:val="0"/>
        <w:spacing w:line="360" w:lineRule="auto"/>
        <w:ind w:firstLine="422" w:firstLineChars="200"/>
        <w:jc w:val="left"/>
        <w:textAlignment w:val="baseline"/>
        <w:rPr>
          <w:rFonts w:hAnsi="宋体" w:cs="宋体"/>
          <w:b/>
          <w:sz w:val="21"/>
          <w:szCs w:val="21"/>
          <w:u w:val="single"/>
        </w:rPr>
      </w:pPr>
      <w:r>
        <w:rPr>
          <w:rFonts w:hint="eastAsia" w:hAnsi="宋体" w:cs="宋体"/>
          <w:b/>
          <w:sz w:val="21"/>
          <w:szCs w:val="21"/>
          <w:u w:val="single" w:color="000000"/>
        </w:rPr>
        <w:t xml:space="preserve">②其他：               /                            </w:t>
      </w:r>
      <w:r>
        <w:rPr>
          <w:rFonts w:hint="eastAsia" w:hAnsi="宋体" w:cs="宋体"/>
          <w:b/>
          <w:sz w:val="21"/>
          <w:szCs w:val="21"/>
        </w:rPr>
        <w:t>。</w:t>
      </w:r>
    </w:p>
    <w:p w14:paraId="27609C74">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7</w:t>
      </w:r>
      <w:bookmarkStart w:id="468" w:name="_Toc297123518"/>
      <w:bookmarkStart w:id="469" w:name="_Toc304295548"/>
      <w:bookmarkStart w:id="470" w:name="_Toc300934970"/>
      <w:bookmarkStart w:id="471" w:name="_Toc303539127"/>
      <w:bookmarkStart w:id="472" w:name="_Toc297216177"/>
      <w:r>
        <w:rPr>
          <w:rFonts w:hint="eastAsia" w:hAnsi="宋体" w:cs="宋体"/>
          <w:sz w:val="21"/>
          <w:szCs w:val="21"/>
        </w:rPr>
        <w:t>.5.2 因承包人原因导致工期延误</w:t>
      </w:r>
    </w:p>
    <w:p w14:paraId="11315EF0">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因</w:t>
      </w:r>
      <w:bookmarkStart w:id="473" w:name="_Toc312677487"/>
      <w:bookmarkStart w:id="474" w:name="_Toc312678013"/>
      <w:r>
        <w:rPr>
          <w:rFonts w:hint="eastAsia" w:hAnsi="宋体" w:cs="宋体"/>
          <w:sz w:val="21"/>
          <w:szCs w:val="21"/>
        </w:rPr>
        <w:t>承包人原因造成工期延误，逾期竣工违约金的计算方法为：</w:t>
      </w:r>
      <w:r>
        <w:rPr>
          <w:rFonts w:hint="eastAsia" w:hAnsi="宋体" w:cs="宋体"/>
          <w:sz w:val="21"/>
          <w:szCs w:val="21"/>
          <w:u w:val="single" w:color="000000"/>
        </w:rPr>
        <w:t xml:space="preserve">  每延期一天，承包人应当向发包人支付签约合同款的万分之二的违约金</w:t>
      </w:r>
      <w:r>
        <w:rPr>
          <w:rFonts w:hint="eastAsia" w:hAnsi="宋体" w:cs="宋体"/>
          <w:sz w:val="21"/>
          <w:szCs w:val="21"/>
        </w:rPr>
        <w:t>。</w:t>
      </w:r>
      <w:bookmarkEnd w:id="468"/>
      <w:bookmarkEnd w:id="469"/>
      <w:bookmarkEnd w:id="470"/>
      <w:bookmarkEnd w:id="471"/>
      <w:bookmarkEnd w:id="472"/>
      <w:bookmarkEnd w:id="473"/>
      <w:bookmarkEnd w:id="474"/>
    </w:p>
    <w:p w14:paraId="28BA87EA">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 xml:space="preserve">    因承包人原因造成工期延误，逾期竣工违约金的上限：</w:t>
      </w:r>
      <w:r>
        <w:rPr>
          <w:rFonts w:hint="eastAsia" w:hAnsi="宋体" w:cs="宋体"/>
          <w:sz w:val="21"/>
          <w:szCs w:val="21"/>
          <w:u w:val="single" w:color="000000"/>
        </w:rPr>
        <w:t>上限为合同协议书中签约合同价的30%，发包人按施工进度计划检查，确定承包人不能按期完成，也无能力采取措施完成的，发包人有权将该工程指定其他单位施工，其发生费用由承包人承担，承包人应当承担逾期竣工违约金，若由此给发包人造成的损失大于违约金金额的，则承包人应当补足赔偿发包人的损失。</w:t>
      </w:r>
    </w:p>
    <w:p w14:paraId="64A26E58">
      <w:pPr>
        <w:snapToGrid w:val="0"/>
        <w:spacing w:line="360" w:lineRule="auto"/>
        <w:ind w:firstLine="420" w:firstLineChars="200"/>
        <w:textAlignment w:val="baseline"/>
        <w:rPr>
          <w:rFonts w:hAnsi="宋体" w:cs="宋体"/>
          <w:sz w:val="21"/>
          <w:szCs w:val="21"/>
        </w:rPr>
      </w:pPr>
      <w:r>
        <w:rPr>
          <w:rFonts w:hint="eastAsia" w:hAnsi="宋体" w:cs="宋体"/>
          <w:sz w:val="21"/>
          <w:szCs w:val="21"/>
        </w:rPr>
        <w:t>7</w:t>
      </w:r>
      <w:bookmarkStart w:id="475" w:name="_Toc300934971"/>
      <w:bookmarkStart w:id="476" w:name="_Toc303539128"/>
      <w:bookmarkStart w:id="477" w:name="_Toc297123519"/>
      <w:bookmarkStart w:id="478" w:name="_Toc304295549"/>
      <w:bookmarkStart w:id="479" w:name="_Toc312678015"/>
      <w:bookmarkStart w:id="480" w:name="_Toc297216178"/>
      <w:r>
        <w:rPr>
          <w:rFonts w:hint="eastAsia" w:hAnsi="宋体" w:cs="宋体"/>
          <w:sz w:val="21"/>
          <w:szCs w:val="21"/>
        </w:rPr>
        <w:t>.6 不</w:t>
      </w:r>
      <w:bookmarkEnd w:id="475"/>
      <w:bookmarkEnd w:id="476"/>
      <w:bookmarkEnd w:id="477"/>
      <w:bookmarkEnd w:id="478"/>
      <w:bookmarkEnd w:id="479"/>
      <w:bookmarkEnd w:id="480"/>
      <w:r>
        <w:rPr>
          <w:rFonts w:hint="eastAsia" w:hAnsi="宋体" w:cs="宋体"/>
          <w:sz w:val="21"/>
          <w:szCs w:val="21"/>
        </w:rPr>
        <w:t>利物质条件</w:t>
      </w:r>
    </w:p>
    <w:p w14:paraId="4A6B72C1">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不利物质条件的其他情形和有关约定：</w:t>
      </w:r>
    </w:p>
    <w:p w14:paraId="76D0B52E">
      <w:pPr>
        <w:snapToGrid w:val="0"/>
        <w:spacing w:line="360" w:lineRule="auto"/>
        <w:ind w:firstLine="422" w:firstLineChars="200"/>
        <w:jc w:val="left"/>
        <w:textAlignment w:val="baseline"/>
        <w:rPr>
          <w:rFonts w:hAnsi="宋体" w:cs="宋体"/>
          <w:b/>
          <w:sz w:val="21"/>
          <w:szCs w:val="21"/>
          <w:u w:val="single"/>
        </w:rPr>
      </w:pPr>
      <w:r>
        <w:rPr>
          <w:rFonts w:hint="eastAsia" w:hAnsi="宋体" w:cs="宋体"/>
          <w:b/>
          <w:sz w:val="21"/>
          <w:szCs w:val="21"/>
          <w:u w:val="single" w:color="000000"/>
        </w:rPr>
        <w:t xml:space="preserve">（1）施工场地周围地下管线                            </w:t>
      </w:r>
      <w:r>
        <w:rPr>
          <w:rFonts w:hint="eastAsia" w:hAnsi="宋体" w:cs="宋体"/>
          <w:b/>
          <w:sz w:val="21"/>
          <w:szCs w:val="21"/>
        </w:rPr>
        <w:t>；</w:t>
      </w:r>
    </w:p>
    <w:p w14:paraId="79FE4811">
      <w:pPr>
        <w:snapToGrid w:val="0"/>
        <w:spacing w:line="360" w:lineRule="auto"/>
        <w:ind w:firstLine="422" w:firstLineChars="200"/>
        <w:jc w:val="left"/>
        <w:textAlignment w:val="baseline"/>
        <w:rPr>
          <w:rFonts w:hAnsi="宋体" w:cs="宋体"/>
          <w:b/>
          <w:sz w:val="21"/>
          <w:szCs w:val="21"/>
          <w:u w:val="single"/>
        </w:rPr>
      </w:pPr>
      <w:r>
        <w:rPr>
          <w:rFonts w:hint="eastAsia" w:hAnsi="宋体" w:cs="宋体"/>
          <w:b/>
          <w:sz w:val="21"/>
          <w:szCs w:val="21"/>
          <w:u w:val="single" w:color="000000"/>
        </w:rPr>
        <w:t xml:space="preserve">（2）地下障碍物和污染物                              </w:t>
      </w:r>
      <w:r>
        <w:rPr>
          <w:rFonts w:hint="eastAsia" w:hAnsi="宋体" w:cs="宋体"/>
          <w:b/>
          <w:sz w:val="21"/>
          <w:szCs w:val="21"/>
        </w:rPr>
        <w:t>；</w:t>
      </w:r>
    </w:p>
    <w:p w14:paraId="69881A41">
      <w:pPr>
        <w:snapToGrid w:val="0"/>
        <w:spacing w:line="360" w:lineRule="auto"/>
        <w:ind w:firstLine="422" w:firstLineChars="200"/>
        <w:jc w:val="left"/>
        <w:textAlignment w:val="baseline"/>
        <w:rPr>
          <w:rFonts w:hAnsi="宋体" w:cs="宋体"/>
          <w:b/>
          <w:sz w:val="21"/>
          <w:szCs w:val="21"/>
          <w:u w:val="single"/>
        </w:rPr>
      </w:pPr>
      <w:r>
        <w:rPr>
          <w:rFonts w:hint="eastAsia" w:hAnsi="宋体" w:cs="宋体"/>
          <w:b/>
          <w:sz w:val="21"/>
          <w:szCs w:val="21"/>
          <w:u w:val="single" w:color="000000"/>
        </w:rPr>
        <w:t xml:space="preserve">（3）邻近建筑物、构筑物的保护要求                    </w:t>
      </w:r>
      <w:r>
        <w:rPr>
          <w:rFonts w:hint="eastAsia" w:hAnsi="宋体" w:cs="宋体"/>
          <w:b/>
          <w:sz w:val="21"/>
          <w:szCs w:val="21"/>
        </w:rPr>
        <w:t>；</w:t>
      </w:r>
    </w:p>
    <w:p w14:paraId="3D049F82">
      <w:pPr>
        <w:snapToGrid w:val="0"/>
        <w:spacing w:line="360" w:lineRule="auto"/>
        <w:ind w:firstLine="422" w:firstLineChars="200"/>
        <w:jc w:val="left"/>
        <w:textAlignment w:val="baseline"/>
        <w:rPr>
          <w:rFonts w:hAnsi="宋体" w:cs="宋体"/>
          <w:b/>
          <w:sz w:val="21"/>
          <w:szCs w:val="21"/>
          <w:u w:val="single"/>
        </w:rPr>
      </w:pPr>
      <w:r>
        <w:rPr>
          <w:rFonts w:hint="eastAsia" w:hAnsi="宋体" w:cs="宋体"/>
          <w:b/>
          <w:sz w:val="21"/>
          <w:szCs w:val="21"/>
          <w:u w:val="single" w:color="000000"/>
        </w:rPr>
        <w:t xml:space="preserve">（4）其他                                            </w:t>
      </w:r>
      <w:r>
        <w:rPr>
          <w:rFonts w:hint="eastAsia" w:hAnsi="宋体" w:cs="宋体"/>
          <w:b/>
          <w:sz w:val="21"/>
          <w:szCs w:val="21"/>
        </w:rPr>
        <w:t>。</w:t>
      </w:r>
    </w:p>
    <w:p w14:paraId="58746CBA">
      <w:pPr>
        <w:snapToGrid w:val="0"/>
        <w:spacing w:line="360" w:lineRule="auto"/>
        <w:ind w:firstLine="420" w:firstLineChars="200"/>
        <w:textAlignment w:val="baseline"/>
        <w:rPr>
          <w:rFonts w:hAnsi="宋体" w:cs="宋体"/>
          <w:sz w:val="21"/>
          <w:szCs w:val="21"/>
        </w:rPr>
      </w:pPr>
      <w:r>
        <w:rPr>
          <w:rFonts w:hint="eastAsia" w:hAnsi="宋体" w:cs="宋体"/>
          <w:sz w:val="21"/>
          <w:szCs w:val="21"/>
        </w:rPr>
        <w:t>7.7异常恶劣的气候条件</w:t>
      </w:r>
    </w:p>
    <w:p w14:paraId="21D4E028">
      <w:pPr>
        <w:snapToGrid w:val="0"/>
        <w:spacing w:line="360" w:lineRule="auto"/>
        <w:ind w:firstLine="420" w:firstLineChars="200"/>
        <w:jc w:val="left"/>
        <w:textAlignment w:val="baseline"/>
        <w:rPr>
          <w:rFonts w:hAnsi="宋体" w:cs="宋体"/>
          <w:b/>
          <w:kern w:val="0"/>
          <w:sz w:val="21"/>
          <w:szCs w:val="21"/>
        </w:rPr>
      </w:pPr>
      <w:r>
        <w:rPr>
          <w:rFonts w:hint="eastAsia" w:hAnsi="宋体" w:cs="宋体"/>
          <w:sz w:val="21"/>
          <w:szCs w:val="21"/>
        </w:rPr>
        <w:t>发包人和承包人同意以下情形视为异常恶劣的气候条件：</w:t>
      </w:r>
    </w:p>
    <w:p w14:paraId="4E9BAEA1">
      <w:pPr>
        <w:snapToGrid w:val="0"/>
        <w:spacing w:line="360" w:lineRule="auto"/>
        <w:ind w:firstLine="422" w:firstLineChars="200"/>
        <w:jc w:val="left"/>
        <w:textAlignment w:val="baseline"/>
        <w:rPr>
          <w:rFonts w:hAnsi="宋体" w:cs="宋体"/>
          <w:b/>
          <w:sz w:val="21"/>
          <w:szCs w:val="21"/>
          <w:u w:val="single"/>
        </w:rPr>
      </w:pPr>
      <w:r>
        <w:rPr>
          <w:rFonts w:hint="eastAsia" w:hAnsi="宋体" w:cs="宋体"/>
          <w:b/>
          <w:sz w:val="21"/>
          <w:szCs w:val="21"/>
          <w:u w:val="single" w:color="000000"/>
        </w:rPr>
        <w:t>（1）日最高气温达到40 度及以上的天气 ；</w:t>
      </w:r>
    </w:p>
    <w:p w14:paraId="34FE3D5E">
      <w:pPr>
        <w:snapToGrid w:val="0"/>
        <w:spacing w:line="360" w:lineRule="auto"/>
        <w:ind w:firstLine="422" w:firstLineChars="200"/>
        <w:jc w:val="left"/>
        <w:textAlignment w:val="baseline"/>
        <w:rPr>
          <w:rFonts w:hAnsi="宋体" w:cs="宋体"/>
          <w:b/>
          <w:sz w:val="21"/>
          <w:szCs w:val="21"/>
          <w:u w:val="single"/>
        </w:rPr>
      </w:pPr>
      <w:r>
        <w:rPr>
          <w:rFonts w:hint="eastAsia" w:hAnsi="宋体" w:cs="宋体"/>
          <w:b/>
          <w:sz w:val="21"/>
          <w:szCs w:val="21"/>
          <w:u w:val="single" w:color="000000"/>
        </w:rPr>
        <w:t>（2）启动台风橙色及以上预警的天气</w:t>
      </w:r>
    </w:p>
    <w:p w14:paraId="71DDE135">
      <w:pPr>
        <w:snapToGrid w:val="0"/>
        <w:spacing w:line="360" w:lineRule="auto"/>
        <w:ind w:firstLine="422" w:firstLineChars="200"/>
        <w:jc w:val="left"/>
        <w:textAlignment w:val="baseline"/>
        <w:rPr>
          <w:rFonts w:hAnsi="宋体" w:cs="宋体"/>
          <w:b/>
          <w:sz w:val="21"/>
          <w:szCs w:val="21"/>
          <w:u w:val="single"/>
        </w:rPr>
      </w:pPr>
      <w:r>
        <w:rPr>
          <w:rFonts w:hint="eastAsia" w:hAnsi="宋体" w:cs="宋体"/>
          <w:b/>
          <w:sz w:val="21"/>
          <w:szCs w:val="21"/>
          <w:u w:val="single" w:color="000000"/>
        </w:rPr>
        <w:t>（3）启动防汛预案一级响应的天气  。</w:t>
      </w:r>
    </w:p>
    <w:p w14:paraId="240A2806">
      <w:pPr>
        <w:snapToGrid w:val="0"/>
        <w:spacing w:line="360" w:lineRule="auto"/>
        <w:ind w:firstLine="422" w:firstLineChars="200"/>
        <w:jc w:val="left"/>
        <w:textAlignment w:val="baseline"/>
        <w:rPr>
          <w:rFonts w:hAnsi="宋体" w:cs="宋体"/>
          <w:b/>
          <w:sz w:val="21"/>
          <w:szCs w:val="21"/>
          <w:u w:val="single"/>
        </w:rPr>
      </w:pPr>
      <w:r>
        <w:rPr>
          <w:rFonts w:hint="eastAsia" w:hAnsi="宋体" w:cs="宋体"/>
          <w:b/>
          <w:sz w:val="21"/>
          <w:szCs w:val="21"/>
          <w:u w:val="single" w:color="000000"/>
        </w:rPr>
        <w:t>（4） 启动防冻预案一级响应的天气 ；</w:t>
      </w:r>
    </w:p>
    <w:p w14:paraId="236A1A15">
      <w:pPr>
        <w:snapToGrid w:val="0"/>
        <w:spacing w:line="360" w:lineRule="auto"/>
        <w:ind w:firstLine="422" w:firstLineChars="200"/>
        <w:jc w:val="left"/>
        <w:textAlignment w:val="baseline"/>
        <w:rPr>
          <w:rFonts w:hAnsi="宋体" w:cs="宋体"/>
          <w:b/>
          <w:sz w:val="21"/>
          <w:szCs w:val="21"/>
          <w:u w:val="single"/>
        </w:rPr>
      </w:pPr>
      <w:r>
        <w:rPr>
          <w:rFonts w:hint="eastAsia" w:hAnsi="宋体" w:cs="宋体"/>
          <w:b/>
          <w:sz w:val="21"/>
          <w:szCs w:val="21"/>
          <w:u w:val="single" w:color="000000"/>
        </w:rPr>
        <w:t>（5）其他：</w:t>
      </w:r>
    </w:p>
    <w:p w14:paraId="72518297">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7.9 提前竣工的奖励</w:t>
      </w:r>
    </w:p>
    <w:p w14:paraId="37FFF91D">
      <w:pPr>
        <w:snapToGrid w:val="0"/>
        <w:spacing w:line="360" w:lineRule="auto"/>
        <w:ind w:firstLine="420" w:firstLineChars="200"/>
        <w:jc w:val="left"/>
        <w:textAlignment w:val="baseline"/>
        <w:rPr>
          <w:rFonts w:hAnsi="宋体" w:cs="宋体"/>
          <w:b/>
          <w:sz w:val="21"/>
          <w:szCs w:val="21"/>
          <w:u w:val="single"/>
        </w:rPr>
      </w:pPr>
      <w:r>
        <w:rPr>
          <w:rFonts w:hint="eastAsia" w:hAnsi="宋体" w:cs="宋体"/>
          <w:sz w:val="21"/>
          <w:szCs w:val="21"/>
        </w:rPr>
        <w:t>7.9.2提前竣工的奖励</w:t>
      </w:r>
      <w:r>
        <w:rPr>
          <w:rFonts w:hint="eastAsia" w:hAnsi="宋体" w:cs="宋体"/>
          <w:b/>
          <w:sz w:val="21"/>
          <w:szCs w:val="21"/>
          <w:u w:val="single" w:color="000000"/>
        </w:rPr>
        <w:t xml:space="preserve">：无 </w:t>
      </w:r>
    </w:p>
    <w:p w14:paraId="5F6AD7D3">
      <w:pPr>
        <w:snapToGrid w:val="0"/>
        <w:spacing w:line="360" w:lineRule="auto"/>
        <w:ind w:firstLine="420" w:firstLineChars="200"/>
        <w:textAlignment w:val="baseline"/>
        <w:rPr>
          <w:rFonts w:hAnsi="宋体" w:cs="宋体"/>
          <w:sz w:val="21"/>
          <w:szCs w:val="21"/>
        </w:rPr>
      </w:pPr>
      <w:bookmarkStart w:id="481" w:name="_Toc351203640"/>
      <w:r>
        <w:rPr>
          <w:rFonts w:hint="eastAsia" w:hAnsi="宋体" w:cs="宋体"/>
          <w:sz w:val="21"/>
          <w:szCs w:val="21"/>
        </w:rPr>
        <w:t>8. 材料与设备</w:t>
      </w:r>
      <w:bookmarkEnd w:id="481"/>
    </w:p>
    <w:p w14:paraId="23D1B348">
      <w:pPr>
        <w:snapToGrid w:val="0"/>
        <w:spacing w:line="360" w:lineRule="auto"/>
        <w:ind w:firstLine="420" w:firstLineChars="200"/>
        <w:textAlignment w:val="baseline"/>
        <w:rPr>
          <w:rFonts w:hAnsi="宋体" w:cs="宋体"/>
          <w:sz w:val="21"/>
          <w:szCs w:val="21"/>
        </w:rPr>
      </w:pPr>
      <w:r>
        <w:rPr>
          <w:rFonts w:hint="eastAsia" w:hAnsi="宋体" w:cs="宋体"/>
          <w:sz w:val="21"/>
          <w:szCs w:val="21"/>
        </w:rPr>
        <w:t>8</w:t>
      </w:r>
      <w:bookmarkStart w:id="482" w:name="_Toc267251424"/>
      <w:bookmarkStart w:id="483" w:name="_Toc280868655"/>
      <w:bookmarkStart w:id="484" w:name="_Toc280868656"/>
      <w:r>
        <w:rPr>
          <w:rFonts w:hint="eastAsia" w:hAnsi="宋体" w:cs="宋体"/>
          <w:sz w:val="21"/>
          <w:szCs w:val="21"/>
        </w:rPr>
        <w:t>.4材料与工程设备的保管与使用</w:t>
      </w:r>
    </w:p>
    <w:p w14:paraId="36FD4B28">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8</w:t>
      </w:r>
      <w:bookmarkStart w:id="485" w:name="_Toc292559373"/>
      <w:bookmarkStart w:id="486" w:name="_Toc292559878"/>
      <w:r>
        <w:rPr>
          <w:rFonts w:hint="eastAsia" w:hAnsi="宋体" w:cs="宋体"/>
          <w:sz w:val="21"/>
          <w:szCs w:val="21"/>
        </w:rPr>
        <w:t>.4.1发包人供应的材料设备的保管费用的承担：</w:t>
      </w:r>
      <w:r>
        <w:rPr>
          <w:rFonts w:hint="eastAsia" w:hAnsi="宋体" w:cs="宋体"/>
          <w:b/>
          <w:sz w:val="21"/>
          <w:szCs w:val="21"/>
          <w:u w:val="single" w:color="000000"/>
        </w:rPr>
        <w:t>由承包人承担。</w:t>
      </w:r>
      <w:bookmarkEnd w:id="485"/>
      <w:bookmarkEnd w:id="486"/>
    </w:p>
    <w:p w14:paraId="0488FEE5">
      <w:pPr>
        <w:snapToGrid w:val="0"/>
        <w:spacing w:line="360" w:lineRule="auto"/>
        <w:ind w:firstLine="420" w:firstLineChars="200"/>
        <w:textAlignment w:val="baseline"/>
        <w:rPr>
          <w:rFonts w:hAnsi="宋体" w:cs="宋体"/>
          <w:sz w:val="21"/>
          <w:szCs w:val="21"/>
        </w:rPr>
      </w:pPr>
      <w:r>
        <w:rPr>
          <w:rFonts w:hint="eastAsia" w:hAnsi="宋体" w:cs="宋体"/>
          <w:sz w:val="21"/>
          <w:szCs w:val="21"/>
        </w:rPr>
        <w:t>8.6 样品</w:t>
      </w:r>
    </w:p>
    <w:p w14:paraId="0A22986F">
      <w:pPr>
        <w:snapToGrid w:val="0"/>
        <w:spacing w:line="360" w:lineRule="auto"/>
        <w:ind w:firstLine="420" w:firstLineChars="200"/>
        <w:jc w:val="left"/>
        <w:textAlignment w:val="baseline"/>
        <w:rPr>
          <w:rFonts w:hAnsi="宋体" w:cs="宋体"/>
          <w:kern w:val="0"/>
          <w:sz w:val="21"/>
          <w:szCs w:val="21"/>
        </w:rPr>
      </w:pPr>
      <w:r>
        <w:rPr>
          <w:rFonts w:hint="eastAsia" w:hAnsi="宋体" w:cs="宋体"/>
          <w:kern w:val="0"/>
          <w:sz w:val="21"/>
          <w:szCs w:val="21"/>
        </w:rPr>
        <w:t>8.6.1样品的报送与封存</w:t>
      </w:r>
    </w:p>
    <w:p w14:paraId="685BB13D">
      <w:pPr>
        <w:snapToGrid w:val="0"/>
        <w:spacing w:line="360" w:lineRule="auto"/>
        <w:ind w:firstLine="420" w:firstLineChars="200"/>
        <w:jc w:val="left"/>
        <w:textAlignment w:val="baseline"/>
        <w:rPr>
          <w:rFonts w:hAnsi="宋体" w:cs="宋体"/>
          <w:sz w:val="21"/>
          <w:szCs w:val="21"/>
          <w:u w:val="single"/>
        </w:rPr>
      </w:pPr>
      <w:r>
        <w:rPr>
          <w:rFonts w:hint="eastAsia" w:hAnsi="宋体" w:cs="宋体"/>
          <w:kern w:val="0"/>
          <w:sz w:val="21"/>
          <w:szCs w:val="21"/>
        </w:rPr>
        <w:t>需要承包人报送样品的材料或工程设备，样品的种类、名称、规格、数量要求：</w:t>
      </w:r>
      <w:r>
        <w:rPr>
          <w:rFonts w:hint="eastAsia" w:hAnsi="宋体" w:cs="宋体"/>
          <w:b/>
          <w:sz w:val="21"/>
          <w:szCs w:val="21"/>
          <w:u w:val="single" w:color="000000"/>
        </w:rPr>
        <w:t xml:space="preserve">按相关规范及发包人、监理人及设计有关要求  </w:t>
      </w:r>
      <w:r>
        <w:rPr>
          <w:rFonts w:hint="eastAsia" w:hAnsi="宋体" w:cs="宋体"/>
          <w:sz w:val="21"/>
          <w:szCs w:val="21"/>
          <w:u w:val="single" w:color="000000"/>
        </w:rPr>
        <w:t xml:space="preserve"> </w:t>
      </w:r>
      <w:r>
        <w:rPr>
          <w:rFonts w:hint="eastAsia" w:hAnsi="宋体" w:cs="宋体"/>
          <w:sz w:val="21"/>
          <w:szCs w:val="21"/>
        </w:rPr>
        <w:t>。</w:t>
      </w:r>
    </w:p>
    <w:p w14:paraId="0CBB0954">
      <w:pPr>
        <w:snapToGrid w:val="0"/>
        <w:spacing w:line="360" w:lineRule="auto"/>
        <w:ind w:firstLine="420" w:firstLineChars="200"/>
        <w:textAlignment w:val="baseline"/>
        <w:rPr>
          <w:rFonts w:hAnsi="宋体" w:cs="宋体"/>
          <w:sz w:val="21"/>
          <w:szCs w:val="21"/>
        </w:rPr>
      </w:pPr>
      <w:r>
        <w:rPr>
          <w:rFonts w:hint="eastAsia" w:hAnsi="宋体" w:cs="宋体"/>
          <w:sz w:val="21"/>
          <w:szCs w:val="21"/>
        </w:rPr>
        <w:t>8.8 施工设备和临时设施</w:t>
      </w:r>
    </w:p>
    <w:p w14:paraId="56BD0D1B">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8.8.1 承包人提供的施工设备和临时设施</w:t>
      </w:r>
    </w:p>
    <w:p w14:paraId="793F962F">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关于修建临时设施费用承担的约定：</w:t>
      </w:r>
      <w:r>
        <w:rPr>
          <w:rFonts w:hint="eastAsia" w:hAnsi="宋体" w:cs="宋体"/>
          <w:b/>
          <w:sz w:val="21"/>
          <w:szCs w:val="21"/>
          <w:u w:val="single" w:color="000000"/>
        </w:rPr>
        <w:t xml:space="preserve">由承包人自行承担   </w:t>
      </w:r>
    </w:p>
    <w:p w14:paraId="22CEDFAA">
      <w:pPr>
        <w:snapToGrid w:val="0"/>
        <w:spacing w:line="360" w:lineRule="auto"/>
        <w:ind w:firstLine="420" w:firstLineChars="200"/>
        <w:textAlignment w:val="baseline"/>
        <w:rPr>
          <w:rFonts w:hAnsi="宋体" w:cs="宋体"/>
          <w:sz w:val="21"/>
          <w:szCs w:val="21"/>
        </w:rPr>
      </w:pPr>
      <w:bookmarkStart w:id="487" w:name="_Toc351203641"/>
      <w:r>
        <w:rPr>
          <w:rFonts w:hint="eastAsia" w:hAnsi="宋体" w:cs="宋体"/>
          <w:sz w:val="21"/>
          <w:szCs w:val="21"/>
        </w:rPr>
        <w:t>9</w:t>
      </w:r>
      <w:bookmarkEnd w:id="482"/>
      <w:bookmarkEnd w:id="483"/>
      <w:bookmarkEnd w:id="484"/>
      <w:bookmarkStart w:id="488" w:name="_Toc296347172"/>
      <w:bookmarkStart w:id="489" w:name="_Toc296346674"/>
      <w:bookmarkStart w:id="490" w:name="_Toc267251428"/>
      <w:bookmarkStart w:id="491" w:name="_Toc296944512"/>
      <w:bookmarkStart w:id="492" w:name="_Toc296503173"/>
      <w:bookmarkStart w:id="493" w:name="_Toc297120473"/>
      <w:bookmarkStart w:id="494" w:name="_Toc292559378"/>
      <w:bookmarkStart w:id="495" w:name="_Toc296891213"/>
      <w:bookmarkStart w:id="496" w:name="_Toc296891001"/>
      <w:bookmarkStart w:id="497" w:name="_Toc297048359"/>
      <w:bookmarkStart w:id="498" w:name="_Toc267251427"/>
      <w:bookmarkStart w:id="499" w:name="_Toc292559883"/>
      <w:r>
        <w:rPr>
          <w:rFonts w:hint="eastAsia" w:hAnsi="宋体" w:cs="宋体"/>
          <w:sz w:val="21"/>
          <w:szCs w:val="21"/>
        </w:rPr>
        <w:t>. 试验与检验</w:t>
      </w:r>
      <w:bookmarkEnd w:id="487"/>
    </w:p>
    <w:p w14:paraId="503093C6">
      <w:pPr>
        <w:snapToGrid w:val="0"/>
        <w:spacing w:line="360" w:lineRule="auto"/>
        <w:ind w:firstLine="420" w:firstLineChars="200"/>
        <w:textAlignment w:val="baseline"/>
        <w:rPr>
          <w:rFonts w:hAnsi="宋体" w:cs="宋体"/>
          <w:sz w:val="21"/>
          <w:szCs w:val="21"/>
        </w:rPr>
      </w:pPr>
      <w:r>
        <w:rPr>
          <w:rFonts w:hint="eastAsia" w:hAnsi="宋体" w:cs="宋体"/>
          <w:sz w:val="21"/>
          <w:szCs w:val="21"/>
        </w:rPr>
        <w:t>9.1试验设备与试验人员</w:t>
      </w:r>
    </w:p>
    <w:p w14:paraId="3966CDD2">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9</w:t>
      </w:r>
      <w:bookmarkStart w:id="500" w:name="_Toc297216194"/>
      <w:bookmarkStart w:id="501" w:name="_Toc304295561"/>
      <w:bookmarkStart w:id="502" w:name="_Toc303539141"/>
      <w:bookmarkStart w:id="503" w:name="_Toc312678023"/>
      <w:bookmarkStart w:id="504" w:name="_Toc297123535"/>
      <w:bookmarkStart w:id="505" w:name="_Toc300934984"/>
      <w:bookmarkStart w:id="506" w:name="_Toc312677497"/>
      <w:r>
        <w:rPr>
          <w:rFonts w:hint="eastAsia" w:hAnsi="宋体" w:cs="宋体"/>
          <w:sz w:val="21"/>
          <w:szCs w:val="21"/>
        </w:rPr>
        <w:t>.1.2 试验设备</w:t>
      </w:r>
    </w:p>
    <w:p w14:paraId="521328CD">
      <w:pPr>
        <w:snapToGrid w:val="0"/>
        <w:spacing w:line="360" w:lineRule="auto"/>
        <w:ind w:firstLine="420" w:firstLineChars="200"/>
        <w:jc w:val="left"/>
        <w:textAlignment w:val="baseline"/>
        <w:rPr>
          <w:rFonts w:hAnsi="宋体" w:cs="宋体"/>
          <w:b/>
          <w:sz w:val="21"/>
          <w:szCs w:val="21"/>
          <w:u w:val="single"/>
        </w:rPr>
      </w:pPr>
      <w:r>
        <w:rPr>
          <w:rFonts w:hint="eastAsia" w:hAnsi="宋体" w:cs="宋体"/>
          <w:sz w:val="21"/>
          <w:szCs w:val="21"/>
        </w:rPr>
        <w:t>施工现场需要配置的试验场所：</w:t>
      </w:r>
      <w:bookmarkEnd w:id="500"/>
      <w:bookmarkEnd w:id="501"/>
      <w:bookmarkEnd w:id="502"/>
      <w:bookmarkEnd w:id="503"/>
      <w:bookmarkEnd w:id="504"/>
      <w:bookmarkEnd w:id="505"/>
      <w:bookmarkEnd w:id="506"/>
      <w:r>
        <w:rPr>
          <w:rFonts w:hint="eastAsia" w:hAnsi="宋体" w:cs="宋体"/>
          <w:b/>
          <w:sz w:val="21"/>
          <w:szCs w:val="21"/>
          <w:u w:val="single" w:color="000000"/>
        </w:rPr>
        <w:t xml:space="preserve">配置符合相关规范要求的试验场所 。 </w:t>
      </w:r>
    </w:p>
    <w:p w14:paraId="4565BAEC">
      <w:pPr>
        <w:snapToGrid w:val="0"/>
        <w:spacing w:line="360" w:lineRule="auto"/>
        <w:ind w:firstLine="420" w:firstLineChars="200"/>
        <w:jc w:val="left"/>
        <w:textAlignment w:val="baseline"/>
        <w:rPr>
          <w:rFonts w:hAnsi="宋体" w:cs="宋体"/>
          <w:b/>
          <w:sz w:val="21"/>
          <w:szCs w:val="21"/>
          <w:u w:val="single"/>
        </w:rPr>
      </w:pPr>
      <w:r>
        <w:rPr>
          <w:rFonts w:hint="eastAsia" w:hAnsi="宋体" w:cs="宋体"/>
          <w:sz w:val="21"/>
          <w:szCs w:val="21"/>
        </w:rPr>
        <w:t>施工现场需要配备的试验设备：</w:t>
      </w:r>
      <w:r>
        <w:rPr>
          <w:rFonts w:hint="eastAsia" w:hAnsi="宋体" w:cs="宋体"/>
          <w:b/>
          <w:sz w:val="21"/>
          <w:szCs w:val="21"/>
          <w:u w:val="single" w:color="000000"/>
        </w:rPr>
        <w:t>配置符合相关规范要求的试验设备 。</w:t>
      </w:r>
    </w:p>
    <w:p w14:paraId="1EFB3C64">
      <w:pPr>
        <w:snapToGrid w:val="0"/>
        <w:spacing w:line="360" w:lineRule="auto"/>
        <w:ind w:firstLine="420" w:firstLineChars="200"/>
        <w:jc w:val="left"/>
        <w:textAlignment w:val="baseline"/>
        <w:rPr>
          <w:rFonts w:hAnsi="宋体" w:cs="宋体"/>
          <w:b/>
          <w:sz w:val="21"/>
          <w:szCs w:val="21"/>
          <w:u w:val="single"/>
        </w:rPr>
      </w:pPr>
      <w:r>
        <w:rPr>
          <w:rFonts w:hint="eastAsia" w:hAnsi="宋体" w:cs="宋体"/>
          <w:sz w:val="21"/>
          <w:szCs w:val="21"/>
        </w:rPr>
        <w:t>施工现场需要具备的其他试验条件：</w:t>
      </w:r>
      <w:r>
        <w:rPr>
          <w:rFonts w:hint="eastAsia" w:hAnsi="宋体" w:cs="宋体"/>
          <w:b/>
          <w:sz w:val="21"/>
          <w:szCs w:val="21"/>
          <w:u w:val="single" w:color="000000"/>
        </w:rPr>
        <w:t>配置符合相关规范要求的试验条件  。</w:t>
      </w:r>
    </w:p>
    <w:p w14:paraId="497C8137">
      <w:pPr>
        <w:snapToGrid w:val="0"/>
        <w:spacing w:line="360" w:lineRule="auto"/>
        <w:ind w:firstLine="420" w:firstLineChars="200"/>
        <w:jc w:val="left"/>
        <w:textAlignment w:val="baseline"/>
        <w:rPr>
          <w:rFonts w:hAnsi="宋体" w:cs="宋体"/>
          <w:b/>
          <w:kern w:val="0"/>
          <w:sz w:val="21"/>
          <w:szCs w:val="21"/>
        </w:rPr>
      </w:pPr>
      <w:r>
        <w:rPr>
          <w:rFonts w:hint="eastAsia" w:hAnsi="宋体" w:cs="宋体"/>
          <w:sz w:val="21"/>
          <w:szCs w:val="21"/>
        </w:rPr>
        <w:t>9.3</w:t>
      </w:r>
      <w:r>
        <w:rPr>
          <w:rFonts w:hint="eastAsia" w:hAnsi="宋体" w:cs="宋体"/>
          <w:bCs/>
          <w:kern w:val="0"/>
          <w:sz w:val="21"/>
          <w:szCs w:val="21"/>
        </w:rPr>
        <w:t>材料</w:t>
      </w:r>
      <w:r>
        <w:rPr>
          <w:rFonts w:hint="eastAsia" w:hAnsi="宋体" w:cs="宋体"/>
          <w:kern w:val="0"/>
          <w:sz w:val="21"/>
          <w:szCs w:val="21"/>
        </w:rPr>
        <w:t>、工程设备和工程的试验和检验</w:t>
      </w:r>
    </w:p>
    <w:p w14:paraId="79081C7B">
      <w:pPr>
        <w:snapToGrid w:val="0"/>
        <w:spacing w:line="360" w:lineRule="auto"/>
        <w:ind w:firstLine="422" w:firstLineChars="200"/>
        <w:jc w:val="left"/>
        <w:textAlignment w:val="baseline"/>
        <w:rPr>
          <w:rFonts w:hAnsi="宋体" w:cs="宋体"/>
          <w:b/>
          <w:sz w:val="21"/>
          <w:szCs w:val="21"/>
          <w:u w:val="single"/>
        </w:rPr>
      </w:pPr>
      <w:r>
        <w:rPr>
          <w:rFonts w:hint="eastAsia" w:hAnsi="宋体" w:cs="宋体"/>
          <w:b/>
          <w:kern w:val="0"/>
          <w:sz w:val="21"/>
          <w:szCs w:val="21"/>
        </w:rPr>
        <w:t>试验、检测单位资质条件约定：</w:t>
      </w:r>
      <w:r>
        <w:rPr>
          <w:rFonts w:hint="eastAsia" w:hAnsi="宋体" w:cs="宋体"/>
          <w:b/>
          <w:sz w:val="21"/>
          <w:szCs w:val="21"/>
          <w:u w:val="single" w:color="000000"/>
        </w:rPr>
        <w:t>具备国家相关部门颁布的资质条件；</w:t>
      </w:r>
    </w:p>
    <w:p w14:paraId="0F245AE8">
      <w:pPr>
        <w:snapToGrid w:val="0"/>
        <w:spacing w:line="360" w:lineRule="auto"/>
        <w:ind w:firstLine="422" w:firstLineChars="200"/>
        <w:jc w:val="left"/>
        <w:textAlignment w:val="baseline"/>
        <w:rPr>
          <w:rFonts w:hAnsi="宋体" w:cs="宋体"/>
          <w:b/>
          <w:sz w:val="21"/>
          <w:szCs w:val="21"/>
          <w:u w:val="single"/>
        </w:rPr>
      </w:pPr>
      <w:r>
        <w:rPr>
          <w:rFonts w:hint="eastAsia" w:hAnsi="宋体" w:cs="宋体"/>
          <w:b/>
          <w:kern w:val="0"/>
          <w:sz w:val="21"/>
          <w:szCs w:val="21"/>
        </w:rPr>
        <w:t>试验、检测单位选择约定：</w:t>
      </w:r>
      <w:r>
        <w:rPr>
          <w:rFonts w:hint="eastAsia" w:hAnsi="宋体" w:cs="宋体"/>
          <w:b/>
          <w:sz w:val="21"/>
          <w:szCs w:val="21"/>
          <w:u w:val="single" w:color="000000"/>
        </w:rPr>
        <w:t>报监理及发包人审核批准；</w:t>
      </w:r>
    </w:p>
    <w:p w14:paraId="3C698E12">
      <w:pPr>
        <w:snapToGrid w:val="0"/>
        <w:spacing w:line="360" w:lineRule="auto"/>
        <w:ind w:firstLine="422" w:firstLineChars="200"/>
        <w:jc w:val="left"/>
        <w:textAlignment w:val="baseline"/>
        <w:rPr>
          <w:rFonts w:hAnsi="宋体" w:cs="宋体"/>
          <w:b/>
          <w:sz w:val="21"/>
          <w:szCs w:val="21"/>
          <w:u w:val="single"/>
        </w:rPr>
      </w:pPr>
      <w:r>
        <w:rPr>
          <w:rFonts w:hint="eastAsia" w:hAnsi="宋体" w:cs="宋体"/>
          <w:b/>
          <w:sz w:val="21"/>
          <w:szCs w:val="21"/>
        </w:rPr>
        <w:t>试验、检测费用约定：</w:t>
      </w:r>
      <w:r>
        <w:rPr>
          <w:rFonts w:hint="eastAsia" w:hAnsi="宋体" w:cs="宋体"/>
          <w:b/>
          <w:sz w:val="21"/>
          <w:szCs w:val="21"/>
          <w:u w:val="single" w:color="000000"/>
        </w:rPr>
        <w:t>由承包人自行承担。</w:t>
      </w:r>
    </w:p>
    <w:p w14:paraId="3E1D0020">
      <w:pPr>
        <w:snapToGrid w:val="0"/>
        <w:spacing w:line="360" w:lineRule="auto"/>
        <w:ind w:firstLine="420" w:firstLineChars="200"/>
        <w:textAlignment w:val="baseline"/>
        <w:rPr>
          <w:rFonts w:hAnsi="宋体" w:cs="宋体"/>
          <w:sz w:val="21"/>
          <w:szCs w:val="21"/>
        </w:rPr>
      </w:pPr>
      <w:r>
        <w:rPr>
          <w:rFonts w:hint="eastAsia" w:hAnsi="宋体" w:cs="宋体"/>
          <w:sz w:val="21"/>
          <w:szCs w:val="21"/>
        </w:rPr>
        <w:t xml:space="preserve">9.4 现场工艺试验 </w:t>
      </w:r>
    </w:p>
    <w:p w14:paraId="6B508A8E">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现场工艺试验的有关约定：</w:t>
      </w:r>
      <w:r>
        <w:rPr>
          <w:rFonts w:hint="eastAsia" w:hAnsi="宋体" w:cs="宋体"/>
          <w:b/>
          <w:sz w:val="21"/>
          <w:szCs w:val="21"/>
          <w:u w:val="single" w:color="000000"/>
        </w:rPr>
        <w:t>按有关规定和发包人、监理单位、要求执行</w:t>
      </w:r>
      <w:r>
        <w:rPr>
          <w:rFonts w:hint="eastAsia" w:hAnsi="宋体" w:cs="宋体"/>
          <w:sz w:val="21"/>
          <w:szCs w:val="21"/>
          <w:u w:val="single"/>
        </w:rPr>
        <w:t>、</w:t>
      </w:r>
    </w:p>
    <w:p w14:paraId="0F3695E1">
      <w:pPr>
        <w:snapToGrid w:val="0"/>
        <w:spacing w:line="360" w:lineRule="auto"/>
        <w:ind w:firstLine="420" w:firstLineChars="200"/>
        <w:textAlignment w:val="baseline"/>
        <w:rPr>
          <w:rFonts w:hAnsi="宋体" w:cs="宋体"/>
          <w:sz w:val="21"/>
          <w:szCs w:val="21"/>
        </w:rPr>
      </w:pPr>
      <w:bookmarkStart w:id="507" w:name="_Toc351203642"/>
      <w:r>
        <w:rPr>
          <w:rFonts w:hint="eastAsia" w:hAnsi="宋体" w:cs="宋体"/>
          <w:sz w:val="21"/>
          <w:szCs w:val="21"/>
        </w:rPr>
        <w:t>1</w:t>
      </w:r>
      <w:bookmarkEnd w:id="488"/>
      <w:bookmarkEnd w:id="489"/>
      <w:bookmarkEnd w:id="490"/>
      <w:bookmarkEnd w:id="491"/>
      <w:bookmarkEnd w:id="492"/>
      <w:bookmarkEnd w:id="493"/>
      <w:bookmarkEnd w:id="494"/>
      <w:bookmarkEnd w:id="495"/>
      <w:bookmarkEnd w:id="496"/>
      <w:bookmarkEnd w:id="497"/>
      <w:bookmarkEnd w:id="498"/>
      <w:bookmarkEnd w:id="499"/>
      <w:bookmarkStart w:id="508" w:name="_Toc292559398"/>
      <w:bookmarkStart w:id="509" w:name="_Toc296503193"/>
      <w:bookmarkStart w:id="510" w:name="_Toc304295566"/>
      <w:bookmarkStart w:id="511" w:name="_Toc296944532"/>
      <w:bookmarkStart w:id="512" w:name="_Toc292559903"/>
      <w:bookmarkStart w:id="513" w:name="_Toc297123540"/>
      <w:bookmarkStart w:id="514" w:name="_Toc296891021"/>
      <w:bookmarkStart w:id="515" w:name="_Toc297120493"/>
      <w:bookmarkStart w:id="516" w:name="_Toc296346694"/>
      <w:bookmarkStart w:id="517" w:name="_Toc297216199"/>
      <w:bookmarkStart w:id="518" w:name="_Toc296891233"/>
      <w:bookmarkStart w:id="519" w:name="_Toc303539146"/>
      <w:bookmarkStart w:id="520" w:name="_Toc296347192"/>
      <w:bookmarkStart w:id="521" w:name="_Toc300934989"/>
      <w:bookmarkStart w:id="522" w:name="_Toc297048379"/>
      <w:bookmarkStart w:id="523" w:name="_Toc267251441"/>
      <w:bookmarkStart w:id="524" w:name="_Toc267251442"/>
      <w:bookmarkStart w:id="525" w:name="_Toc267251440"/>
      <w:bookmarkStart w:id="526" w:name="_Toc267251437"/>
      <w:bookmarkStart w:id="527" w:name="_Toc267251435"/>
      <w:bookmarkStart w:id="528" w:name="_Toc267251433"/>
      <w:bookmarkStart w:id="529" w:name="_Toc267251439"/>
      <w:r>
        <w:rPr>
          <w:rFonts w:hint="eastAsia" w:hAnsi="宋体" w:cs="宋体"/>
          <w:sz w:val="21"/>
          <w:szCs w:val="21"/>
        </w:rPr>
        <w:t>0. 变更</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p w14:paraId="7CA38331">
      <w:pPr>
        <w:snapToGrid w:val="0"/>
        <w:spacing w:line="360" w:lineRule="auto"/>
        <w:ind w:firstLine="420" w:firstLineChars="200"/>
        <w:textAlignment w:val="baseline"/>
        <w:rPr>
          <w:rFonts w:hAnsi="宋体" w:cs="宋体"/>
          <w:sz w:val="21"/>
          <w:szCs w:val="21"/>
        </w:rPr>
      </w:pPr>
      <w:r>
        <w:rPr>
          <w:rFonts w:hint="eastAsia" w:hAnsi="宋体" w:cs="宋体"/>
          <w:sz w:val="21"/>
          <w:szCs w:val="21"/>
        </w:rPr>
        <w:t>1</w:t>
      </w:r>
      <w:bookmarkStart w:id="530" w:name="_Toc296503194"/>
      <w:bookmarkStart w:id="531" w:name="_Toc312678026"/>
      <w:bookmarkStart w:id="532" w:name="_Toc292559904"/>
      <w:bookmarkStart w:id="533" w:name="_Toc292559399"/>
      <w:bookmarkStart w:id="534" w:name="_Toc312677500"/>
      <w:bookmarkStart w:id="535" w:name="_Toc297216200"/>
      <w:bookmarkStart w:id="536" w:name="_Toc300934990"/>
      <w:bookmarkStart w:id="537" w:name="_Toc304295567"/>
      <w:bookmarkStart w:id="538" w:name="_Toc296891234"/>
      <w:bookmarkStart w:id="539" w:name="_Toc297123541"/>
      <w:bookmarkStart w:id="540" w:name="_Toc297048380"/>
      <w:bookmarkStart w:id="541" w:name="_Toc296347193"/>
      <w:bookmarkStart w:id="542" w:name="_Toc296891022"/>
      <w:bookmarkStart w:id="543" w:name="_Toc297120494"/>
      <w:bookmarkStart w:id="544" w:name="_Toc296346695"/>
      <w:bookmarkStart w:id="545" w:name="_Toc303539147"/>
      <w:bookmarkStart w:id="546" w:name="_Toc296944533"/>
      <w:r>
        <w:rPr>
          <w:rFonts w:hint="eastAsia" w:hAnsi="宋体" w:cs="宋体"/>
          <w:sz w:val="21"/>
          <w:szCs w:val="21"/>
        </w:rPr>
        <w:t>0.1变更的范围</w:t>
      </w:r>
    </w:p>
    <w:p w14:paraId="065E781E">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关于变更的范围的约定：</w:t>
      </w:r>
      <w:r>
        <w:rPr>
          <w:rFonts w:hint="eastAsia" w:hAnsi="宋体" w:cs="宋体"/>
          <w:b/>
          <w:sz w:val="21"/>
          <w:szCs w:val="21"/>
          <w:u w:val="single" w:color="000000"/>
        </w:rPr>
        <w:t>按通用合同条款约定</w:t>
      </w:r>
      <w:r>
        <w:rPr>
          <w:rFonts w:hint="eastAsia" w:hAnsi="宋体" w:cs="宋体"/>
          <w:b/>
          <w:sz w:val="21"/>
          <w:szCs w:val="21"/>
          <w:u w:val="single"/>
        </w:rPr>
        <w:t>。同时工程变更管理按杭州市上城区的有关规定及发包人有关制度实施（有新文件时按新文件）。</w:t>
      </w:r>
    </w:p>
    <w:p w14:paraId="39F157EA">
      <w:pPr>
        <w:snapToGrid w:val="0"/>
        <w:spacing w:line="360" w:lineRule="auto"/>
        <w:ind w:firstLine="420" w:firstLineChars="200"/>
        <w:textAlignment w:val="baseline"/>
        <w:rPr>
          <w:rFonts w:hAnsi="宋体" w:cs="宋体"/>
          <w:sz w:val="21"/>
          <w:szCs w:val="21"/>
        </w:rPr>
      </w:pPr>
      <w:r>
        <w:rPr>
          <w:rFonts w:hint="eastAsia" w:hAnsi="宋体" w:cs="宋体"/>
          <w:sz w:val="21"/>
          <w:szCs w:val="21"/>
        </w:rPr>
        <w:t>10.4 变更估价</w:t>
      </w:r>
    </w:p>
    <w:p w14:paraId="63C6783E">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10.4.1 变更估价原则</w:t>
      </w:r>
    </w:p>
    <w:p w14:paraId="5C7CB1F5">
      <w:pPr>
        <w:snapToGrid w:val="0"/>
        <w:spacing w:line="360" w:lineRule="auto"/>
        <w:ind w:firstLine="420" w:firstLineChars="200"/>
        <w:jc w:val="left"/>
        <w:textAlignment w:val="baseline"/>
        <w:rPr>
          <w:rFonts w:hAnsi="宋体" w:cs="宋体"/>
          <w:sz w:val="21"/>
          <w:szCs w:val="21"/>
          <w:u w:val="single" w:color="000000"/>
        </w:rPr>
      </w:pPr>
      <w:r>
        <w:rPr>
          <w:rFonts w:hint="eastAsia" w:hAnsi="宋体" w:cs="宋体"/>
          <w:sz w:val="21"/>
          <w:szCs w:val="21"/>
          <w:u w:val="single" w:color="000000"/>
        </w:rPr>
        <w:t>（1）已标价工程量清单或预算书有相同项目的，按照相同项目单价确定。</w:t>
      </w:r>
    </w:p>
    <w:p w14:paraId="48392B9D">
      <w:pPr>
        <w:snapToGrid w:val="0"/>
        <w:spacing w:line="360" w:lineRule="auto"/>
        <w:ind w:firstLine="420" w:firstLineChars="200"/>
        <w:jc w:val="left"/>
        <w:textAlignment w:val="baseline"/>
        <w:rPr>
          <w:rFonts w:hAnsi="宋体" w:cs="宋体"/>
          <w:sz w:val="21"/>
          <w:szCs w:val="21"/>
          <w:u w:val="single" w:color="000000"/>
        </w:rPr>
      </w:pPr>
      <w:r>
        <w:rPr>
          <w:rFonts w:hint="eastAsia" w:hAnsi="宋体" w:cs="宋体"/>
          <w:sz w:val="21"/>
          <w:szCs w:val="21"/>
          <w:u w:val="single" w:color="000000"/>
        </w:rPr>
        <w:t>（2）已标价工程量清单或预算书中无相同项目，但有类似项目的，参照类似项目的单价确定。</w:t>
      </w:r>
    </w:p>
    <w:p w14:paraId="609A40FD">
      <w:pPr>
        <w:snapToGrid w:val="0"/>
        <w:spacing w:line="360" w:lineRule="auto"/>
        <w:ind w:firstLine="420" w:firstLineChars="200"/>
        <w:jc w:val="left"/>
        <w:textAlignment w:val="baseline"/>
        <w:rPr>
          <w:rFonts w:hAnsi="宋体" w:cs="宋体"/>
          <w:sz w:val="21"/>
          <w:szCs w:val="21"/>
          <w:u w:val="single" w:color="000000"/>
        </w:rPr>
      </w:pPr>
      <w:r>
        <w:rPr>
          <w:rFonts w:hint="eastAsia" w:hAnsi="宋体" w:cs="宋体"/>
          <w:sz w:val="21"/>
          <w:szCs w:val="21"/>
          <w:u w:val="single" w:color="000000"/>
        </w:rPr>
        <w:t>参照方法按下列方式处理：</w:t>
      </w:r>
    </w:p>
    <w:p w14:paraId="17B4A8FE">
      <w:pPr>
        <w:numPr>
          <w:ilvl w:val="0"/>
          <w:numId w:val="1"/>
        </w:numPr>
        <w:snapToGrid w:val="0"/>
        <w:spacing w:line="360" w:lineRule="auto"/>
        <w:jc w:val="left"/>
        <w:textAlignment w:val="baseline"/>
        <w:rPr>
          <w:rFonts w:hAnsi="宋体" w:cs="宋体"/>
          <w:sz w:val="21"/>
          <w:szCs w:val="21"/>
          <w:u w:val="single" w:color="000000"/>
        </w:rPr>
      </w:pPr>
      <w:r>
        <w:rPr>
          <w:rFonts w:hint="eastAsia" w:hAnsi="宋体" w:cs="宋体"/>
          <w:sz w:val="21"/>
          <w:szCs w:val="21"/>
          <w:u w:val="single" w:color="000000"/>
        </w:rPr>
        <w:t>某种材料（包括半成品或成品）等级、标准发生变化的、清单组合子目不变，仅调整不同的材料价格。（材料价格按信息价，无信息价的按市场价，市场价由发包人、监理、承包人确认，最终以审计审核为准）</w:t>
      </w:r>
    </w:p>
    <w:p w14:paraId="240BC265">
      <w:pPr>
        <w:snapToGrid w:val="0"/>
        <w:spacing w:line="360" w:lineRule="auto"/>
        <w:ind w:firstLine="420" w:firstLineChars="200"/>
        <w:jc w:val="left"/>
        <w:textAlignment w:val="baseline"/>
        <w:rPr>
          <w:rFonts w:hAnsi="宋体" w:cs="宋体"/>
          <w:sz w:val="21"/>
          <w:szCs w:val="21"/>
          <w:u w:val="single" w:color="000000"/>
        </w:rPr>
      </w:pPr>
      <w:r>
        <w:rPr>
          <w:rFonts w:hint="eastAsia" w:hAnsi="宋体" w:cs="宋体"/>
          <w:sz w:val="21"/>
          <w:szCs w:val="21"/>
          <w:u w:val="single" w:color="000000"/>
        </w:rPr>
        <w:t>②清单项目某一特征或工程内容变化，不影响其他特征及工程内容价格的，其他特征组合标准不变，仅调整发生变化的组合子目价格。</w:t>
      </w:r>
    </w:p>
    <w:p w14:paraId="64D10E86">
      <w:pPr>
        <w:snapToGrid w:val="0"/>
        <w:spacing w:line="360" w:lineRule="auto"/>
        <w:ind w:firstLine="420" w:firstLineChars="200"/>
        <w:jc w:val="left"/>
        <w:textAlignment w:val="baseline"/>
        <w:rPr>
          <w:rFonts w:hAnsi="宋体" w:cs="宋体"/>
          <w:sz w:val="21"/>
          <w:szCs w:val="21"/>
          <w:u w:val="single" w:color="000000"/>
        </w:rPr>
      </w:pPr>
      <w:r>
        <w:rPr>
          <w:rFonts w:hint="eastAsia" w:hAnsi="宋体" w:cs="宋体"/>
          <w:sz w:val="21"/>
          <w:szCs w:val="21"/>
          <w:u w:val="single" w:color="000000"/>
        </w:rPr>
        <w:t>（3）已标价工程量清单或预算书中无相同项目及类似项目单价的，其单价的确定，按以下约定：</w:t>
      </w:r>
    </w:p>
    <w:p w14:paraId="326185B9">
      <w:pPr>
        <w:snapToGrid w:val="0"/>
        <w:spacing w:line="360" w:lineRule="auto"/>
        <w:ind w:firstLine="420" w:firstLineChars="200"/>
        <w:jc w:val="left"/>
        <w:textAlignment w:val="baseline"/>
        <w:rPr>
          <w:rFonts w:hAnsi="宋体" w:cs="宋体"/>
          <w:sz w:val="21"/>
          <w:szCs w:val="21"/>
          <w:u w:val="single" w:color="000000"/>
        </w:rPr>
      </w:pPr>
      <w:r>
        <w:rPr>
          <w:rFonts w:hint="eastAsia" w:hAnsi="宋体" w:cs="宋体"/>
          <w:sz w:val="21"/>
          <w:szCs w:val="21"/>
          <w:u w:val="single" w:color="000000"/>
        </w:rPr>
        <w:t>①由承包人根据合同中约定的组价原则（（工程量按《建设工程工程量清单计价规范》(GB50500-2013)、《浙江省建设工程计价规则》（2018版）计算。组价根据《2018版浙江省预算定额》、发生当期的造价信息(先《杭州造价信息》正刊（市区），后《浙江造价信息》正刊；两者均有的，取其中较低者；无信息价的按市场价格[市场价由承包人、监理单位、发包人确认，最终以结算审计审核为准]，或者参考工程造价管理机构现行的计价依据和信息价并结合投标优惠率（优惠率=1-投标总价/招标控制价），提出适当的单价，经发包人审定后执行，最终价格以结算审计审核为准。</w:t>
      </w:r>
    </w:p>
    <w:p w14:paraId="5A0FA30F">
      <w:pPr>
        <w:snapToGrid w:val="0"/>
        <w:spacing w:line="360" w:lineRule="auto"/>
        <w:ind w:firstLine="420" w:firstLineChars="200"/>
        <w:jc w:val="left"/>
        <w:textAlignment w:val="baseline"/>
        <w:rPr>
          <w:rFonts w:hAnsi="宋体" w:cs="宋体"/>
          <w:sz w:val="21"/>
          <w:szCs w:val="21"/>
          <w:u w:val="single" w:color="000000"/>
        </w:rPr>
      </w:pPr>
      <w:r>
        <w:rPr>
          <w:rFonts w:hint="eastAsia" w:hAnsi="宋体" w:cs="宋体"/>
          <w:sz w:val="21"/>
          <w:szCs w:val="21"/>
          <w:u w:val="single" w:color="000000"/>
        </w:rPr>
        <w:t>②重新组价的单价若遇有工程造价管理机构发布的信息价缺项的，可由承包人根据变更工程资料、市场调查等取得合法依据的市场价格[市场价由承包人、监理单位、发包人确认，最终以结算审计审核为准]，提出合理的变更项目单价，并经发包人确认后调整，最终以审计审核为准。</w:t>
      </w:r>
    </w:p>
    <w:p w14:paraId="038D3913">
      <w:pPr>
        <w:snapToGrid w:val="0"/>
        <w:spacing w:line="360" w:lineRule="auto"/>
        <w:ind w:firstLine="420" w:firstLineChars="200"/>
        <w:jc w:val="left"/>
        <w:textAlignment w:val="baseline"/>
        <w:rPr>
          <w:rFonts w:hAnsi="宋体" w:cs="宋体"/>
          <w:sz w:val="21"/>
          <w:szCs w:val="21"/>
          <w:u w:val="single" w:color="000000"/>
        </w:rPr>
      </w:pPr>
      <w:r>
        <w:rPr>
          <w:rFonts w:hint="eastAsia" w:hAnsi="宋体" w:cs="宋体"/>
          <w:sz w:val="21"/>
          <w:szCs w:val="21"/>
          <w:u w:val="single" w:color="000000"/>
        </w:rPr>
        <w:t>（</w:t>
      </w:r>
      <w:r>
        <w:rPr>
          <w:rFonts w:hAnsi="宋体" w:cs="宋体"/>
          <w:sz w:val="21"/>
          <w:szCs w:val="21"/>
          <w:u w:val="single" w:color="000000"/>
        </w:rPr>
        <w:t>4）工程量清单错误和（或）设计</w:t>
      </w:r>
      <w:r>
        <w:rPr>
          <w:rFonts w:hint="eastAsia" w:hAnsi="宋体" w:cs="宋体"/>
          <w:sz w:val="21"/>
          <w:szCs w:val="21"/>
          <w:u w:val="single" w:color="000000"/>
        </w:rPr>
        <w:t>变更导致实际完成的工程量与已标价工程量清单或预算书中列明的该项目工程量的变化幅度超过以下情况的，其单价允许调整：凡合价金额占合同总价</w:t>
      </w:r>
      <w:r>
        <w:rPr>
          <w:rFonts w:hAnsi="宋体" w:cs="宋体"/>
          <w:sz w:val="21"/>
          <w:szCs w:val="21"/>
          <w:u w:val="single" w:color="000000"/>
        </w:rPr>
        <w:t>2%及以上的分部分项清单项目，其工程量增加或减少超过本项目工程数量15%及以上时，或者合价金额占合同总价不到2%的分部分项清单项目，但其工程量增加或减少超过本项目工程数量25%以上时。</w:t>
      </w:r>
      <w:r>
        <w:rPr>
          <w:rFonts w:hint="eastAsia" w:hAnsi="宋体" w:cs="宋体"/>
          <w:sz w:val="21"/>
          <w:szCs w:val="21"/>
          <w:u w:val="single" w:color="000000"/>
        </w:rPr>
        <w:t>工程量偏差超过上述变化幅度之外变动部分的相应单价调整方法按以下方式约定：</w:t>
      </w:r>
    </w:p>
    <w:p w14:paraId="04E5D309">
      <w:pPr>
        <w:snapToGrid w:val="0"/>
        <w:spacing w:line="360" w:lineRule="auto"/>
        <w:ind w:firstLine="420" w:firstLineChars="200"/>
        <w:jc w:val="left"/>
        <w:textAlignment w:val="baseline"/>
        <w:rPr>
          <w:rFonts w:hAnsi="宋体" w:cs="宋体"/>
          <w:sz w:val="21"/>
          <w:szCs w:val="21"/>
          <w:u w:val="single" w:color="000000"/>
        </w:rPr>
      </w:pPr>
      <w:r>
        <w:rPr>
          <w:rFonts w:hAnsi="宋体" w:cs="宋体"/>
          <w:sz w:val="21"/>
          <w:szCs w:val="21"/>
          <w:u w:val="single" w:color="000000"/>
        </w:rPr>
        <w:t>工程量清单项目，其增加部分工程量或减少后剩余部分工程量的相应单价由承包人参照投标时的报价分析</w:t>
      </w:r>
      <w:r>
        <w:rPr>
          <w:rFonts w:hint="eastAsia" w:hAnsi="宋体" w:cs="宋体"/>
          <w:sz w:val="21"/>
          <w:szCs w:val="21"/>
          <w:u w:val="single" w:color="000000"/>
        </w:rPr>
        <w:t>表对原单价重新组价或参考工程造价管理机构现行的计价依据，并结合投标优惠率（优惠率=1-投标总价/最高限价）提出适当的单价，经发包人审定后，作为结算的依据，最终价格以结算审计审核为准。工程量变化幅度在合同约定风险幅度以内的，应执行合同原有综合单价。</w:t>
      </w:r>
    </w:p>
    <w:p w14:paraId="77AAB888">
      <w:pPr>
        <w:snapToGrid w:val="0"/>
        <w:spacing w:line="360" w:lineRule="auto"/>
        <w:ind w:firstLine="420" w:firstLineChars="200"/>
        <w:jc w:val="left"/>
        <w:textAlignment w:val="baseline"/>
        <w:rPr>
          <w:rFonts w:hAnsi="宋体" w:cs="宋体"/>
          <w:sz w:val="21"/>
          <w:szCs w:val="21"/>
          <w:u w:val="single" w:color="000000"/>
        </w:rPr>
      </w:pPr>
      <w:r>
        <w:rPr>
          <w:rFonts w:hint="eastAsia" w:hAnsi="宋体" w:cs="宋体"/>
          <w:sz w:val="21"/>
          <w:szCs w:val="21"/>
          <w:u w:val="single" w:color="000000"/>
        </w:rPr>
        <w:t>（5）其他：</w:t>
      </w:r>
    </w:p>
    <w:p w14:paraId="2B5606BD">
      <w:pPr>
        <w:snapToGrid w:val="0"/>
        <w:spacing w:line="360" w:lineRule="auto"/>
        <w:ind w:firstLine="420" w:firstLineChars="200"/>
        <w:jc w:val="left"/>
        <w:textAlignment w:val="baseline"/>
        <w:rPr>
          <w:rFonts w:hAnsi="宋体" w:cs="宋体"/>
          <w:sz w:val="21"/>
          <w:szCs w:val="21"/>
          <w:u w:val="single" w:color="000000"/>
        </w:rPr>
      </w:pPr>
      <w:r>
        <w:rPr>
          <w:rFonts w:hint="eastAsia" w:hAnsi="宋体" w:cs="宋体"/>
          <w:sz w:val="21"/>
          <w:szCs w:val="21"/>
          <w:u w:val="single" w:color="000000"/>
        </w:rPr>
        <w:t>清单项目中项目特征或工程内容发生部分变更的，应以原综合单价为基础，仅就变更部分相应定额子目调整综合单价。材料变化的仅调整材料的信息价（无信息价的按经发包人认可的市场价）差价，并计增减材料差价的税金。</w:t>
      </w:r>
      <w:r>
        <w:rPr>
          <w:rFonts w:hAnsi="宋体" w:cs="宋体"/>
          <w:sz w:val="21"/>
          <w:szCs w:val="21"/>
          <w:u w:val="single" w:color="000000"/>
        </w:rPr>
        <w:t xml:space="preserve"> </w:t>
      </w:r>
    </w:p>
    <w:p w14:paraId="0A660BB0">
      <w:pPr>
        <w:snapToGrid w:val="0"/>
        <w:spacing w:line="360" w:lineRule="auto"/>
        <w:ind w:firstLine="420" w:firstLineChars="200"/>
        <w:jc w:val="left"/>
        <w:textAlignment w:val="baseline"/>
        <w:rPr>
          <w:rFonts w:hAnsi="宋体" w:cs="宋体"/>
          <w:sz w:val="21"/>
          <w:szCs w:val="21"/>
          <w:u w:val="single" w:color="000000"/>
        </w:rPr>
      </w:pPr>
      <w:r>
        <w:rPr>
          <w:rFonts w:hint="eastAsia" w:hAnsi="宋体" w:cs="宋体"/>
          <w:sz w:val="21"/>
          <w:szCs w:val="21"/>
          <w:u w:val="single" w:color="000000"/>
        </w:rPr>
        <w:t>如工程量清单中相同工作内容及项目特征的子目出现多个不同报价的，变更时参照相同或相似项目中最有利于发包人的综合单价；如同一人工、材料、机械在投标时有多个不同报价的，变更时参照最有利于发包人的报价确定相应价格；若无投标材料价格的，则由发包人、承包人、监理单位共同进行市场调查询价后确定，价格最终以结算审计为准。</w:t>
      </w:r>
      <w:r>
        <w:rPr>
          <w:rFonts w:hAnsi="宋体" w:cs="宋体"/>
          <w:sz w:val="21"/>
          <w:szCs w:val="21"/>
          <w:u w:val="single" w:color="000000"/>
        </w:rPr>
        <w:t xml:space="preserve"> </w:t>
      </w:r>
    </w:p>
    <w:p w14:paraId="37FE45C4">
      <w:pPr>
        <w:snapToGrid w:val="0"/>
        <w:spacing w:line="360" w:lineRule="auto"/>
        <w:ind w:firstLine="420" w:firstLineChars="200"/>
        <w:jc w:val="left"/>
        <w:textAlignment w:val="baseline"/>
        <w:rPr>
          <w:rFonts w:hAnsi="宋体" w:cs="宋体"/>
          <w:sz w:val="21"/>
          <w:szCs w:val="21"/>
          <w:u w:val="single" w:color="000000"/>
        </w:rPr>
      </w:pPr>
      <w:r>
        <w:rPr>
          <w:rFonts w:hint="eastAsia" w:hAnsi="宋体" w:cs="宋体"/>
          <w:sz w:val="21"/>
          <w:szCs w:val="21"/>
          <w:u w:val="single" w:color="000000"/>
        </w:rPr>
        <w:t>属应该预见而承包人没有及时预防或预防不力造成的损失，发包人不负责补偿，属施工技术组织措施失误造成的费用、工期损失由承包人承担。</w:t>
      </w:r>
    </w:p>
    <w:p w14:paraId="460F9D46">
      <w:pPr>
        <w:snapToGrid w:val="0"/>
        <w:spacing w:line="360" w:lineRule="auto"/>
        <w:ind w:firstLine="420" w:firstLineChars="200"/>
        <w:jc w:val="left"/>
        <w:textAlignment w:val="baseline"/>
        <w:rPr>
          <w:rFonts w:hAnsi="宋体" w:cs="宋体"/>
          <w:sz w:val="21"/>
          <w:szCs w:val="21"/>
          <w:u w:val="single" w:color="000000"/>
        </w:rPr>
      </w:pPr>
      <w:r>
        <w:rPr>
          <w:rFonts w:hint="eastAsia" w:hAnsi="宋体" w:cs="宋体"/>
          <w:sz w:val="21"/>
          <w:szCs w:val="21"/>
          <w:u w:val="single" w:color="000000"/>
        </w:rPr>
        <w:t>施工技术措施费按项为单位计算的在招标范围未发生变化情况下，按投标报价包干。在招标范围发生重大变化或重大设计变更引起施工技术措施项目费增加或减少时，根据相关变更依据或建设行政主管部门的批复意见进行相应调整，原措施费项目清单中已有的措施项目，按原有措施费的组价方法或单价调整；原措施费项目清单中没有的措施项目，组价方法按</w:t>
      </w:r>
      <w:r>
        <w:rPr>
          <w:rFonts w:hAnsi="宋体" w:cs="宋体"/>
          <w:sz w:val="21"/>
          <w:szCs w:val="21"/>
          <w:u w:val="single" w:color="000000"/>
        </w:rPr>
        <w:t>10.4.1条（3</w:t>
      </w:r>
      <w:r>
        <w:rPr>
          <w:rFonts w:hint="eastAsia" w:hAnsi="宋体" w:cs="宋体"/>
          <w:sz w:val="21"/>
          <w:szCs w:val="21"/>
          <w:u w:val="single" w:color="000000"/>
        </w:rPr>
        <w:t>）执行。如有甩项工程，招标人将对相应施工组织措施费和技术措施费按上述方法予以扣除。</w:t>
      </w:r>
      <w:r>
        <w:rPr>
          <w:rFonts w:hAnsi="宋体" w:cs="宋体"/>
          <w:sz w:val="21"/>
          <w:szCs w:val="21"/>
          <w:u w:val="single" w:color="000000"/>
        </w:rPr>
        <w:t xml:space="preserve"> </w:t>
      </w:r>
    </w:p>
    <w:p w14:paraId="70FCD8BA">
      <w:pPr>
        <w:snapToGrid w:val="0"/>
        <w:spacing w:line="360" w:lineRule="auto"/>
        <w:ind w:firstLine="420" w:firstLineChars="200"/>
        <w:jc w:val="left"/>
        <w:textAlignment w:val="baseline"/>
        <w:rPr>
          <w:rFonts w:hAnsi="宋体" w:cs="宋体"/>
          <w:sz w:val="21"/>
          <w:szCs w:val="21"/>
          <w:u w:val="single" w:color="000000"/>
        </w:rPr>
      </w:pPr>
      <w:r>
        <w:rPr>
          <w:rFonts w:hint="eastAsia" w:hAnsi="宋体" w:cs="宋体"/>
          <w:sz w:val="21"/>
          <w:szCs w:val="21"/>
          <w:u w:val="single" w:color="000000"/>
        </w:rPr>
        <w:t>工程量清单项目特征描述的分项工程内容均应计入综合单价报价，若承包人提供的分部分项工程量综合单价计算表及综合单价工料机分析表没有详尽分析的，发包人将对实际未实施的分项工程予以扣除，扣除部分的价格参考第按</w:t>
      </w:r>
      <w:r>
        <w:rPr>
          <w:rFonts w:hAnsi="宋体" w:cs="宋体"/>
          <w:sz w:val="21"/>
          <w:szCs w:val="21"/>
          <w:u w:val="single" w:color="000000"/>
        </w:rPr>
        <w:t>10.4.1条（3</w:t>
      </w:r>
      <w:r>
        <w:rPr>
          <w:rFonts w:hint="eastAsia" w:hAnsi="宋体" w:cs="宋体"/>
          <w:sz w:val="21"/>
          <w:szCs w:val="21"/>
          <w:u w:val="single" w:color="000000"/>
        </w:rPr>
        <w:t>），结合投标报价水平确定。</w:t>
      </w:r>
    </w:p>
    <w:p w14:paraId="62B5F273">
      <w:pPr>
        <w:snapToGrid w:val="0"/>
        <w:spacing w:line="360" w:lineRule="auto"/>
        <w:ind w:firstLine="420" w:firstLineChars="200"/>
        <w:jc w:val="left"/>
        <w:textAlignment w:val="baseline"/>
        <w:rPr>
          <w:rFonts w:hAnsi="宋体" w:cs="宋体"/>
          <w:sz w:val="21"/>
          <w:szCs w:val="21"/>
          <w:u w:val="single" w:color="000000"/>
        </w:rPr>
      </w:pPr>
      <w:r>
        <w:rPr>
          <w:rFonts w:hint="eastAsia" w:hAnsi="宋体" w:cs="宋体"/>
          <w:sz w:val="21"/>
          <w:szCs w:val="21"/>
          <w:u w:val="single" w:color="000000"/>
        </w:rPr>
        <w:t>现有管线（燃气管、给水管、电力管、路灯、军用光缆、通信）、邻近建筑物、构筑物（含文物保护建筑）、道路、设施、设备、隧道、管沟、高低压电缆线等的保护费计算。招标时已明确告知、预见或列项的，其保护费用承包人应根据发包人提供的交底资料，结合现场探勘，充分考虑施工难度，计入报价，包干使用。现状雨、污水管线保护费用包干。</w:t>
      </w:r>
    </w:p>
    <w:p w14:paraId="27E094AC">
      <w:pPr>
        <w:snapToGrid w:val="0"/>
        <w:spacing w:line="360" w:lineRule="auto"/>
        <w:ind w:firstLine="420" w:firstLineChars="200"/>
        <w:jc w:val="left"/>
        <w:textAlignment w:val="baseline"/>
        <w:rPr>
          <w:rFonts w:hAnsi="宋体" w:cs="宋体"/>
          <w:sz w:val="21"/>
          <w:szCs w:val="21"/>
          <w:u w:val="single" w:color="000000"/>
        </w:rPr>
      </w:pPr>
      <w:r>
        <w:rPr>
          <w:rFonts w:hint="eastAsia" w:hAnsi="宋体" w:cs="宋体"/>
          <w:sz w:val="21"/>
          <w:szCs w:val="21"/>
          <w:u w:val="single" w:color="000000"/>
        </w:rPr>
        <w:t>其他未明确内容参照关于印发《杭州市建设工程工程量清单计价实施细则》（</w:t>
      </w:r>
      <w:r>
        <w:rPr>
          <w:rFonts w:hAnsi="宋体" w:cs="宋体"/>
          <w:sz w:val="21"/>
          <w:szCs w:val="21"/>
          <w:u w:val="single" w:color="000000"/>
        </w:rPr>
        <w:t>2018年修订）的通知（杭建市发[2018]578号）文件执行。</w:t>
      </w:r>
    </w:p>
    <w:p w14:paraId="2DEA7436">
      <w:pPr>
        <w:snapToGrid w:val="0"/>
        <w:spacing w:line="360" w:lineRule="auto"/>
        <w:ind w:firstLine="420" w:firstLineChars="200"/>
        <w:jc w:val="left"/>
        <w:textAlignment w:val="baseline"/>
        <w:rPr>
          <w:rFonts w:hAnsi="宋体" w:cs="宋体"/>
          <w:sz w:val="21"/>
          <w:szCs w:val="21"/>
          <w:u w:val="single" w:color="000000"/>
        </w:rPr>
      </w:pPr>
      <w:r>
        <w:rPr>
          <w:rFonts w:hint="eastAsia" w:hAnsi="宋体" w:cs="宋体"/>
          <w:sz w:val="21"/>
          <w:szCs w:val="21"/>
          <w:u w:val="single" w:color="000000"/>
        </w:rPr>
        <w:t>本工程上述所有涉及价格、工程量、工期等的变更签证，在由监理人初审后，经发包人审核并报送审计审定为准。</w:t>
      </w:r>
    </w:p>
    <w:p w14:paraId="6D782D81">
      <w:pPr>
        <w:snapToGrid w:val="0"/>
        <w:spacing w:line="360" w:lineRule="auto"/>
        <w:ind w:firstLine="420" w:firstLineChars="200"/>
        <w:jc w:val="left"/>
        <w:textAlignment w:val="baseline"/>
        <w:rPr>
          <w:rFonts w:hAnsi="宋体" w:cs="宋体"/>
          <w:sz w:val="21"/>
          <w:szCs w:val="21"/>
          <w:u w:val="single" w:color="000000"/>
        </w:rPr>
      </w:pPr>
      <w:r>
        <w:rPr>
          <w:rFonts w:hint="eastAsia" w:hAnsi="宋体" w:cs="宋体"/>
          <w:sz w:val="21"/>
          <w:szCs w:val="21"/>
          <w:u w:val="single" w:color="000000"/>
        </w:rPr>
        <w:t>项目竣工验收前，实施过程中发生的工程变更均应及时申报，竣工验收后承包人申报的工程变更发包人将不予接收和审批，由此造成的一切后果由承包人自行承担。</w:t>
      </w:r>
    </w:p>
    <w:p w14:paraId="04BE8C83">
      <w:pPr>
        <w:snapToGrid w:val="0"/>
        <w:spacing w:line="360" w:lineRule="auto"/>
        <w:ind w:firstLine="420" w:firstLineChars="200"/>
        <w:jc w:val="left"/>
        <w:textAlignment w:val="baseline"/>
        <w:rPr>
          <w:rFonts w:hAnsi="宋体" w:cs="宋体"/>
          <w:sz w:val="21"/>
          <w:szCs w:val="21"/>
          <w:u w:val="single" w:color="000000"/>
        </w:rPr>
      </w:pPr>
      <w:r>
        <w:rPr>
          <w:rFonts w:hint="eastAsia" w:hAnsi="宋体" w:cs="宋体"/>
          <w:sz w:val="21"/>
          <w:szCs w:val="21"/>
          <w:u w:val="single" w:color="000000"/>
        </w:rPr>
        <w:t>招标施工图已明确的分项工程内容及工程量清单项目特征描述的分项工程内容均已计入综合单价报价，按图纸及清单中包括的内容进行实施。若承包人提供的分部分项工程量综合单价计算表及综合单价工料机分析表没有详尽分析的，发包人将对实际未实施的分项工程予以扣除，扣除部分的价格参考第按</w:t>
      </w:r>
      <w:r>
        <w:rPr>
          <w:rFonts w:hAnsi="宋体" w:cs="宋体"/>
          <w:sz w:val="21"/>
          <w:szCs w:val="21"/>
          <w:u w:val="single" w:color="000000"/>
        </w:rPr>
        <w:t xml:space="preserve"> 10.4.1 </w:t>
      </w:r>
      <w:r>
        <w:rPr>
          <w:rFonts w:hint="eastAsia" w:hAnsi="宋体" w:cs="宋体"/>
          <w:sz w:val="21"/>
          <w:szCs w:val="21"/>
          <w:u w:val="single" w:color="000000"/>
        </w:rPr>
        <w:t>条的相应原则确定。</w:t>
      </w:r>
    </w:p>
    <w:p w14:paraId="13FAA547">
      <w:pPr>
        <w:snapToGrid w:val="0"/>
        <w:spacing w:line="360" w:lineRule="auto"/>
        <w:jc w:val="left"/>
        <w:textAlignment w:val="baseline"/>
        <w:rPr>
          <w:rFonts w:hAnsi="宋体" w:cs="宋体"/>
          <w:sz w:val="21"/>
          <w:szCs w:val="21"/>
        </w:rPr>
      </w:pPr>
      <w:r>
        <w:rPr>
          <w:rFonts w:hint="eastAsia" w:cs="宋体"/>
          <w:sz w:val="21"/>
          <w:szCs w:val="21"/>
          <w:u w:val="single" w:color="000000"/>
        </w:rPr>
        <w:t>备注：相关文件有不一致之处按上城区教育局及上城区财政局要求为准。</w:t>
      </w:r>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r>
        <w:rPr>
          <w:rFonts w:hint="eastAsia" w:hAnsi="宋体" w:cs="宋体"/>
          <w:sz w:val="21"/>
          <w:szCs w:val="21"/>
        </w:rPr>
        <w:t xml:space="preserve"> </w:t>
      </w:r>
    </w:p>
    <w:p w14:paraId="77EEC155">
      <w:pPr>
        <w:snapToGrid w:val="0"/>
        <w:spacing w:line="360" w:lineRule="auto"/>
        <w:ind w:firstLine="420" w:firstLineChars="200"/>
        <w:textAlignment w:val="baseline"/>
        <w:rPr>
          <w:rFonts w:hAnsi="宋体" w:cs="宋体"/>
          <w:sz w:val="21"/>
          <w:szCs w:val="21"/>
        </w:rPr>
      </w:pPr>
      <w:r>
        <w:rPr>
          <w:rFonts w:hint="eastAsia" w:hAnsi="宋体" w:cs="宋体"/>
          <w:sz w:val="21"/>
          <w:szCs w:val="21"/>
        </w:rPr>
        <w:t>1</w:t>
      </w:r>
      <w:bookmarkStart w:id="547" w:name="_Toc297123544"/>
      <w:bookmarkStart w:id="548" w:name="_Toc296944536"/>
      <w:bookmarkStart w:id="549" w:name="_Toc297216203"/>
      <w:bookmarkStart w:id="550" w:name="_Toc303539150"/>
      <w:bookmarkStart w:id="551" w:name="_Toc300934993"/>
      <w:bookmarkStart w:id="552" w:name="_Toc296347196"/>
      <w:bookmarkStart w:id="553" w:name="_Toc296891025"/>
      <w:bookmarkStart w:id="554" w:name="_Toc297048383"/>
      <w:bookmarkStart w:id="555" w:name="_Toc297120497"/>
      <w:bookmarkStart w:id="556" w:name="_Toc296891237"/>
      <w:bookmarkStart w:id="557" w:name="_Toc292559907"/>
      <w:bookmarkStart w:id="558" w:name="_Toc292559402"/>
      <w:bookmarkStart w:id="559" w:name="_Toc296503197"/>
      <w:bookmarkStart w:id="560" w:name="_Toc296346698"/>
      <w:r>
        <w:rPr>
          <w:rFonts w:hint="eastAsia" w:hAnsi="宋体" w:cs="宋体"/>
          <w:sz w:val="21"/>
          <w:szCs w:val="21"/>
        </w:rPr>
        <w:t>0.5承</w:t>
      </w:r>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r>
        <w:rPr>
          <w:rFonts w:hint="eastAsia" w:hAnsi="宋体" w:cs="宋体"/>
          <w:sz w:val="21"/>
          <w:szCs w:val="21"/>
        </w:rPr>
        <w:t>包人的合理化建议</w:t>
      </w:r>
    </w:p>
    <w:p w14:paraId="793DE02D">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监理人审查承包人合理化建议的期限：</w:t>
      </w:r>
      <w:r>
        <w:rPr>
          <w:rFonts w:hint="eastAsia" w:hAnsi="宋体" w:cs="宋体"/>
          <w:sz w:val="21"/>
          <w:szCs w:val="21"/>
          <w:u w:val="single" w:color="000000"/>
        </w:rPr>
        <w:t xml:space="preserve">按通用条款执行  </w:t>
      </w:r>
      <w:r>
        <w:rPr>
          <w:rFonts w:hint="eastAsia" w:hAnsi="宋体" w:cs="宋体"/>
          <w:sz w:val="21"/>
          <w:szCs w:val="21"/>
        </w:rPr>
        <w:t>。</w:t>
      </w:r>
    </w:p>
    <w:p w14:paraId="2A77C49E">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发包人审批承包人合理化建议的期限：</w:t>
      </w:r>
      <w:r>
        <w:rPr>
          <w:rFonts w:hint="eastAsia" w:hAnsi="宋体" w:cs="宋体"/>
          <w:sz w:val="21"/>
          <w:szCs w:val="21"/>
          <w:u w:val="single" w:color="000000"/>
        </w:rPr>
        <w:t xml:space="preserve">按通用条款执行  </w:t>
      </w:r>
      <w:r>
        <w:rPr>
          <w:rFonts w:hint="eastAsia" w:hAnsi="宋体" w:cs="宋体"/>
          <w:sz w:val="21"/>
          <w:szCs w:val="21"/>
        </w:rPr>
        <w:t>。</w:t>
      </w:r>
    </w:p>
    <w:p w14:paraId="63B9D869">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承包人提出的合理化建议降低了合同价格或者提高了工程经济效益的奖励的方法和金额为：</w:t>
      </w:r>
      <w:r>
        <w:rPr>
          <w:rFonts w:hint="eastAsia" w:hAnsi="宋体" w:cs="宋体"/>
          <w:sz w:val="21"/>
          <w:szCs w:val="21"/>
          <w:u w:val="single" w:color="000000"/>
        </w:rPr>
        <w:t xml:space="preserve">  /  </w:t>
      </w:r>
      <w:r>
        <w:rPr>
          <w:rFonts w:hint="eastAsia" w:hAnsi="宋体" w:cs="宋体"/>
          <w:sz w:val="21"/>
          <w:szCs w:val="21"/>
        </w:rPr>
        <w:t>。</w:t>
      </w:r>
    </w:p>
    <w:p w14:paraId="5800E2DD">
      <w:pPr>
        <w:snapToGrid w:val="0"/>
        <w:spacing w:line="360" w:lineRule="auto"/>
        <w:ind w:firstLine="420" w:firstLineChars="200"/>
        <w:textAlignment w:val="baseline"/>
        <w:rPr>
          <w:rFonts w:hAnsi="宋体" w:cs="宋体"/>
          <w:sz w:val="21"/>
          <w:szCs w:val="21"/>
        </w:rPr>
      </w:pPr>
      <w:r>
        <w:rPr>
          <w:rFonts w:hint="eastAsia" w:hAnsi="宋体" w:cs="宋体"/>
          <w:sz w:val="21"/>
          <w:szCs w:val="21"/>
        </w:rPr>
        <w:t>10.7 暂估价</w:t>
      </w:r>
    </w:p>
    <w:p w14:paraId="74E29DA0">
      <w:pPr>
        <w:snapToGrid w:val="0"/>
        <w:spacing w:line="360" w:lineRule="auto"/>
        <w:ind w:firstLine="420" w:firstLineChars="200"/>
        <w:jc w:val="left"/>
        <w:textAlignment w:val="baseline"/>
        <w:rPr>
          <w:rFonts w:hAnsi="宋体" w:cs="宋体"/>
          <w:sz w:val="21"/>
          <w:szCs w:val="21"/>
        </w:rPr>
      </w:pPr>
      <w:r>
        <w:rPr>
          <w:rFonts w:hint="eastAsia" w:hAnsi="宋体" w:cs="宋体"/>
          <w:kern w:val="0"/>
          <w:sz w:val="21"/>
          <w:szCs w:val="21"/>
        </w:rPr>
        <w:t>暂估价材料和工程设备的明细详见附件11：《</w:t>
      </w:r>
      <w:r>
        <w:rPr>
          <w:rFonts w:hint="eastAsia" w:hAnsi="宋体" w:cs="宋体"/>
          <w:sz w:val="21"/>
          <w:szCs w:val="21"/>
        </w:rPr>
        <w:t>暂估价一览表》</w:t>
      </w:r>
      <w:r>
        <w:rPr>
          <w:rFonts w:hint="eastAsia" w:hAnsi="宋体" w:cs="宋体"/>
          <w:kern w:val="0"/>
          <w:sz w:val="21"/>
          <w:szCs w:val="21"/>
        </w:rPr>
        <w:t>。</w:t>
      </w:r>
    </w:p>
    <w:p w14:paraId="4F3B482D">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10.7.1 依法必须招标的暂估价项目</w:t>
      </w:r>
    </w:p>
    <w:p w14:paraId="05E3728E">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对于依法必须招标的暂估价项目的确认和批准采取第</w:t>
      </w:r>
      <w:r>
        <w:rPr>
          <w:rFonts w:hint="eastAsia" w:hAnsi="宋体" w:cs="宋体"/>
          <w:sz w:val="21"/>
          <w:szCs w:val="21"/>
          <w:u w:val="single" w:color="000000"/>
        </w:rPr>
        <w:t xml:space="preserve">   2  </w:t>
      </w:r>
      <w:r>
        <w:rPr>
          <w:rFonts w:hint="eastAsia" w:hAnsi="宋体" w:cs="宋体"/>
          <w:sz w:val="21"/>
          <w:szCs w:val="21"/>
        </w:rPr>
        <w:t>种方式确定。</w:t>
      </w:r>
    </w:p>
    <w:p w14:paraId="6A8BFD11">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10.7.2 不属于依法必须招标的暂估价项目</w:t>
      </w:r>
    </w:p>
    <w:p w14:paraId="126EC27C">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对于不属于依法必须招标的暂估价项目的确认和批准采取第</w:t>
      </w:r>
      <w:r>
        <w:rPr>
          <w:rFonts w:hint="eastAsia" w:hAnsi="宋体" w:cs="宋体"/>
          <w:sz w:val="21"/>
          <w:szCs w:val="21"/>
          <w:u w:val="single" w:color="000000"/>
        </w:rPr>
        <w:t xml:space="preserve">   </w:t>
      </w:r>
      <w:r>
        <w:rPr>
          <w:rFonts w:hAnsi="宋体" w:cs="宋体"/>
          <w:sz w:val="21"/>
          <w:szCs w:val="21"/>
          <w:u w:val="single" w:color="000000"/>
        </w:rPr>
        <w:t>3</w:t>
      </w:r>
      <w:r>
        <w:rPr>
          <w:rFonts w:hint="eastAsia" w:hAnsi="宋体" w:cs="宋体"/>
          <w:sz w:val="21"/>
          <w:szCs w:val="21"/>
          <w:u w:val="single" w:color="000000"/>
        </w:rPr>
        <w:t xml:space="preserve"> </w:t>
      </w:r>
      <w:r>
        <w:rPr>
          <w:rFonts w:hint="eastAsia" w:hAnsi="宋体" w:cs="宋体"/>
          <w:sz w:val="21"/>
          <w:szCs w:val="21"/>
        </w:rPr>
        <w:t>种方式确定。</w:t>
      </w:r>
    </w:p>
    <w:p w14:paraId="192FAD50">
      <w:pPr>
        <w:snapToGrid w:val="0"/>
        <w:spacing w:line="360" w:lineRule="auto"/>
        <w:ind w:firstLine="420" w:firstLineChars="200"/>
        <w:jc w:val="left"/>
        <w:textAlignment w:val="baseline"/>
        <w:rPr>
          <w:rFonts w:hAnsi="宋体" w:cs="宋体"/>
          <w:kern w:val="0"/>
          <w:sz w:val="21"/>
          <w:szCs w:val="21"/>
        </w:rPr>
      </w:pPr>
      <w:r>
        <w:rPr>
          <w:rFonts w:hint="eastAsia" w:hAnsi="宋体" w:cs="宋体"/>
          <w:sz w:val="21"/>
          <w:szCs w:val="21"/>
        </w:rPr>
        <w:t>第3种方式：</w:t>
      </w:r>
      <w:r>
        <w:rPr>
          <w:rFonts w:hint="eastAsia" w:hAnsi="宋体" w:cs="宋体"/>
          <w:kern w:val="0"/>
          <w:sz w:val="21"/>
          <w:szCs w:val="21"/>
        </w:rPr>
        <w:t>承包人直接实施的暂估价项目</w:t>
      </w:r>
    </w:p>
    <w:p w14:paraId="222FA1D4">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承包人直接实施的暂估价项目的约定：</w:t>
      </w:r>
      <w:r>
        <w:rPr>
          <w:rFonts w:hint="eastAsia" w:hAnsi="宋体" w:cs="宋体"/>
          <w:sz w:val="21"/>
          <w:szCs w:val="21"/>
          <w:u w:val="single" w:color="000000"/>
        </w:rPr>
        <w:t xml:space="preserve">    /  </w:t>
      </w:r>
      <w:r>
        <w:rPr>
          <w:rFonts w:hint="eastAsia" w:hAnsi="宋体" w:cs="宋体"/>
          <w:sz w:val="21"/>
          <w:szCs w:val="21"/>
        </w:rPr>
        <w:t>。</w:t>
      </w:r>
    </w:p>
    <w:p w14:paraId="1771F0D9">
      <w:pPr>
        <w:snapToGrid w:val="0"/>
        <w:spacing w:line="360" w:lineRule="auto"/>
        <w:ind w:firstLine="420" w:firstLineChars="200"/>
        <w:textAlignment w:val="baseline"/>
        <w:rPr>
          <w:rFonts w:hAnsi="宋体" w:cs="宋体"/>
          <w:sz w:val="21"/>
          <w:szCs w:val="21"/>
        </w:rPr>
      </w:pPr>
      <w:r>
        <w:rPr>
          <w:rFonts w:hint="eastAsia" w:hAnsi="宋体" w:cs="宋体"/>
          <w:sz w:val="21"/>
          <w:szCs w:val="21"/>
        </w:rPr>
        <w:t>10.8 暂列金额</w:t>
      </w:r>
    </w:p>
    <w:p w14:paraId="68482706">
      <w:pPr>
        <w:snapToGrid w:val="0"/>
        <w:spacing w:line="360" w:lineRule="auto"/>
        <w:ind w:firstLine="420" w:firstLineChars="200"/>
        <w:jc w:val="left"/>
        <w:textAlignment w:val="baseline"/>
        <w:rPr>
          <w:rFonts w:hAnsi="宋体" w:cs="宋体"/>
          <w:sz w:val="21"/>
          <w:szCs w:val="21"/>
          <w:u w:val="single"/>
        </w:rPr>
      </w:pPr>
      <w:r>
        <w:rPr>
          <w:rFonts w:hint="eastAsia" w:hAnsi="宋体" w:cs="宋体"/>
          <w:kern w:val="0"/>
          <w:sz w:val="21"/>
          <w:szCs w:val="21"/>
        </w:rPr>
        <w:t>合同当事人关于暂列金额使用的约定：</w:t>
      </w:r>
      <w:r>
        <w:rPr>
          <w:rFonts w:hint="eastAsia" w:hAnsi="宋体" w:cs="宋体"/>
          <w:sz w:val="21"/>
          <w:szCs w:val="21"/>
          <w:u w:val="single" w:color="000000"/>
        </w:rPr>
        <w:t xml:space="preserve">    /  </w:t>
      </w:r>
      <w:r>
        <w:rPr>
          <w:rFonts w:hint="eastAsia" w:hAnsi="宋体" w:cs="宋体"/>
          <w:kern w:val="0"/>
          <w:sz w:val="21"/>
          <w:szCs w:val="21"/>
        </w:rPr>
        <w:t>。</w:t>
      </w:r>
    </w:p>
    <w:p w14:paraId="30CE4A74">
      <w:pPr>
        <w:pStyle w:val="6"/>
        <w:snapToGrid w:val="0"/>
        <w:spacing w:before="0" w:after="0" w:line="360" w:lineRule="auto"/>
        <w:ind w:firstLine="420" w:firstLineChars="200"/>
        <w:textAlignment w:val="baseline"/>
        <w:rPr>
          <w:rFonts w:ascii="宋体" w:hAnsi="宋体" w:cs="宋体"/>
          <w:b w:val="0"/>
          <w:sz w:val="21"/>
          <w:szCs w:val="21"/>
        </w:rPr>
      </w:pPr>
      <w:bookmarkStart w:id="561" w:name="_Toc351203643"/>
      <w:r>
        <w:rPr>
          <w:rFonts w:hint="eastAsia" w:ascii="宋体" w:hAnsi="宋体" w:cs="宋体"/>
          <w:b w:val="0"/>
          <w:sz w:val="21"/>
          <w:szCs w:val="21"/>
        </w:rPr>
        <w:t>11. 价格调整</w:t>
      </w:r>
      <w:bookmarkEnd w:id="561"/>
    </w:p>
    <w:p w14:paraId="42C53109">
      <w:pPr>
        <w:snapToGrid w:val="0"/>
        <w:spacing w:line="360" w:lineRule="auto"/>
        <w:ind w:firstLine="420" w:firstLineChars="200"/>
        <w:textAlignment w:val="baseline"/>
        <w:rPr>
          <w:rFonts w:hAnsi="宋体" w:cs="宋体"/>
          <w:sz w:val="21"/>
          <w:szCs w:val="21"/>
        </w:rPr>
      </w:pPr>
      <w:r>
        <w:rPr>
          <w:rFonts w:hint="eastAsia" w:hAnsi="宋体" w:cs="宋体"/>
          <w:sz w:val="21"/>
          <w:szCs w:val="21"/>
        </w:rPr>
        <w:t>11.1 市场价格波动引起的调整</w:t>
      </w:r>
    </w:p>
    <w:p w14:paraId="4E27CF6A">
      <w:pPr>
        <w:snapToGrid w:val="0"/>
        <w:spacing w:line="360" w:lineRule="auto"/>
        <w:ind w:firstLine="420" w:firstLineChars="200"/>
        <w:jc w:val="left"/>
        <w:textAlignment w:val="baseline"/>
        <w:rPr>
          <w:rFonts w:hAnsi="宋体" w:cs="宋体"/>
          <w:sz w:val="21"/>
          <w:szCs w:val="21"/>
        </w:rPr>
      </w:pPr>
      <w:r>
        <w:rPr>
          <w:rFonts w:hint="eastAsia" w:hAnsi="宋体" w:cs="宋体"/>
          <w:kern w:val="0"/>
          <w:sz w:val="21"/>
          <w:szCs w:val="21"/>
        </w:rPr>
        <w:t>市场价格波动是否调整合同价格的约定：</w:t>
      </w:r>
      <w:r>
        <w:rPr>
          <w:rFonts w:hint="eastAsia" w:hAnsi="宋体" w:cs="宋体"/>
          <w:sz w:val="21"/>
          <w:szCs w:val="21"/>
          <w:u w:val="single" w:color="000000"/>
        </w:rPr>
        <w:t>是。</w:t>
      </w:r>
    </w:p>
    <w:p w14:paraId="3DCF86F6">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因市场价格波动调整合同价格，采用以下第</w:t>
      </w:r>
      <w:r>
        <w:rPr>
          <w:rFonts w:hint="eastAsia" w:hAnsi="宋体" w:cs="宋体"/>
          <w:sz w:val="21"/>
          <w:szCs w:val="21"/>
          <w:u w:val="single" w:color="000000"/>
        </w:rPr>
        <w:t xml:space="preserve"> 3 </w:t>
      </w:r>
      <w:r>
        <w:rPr>
          <w:rFonts w:hint="eastAsia" w:hAnsi="宋体" w:cs="宋体"/>
          <w:sz w:val="21"/>
          <w:szCs w:val="21"/>
        </w:rPr>
        <w:t>种方式对合同价格进行调整：</w:t>
      </w:r>
    </w:p>
    <w:p w14:paraId="0AEA80B1">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第1种方式：采用价格指数进行价格调整。</w:t>
      </w:r>
    </w:p>
    <w:p w14:paraId="5BE51FFA">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关于各可调因子、定值和变值权重，以及基本价格指数及其来源的约定：</w:t>
      </w:r>
      <w:r>
        <w:rPr>
          <w:rFonts w:hint="eastAsia" w:hAnsi="宋体" w:cs="宋体"/>
          <w:sz w:val="21"/>
          <w:szCs w:val="21"/>
          <w:u w:val="single" w:color="000000"/>
        </w:rPr>
        <w:t xml:space="preserve">     /    </w:t>
      </w:r>
      <w:r>
        <w:rPr>
          <w:rFonts w:hint="eastAsia" w:hAnsi="宋体" w:cs="宋体"/>
          <w:sz w:val="21"/>
          <w:szCs w:val="21"/>
        </w:rPr>
        <w:t>；</w:t>
      </w:r>
    </w:p>
    <w:p w14:paraId="6D36BCD4">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第2种方式：采用造价信息进行价格调整。</w:t>
      </w:r>
    </w:p>
    <w:p w14:paraId="53AF4D13">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（2）关于基准价格的约定：</w:t>
      </w:r>
      <w:r>
        <w:rPr>
          <w:rFonts w:hint="eastAsia" w:hAnsi="宋体" w:cs="宋体"/>
          <w:sz w:val="21"/>
          <w:szCs w:val="21"/>
          <w:u w:val="single" w:color="000000"/>
        </w:rPr>
        <w:t xml:space="preserve">                         </w:t>
      </w:r>
      <w:r>
        <w:rPr>
          <w:rFonts w:hint="eastAsia" w:hAnsi="宋体" w:cs="宋体"/>
          <w:sz w:val="21"/>
          <w:szCs w:val="21"/>
        </w:rPr>
        <w:t>。</w:t>
      </w:r>
    </w:p>
    <w:p w14:paraId="00BEC8DD">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专用合同条款①承包人在已标价工程量清单或预算书中载明的材料单价低于基准价格的：专用合同条款合同履行期间材料单价涨幅以基准价格为基础超过</w:t>
      </w:r>
      <w:r>
        <w:rPr>
          <w:rFonts w:hint="eastAsia" w:hAnsi="宋体" w:cs="宋体"/>
          <w:sz w:val="21"/>
          <w:szCs w:val="21"/>
          <w:u w:val="single" w:color="000000"/>
        </w:rPr>
        <w:t xml:space="preserve">   </w:t>
      </w:r>
      <w:r>
        <w:rPr>
          <w:rFonts w:hint="eastAsia" w:hAnsi="宋体" w:cs="宋体"/>
          <w:sz w:val="21"/>
          <w:szCs w:val="21"/>
        </w:rPr>
        <w:t>%时，或材料单价跌幅以已标价工程量清单或预算书中载明材料单价为基础超过</w:t>
      </w:r>
      <w:r>
        <w:rPr>
          <w:rFonts w:hint="eastAsia" w:hAnsi="宋体" w:cs="宋体"/>
          <w:sz w:val="21"/>
          <w:szCs w:val="21"/>
          <w:u w:val="single" w:color="000000"/>
        </w:rPr>
        <w:t xml:space="preserve">   </w:t>
      </w:r>
      <w:r>
        <w:rPr>
          <w:rFonts w:hint="eastAsia" w:hAnsi="宋体" w:cs="宋体"/>
          <w:sz w:val="21"/>
          <w:szCs w:val="21"/>
        </w:rPr>
        <w:t>%时，其超过部分据实调整。</w:t>
      </w:r>
    </w:p>
    <w:p w14:paraId="7F5296EE">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②承包人在已标价工程量清单或预算书中载明的材料单价高于基准价格的：专用合同条款合同履行期间材料单价跌幅以基准价格为基础超过</w:t>
      </w:r>
      <w:r>
        <w:rPr>
          <w:rFonts w:hint="eastAsia" w:hAnsi="宋体" w:cs="宋体"/>
          <w:sz w:val="21"/>
          <w:szCs w:val="21"/>
          <w:u w:val="single" w:color="000000"/>
        </w:rPr>
        <w:t xml:space="preserve">   </w:t>
      </w:r>
      <w:r>
        <w:rPr>
          <w:rFonts w:hint="eastAsia" w:hAnsi="宋体" w:cs="宋体"/>
          <w:sz w:val="21"/>
          <w:szCs w:val="21"/>
        </w:rPr>
        <w:t>%时，材料单价涨幅以已标价工程量清单或预算书中载明材料单价为基础超过</w:t>
      </w:r>
      <w:r>
        <w:rPr>
          <w:rFonts w:hint="eastAsia" w:hAnsi="宋体" w:cs="宋体"/>
          <w:sz w:val="21"/>
          <w:szCs w:val="21"/>
          <w:u w:val="single" w:color="000000"/>
        </w:rPr>
        <w:t xml:space="preserve">   </w:t>
      </w:r>
      <w:r>
        <w:rPr>
          <w:rFonts w:hint="eastAsia" w:hAnsi="宋体" w:cs="宋体"/>
          <w:sz w:val="21"/>
          <w:szCs w:val="21"/>
        </w:rPr>
        <w:t>%时，其超过部分据实调整。</w:t>
      </w:r>
    </w:p>
    <w:p w14:paraId="7D41CF0E">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③承包人在已标价工程量清单或预算书中载明的材料单价等于基准单价的：专用合同条款合同履行期间材料单价涨跌幅以基准单价为基础超过±</w:t>
      </w:r>
      <w:r>
        <w:rPr>
          <w:rFonts w:hint="eastAsia" w:hAnsi="宋体" w:cs="宋体"/>
          <w:sz w:val="21"/>
          <w:szCs w:val="21"/>
          <w:u w:val="single" w:color="000000"/>
        </w:rPr>
        <w:t xml:space="preserve">   </w:t>
      </w:r>
      <w:r>
        <w:rPr>
          <w:rFonts w:hint="eastAsia" w:hAnsi="宋体" w:cs="宋体"/>
          <w:sz w:val="21"/>
          <w:szCs w:val="21"/>
        </w:rPr>
        <w:t>%时，其超过部分据实调整。</w:t>
      </w:r>
    </w:p>
    <w:p w14:paraId="229A700C">
      <w:pPr>
        <w:snapToGrid w:val="0"/>
        <w:spacing w:line="360" w:lineRule="auto"/>
        <w:ind w:firstLine="422" w:firstLineChars="200"/>
        <w:jc w:val="left"/>
        <w:textAlignment w:val="baseline"/>
        <w:rPr>
          <w:rFonts w:hAnsi="宋体" w:cs="宋体"/>
          <w:b/>
          <w:sz w:val="21"/>
          <w:szCs w:val="21"/>
        </w:rPr>
      </w:pPr>
      <w:r>
        <w:rPr>
          <w:rFonts w:hint="eastAsia" w:hAnsi="宋体" w:cs="宋体"/>
          <w:b/>
          <w:sz w:val="21"/>
          <w:szCs w:val="21"/>
        </w:rPr>
        <w:t>第3种方式：采用政策性文件进行价格调整。</w:t>
      </w:r>
    </w:p>
    <w:p w14:paraId="31CDEFB1">
      <w:pPr>
        <w:snapToGrid w:val="0"/>
        <w:spacing w:line="360" w:lineRule="auto"/>
        <w:ind w:firstLine="422" w:firstLineChars="200"/>
        <w:jc w:val="left"/>
        <w:textAlignment w:val="baseline"/>
        <w:rPr>
          <w:rFonts w:hint="eastAsia" w:hAnsi="宋体" w:cs="宋体"/>
          <w:b/>
          <w:sz w:val="21"/>
          <w:szCs w:val="21"/>
          <w:u w:val="single" w:color="000000"/>
        </w:rPr>
      </w:pPr>
      <w:r>
        <w:rPr>
          <w:rFonts w:hint="eastAsia" w:hAnsi="宋体" w:cs="宋体"/>
          <w:b/>
          <w:sz w:val="21"/>
          <w:szCs w:val="21"/>
          <w:u w:val="single" w:color="000000"/>
        </w:rPr>
        <w:t>政府投资工程因市场价格波动引起的调整按以下第（1）种方式约定执行：</w:t>
      </w:r>
    </w:p>
    <w:p w14:paraId="04BF59B2">
      <w:pPr>
        <w:snapToGrid w:val="0"/>
        <w:spacing w:line="360" w:lineRule="auto"/>
        <w:ind w:firstLine="422" w:firstLineChars="200"/>
        <w:jc w:val="left"/>
        <w:textAlignment w:val="baseline"/>
        <w:rPr>
          <w:rFonts w:hint="eastAsia" w:hAnsi="宋体" w:cs="宋体"/>
          <w:b/>
          <w:sz w:val="21"/>
          <w:szCs w:val="21"/>
          <w:u w:val="single" w:color="000000"/>
        </w:rPr>
      </w:pPr>
      <w:r>
        <w:rPr>
          <w:rFonts w:hint="eastAsia" w:hAnsi="宋体" w:cs="宋体"/>
          <w:b/>
          <w:sz w:val="21"/>
          <w:szCs w:val="21"/>
          <w:u w:val="single" w:color="000000"/>
        </w:rPr>
        <w:t>（1）按《关于进一步加强杭州市建设工程市场要素价格动态管理的指导意见》（杭建市发〔2018〕579号）执行；</w:t>
      </w:r>
    </w:p>
    <w:p w14:paraId="38DC9597">
      <w:pPr>
        <w:snapToGrid w:val="0"/>
        <w:spacing w:line="360" w:lineRule="auto"/>
        <w:ind w:firstLine="422" w:firstLineChars="200"/>
        <w:jc w:val="left"/>
        <w:textAlignment w:val="baseline"/>
        <w:rPr>
          <w:rFonts w:hint="eastAsia" w:hAnsi="宋体" w:cs="宋体"/>
          <w:b/>
          <w:sz w:val="21"/>
          <w:szCs w:val="21"/>
          <w:u w:val="single" w:color="000000"/>
        </w:rPr>
      </w:pPr>
      <w:r>
        <w:rPr>
          <w:rFonts w:hint="eastAsia" w:hAnsi="宋体" w:cs="宋体"/>
          <w:b/>
          <w:sz w:val="21"/>
          <w:szCs w:val="21"/>
          <w:u w:val="single" w:color="000000"/>
        </w:rPr>
        <w:t>（2）其他：/   。</w:t>
      </w:r>
    </w:p>
    <w:p w14:paraId="7D73CE0E">
      <w:pPr>
        <w:snapToGrid w:val="0"/>
        <w:spacing w:line="360" w:lineRule="auto"/>
        <w:ind w:firstLine="422" w:firstLineChars="200"/>
        <w:jc w:val="left"/>
        <w:textAlignment w:val="baseline"/>
        <w:rPr>
          <w:rFonts w:hint="eastAsia" w:hAnsi="宋体" w:cs="宋体"/>
          <w:b/>
          <w:sz w:val="21"/>
          <w:szCs w:val="21"/>
          <w:u w:val="single" w:color="000000"/>
        </w:rPr>
      </w:pPr>
      <w:r>
        <w:rPr>
          <w:rFonts w:hint="eastAsia" w:hAnsi="宋体" w:cs="宋体"/>
          <w:b/>
          <w:sz w:val="21"/>
          <w:szCs w:val="21"/>
          <w:u w:val="single" w:color="000000"/>
        </w:rPr>
        <w:t>其中：</w:t>
      </w:r>
    </w:p>
    <w:p w14:paraId="5BCBDE39">
      <w:pPr>
        <w:snapToGrid w:val="0"/>
        <w:spacing w:line="360" w:lineRule="auto"/>
        <w:ind w:firstLine="422" w:firstLineChars="200"/>
        <w:jc w:val="left"/>
        <w:textAlignment w:val="baseline"/>
        <w:rPr>
          <w:rFonts w:hint="eastAsia" w:hAnsi="宋体" w:cs="宋体"/>
          <w:b/>
          <w:sz w:val="21"/>
          <w:szCs w:val="21"/>
          <w:u w:val="single" w:color="000000"/>
        </w:rPr>
      </w:pPr>
      <w:r>
        <w:rPr>
          <w:rFonts w:hint="eastAsia" w:hAnsi="宋体" w:cs="宋体"/>
          <w:b/>
          <w:sz w:val="21"/>
          <w:szCs w:val="21"/>
          <w:u w:val="single" w:color="000000"/>
        </w:rPr>
        <w:t>1、风险范围及幅度的约定：</w:t>
      </w:r>
    </w:p>
    <w:p w14:paraId="6AEEDEA9">
      <w:pPr>
        <w:snapToGrid w:val="0"/>
        <w:spacing w:line="360" w:lineRule="auto"/>
        <w:ind w:firstLine="422" w:firstLineChars="200"/>
        <w:jc w:val="left"/>
        <w:textAlignment w:val="baseline"/>
        <w:rPr>
          <w:rFonts w:hint="eastAsia" w:hAnsi="宋体" w:cs="宋体"/>
          <w:b/>
          <w:sz w:val="21"/>
          <w:szCs w:val="21"/>
          <w:u w:val="single" w:color="000000"/>
        </w:rPr>
      </w:pPr>
      <w:r>
        <w:rPr>
          <w:rFonts w:hint="eastAsia" w:hAnsi="宋体" w:cs="宋体"/>
          <w:b/>
          <w:sz w:val="21"/>
          <w:szCs w:val="21"/>
          <w:u w:val="single" w:color="000000"/>
        </w:rPr>
        <w:t>（1）人工费的风险幅度（5%）</w:t>
      </w:r>
    </w:p>
    <w:p w14:paraId="4DF94E19">
      <w:pPr>
        <w:snapToGrid w:val="0"/>
        <w:spacing w:line="360" w:lineRule="auto"/>
        <w:ind w:firstLine="422" w:firstLineChars="200"/>
        <w:jc w:val="left"/>
        <w:textAlignment w:val="baseline"/>
        <w:rPr>
          <w:rFonts w:hint="eastAsia" w:hAnsi="宋体" w:cs="宋体"/>
          <w:b/>
          <w:sz w:val="21"/>
          <w:szCs w:val="21"/>
          <w:u w:val="single" w:color="000000"/>
        </w:rPr>
      </w:pPr>
      <w:r>
        <w:rPr>
          <w:rFonts w:hint="eastAsia" w:hAnsi="宋体" w:cs="宋体"/>
          <w:b/>
          <w:sz w:val="21"/>
          <w:szCs w:val="21"/>
          <w:u w:val="single" w:color="000000"/>
        </w:rPr>
        <w:t>（2）材料价格的风险幅度（5%）</w:t>
      </w:r>
    </w:p>
    <w:p w14:paraId="4FC15F5A">
      <w:pPr>
        <w:snapToGrid w:val="0"/>
        <w:spacing w:line="360" w:lineRule="auto"/>
        <w:ind w:firstLine="422" w:firstLineChars="200"/>
        <w:jc w:val="left"/>
        <w:textAlignment w:val="baseline"/>
        <w:rPr>
          <w:rFonts w:hint="eastAsia" w:hAnsi="宋体" w:cs="宋体"/>
          <w:b/>
          <w:sz w:val="21"/>
          <w:szCs w:val="21"/>
          <w:u w:val="single" w:color="000000"/>
        </w:rPr>
      </w:pPr>
      <w:r>
        <w:rPr>
          <w:rFonts w:hint="eastAsia" w:hAnsi="宋体" w:cs="宋体"/>
          <w:b/>
          <w:sz w:val="21"/>
          <w:szCs w:val="21"/>
          <w:u w:val="single" w:color="000000"/>
        </w:rPr>
        <w:t>2、材料价款动态调整结算方式采用以下第（3）种方式约定：</w:t>
      </w:r>
    </w:p>
    <w:p w14:paraId="71359792">
      <w:pPr>
        <w:snapToGrid w:val="0"/>
        <w:spacing w:line="360" w:lineRule="auto"/>
        <w:ind w:firstLine="422" w:firstLineChars="200"/>
        <w:jc w:val="left"/>
        <w:textAlignment w:val="baseline"/>
        <w:rPr>
          <w:rFonts w:hint="eastAsia" w:hAnsi="宋体" w:cs="宋体"/>
          <w:b/>
          <w:sz w:val="21"/>
          <w:szCs w:val="21"/>
          <w:u w:val="single" w:color="000000"/>
        </w:rPr>
      </w:pPr>
      <w:r>
        <w:rPr>
          <w:rFonts w:hint="eastAsia" w:hAnsi="宋体" w:cs="宋体"/>
          <w:b/>
          <w:sz w:val="21"/>
          <w:szCs w:val="21"/>
          <w:u w:val="single" w:color="000000"/>
        </w:rPr>
        <w:t>（1）按时间进度分段结算：          /                 。</w:t>
      </w:r>
    </w:p>
    <w:p w14:paraId="6D9F10BD">
      <w:pPr>
        <w:snapToGrid w:val="0"/>
        <w:spacing w:line="360" w:lineRule="auto"/>
        <w:ind w:firstLine="422" w:firstLineChars="200"/>
        <w:jc w:val="left"/>
        <w:textAlignment w:val="baseline"/>
        <w:rPr>
          <w:rFonts w:hint="eastAsia" w:hAnsi="宋体" w:cs="宋体"/>
          <w:b/>
          <w:sz w:val="21"/>
          <w:szCs w:val="21"/>
          <w:u w:val="single" w:color="000000"/>
        </w:rPr>
      </w:pPr>
      <w:r>
        <w:rPr>
          <w:rFonts w:hint="eastAsia" w:hAnsi="宋体" w:cs="宋体"/>
          <w:b/>
          <w:sz w:val="21"/>
          <w:szCs w:val="21"/>
          <w:u w:val="single" w:color="000000"/>
        </w:rPr>
        <w:t>（2）按工程形象部位(目标)分段结算： /   。</w:t>
      </w:r>
    </w:p>
    <w:p w14:paraId="47216F0D">
      <w:pPr>
        <w:snapToGrid w:val="0"/>
        <w:spacing w:line="360" w:lineRule="auto"/>
        <w:ind w:firstLine="422" w:firstLineChars="200"/>
        <w:jc w:val="left"/>
        <w:textAlignment w:val="baseline"/>
        <w:rPr>
          <w:rFonts w:hAnsi="宋体" w:cs="宋体"/>
          <w:b/>
          <w:sz w:val="21"/>
          <w:szCs w:val="21"/>
          <w:u w:val="single" w:color="000000"/>
        </w:rPr>
      </w:pPr>
      <w:r>
        <w:rPr>
          <w:rFonts w:hint="eastAsia" w:hAnsi="宋体" w:cs="宋体"/>
          <w:b/>
          <w:sz w:val="21"/>
          <w:szCs w:val="21"/>
          <w:u w:val="single" w:color="000000"/>
        </w:rPr>
        <w:t>（3）竣工后一次性结算： 竣工后一次性结算。</w:t>
      </w:r>
    </w:p>
    <w:p w14:paraId="74403FE7">
      <w:pPr>
        <w:pStyle w:val="6"/>
        <w:snapToGrid w:val="0"/>
        <w:spacing w:before="0" w:after="0" w:line="360" w:lineRule="auto"/>
        <w:ind w:firstLine="422" w:firstLineChars="200"/>
        <w:textAlignment w:val="baseline"/>
        <w:rPr>
          <w:rFonts w:ascii="宋体" w:hAnsi="宋体" w:cs="宋体"/>
          <w:sz w:val="21"/>
          <w:szCs w:val="21"/>
        </w:rPr>
      </w:pPr>
      <w:bookmarkStart w:id="562" w:name="_Toc296944544"/>
      <w:bookmarkStart w:id="563" w:name="_Toc297048391"/>
      <w:bookmarkStart w:id="564" w:name="_Toc296347204"/>
      <w:bookmarkStart w:id="565" w:name="_Toc296891033"/>
      <w:bookmarkStart w:id="566" w:name="_Toc296503205"/>
      <w:bookmarkStart w:id="567" w:name="_Toc296346706"/>
      <w:bookmarkStart w:id="568" w:name="_Toc296891245"/>
      <w:bookmarkStart w:id="569" w:name="_Toc292559410"/>
      <w:bookmarkStart w:id="570" w:name="_Toc292559915"/>
      <w:bookmarkStart w:id="571" w:name="_Toc297120505"/>
      <w:bookmarkStart w:id="572" w:name="_Toc303539159"/>
      <w:bookmarkStart w:id="573" w:name="_Toc312678040"/>
      <w:bookmarkStart w:id="574" w:name="_Toc297216211"/>
      <w:bookmarkStart w:id="575" w:name="_Toc351203644"/>
      <w:bookmarkStart w:id="576" w:name="_Toc297123552"/>
      <w:bookmarkStart w:id="577" w:name="_Toc304295579"/>
      <w:bookmarkStart w:id="578" w:name="_Toc300935002"/>
      <w:r>
        <w:rPr>
          <w:rFonts w:hint="eastAsia" w:ascii="宋体" w:hAnsi="宋体" w:cs="宋体"/>
          <w:sz w:val="21"/>
          <w:szCs w:val="21"/>
        </w:rPr>
        <w:t xml:space="preserve">12. </w:t>
      </w:r>
      <w:bookmarkEnd w:id="562"/>
      <w:bookmarkEnd w:id="563"/>
      <w:bookmarkEnd w:id="564"/>
      <w:bookmarkEnd w:id="565"/>
      <w:bookmarkEnd w:id="566"/>
      <w:bookmarkEnd w:id="567"/>
      <w:bookmarkEnd w:id="568"/>
      <w:bookmarkEnd w:id="569"/>
      <w:bookmarkEnd w:id="570"/>
      <w:bookmarkEnd w:id="571"/>
      <w:r>
        <w:rPr>
          <w:rFonts w:hint="eastAsia" w:ascii="宋体" w:hAnsi="宋体" w:cs="宋体"/>
          <w:sz w:val="21"/>
          <w:szCs w:val="21"/>
        </w:rPr>
        <w:t>合同价格、计量与支付</w:t>
      </w:r>
      <w:bookmarkEnd w:id="572"/>
      <w:bookmarkEnd w:id="573"/>
      <w:bookmarkEnd w:id="574"/>
      <w:bookmarkEnd w:id="575"/>
      <w:bookmarkEnd w:id="576"/>
      <w:bookmarkEnd w:id="577"/>
      <w:bookmarkEnd w:id="578"/>
      <w:bookmarkStart w:id="579" w:name="_Toc292559411"/>
      <w:bookmarkStart w:id="580" w:name="_Toc292559916"/>
      <w:bookmarkStart w:id="581" w:name="_Toc267251461"/>
      <w:bookmarkStart w:id="582" w:name="_Toc296347205"/>
      <w:bookmarkStart w:id="583" w:name="_Toc297120506"/>
      <w:bookmarkStart w:id="584" w:name="_Toc296891246"/>
      <w:bookmarkStart w:id="585" w:name="_Toc296944545"/>
      <w:bookmarkStart w:id="586" w:name="_Toc296346707"/>
      <w:bookmarkStart w:id="587" w:name="_Toc297048392"/>
      <w:bookmarkStart w:id="588" w:name="_Toc296503206"/>
      <w:bookmarkStart w:id="589" w:name="_Toc296891034"/>
    </w:p>
    <w:p w14:paraId="73C5BCF0">
      <w:pPr>
        <w:pStyle w:val="6"/>
        <w:snapToGrid w:val="0"/>
        <w:spacing w:before="0" w:after="0" w:line="360" w:lineRule="auto"/>
        <w:ind w:firstLine="422" w:firstLineChars="200"/>
        <w:textAlignment w:val="baseline"/>
        <w:rPr>
          <w:rFonts w:ascii="宋体" w:hAnsi="宋体" w:cs="宋体"/>
          <w:sz w:val="21"/>
          <w:szCs w:val="21"/>
        </w:rPr>
      </w:pPr>
      <w:r>
        <w:rPr>
          <w:rFonts w:hint="eastAsia" w:ascii="宋体" w:hAnsi="宋体" w:cs="宋体"/>
          <w:sz w:val="21"/>
          <w:szCs w:val="21"/>
        </w:rPr>
        <w:t>12.1 合</w:t>
      </w:r>
      <w:bookmarkEnd w:id="579"/>
      <w:bookmarkEnd w:id="580"/>
      <w:bookmarkEnd w:id="581"/>
      <w:r>
        <w:rPr>
          <w:rFonts w:hint="eastAsia" w:ascii="宋体" w:hAnsi="宋体" w:cs="宋体"/>
          <w:sz w:val="21"/>
          <w:szCs w:val="21"/>
        </w:rPr>
        <w:t>同价</w:t>
      </w:r>
      <w:bookmarkEnd w:id="582"/>
      <w:bookmarkEnd w:id="583"/>
      <w:bookmarkEnd w:id="584"/>
      <w:bookmarkEnd w:id="585"/>
      <w:bookmarkEnd w:id="586"/>
      <w:bookmarkEnd w:id="587"/>
      <w:bookmarkEnd w:id="588"/>
      <w:bookmarkEnd w:id="589"/>
      <w:r>
        <w:rPr>
          <w:rFonts w:hint="eastAsia" w:ascii="宋体" w:hAnsi="宋体" w:cs="宋体"/>
          <w:sz w:val="21"/>
          <w:szCs w:val="21"/>
        </w:rPr>
        <w:t>格形式</w:t>
      </w:r>
    </w:p>
    <w:p w14:paraId="447E5FDB">
      <w:pPr>
        <w:snapToGrid w:val="0"/>
        <w:spacing w:line="360" w:lineRule="auto"/>
        <w:ind w:firstLine="422" w:firstLineChars="200"/>
        <w:jc w:val="left"/>
        <w:textAlignment w:val="baseline"/>
        <w:rPr>
          <w:rFonts w:hAnsi="宋体" w:cs="宋体"/>
          <w:b/>
          <w:sz w:val="21"/>
          <w:szCs w:val="21"/>
          <w:u w:val="single"/>
        </w:rPr>
      </w:pPr>
      <w:r>
        <w:rPr>
          <w:rFonts w:hint="eastAsia" w:hAnsi="宋体" w:cs="宋体"/>
          <w:b/>
          <w:sz w:val="21"/>
          <w:szCs w:val="21"/>
          <w:u w:val="single" w:color="000000"/>
        </w:rPr>
        <w:t>1、本合同价款采用固定单价合同方式确定。</w:t>
      </w:r>
    </w:p>
    <w:p w14:paraId="42226CCC">
      <w:pPr>
        <w:snapToGrid w:val="0"/>
        <w:spacing w:line="360" w:lineRule="auto"/>
        <w:ind w:firstLine="422" w:firstLineChars="200"/>
        <w:jc w:val="left"/>
        <w:textAlignment w:val="baseline"/>
        <w:rPr>
          <w:rFonts w:hAnsi="宋体" w:cs="宋体"/>
          <w:b/>
          <w:sz w:val="21"/>
          <w:szCs w:val="21"/>
          <w:u w:val="single" w:color="000000"/>
        </w:rPr>
      </w:pPr>
      <w:r>
        <w:rPr>
          <w:rFonts w:hint="eastAsia" w:hAnsi="宋体" w:cs="宋体"/>
          <w:b/>
          <w:sz w:val="21"/>
          <w:szCs w:val="21"/>
          <w:u w:val="single" w:color="000000"/>
        </w:rPr>
        <w:t>本合同包含的风险范围为：</w:t>
      </w:r>
    </w:p>
    <w:p w14:paraId="55EA9DE6">
      <w:pPr>
        <w:snapToGrid w:val="0"/>
        <w:spacing w:line="360" w:lineRule="auto"/>
        <w:ind w:firstLine="422" w:firstLineChars="200"/>
        <w:jc w:val="left"/>
        <w:textAlignment w:val="baseline"/>
        <w:rPr>
          <w:rFonts w:hint="eastAsia" w:hAnsi="宋体" w:cs="宋体"/>
          <w:b/>
          <w:sz w:val="21"/>
          <w:szCs w:val="21"/>
          <w:u w:val="single" w:color="000000"/>
        </w:rPr>
      </w:pPr>
      <w:r>
        <w:rPr>
          <w:rFonts w:hint="eastAsia" w:hAnsi="宋体" w:cs="宋体"/>
          <w:b/>
          <w:sz w:val="21"/>
          <w:szCs w:val="21"/>
          <w:u w:val="single" w:color="000000"/>
        </w:rPr>
        <w:t>（1）应由承包人承担的工、料、机在投标编制期或预算书编制期与合同实施期间所发生的市场价格波动。</w:t>
      </w:r>
    </w:p>
    <w:p w14:paraId="66C88220">
      <w:pPr>
        <w:snapToGrid w:val="0"/>
        <w:spacing w:line="360" w:lineRule="auto"/>
        <w:ind w:firstLine="422" w:firstLineChars="200"/>
        <w:jc w:val="left"/>
        <w:textAlignment w:val="baseline"/>
        <w:rPr>
          <w:rFonts w:hint="eastAsia" w:hAnsi="宋体" w:cs="宋体"/>
          <w:b/>
          <w:sz w:val="21"/>
          <w:szCs w:val="21"/>
          <w:u w:val="single" w:color="000000"/>
        </w:rPr>
      </w:pPr>
      <w:r>
        <w:rPr>
          <w:rFonts w:hint="eastAsia" w:hAnsi="宋体" w:cs="宋体"/>
          <w:b/>
          <w:sz w:val="21"/>
          <w:szCs w:val="21"/>
          <w:u w:val="single" w:color="000000"/>
        </w:rPr>
        <w:t>（2）其他：</w:t>
      </w:r>
    </w:p>
    <w:p w14:paraId="1250EDF4">
      <w:pPr>
        <w:snapToGrid w:val="0"/>
        <w:spacing w:line="360" w:lineRule="auto"/>
        <w:ind w:firstLine="422" w:firstLineChars="200"/>
        <w:jc w:val="left"/>
        <w:textAlignment w:val="baseline"/>
        <w:rPr>
          <w:rFonts w:hint="eastAsia" w:hAnsi="宋体" w:cs="宋体"/>
          <w:b/>
          <w:sz w:val="21"/>
          <w:szCs w:val="21"/>
          <w:u w:val="single" w:color="000000"/>
        </w:rPr>
      </w:pPr>
      <w:r>
        <w:rPr>
          <w:rFonts w:hint="eastAsia" w:hAnsi="宋体" w:cs="宋体"/>
          <w:b/>
          <w:sz w:val="21"/>
          <w:szCs w:val="21"/>
          <w:u w:val="single" w:color="000000"/>
        </w:rPr>
        <w:t>a</w:t>
      </w:r>
      <w:r>
        <w:rPr>
          <w:rFonts w:hAnsi="宋体" w:cs="宋体"/>
          <w:b/>
          <w:sz w:val="21"/>
          <w:szCs w:val="21"/>
          <w:u w:val="single" w:color="000000"/>
        </w:rPr>
        <w:t>.</w:t>
      </w:r>
      <w:r>
        <w:rPr>
          <w:rFonts w:hint="eastAsia" w:hAnsi="宋体" w:cs="宋体"/>
          <w:b/>
          <w:sz w:val="21"/>
          <w:szCs w:val="21"/>
          <w:u w:val="single" w:color="000000"/>
        </w:rPr>
        <w:t>承包人可以或应该能预见的风险;</w:t>
      </w:r>
    </w:p>
    <w:p w14:paraId="7C43C533">
      <w:pPr>
        <w:snapToGrid w:val="0"/>
        <w:spacing w:line="360" w:lineRule="auto"/>
        <w:ind w:firstLine="422" w:firstLineChars="200"/>
        <w:jc w:val="left"/>
        <w:textAlignment w:val="baseline"/>
        <w:rPr>
          <w:rFonts w:hint="eastAsia" w:hAnsi="宋体" w:cs="宋体"/>
          <w:b/>
          <w:sz w:val="21"/>
          <w:szCs w:val="21"/>
          <w:u w:val="single" w:color="000000"/>
        </w:rPr>
      </w:pPr>
      <w:r>
        <w:rPr>
          <w:rFonts w:hint="eastAsia" w:hAnsi="宋体" w:cs="宋体"/>
          <w:b/>
          <w:sz w:val="21"/>
          <w:szCs w:val="21"/>
          <w:u w:val="single" w:color="000000"/>
        </w:rPr>
        <w:t>b</w:t>
      </w:r>
      <w:r>
        <w:rPr>
          <w:rFonts w:hAnsi="宋体" w:cs="宋体"/>
          <w:b/>
          <w:sz w:val="21"/>
          <w:szCs w:val="21"/>
          <w:u w:val="single" w:color="000000"/>
        </w:rPr>
        <w:t>.</w:t>
      </w:r>
      <w:r>
        <w:rPr>
          <w:rFonts w:hint="eastAsia" w:hAnsi="宋体" w:cs="宋体"/>
          <w:b/>
          <w:sz w:val="21"/>
          <w:szCs w:val="21"/>
          <w:u w:val="single" w:color="000000"/>
        </w:rPr>
        <w:t>分部分项工程量清单和表1-3-C技术措施项目清单及计价表中已列项目的综合单价；</w:t>
      </w:r>
    </w:p>
    <w:p w14:paraId="0526C6B3">
      <w:pPr>
        <w:snapToGrid w:val="0"/>
        <w:spacing w:line="360" w:lineRule="auto"/>
        <w:ind w:firstLine="422" w:firstLineChars="200"/>
        <w:jc w:val="left"/>
        <w:textAlignment w:val="baseline"/>
        <w:rPr>
          <w:rFonts w:hint="eastAsia" w:hAnsi="宋体" w:cs="宋体"/>
          <w:b/>
          <w:sz w:val="21"/>
          <w:szCs w:val="21"/>
          <w:u w:val="single" w:color="000000"/>
        </w:rPr>
      </w:pPr>
      <w:r>
        <w:rPr>
          <w:rFonts w:hint="eastAsia" w:hAnsi="宋体" w:cs="宋体"/>
          <w:b/>
          <w:sz w:val="21"/>
          <w:szCs w:val="21"/>
          <w:u w:val="single" w:color="000000"/>
        </w:rPr>
        <w:t>c</w:t>
      </w:r>
      <w:r>
        <w:rPr>
          <w:rFonts w:hAnsi="宋体" w:cs="宋体"/>
          <w:b/>
          <w:sz w:val="21"/>
          <w:szCs w:val="21"/>
          <w:u w:val="single" w:color="000000"/>
        </w:rPr>
        <w:t>.</w:t>
      </w:r>
      <w:r>
        <w:rPr>
          <w:rFonts w:hint="eastAsia" w:hAnsi="宋体" w:cs="宋体"/>
          <w:b/>
          <w:sz w:val="21"/>
          <w:szCs w:val="21"/>
          <w:u w:val="single" w:color="000000"/>
        </w:rPr>
        <w:t>“风险范围以外合同价款调整方法”条款规定外的人工费、材料（设备）、机械台班价格的涨跌；</w:t>
      </w:r>
    </w:p>
    <w:p w14:paraId="3C7184DF">
      <w:pPr>
        <w:snapToGrid w:val="0"/>
        <w:spacing w:line="360" w:lineRule="auto"/>
        <w:ind w:firstLine="422" w:firstLineChars="200"/>
        <w:jc w:val="left"/>
        <w:textAlignment w:val="baseline"/>
        <w:rPr>
          <w:rFonts w:hint="eastAsia" w:hAnsi="宋体" w:cs="宋体"/>
          <w:b/>
          <w:sz w:val="21"/>
          <w:szCs w:val="21"/>
          <w:u w:val="single" w:color="000000"/>
        </w:rPr>
      </w:pPr>
      <w:r>
        <w:rPr>
          <w:rFonts w:hint="eastAsia" w:hAnsi="宋体" w:cs="宋体"/>
          <w:b/>
          <w:sz w:val="21"/>
          <w:szCs w:val="21"/>
          <w:u w:val="single" w:color="000000"/>
        </w:rPr>
        <w:t>d</w:t>
      </w:r>
      <w:r>
        <w:rPr>
          <w:rFonts w:hAnsi="宋体" w:cs="宋体"/>
          <w:b/>
          <w:sz w:val="21"/>
          <w:szCs w:val="21"/>
          <w:u w:val="single" w:color="000000"/>
        </w:rPr>
        <w:t>.</w:t>
      </w:r>
      <w:r>
        <w:rPr>
          <w:rFonts w:hint="eastAsia" w:hAnsi="宋体" w:cs="宋体"/>
          <w:b/>
          <w:sz w:val="21"/>
          <w:szCs w:val="21"/>
          <w:u w:val="single" w:color="000000"/>
        </w:rPr>
        <w:t>所有招标文件或工程量清单要求报价的内容而承包人未予报价的；</w:t>
      </w:r>
    </w:p>
    <w:p w14:paraId="26017493">
      <w:pPr>
        <w:snapToGrid w:val="0"/>
        <w:spacing w:line="360" w:lineRule="auto"/>
        <w:ind w:firstLine="422" w:firstLineChars="200"/>
        <w:jc w:val="left"/>
        <w:textAlignment w:val="baseline"/>
        <w:rPr>
          <w:rFonts w:hint="eastAsia" w:hAnsi="宋体" w:cs="宋体"/>
          <w:b/>
          <w:sz w:val="21"/>
          <w:szCs w:val="21"/>
          <w:u w:val="single" w:color="000000"/>
        </w:rPr>
      </w:pPr>
      <w:r>
        <w:rPr>
          <w:rFonts w:hint="eastAsia" w:hAnsi="宋体" w:cs="宋体"/>
          <w:b/>
          <w:sz w:val="21"/>
          <w:szCs w:val="21"/>
          <w:u w:val="single" w:color="000000"/>
        </w:rPr>
        <w:t>e</w:t>
      </w:r>
      <w:r>
        <w:rPr>
          <w:rFonts w:hAnsi="宋体" w:cs="宋体"/>
          <w:b/>
          <w:sz w:val="21"/>
          <w:szCs w:val="21"/>
          <w:u w:val="single" w:color="000000"/>
        </w:rPr>
        <w:t>.</w:t>
      </w:r>
      <w:r>
        <w:rPr>
          <w:rFonts w:hint="eastAsia" w:hAnsi="宋体" w:cs="宋体"/>
          <w:b/>
          <w:sz w:val="21"/>
          <w:szCs w:val="21"/>
          <w:u w:val="single" w:color="000000"/>
        </w:rPr>
        <w:t xml:space="preserve">承包人对工程现场环境以及发包人提供的招标文件、图纸等资料作出错误的推论、理解而导致的报价失误； </w:t>
      </w:r>
    </w:p>
    <w:p w14:paraId="26F61A3A">
      <w:pPr>
        <w:snapToGrid w:val="0"/>
        <w:spacing w:line="360" w:lineRule="auto"/>
        <w:ind w:firstLine="422" w:firstLineChars="200"/>
        <w:jc w:val="left"/>
        <w:textAlignment w:val="baseline"/>
        <w:rPr>
          <w:rFonts w:hint="eastAsia" w:hAnsi="宋体" w:cs="宋体"/>
          <w:b/>
          <w:sz w:val="21"/>
          <w:szCs w:val="21"/>
          <w:u w:val="single" w:color="000000"/>
        </w:rPr>
      </w:pPr>
      <w:r>
        <w:rPr>
          <w:rFonts w:hint="eastAsia" w:hAnsi="宋体" w:cs="宋体"/>
          <w:b/>
          <w:sz w:val="21"/>
          <w:szCs w:val="21"/>
          <w:u w:val="single" w:color="000000"/>
        </w:rPr>
        <w:t>f</w:t>
      </w:r>
      <w:r>
        <w:rPr>
          <w:rFonts w:hAnsi="宋体" w:cs="宋体"/>
          <w:b/>
          <w:sz w:val="21"/>
          <w:szCs w:val="21"/>
          <w:u w:val="single" w:color="000000"/>
        </w:rPr>
        <w:t>.</w:t>
      </w:r>
      <w:r>
        <w:rPr>
          <w:rFonts w:hint="eastAsia" w:hAnsi="宋体" w:cs="宋体"/>
          <w:b/>
          <w:sz w:val="21"/>
          <w:szCs w:val="21"/>
          <w:u w:val="single" w:color="000000"/>
        </w:rPr>
        <w:t>施工技术措施费、施工组织措施费按项为单位计算的，在招标范围未发生变化的情况下，按投标报价实行包干，不得因现场施工条件变化、设计图纸变化、工程量增减、施工方案变更等任何因素而调整费用，但甩项除外；</w:t>
      </w:r>
    </w:p>
    <w:p w14:paraId="681621F8">
      <w:pPr>
        <w:snapToGrid w:val="0"/>
        <w:spacing w:line="360" w:lineRule="auto"/>
        <w:ind w:firstLine="422" w:firstLineChars="200"/>
        <w:jc w:val="left"/>
        <w:textAlignment w:val="baseline"/>
        <w:rPr>
          <w:rFonts w:hint="eastAsia" w:hAnsi="宋体" w:cs="宋体"/>
          <w:b/>
          <w:sz w:val="21"/>
          <w:szCs w:val="21"/>
          <w:u w:val="single" w:color="000000"/>
        </w:rPr>
      </w:pPr>
      <w:r>
        <w:rPr>
          <w:rFonts w:hint="eastAsia" w:hAnsi="宋体" w:cs="宋体"/>
          <w:b/>
          <w:sz w:val="21"/>
          <w:szCs w:val="21"/>
          <w:u w:val="single" w:color="000000"/>
        </w:rPr>
        <w:t>g</w:t>
      </w:r>
      <w:r>
        <w:rPr>
          <w:rFonts w:hAnsi="宋体" w:cs="宋体"/>
          <w:b/>
          <w:sz w:val="21"/>
          <w:szCs w:val="21"/>
          <w:u w:val="single" w:color="000000"/>
        </w:rPr>
        <w:t>.</w:t>
      </w:r>
      <w:r>
        <w:rPr>
          <w:rFonts w:hint="eastAsia" w:hAnsi="宋体" w:cs="宋体"/>
          <w:b/>
          <w:sz w:val="21"/>
          <w:szCs w:val="21"/>
          <w:u w:val="single" w:color="000000"/>
        </w:rPr>
        <w:t>规费、税金、农民工工伤保险费为费率包干；</w:t>
      </w:r>
    </w:p>
    <w:p w14:paraId="60FE9A43">
      <w:pPr>
        <w:snapToGrid w:val="0"/>
        <w:spacing w:line="360" w:lineRule="auto"/>
        <w:ind w:firstLine="422" w:firstLineChars="200"/>
        <w:jc w:val="left"/>
        <w:textAlignment w:val="baseline"/>
        <w:rPr>
          <w:rFonts w:hint="eastAsia" w:hAnsi="宋体" w:cs="宋体"/>
          <w:b/>
          <w:sz w:val="21"/>
          <w:szCs w:val="21"/>
          <w:u w:val="single" w:color="000000"/>
        </w:rPr>
      </w:pPr>
      <w:r>
        <w:rPr>
          <w:rFonts w:hint="eastAsia" w:hAnsi="宋体" w:cs="宋体"/>
          <w:b/>
          <w:sz w:val="21"/>
          <w:szCs w:val="21"/>
          <w:u w:val="single" w:color="000000"/>
        </w:rPr>
        <w:t>h</w:t>
      </w:r>
      <w:r>
        <w:rPr>
          <w:rFonts w:hAnsi="宋体" w:cs="宋体"/>
          <w:b/>
          <w:sz w:val="21"/>
          <w:szCs w:val="21"/>
          <w:u w:val="single" w:color="000000"/>
        </w:rPr>
        <w:t>.</w:t>
      </w:r>
      <w:r>
        <w:rPr>
          <w:rFonts w:hint="eastAsia" w:hAnsi="宋体" w:cs="宋体"/>
          <w:b/>
          <w:sz w:val="21"/>
          <w:szCs w:val="21"/>
          <w:u w:val="single" w:color="000000"/>
        </w:rPr>
        <w:t>清单描述中有按图集或规范施工的，综合单价必须满足规范和图集要求，综合单价不作调整；</w:t>
      </w:r>
    </w:p>
    <w:p w14:paraId="455742E0">
      <w:pPr>
        <w:snapToGrid w:val="0"/>
        <w:spacing w:line="360" w:lineRule="auto"/>
        <w:ind w:firstLine="422" w:firstLineChars="200"/>
        <w:jc w:val="left"/>
        <w:textAlignment w:val="baseline"/>
        <w:rPr>
          <w:rFonts w:hint="eastAsia" w:hAnsi="宋体" w:cs="宋体"/>
          <w:b/>
          <w:sz w:val="21"/>
          <w:szCs w:val="21"/>
          <w:u w:val="single" w:color="000000"/>
        </w:rPr>
      </w:pPr>
      <w:r>
        <w:rPr>
          <w:rFonts w:hint="eastAsia" w:hAnsi="宋体" w:cs="宋体"/>
          <w:b/>
          <w:sz w:val="21"/>
          <w:szCs w:val="21"/>
          <w:u w:val="single" w:color="000000"/>
        </w:rPr>
        <w:t>i</w:t>
      </w:r>
      <w:r>
        <w:rPr>
          <w:rFonts w:hAnsi="宋体" w:cs="宋体"/>
          <w:b/>
          <w:sz w:val="21"/>
          <w:szCs w:val="21"/>
          <w:u w:val="single" w:color="000000"/>
        </w:rPr>
        <w:t>.</w:t>
      </w:r>
      <w:r>
        <w:rPr>
          <w:rFonts w:hint="eastAsia" w:hAnsi="宋体" w:cs="宋体"/>
          <w:b/>
          <w:sz w:val="21"/>
          <w:szCs w:val="21"/>
          <w:u w:val="single" w:color="000000"/>
        </w:rPr>
        <w:t>所有招标文件或工程量清单明示要求报价包干或费率包干的内容；</w:t>
      </w:r>
    </w:p>
    <w:p w14:paraId="077A67A5">
      <w:pPr>
        <w:snapToGrid w:val="0"/>
        <w:spacing w:line="360" w:lineRule="auto"/>
        <w:ind w:firstLine="422" w:firstLineChars="200"/>
        <w:jc w:val="left"/>
        <w:textAlignment w:val="baseline"/>
        <w:rPr>
          <w:rFonts w:hint="eastAsia" w:hAnsi="宋体" w:cs="宋体"/>
          <w:b/>
          <w:sz w:val="21"/>
          <w:szCs w:val="21"/>
          <w:u w:val="single" w:color="000000"/>
        </w:rPr>
      </w:pPr>
      <w:r>
        <w:rPr>
          <w:rFonts w:hint="eastAsia" w:hAnsi="宋体" w:cs="宋体"/>
          <w:b/>
          <w:sz w:val="21"/>
          <w:szCs w:val="21"/>
          <w:u w:val="single" w:color="000000"/>
        </w:rPr>
        <w:t>j</w:t>
      </w:r>
      <w:r>
        <w:rPr>
          <w:rFonts w:hAnsi="宋体" w:cs="宋体"/>
          <w:b/>
          <w:sz w:val="21"/>
          <w:szCs w:val="21"/>
          <w:u w:val="single" w:color="000000"/>
        </w:rPr>
        <w:t>.</w:t>
      </w:r>
      <w:r>
        <w:rPr>
          <w:rFonts w:hint="eastAsia" w:hAnsi="宋体" w:cs="宋体"/>
          <w:b/>
          <w:sz w:val="21"/>
          <w:szCs w:val="21"/>
          <w:u w:val="single" w:color="000000"/>
        </w:rPr>
        <w:t>费用增减的范围为可能出现的施工图修改引起的工程量增减以及根据发包人明确指令需在施工图范围外增加的工程量或在招标范围内减少的工程量。发包人强调有可能根据工程需要修改施工图或发出指令增加或减少工程量，承包人必须无条件服从并在投标时考虑相应的风险；</w:t>
      </w:r>
    </w:p>
    <w:p w14:paraId="70C9D22E">
      <w:pPr>
        <w:snapToGrid w:val="0"/>
        <w:spacing w:line="360" w:lineRule="auto"/>
        <w:ind w:firstLine="422" w:firstLineChars="200"/>
        <w:jc w:val="left"/>
        <w:textAlignment w:val="baseline"/>
        <w:rPr>
          <w:rFonts w:hint="eastAsia" w:hAnsi="宋体" w:cs="宋体"/>
          <w:b/>
          <w:sz w:val="21"/>
          <w:szCs w:val="21"/>
          <w:u w:val="single" w:color="000000"/>
        </w:rPr>
      </w:pPr>
      <w:r>
        <w:rPr>
          <w:rFonts w:hAnsi="宋体" w:cs="宋体"/>
          <w:b/>
          <w:sz w:val="21"/>
          <w:szCs w:val="21"/>
          <w:u w:val="single" w:color="000000"/>
        </w:rPr>
        <w:t>k.</w:t>
      </w:r>
      <w:r>
        <w:rPr>
          <w:rFonts w:hint="eastAsia" w:hAnsi="宋体" w:cs="宋体"/>
          <w:b/>
          <w:sz w:val="21"/>
          <w:szCs w:val="21"/>
          <w:u w:val="single" w:color="000000"/>
        </w:rPr>
        <w:t xml:space="preserve">承包人投标时承诺的材料设备品牌的型号、规格、产品系列在工程实施过程中因停产导致市场无法采购等情况，须经发包人同意后选用不低于投标时技术标准和要求的产品（有推荐品牌的原则上在推荐品牌中选择，如产品推荐的品牌的也全部停产导致市场无法采购的，由承包人将相关产品资料提交发包人后确认），由此产生的费用不得调整，按投标所报综合单价包干； </w:t>
      </w:r>
    </w:p>
    <w:p w14:paraId="733586EC">
      <w:pPr>
        <w:snapToGrid w:val="0"/>
        <w:spacing w:line="360" w:lineRule="auto"/>
        <w:ind w:firstLine="422" w:firstLineChars="200"/>
        <w:jc w:val="left"/>
        <w:textAlignment w:val="baseline"/>
        <w:rPr>
          <w:rFonts w:hAnsi="宋体" w:cs="宋体"/>
          <w:b/>
          <w:sz w:val="21"/>
          <w:szCs w:val="21"/>
          <w:u w:val="single" w:color="000000"/>
        </w:rPr>
      </w:pPr>
      <w:r>
        <w:rPr>
          <w:rFonts w:hAnsi="宋体" w:cs="宋体"/>
          <w:b/>
          <w:sz w:val="21"/>
          <w:szCs w:val="21"/>
          <w:u w:val="single" w:color="000000"/>
        </w:rPr>
        <w:t>l.</w:t>
      </w:r>
      <w:r>
        <w:rPr>
          <w:rFonts w:hint="eastAsia" w:hAnsi="宋体" w:cs="宋体"/>
          <w:b/>
          <w:sz w:val="21"/>
          <w:szCs w:val="21"/>
          <w:u w:val="single" w:color="000000"/>
        </w:rPr>
        <w:t>工程量清单项目特征描述、现行预算定额、计价规范中未描述到，但又是完成分项工程必须有的工作内容 。</w:t>
      </w:r>
      <w:r>
        <w:rPr>
          <w:rFonts w:hint="eastAsia" w:hAnsi="宋体" w:cs="宋体"/>
          <w:sz w:val="21"/>
          <w:szCs w:val="21"/>
        </w:rPr>
        <w:t xml:space="preserve"> </w:t>
      </w:r>
    </w:p>
    <w:p w14:paraId="70238544">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2、总价合同。</w:t>
      </w:r>
      <w:r>
        <w:rPr>
          <w:rFonts w:hint="eastAsia" w:hAnsi="宋体" w:cs="宋体"/>
          <w:sz w:val="21"/>
          <w:szCs w:val="21"/>
        </w:rPr>
        <w:tab/>
      </w:r>
    </w:p>
    <w:p w14:paraId="5621EA5E">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总价包含的风险范围：</w:t>
      </w:r>
      <w:r>
        <w:rPr>
          <w:rFonts w:hint="eastAsia" w:hAnsi="宋体" w:cs="宋体"/>
          <w:sz w:val="21"/>
          <w:szCs w:val="21"/>
          <w:u w:val="single" w:color="000000"/>
        </w:rPr>
        <w:t xml:space="preserve">    /  </w:t>
      </w:r>
      <w:r>
        <w:rPr>
          <w:rFonts w:hint="eastAsia" w:hAnsi="宋体" w:cs="宋体"/>
          <w:sz w:val="21"/>
          <w:szCs w:val="21"/>
        </w:rPr>
        <w:t>。</w:t>
      </w:r>
    </w:p>
    <w:p w14:paraId="04CFAFA5">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风险费用的计算方法：</w:t>
      </w:r>
      <w:r>
        <w:rPr>
          <w:rFonts w:hint="eastAsia" w:hAnsi="宋体" w:cs="宋体"/>
          <w:sz w:val="21"/>
          <w:szCs w:val="21"/>
          <w:u w:val="single" w:color="000000"/>
        </w:rPr>
        <w:t xml:space="preserve">   /   </w:t>
      </w:r>
      <w:r>
        <w:rPr>
          <w:rFonts w:hint="eastAsia" w:hAnsi="宋体" w:cs="宋体"/>
          <w:sz w:val="21"/>
          <w:szCs w:val="21"/>
        </w:rPr>
        <w:t>。</w:t>
      </w:r>
    </w:p>
    <w:p w14:paraId="0CA2240F">
      <w:pPr>
        <w:snapToGrid w:val="0"/>
        <w:spacing w:line="360" w:lineRule="auto"/>
        <w:ind w:firstLine="420" w:firstLineChars="200"/>
        <w:jc w:val="left"/>
        <w:textAlignment w:val="baseline"/>
        <w:rPr>
          <w:rFonts w:hAnsi="宋体" w:cs="宋体"/>
          <w:sz w:val="21"/>
          <w:szCs w:val="21"/>
        </w:rPr>
      </w:pPr>
      <w:r>
        <w:rPr>
          <w:rFonts w:hAnsi="宋体" w:cs="宋体"/>
          <w:sz w:val="21"/>
          <w:szCs w:val="21"/>
        </w:rPr>
        <w:t>风险范围以外合同价格的调整方法：</w:t>
      </w:r>
      <w:r>
        <w:rPr>
          <w:rFonts w:hint="eastAsia" w:hAnsi="宋体" w:cs="宋体"/>
          <w:sz w:val="21"/>
          <w:szCs w:val="21"/>
          <w:u w:val="single" w:color="000000"/>
        </w:rPr>
        <w:t xml:space="preserve">   /   </w:t>
      </w:r>
      <w:r>
        <w:rPr>
          <w:rFonts w:hint="eastAsia" w:hAnsi="宋体" w:cs="宋体"/>
          <w:sz w:val="21"/>
          <w:szCs w:val="21"/>
        </w:rPr>
        <w:t>。</w:t>
      </w:r>
    </w:p>
    <w:p w14:paraId="33B7F305">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3、其他价格方式：</w:t>
      </w:r>
      <w:r>
        <w:rPr>
          <w:rFonts w:hint="eastAsia" w:hAnsi="宋体" w:cs="宋体"/>
          <w:sz w:val="21"/>
          <w:szCs w:val="21"/>
          <w:u w:val="single" w:color="000000"/>
        </w:rPr>
        <w:t xml:space="preserve">     /    </w:t>
      </w:r>
      <w:r>
        <w:rPr>
          <w:rFonts w:hint="eastAsia" w:hAnsi="宋体" w:cs="宋体"/>
          <w:sz w:val="21"/>
          <w:szCs w:val="21"/>
        </w:rPr>
        <w:t>。</w:t>
      </w:r>
    </w:p>
    <w:p w14:paraId="7F8A994E">
      <w:pPr>
        <w:snapToGrid w:val="0"/>
        <w:spacing w:line="360" w:lineRule="auto"/>
        <w:ind w:firstLine="420" w:firstLineChars="200"/>
        <w:textAlignment w:val="baseline"/>
        <w:rPr>
          <w:rFonts w:hAnsi="宋体" w:cs="宋体"/>
          <w:sz w:val="21"/>
          <w:szCs w:val="21"/>
        </w:rPr>
      </w:pPr>
      <w:r>
        <w:rPr>
          <w:rFonts w:hint="eastAsia" w:hAnsi="宋体" w:cs="宋体"/>
          <w:sz w:val="21"/>
          <w:szCs w:val="21"/>
        </w:rPr>
        <w:t>12.2 预付款</w:t>
      </w:r>
    </w:p>
    <w:p w14:paraId="6EA0AA45">
      <w:pPr>
        <w:snapToGrid w:val="0"/>
        <w:spacing w:line="360" w:lineRule="auto"/>
        <w:ind w:firstLine="420" w:firstLineChars="200"/>
        <w:textAlignment w:val="baseline"/>
        <w:rPr>
          <w:rFonts w:hAnsi="宋体" w:cs="宋体"/>
          <w:sz w:val="21"/>
          <w:szCs w:val="21"/>
        </w:rPr>
      </w:pPr>
      <w:r>
        <w:rPr>
          <w:rFonts w:hint="eastAsia" w:hAnsi="宋体" w:cs="宋体"/>
          <w:sz w:val="21"/>
          <w:szCs w:val="21"/>
        </w:rPr>
        <w:t>12.2.1 预付款的支付</w:t>
      </w:r>
    </w:p>
    <w:p w14:paraId="3CA119E2">
      <w:pPr>
        <w:snapToGrid w:val="0"/>
        <w:spacing w:line="360" w:lineRule="auto"/>
        <w:ind w:firstLine="420" w:firstLineChars="200"/>
        <w:textAlignment w:val="baseline"/>
        <w:rPr>
          <w:rFonts w:hAnsi="宋体" w:cs="宋体"/>
          <w:sz w:val="21"/>
          <w:szCs w:val="21"/>
        </w:rPr>
      </w:pPr>
      <w:r>
        <w:rPr>
          <w:rFonts w:hint="eastAsia" w:hAnsi="宋体" w:cs="宋体"/>
          <w:sz w:val="21"/>
          <w:szCs w:val="21"/>
        </w:rPr>
        <w:t>预付款支付比例或金额：</w:t>
      </w:r>
      <w:r>
        <w:rPr>
          <w:rFonts w:hint="eastAsia" w:hAnsi="宋体" w:cs="宋体"/>
          <w:sz w:val="21"/>
          <w:szCs w:val="21"/>
          <w:highlight w:val="green"/>
          <w:u w:val="single" w:color="000000"/>
        </w:rPr>
        <w:t>按照合同协议书中签约合同价的10%</w:t>
      </w:r>
      <w:r>
        <w:rPr>
          <w:rFonts w:hint="eastAsia" w:hAnsi="宋体" w:cs="宋体"/>
          <w:sz w:val="21"/>
          <w:szCs w:val="21"/>
          <w:highlight w:val="green"/>
          <w:u w:val="single" w:color="000000"/>
          <w:lang w:eastAsia="zh-CN"/>
        </w:rPr>
        <w:t>，</w:t>
      </w:r>
      <w:r>
        <w:rPr>
          <w:rFonts w:hint="eastAsia" w:hAnsi="宋体" w:cs="宋体"/>
          <w:sz w:val="21"/>
          <w:szCs w:val="21"/>
          <w:highlight w:val="green"/>
          <w:u w:val="single" w:color="000000"/>
        </w:rPr>
        <w:t>专用合同条款6.1.6条所列的安全文明施工费预付款（占安全文明施工费总额的</w:t>
      </w:r>
      <w:r>
        <w:rPr>
          <w:rFonts w:hint="eastAsia" w:hAnsi="宋体" w:cs="宋体"/>
          <w:sz w:val="21"/>
          <w:szCs w:val="21"/>
          <w:highlight w:val="green"/>
          <w:u w:val="single" w:color="000000"/>
          <w:lang w:val="en-US" w:eastAsia="zh-CN"/>
        </w:rPr>
        <w:t>6</w:t>
      </w:r>
      <w:r>
        <w:rPr>
          <w:rFonts w:hint="eastAsia" w:hAnsi="宋体" w:cs="宋体"/>
          <w:sz w:val="21"/>
          <w:szCs w:val="21"/>
          <w:highlight w:val="green"/>
          <w:u w:val="single" w:color="000000"/>
        </w:rPr>
        <w:t>0%）</w:t>
      </w:r>
      <w:r>
        <w:rPr>
          <w:rFonts w:hAnsi="宋体" w:cs="宋体"/>
          <w:sz w:val="21"/>
          <w:szCs w:val="21"/>
          <w:highlight w:val="green"/>
          <w:u w:val="single" w:color="000000"/>
        </w:rPr>
        <w:t xml:space="preserve"> </w:t>
      </w:r>
      <w:r>
        <w:rPr>
          <w:rFonts w:hAnsi="宋体" w:cs="宋体"/>
          <w:sz w:val="21"/>
          <w:szCs w:val="21"/>
          <w:u w:val="single" w:color="000000"/>
        </w:rPr>
        <w:t xml:space="preserve"> </w:t>
      </w:r>
      <w:r>
        <w:rPr>
          <w:rFonts w:hint="eastAsia" w:hAnsi="宋体" w:cs="宋体"/>
          <w:sz w:val="21"/>
          <w:szCs w:val="21"/>
        </w:rPr>
        <w:t xml:space="preserve">  。</w:t>
      </w:r>
    </w:p>
    <w:p w14:paraId="67B81D99">
      <w:pPr>
        <w:snapToGrid w:val="0"/>
        <w:spacing w:line="360" w:lineRule="auto"/>
        <w:ind w:firstLine="420" w:firstLineChars="200"/>
        <w:textAlignment w:val="baseline"/>
        <w:rPr>
          <w:rFonts w:hAnsi="宋体" w:cs="宋体"/>
          <w:sz w:val="21"/>
          <w:szCs w:val="21"/>
        </w:rPr>
      </w:pPr>
      <w:r>
        <w:rPr>
          <w:rFonts w:hint="eastAsia" w:hAnsi="宋体" w:cs="宋体"/>
          <w:sz w:val="21"/>
          <w:szCs w:val="21"/>
        </w:rPr>
        <w:t>预付款支付期限：</w:t>
      </w:r>
      <w:r>
        <w:rPr>
          <w:rFonts w:hint="eastAsia" w:hAnsi="宋体" w:cs="宋体"/>
          <w:sz w:val="21"/>
          <w:szCs w:val="21"/>
          <w:u w:val="single" w:color="000000"/>
        </w:rPr>
        <w:t xml:space="preserve"> </w:t>
      </w:r>
      <w:r>
        <w:rPr>
          <w:rFonts w:hint="eastAsia" w:hAnsi="宋体" w:cs="宋体"/>
          <w:b/>
          <w:kern w:val="0"/>
          <w:sz w:val="21"/>
          <w:szCs w:val="21"/>
          <w:highlight w:val="green"/>
          <w:u w:val="single" w:color="000000"/>
        </w:rPr>
        <w:t>开工后28天内</w:t>
      </w:r>
      <w:r>
        <w:rPr>
          <w:rFonts w:hint="eastAsia" w:hAnsi="宋体" w:cs="宋体"/>
          <w:sz w:val="21"/>
          <w:szCs w:val="21"/>
          <w:highlight w:val="green"/>
          <w:u w:val="single" w:color="000000"/>
          <w:lang w:val="en-US" w:eastAsia="zh-CN"/>
        </w:rPr>
        <w:t>且具备付款条件</w:t>
      </w:r>
      <w:r>
        <w:rPr>
          <w:rFonts w:hint="eastAsia" w:hAnsi="宋体" w:cs="宋体"/>
          <w:sz w:val="21"/>
          <w:szCs w:val="21"/>
          <w:highlight w:val="green"/>
          <w:u w:val="single" w:color="000000"/>
        </w:rPr>
        <w:t xml:space="preserve"> </w:t>
      </w:r>
      <w:r>
        <w:rPr>
          <w:rFonts w:hint="eastAsia" w:hAnsi="宋体" w:cs="宋体"/>
          <w:sz w:val="21"/>
          <w:szCs w:val="21"/>
        </w:rPr>
        <w:t xml:space="preserve">     。</w:t>
      </w:r>
    </w:p>
    <w:p w14:paraId="792C6D64">
      <w:pPr>
        <w:snapToGrid w:val="0"/>
        <w:spacing w:line="360" w:lineRule="auto"/>
        <w:ind w:firstLine="420" w:firstLineChars="200"/>
        <w:textAlignment w:val="baseline"/>
        <w:rPr>
          <w:rFonts w:hAnsi="宋体" w:cs="宋体"/>
          <w:sz w:val="21"/>
          <w:szCs w:val="21"/>
        </w:rPr>
      </w:pPr>
      <w:r>
        <w:rPr>
          <w:rFonts w:hint="eastAsia" w:hAnsi="宋体" w:cs="宋体"/>
          <w:sz w:val="21"/>
          <w:szCs w:val="21"/>
        </w:rPr>
        <w:t>预付款扣回的方式：</w:t>
      </w:r>
      <w:r>
        <w:rPr>
          <w:rFonts w:hint="eastAsia" w:hAnsi="宋体" w:cs="宋体"/>
          <w:sz w:val="21"/>
          <w:szCs w:val="21"/>
          <w:u w:val="single" w:color="000000"/>
        </w:rPr>
        <w:t xml:space="preserve">  </w:t>
      </w:r>
      <w:r>
        <w:rPr>
          <w:rFonts w:hint="eastAsia" w:hAnsi="宋体" w:cs="宋体"/>
          <w:sz w:val="21"/>
          <w:szCs w:val="21"/>
          <w:highlight w:val="green"/>
          <w:u w:val="single" w:color="000000"/>
          <w:lang w:val="en-US" w:eastAsia="zh-CN"/>
        </w:rPr>
        <w:t>/</w:t>
      </w:r>
      <w:r>
        <w:rPr>
          <w:rFonts w:hint="eastAsia" w:hAnsi="宋体" w:cs="宋体"/>
          <w:sz w:val="21"/>
          <w:szCs w:val="21"/>
          <w:highlight w:val="green"/>
          <w:u w:val="single" w:color="000000"/>
        </w:rPr>
        <w:t xml:space="preserve"> </w:t>
      </w:r>
      <w:r>
        <w:rPr>
          <w:rFonts w:hint="eastAsia" w:hAnsi="宋体" w:cs="宋体"/>
          <w:sz w:val="21"/>
          <w:szCs w:val="21"/>
          <w:u w:val="single" w:color="000000"/>
        </w:rPr>
        <w:t xml:space="preserve">  </w:t>
      </w:r>
      <w:r>
        <w:rPr>
          <w:rFonts w:hint="eastAsia" w:hAnsi="宋体" w:cs="宋体"/>
          <w:sz w:val="21"/>
          <w:szCs w:val="21"/>
        </w:rPr>
        <w:t>。</w:t>
      </w:r>
    </w:p>
    <w:p w14:paraId="50330C33">
      <w:pPr>
        <w:snapToGrid w:val="0"/>
        <w:spacing w:line="360" w:lineRule="auto"/>
        <w:ind w:firstLine="420" w:firstLineChars="200"/>
        <w:textAlignment w:val="baseline"/>
        <w:rPr>
          <w:rFonts w:hAnsi="宋体" w:cs="宋体"/>
          <w:sz w:val="21"/>
          <w:szCs w:val="21"/>
        </w:rPr>
      </w:pPr>
      <w:r>
        <w:rPr>
          <w:rFonts w:hint="eastAsia" w:hAnsi="宋体" w:cs="宋体"/>
          <w:sz w:val="21"/>
          <w:szCs w:val="21"/>
        </w:rPr>
        <w:t>12.2.2 预付款担保</w:t>
      </w:r>
    </w:p>
    <w:p w14:paraId="77CCAE2C">
      <w:pPr>
        <w:snapToGrid w:val="0"/>
        <w:spacing w:line="360" w:lineRule="auto"/>
        <w:ind w:firstLine="420" w:firstLineChars="200"/>
        <w:textAlignment w:val="baseline"/>
        <w:rPr>
          <w:rFonts w:hAnsi="宋体" w:cs="宋体"/>
          <w:sz w:val="21"/>
          <w:szCs w:val="21"/>
        </w:rPr>
      </w:pPr>
      <w:r>
        <w:rPr>
          <w:rFonts w:hint="eastAsia" w:hAnsi="宋体" w:cs="宋体"/>
          <w:sz w:val="21"/>
          <w:szCs w:val="21"/>
        </w:rPr>
        <w:t>承包人提交预付款担保的期限：</w:t>
      </w:r>
      <w:r>
        <w:rPr>
          <w:rFonts w:hint="eastAsia" w:hAnsi="宋体" w:cs="宋体"/>
          <w:sz w:val="21"/>
          <w:szCs w:val="21"/>
          <w:u w:val="single" w:color="000000"/>
        </w:rPr>
        <w:t xml:space="preserve">   /   </w:t>
      </w:r>
      <w:r>
        <w:rPr>
          <w:rFonts w:hint="eastAsia" w:hAnsi="宋体" w:cs="宋体"/>
          <w:sz w:val="21"/>
          <w:szCs w:val="21"/>
        </w:rPr>
        <w:t xml:space="preserve">  。</w:t>
      </w:r>
    </w:p>
    <w:p w14:paraId="2D897648">
      <w:pPr>
        <w:snapToGrid w:val="0"/>
        <w:spacing w:line="360" w:lineRule="auto"/>
        <w:ind w:firstLine="420" w:firstLineChars="200"/>
        <w:textAlignment w:val="baseline"/>
        <w:rPr>
          <w:rFonts w:hAnsi="宋体" w:cs="宋体"/>
          <w:sz w:val="21"/>
          <w:szCs w:val="21"/>
        </w:rPr>
      </w:pPr>
      <w:r>
        <w:rPr>
          <w:rFonts w:hint="eastAsia" w:hAnsi="宋体" w:cs="宋体"/>
          <w:sz w:val="21"/>
          <w:szCs w:val="21"/>
        </w:rPr>
        <w:t>预付款担保的形式为：</w:t>
      </w:r>
      <w:r>
        <w:rPr>
          <w:rFonts w:hint="eastAsia" w:hAnsi="宋体" w:cs="宋体"/>
          <w:sz w:val="21"/>
          <w:szCs w:val="21"/>
          <w:u w:val="single" w:color="000000"/>
        </w:rPr>
        <w:t xml:space="preserve">   /   </w:t>
      </w:r>
      <w:r>
        <w:rPr>
          <w:rFonts w:hint="eastAsia" w:hAnsi="宋体" w:cs="宋体"/>
          <w:sz w:val="21"/>
          <w:szCs w:val="21"/>
        </w:rPr>
        <w:t>。</w:t>
      </w:r>
    </w:p>
    <w:p w14:paraId="1B7A01F0">
      <w:pPr>
        <w:snapToGrid w:val="0"/>
        <w:spacing w:line="360" w:lineRule="auto"/>
        <w:ind w:firstLine="420" w:firstLineChars="200"/>
        <w:textAlignment w:val="baseline"/>
        <w:rPr>
          <w:rFonts w:hAnsi="宋体" w:cs="宋体"/>
          <w:sz w:val="21"/>
          <w:szCs w:val="21"/>
        </w:rPr>
      </w:pPr>
      <w:r>
        <w:rPr>
          <w:rFonts w:hint="eastAsia" w:hAnsi="宋体" w:cs="宋体"/>
          <w:sz w:val="21"/>
          <w:szCs w:val="21"/>
        </w:rPr>
        <w:t>12.3 计量</w:t>
      </w:r>
    </w:p>
    <w:p w14:paraId="56E359BF">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12.3.1 计量原则</w:t>
      </w:r>
    </w:p>
    <w:p w14:paraId="0490331C">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工程量计算规则：</w:t>
      </w:r>
    </w:p>
    <w:p w14:paraId="2DBA0154">
      <w:pPr>
        <w:snapToGrid w:val="0"/>
        <w:spacing w:line="360" w:lineRule="auto"/>
        <w:ind w:firstLine="422" w:firstLineChars="200"/>
        <w:jc w:val="left"/>
        <w:textAlignment w:val="baseline"/>
        <w:rPr>
          <w:rFonts w:hAnsi="宋体" w:cs="宋体"/>
          <w:b/>
          <w:sz w:val="21"/>
          <w:szCs w:val="21"/>
          <w:u w:val="single"/>
        </w:rPr>
      </w:pPr>
      <w:r>
        <w:rPr>
          <w:rFonts w:hint="eastAsia" w:hAnsi="宋体" w:cs="宋体"/>
          <w:b/>
          <w:sz w:val="21"/>
          <w:szCs w:val="21"/>
        </w:rPr>
        <w:t>（1）</w:t>
      </w:r>
      <w:r>
        <w:rPr>
          <w:rFonts w:hint="eastAsia" w:hAnsi="宋体" w:cs="宋体"/>
          <w:b/>
          <w:sz w:val="21"/>
          <w:szCs w:val="21"/>
          <w:u w:val="single" w:color="000000"/>
        </w:rPr>
        <w:t xml:space="preserve"> 实行工程量清单计价的工程项目，其工程量的计算规则应按国家标准工程量计算规范及省级行业主管部门颁布的补充规定执行。</w:t>
      </w:r>
    </w:p>
    <w:p w14:paraId="41304CCC">
      <w:pPr>
        <w:snapToGrid w:val="0"/>
        <w:spacing w:line="360" w:lineRule="auto"/>
        <w:ind w:firstLine="422" w:firstLineChars="200"/>
        <w:jc w:val="left"/>
        <w:textAlignment w:val="baseline"/>
        <w:rPr>
          <w:rFonts w:hAnsi="宋体" w:cs="宋体"/>
          <w:b/>
          <w:sz w:val="21"/>
          <w:szCs w:val="21"/>
          <w:u w:val="single"/>
        </w:rPr>
      </w:pPr>
      <w:r>
        <w:rPr>
          <w:rFonts w:hint="eastAsia" w:hAnsi="宋体" w:cs="宋体"/>
          <w:b/>
          <w:sz w:val="21"/>
          <w:szCs w:val="21"/>
        </w:rPr>
        <w:t>（2）</w:t>
      </w:r>
      <w:r>
        <w:rPr>
          <w:rFonts w:hint="eastAsia" w:hAnsi="宋体" w:cs="宋体"/>
          <w:b/>
          <w:sz w:val="21"/>
          <w:szCs w:val="21"/>
          <w:u w:val="single" w:color="000000"/>
        </w:rPr>
        <w:t>不实行工程量清单计价的工程项目，工程量的计算规则应按省、市行业主管部门颁布的各专业工程定额的工程量计算规则执行。</w:t>
      </w:r>
    </w:p>
    <w:p w14:paraId="004E04E0">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12.3.2 计量周期</w:t>
      </w:r>
    </w:p>
    <w:p w14:paraId="56B0BF40">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关于计量周期的约定：</w:t>
      </w:r>
      <w:r>
        <w:rPr>
          <w:rFonts w:hint="eastAsia" w:hAnsi="宋体" w:cs="宋体"/>
          <w:sz w:val="21"/>
          <w:szCs w:val="21"/>
          <w:u w:val="single" w:color="000000"/>
        </w:rPr>
        <w:t>/</w:t>
      </w:r>
      <w:r>
        <w:rPr>
          <w:rFonts w:hint="eastAsia" w:hAnsi="宋体" w:cs="宋体"/>
          <w:b/>
          <w:sz w:val="21"/>
          <w:szCs w:val="21"/>
          <w:u w:val="single" w:color="000000"/>
        </w:rPr>
        <w:t xml:space="preserve"> </w:t>
      </w:r>
      <w:r>
        <w:rPr>
          <w:rFonts w:hint="eastAsia" w:hAnsi="宋体" w:cs="宋体"/>
          <w:sz w:val="21"/>
          <w:szCs w:val="21"/>
          <w:u w:val="single" w:color="000000"/>
        </w:rPr>
        <w:t xml:space="preserve"> </w:t>
      </w:r>
      <w:r>
        <w:rPr>
          <w:rFonts w:hint="eastAsia" w:hAnsi="宋体" w:cs="宋体"/>
          <w:sz w:val="21"/>
          <w:szCs w:val="21"/>
        </w:rPr>
        <w:t>。</w:t>
      </w:r>
    </w:p>
    <w:p w14:paraId="4252D673">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12.3.3 单价合同的计量</w:t>
      </w:r>
    </w:p>
    <w:p w14:paraId="4755DA63">
      <w:pPr>
        <w:snapToGrid w:val="0"/>
        <w:spacing w:line="360" w:lineRule="auto"/>
        <w:ind w:firstLine="420" w:firstLineChars="200"/>
        <w:jc w:val="left"/>
        <w:textAlignment w:val="baseline"/>
        <w:rPr>
          <w:rFonts w:hAnsi="宋体" w:cs="宋体"/>
          <w:b/>
          <w:sz w:val="21"/>
          <w:szCs w:val="21"/>
          <w:u w:val="single"/>
        </w:rPr>
      </w:pPr>
      <w:r>
        <w:rPr>
          <w:rFonts w:hint="eastAsia" w:hAnsi="宋体" w:cs="宋体"/>
          <w:sz w:val="21"/>
          <w:szCs w:val="21"/>
        </w:rPr>
        <w:t>关于单价合同计量的约定：</w:t>
      </w:r>
      <w:r>
        <w:rPr>
          <w:rFonts w:hint="eastAsia" w:hAnsi="宋体" w:cs="宋体"/>
          <w:sz w:val="21"/>
          <w:szCs w:val="21"/>
          <w:u w:val="single" w:color="000000"/>
        </w:rPr>
        <w:t xml:space="preserve">  /</w:t>
      </w:r>
      <w:r>
        <w:rPr>
          <w:rFonts w:hint="eastAsia" w:hAnsi="宋体" w:cs="宋体"/>
          <w:b/>
          <w:sz w:val="21"/>
          <w:szCs w:val="21"/>
          <w:u w:val="single" w:color="000000"/>
        </w:rPr>
        <w:t>。</w:t>
      </w:r>
    </w:p>
    <w:p w14:paraId="060B2CEB">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12.3.4 总价合同的计量</w:t>
      </w:r>
    </w:p>
    <w:p w14:paraId="6830F211">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关于总价合同计量的约定：</w:t>
      </w:r>
      <w:r>
        <w:rPr>
          <w:rFonts w:hint="eastAsia" w:hAnsi="宋体" w:cs="宋体"/>
          <w:sz w:val="21"/>
          <w:szCs w:val="21"/>
          <w:u w:val="single" w:color="000000"/>
        </w:rPr>
        <w:t xml:space="preserve">                              </w:t>
      </w:r>
      <w:r>
        <w:rPr>
          <w:rFonts w:hint="eastAsia" w:hAnsi="宋体" w:cs="宋体"/>
          <w:sz w:val="21"/>
          <w:szCs w:val="21"/>
        </w:rPr>
        <w:t>。</w:t>
      </w:r>
    </w:p>
    <w:p w14:paraId="27869E81">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12.3.5总价合同采用支付分解表计量支付的，是否适用第</w:t>
      </w:r>
      <w:r>
        <w:rPr>
          <w:rFonts w:hint="eastAsia" w:hAnsi="宋体" w:cs="宋体"/>
          <w:kern w:val="0"/>
          <w:sz w:val="21"/>
          <w:szCs w:val="21"/>
        </w:rPr>
        <w:t xml:space="preserve">12.3.4 </w:t>
      </w:r>
      <w:r>
        <w:rPr>
          <w:rFonts w:hint="eastAsia" w:hAnsi="宋体" w:cs="宋体"/>
          <w:sz w:val="21"/>
          <w:szCs w:val="21"/>
        </w:rPr>
        <w:t>项</w:t>
      </w:r>
      <w:r>
        <w:rPr>
          <w:rFonts w:hint="eastAsia" w:hAnsi="宋体" w:cs="宋体"/>
          <w:kern w:val="0"/>
          <w:sz w:val="21"/>
          <w:szCs w:val="21"/>
        </w:rPr>
        <w:t>〔总价合同的计量〕</w:t>
      </w:r>
      <w:r>
        <w:rPr>
          <w:rFonts w:hint="eastAsia" w:hAnsi="宋体" w:cs="宋体"/>
          <w:sz w:val="21"/>
          <w:szCs w:val="21"/>
        </w:rPr>
        <w:t>约定进行计量：</w:t>
      </w:r>
      <w:r>
        <w:rPr>
          <w:rFonts w:hint="eastAsia" w:hAnsi="宋体" w:cs="宋体"/>
          <w:sz w:val="21"/>
          <w:szCs w:val="21"/>
          <w:u w:val="single" w:color="000000"/>
        </w:rPr>
        <w:t xml:space="preserve">                     </w:t>
      </w:r>
      <w:r>
        <w:rPr>
          <w:rFonts w:hint="eastAsia" w:hAnsi="宋体" w:cs="宋体"/>
          <w:sz w:val="21"/>
          <w:szCs w:val="21"/>
        </w:rPr>
        <w:t>。</w:t>
      </w:r>
    </w:p>
    <w:p w14:paraId="4806B8F2">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12.3.6 其他价格形式合同的计量</w:t>
      </w:r>
    </w:p>
    <w:p w14:paraId="2DEBC025">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其他价格形式的计量方式和程序：</w:t>
      </w:r>
      <w:r>
        <w:rPr>
          <w:rFonts w:hint="eastAsia" w:hAnsi="宋体" w:cs="宋体"/>
          <w:sz w:val="21"/>
          <w:szCs w:val="21"/>
          <w:u w:val="single" w:color="000000"/>
        </w:rPr>
        <w:t xml:space="preserve">                        </w:t>
      </w:r>
      <w:r>
        <w:rPr>
          <w:rFonts w:hint="eastAsia" w:hAnsi="宋体" w:cs="宋体"/>
          <w:sz w:val="21"/>
          <w:szCs w:val="21"/>
        </w:rPr>
        <w:t>。</w:t>
      </w:r>
    </w:p>
    <w:p w14:paraId="2DBFE0C9">
      <w:pPr>
        <w:snapToGrid w:val="0"/>
        <w:spacing w:line="360" w:lineRule="auto"/>
        <w:ind w:firstLine="420" w:firstLineChars="200"/>
        <w:textAlignment w:val="baseline"/>
        <w:rPr>
          <w:rFonts w:hAnsi="宋体" w:cs="宋体"/>
          <w:sz w:val="21"/>
          <w:szCs w:val="21"/>
        </w:rPr>
      </w:pPr>
      <w:r>
        <w:rPr>
          <w:rFonts w:hint="eastAsia" w:hAnsi="宋体" w:cs="宋体"/>
          <w:sz w:val="21"/>
          <w:szCs w:val="21"/>
        </w:rPr>
        <w:t>12.4 工程进度款支付</w:t>
      </w:r>
    </w:p>
    <w:p w14:paraId="600AAB13">
      <w:pPr>
        <w:snapToGrid w:val="0"/>
        <w:spacing w:line="360" w:lineRule="auto"/>
        <w:ind w:firstLine="420" w:firstLineChars="200"/>
        <w:jc w:val="left"/>
        <w:textAlignment w:val="baseline"/>
        <w:rPr>
          <w:rFonts w:hAnsi="宋体" w:cs="宋体"/>
          <w:sz w:val="21"/>
          <w:szCs w:val="21"/>
        </w:rPr>
      </w:pPr>
      <w:bookmarkStart w:id="590" w:name="_Toc297120511"/>
      <w:bookmarkStart w:id="591" w:name="_Toc297123556"/>
      <w:bookmarkStart w:id="592" w:name="_Toc296346712"/>
      <w:bookmarkStart w:id="593" w:name="_Toc303539163"/>
      <w:bookmarkStart w:id="594" w:name="_Toc296347210"/>
      <w:bookmarkStart w:id="595" w:name="_Toc300935006"/>
      <w:bookmarkStart w:id="596" w:name="_Toc292559416"/>
      <w:bookmarkStart w:id="597" w:name="_Toc296944550"/>
      <w:bookmarkStart w:id="598" w:name="_Toc297048397"/>
      <w:bookmarkStart w:id="599" w:name="_Toc296503211"/>
      <w:bookmarkStart w:id="600" w:name="_Toc296891039"/>
      <w:bookmarkStart w:id="601" w:name="_Toc296891251"/>
      <w:bookmarkStart w:id="602" w:name="_Toc292559921"/>
      <w:bookmarkStart w:id="603" w:name="_Toc297216215"/>
      <w:r>
        <w:rPr>
          <w:rFonts w:hint="eastAsia" w:hAnsi="宋体" w:cs="宋体"/>
          <w:sz w:val="21"/>
          <w:szCs w:val="21"/>
        </w:rPr>
        <w:t>12.4.1 付款周期</w:t>
      </w:r>
    </w:p>
    <w:p w14:paraId="147FEBCE">
      <w:pPr>
        <w:snapToGrid w:val="0"/>
        <w:spacing w:line="360" w:lineRule="auto"/>
        <w:ind w:firstLine="420" w:firstLineChars="200"/>
        <w:textAlignment w:val="baseline"/>
        <w:rPr>
          <w:rFonts w:hAnsi="宋体" w:cs="宋体"/>
          <w:sz w:val="21"/>
          <w:szCs w:val="21"/>
          <w:u w:val="single"/>
        </w:rPr>
      </w:pPr>
      <w:r>
        <w:rPr>
          <w:rFonts w:hint="eastAsia" w:hAnsi="宋体" w:cs="宋体"/>
          <w:sz w:val="21"/>
          <w:szCs w:val="21"/>
        </w:rPr>
        <w:t>关于付款周期的约定：</w:t>
      </w:r>
      <w:r>
        <w:rPr>
          <w:rFonts w:hint="eastAsia" w:hAnsi="宋体" w:cs="宋体"/>
          <w:b/>
          <w:bCs/>
          <w:sz w:val="21"/>
          <w:szCs w:val="21"/>
          <w:u w:val="single" w:color="000000"/>
        </w:rPr>
        <w:t>工程款（进度款）支付：合同价款内的工程款支付：工程进度款按月申报，发包人向承包人支付上月按12.1、12.3款计量工程量价款，由监理单位根据每月进度进行签证后上报发包人审核，发包人核定后支付上月已完工程量的月工程进度款，月工程进度款支付比例为月完成工程量工程款的85%。项目通过竣工验收，</w:t>
      </w:r>
      <w:r>
        <w:rPr>
          <w:rFonts w:hint="eastAsia" w:hAnsi="宋体" w:cs="宋体"/>
          <w:b/>
          <w:bCs/>
          <w:sz w:val="21"/>
          <w:szCs w:val="21"/>
          <w:highlight w:val="green"/>
          <w:u w:val="single" w:color="000000"/>
        </w:rPr>
        <w:t>承包人结清民工工资（附民工本人签字的工资签收单）</w:t>
      </w:r>
      <w:r>
        <w:rPr>
          <w:rFonts w:hint="eastAsia" w:hAnsi="宋体" w:cs="宋体"/>
          <w:b/>
          <w:bCs/>
          <w:sz w:val="21"/>
          <w:szCs w:val="21"/>
          <w:highlight w:val="green"/>
          <w:u w:val="single" w:color="000000"/>
          <w:lang w:eastAsia="zh-CN"/>
        </w:rPr>
        <w:t>，</w:t>
      </w:r>
      <w:r>
        <w:rPr>
          <w:rFonts w:hint="eastAsia" w:hAnsi="宋体" w:cs="宋体"/>
          <w:b/>
          <w:bCs/>
          <w:sz w:val="21"/>
          <w:szCs w:val="21"/>
          <w:u w:val="single" w:color="000000"/>
        </w:rPr>
        <w:t>工程款报表由监理、发包人审核后支付至</w:t>
      </w:r>
      <w:r>
        <w:rPr>
          <w:rFonts w:hint="eastAsia" w:hAnsi="宋体" w:cs="宋体"/>
          <w:b/>
          <w:bCs/>
          <w:sz w:val="21"/>
          <w:szCs w:val="21"/>
          <w:u w:val="single" w:color="000000"/>
          <w:lang w:val="en-US" w:eastAsia="zh-CN"/>
        </w:rPr>
        <w:t>已完成工程价款</w:t>
      </w:r>
      <w:r>
        <w:rPr>
          <w:rFonts w:hint="eastAsia" w:hAnsi="宋体" w:cs="宋体"/>
          <w:b/>
          <w:bCs/>
          <w:sz w:val="21"/>
          <w:szCs w:val="21"/>
          <w:u w:val="single" w:color="000000"/>
        </w:rPr>
        <w:t>的8</w:t>
      </w:r>
      <w:r>
        <w:rPr>
          <w:rFonts w:hAnsi="宋体" w:cs="宋体"/>
          <w:b/>
          <w:bCs/>
          <w:sz w:val="21"/>
          <w:szCs w:val="21"/>
          <w:u w:val="single" w:color="000000"/>
        </w:rPr>
        <w:t>5</w:t>
      </w:r>
      <w:r>
        <w:rPr>
          <w:rFonts w:hint="eastAsia" w:hAnsi="宋体" w:cs="宋体"/>
          <w:b/>
          <w:bCs/>
          <w:sz w:val="21"/>
          <w:szCs w:val="21"/>
          <w:u w:val="single" w:color="000000"/>
        </w:rPr>
        <w:t>%</w:t>
      </w:r>
      <w:r>
        <w:rPr>
          <w:rFonts w:hint="eastAsia" w:hAnsi="宋体" w:cs="宋体"/>
          <w:b/>
          <w:bCs/>
          <w:sz w:val="21"/>
          <w:szCs w:val="21"/>
          <w:u w:val="single" w:color="000000"/>
          <w:lang w:eastAsia="zh-CN"/>
        </w:rPr>
        <w:t>（</w:t>
      </w:r>
      <w:r>
        <w:rPr>
          <w:rFonts w:hint="eastAsia" w:hAnsi="宋体" w:cs="宋体"/>
          <w:b/>
          <w:bCs/>
          <w:sz w:val="21"/>
          <w:szCs w:val="21"/>
          <w:u w:val="single" w:color="000000"/>
          <w:lang w:val="en-US" w:eastAsia="zh-CN"/>
        </w:rPr>
        <w:t>已抵扣已支付预付款</w:t>
      </w:r>
      <w:r>
        <w:rPr>
          <w:rFonts w:hint="eastAsia" w:hAnsi="宋体" w:cs="宋体"/>
          <w:b/>
          <w:bCs/>
          <w:sz w:val="21"/>
          <w:szCs w:val="21"/>
          <w:u w:val="single" w:color="000000"/>
          <w:lang w:eastAsia="zh-CN"/>
        </w:rPr>
        <w:t>）</w:t>
      </w:r>
      <w:r>
        <w:rPr>
          <w:rFonts w:hint="eastAsia" w:hAnsi="宋体" w:cs="宋体"/>
          <w:b/>
          <w:bCs/>
          <w:sz w:val="21"/>
          <w:szCs w:val="21"/>
          <w:u w:val="single" w:color="000000"/>
        </w:rPr>
        <w:t>；承包人提交完整的结算报告和结算资料经结算审计审定后，承包人将审定价的1</w:t>
      </w:r>
      <w:r>
        <w:rPr>
          <w:rFonts w:hAnsi="宋体" w:cs="宋体"/>
          <w:b/>
          <w:bCs/>
          <w:sz w:val="21"/>
          <w:szCs w:val="21"/>
          <w:u w:val="single" w:color="000000"/>
        </w:rPr>
        <w:t>.5</w:t>
      </w:r>
      <w:r>
        <w:rPr>
          <w:rFonts w:hint="eastAsia" w:hAnsi="宋体" w:cs="宋体"/>
          <w:b/>
          <w:bCs/>
          <w:sz w:val="21"/>
          <w:szCs w:val="21"/>
          <w:u w:val="single" w:color="000000"/>
        </w:rPr>
        <w:t>%作为质量保证金打入发包人账户，</w:t>
      </w:r>
      <w:r>
        <w:rPr>
          <w:rFonts w:hint="eastAsia" w:hAnsi="宋体" w:cs="宋体"/>
          <w:b/>
          <w:bCs/>
          <w:color w:val="FF0000"/>
          <w:sz w:val="21"/>
          <w:szCs w:val="21"/>
          <w:u w:val="single" w:color="000000"/>
          <w:lang w:val="en-US" w:eastAsia="zh-CN"/>
        </w:rPr>
        <w:t>如有水电费产生则承包人将水电费打入发包人账户，</w:t>
      </w:r>
      <w:r>
        <w:rPr>
          <w:rFonts w:hint="eastAsia" w:hAnsi="宋体" w:cs="宋体"/>
          <w:b/>
          <w:bCs/>
          <w:sz w:val="21"/>
          <w:szCs w:val="21"/>
          <w:u w:val="single" w:color="000000"/>
        </w:rPr>
        <w:t>发包人出具相应</w:t>
      </w:r>
      <w:r>
        <w:rPr>
          <w:rFonts w:hint="eastAsia" w:hAnsi="宋体" w:cs="宋体"/>
          <w:b/>
          <w:bCs/>
          <w:sz w:val="21"/>
          <w:szCs w:val="21"/>
          <w:u w:val="single" w:color="000000"/>
          <w:lang w:val="en-US" w:eastAsia="zh-CN"/>
        </w:rPr>
        <w:t>质保金往来款票据</w:t>
      </w:r>
      <w:r>
        <w:rPr>
          <w:rFonts w:hint="eastAsia" w:hAnsi="宋体" w:eastAsia="宋体" w:cs="宋体"/>
          <w:b/>
          <w:bCs/>
          <w:color w:val="FF0000"/>
          <w:sz w:val="21"/>
          <w:szCs w:val="21"/>
          <w:u w:val="single" w:color="000000"/>
          <w:lang w:val="en-US" w:eastAsia="zh-CN"/>
        </w:rPr>
        <w:t>和水电费往来款票据</w:t>
      </w:r>
      <w:r>
        <w:rPr>
          <w:rFonts w:hint="eastAsia" w:hAnsi="宋体" w:cs="宋体"/>
          <w:b/>
          <w:bCs/>
          <w:sz w:val="21"/>
          <w:szCs w:val="21"/>
          <w:u w:val="single" w:color="000000"/>
        </w:rPr>
        <w:t>。然后，发包人再付至审定价的1</w:t>
      </w:r>
      <w:r>
        <w:rPr>
          <w:rFonts w:hAnsi="宋体" w:cs="宋体"/>
          <w:b/>
          <w:bCs/>
          <w:sz w:val="21"/>
          <w:szCs w:val="21"/>
          <w:u w:val="single" w:color="000000"/>
        </w:rPr>
        <w:t>00</w:t>
      </w:r>
      <w:r>
        <w:rPr>
          <w:rFonts w:hint="eastAsia" w:hAnsi="宋体" w:cs="宋体"/>
          <w:b/>
          <w:bCs/>
          <w:sz w:val="21"/>
          <w:szCs w:val="21"/>
          <w:u w:val="single" w:color="000000"/>
        </w:rPr>
        <w:t>%。质保期到期后，发包人根据回访情况，按审批流程无息退还（剩余）质保金。</w:t>
      </w:r>
    </w:p>
    <w:p w14:paraId="0B9E7EB6">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12.4.2 进度付款申请单的编制</w:t>
      </w:r>
    </w:p>
    <w:p w14:paraId="1FA177FA">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关于进度付款申请单编制的约定：</w:t>
      </w:r>
      <w:r>
        <w:rPr>
          <w:rFonts w:hint="eastAsia" w:hAnsi="宋体" w:cs="宋体"/>
          <w:b/>
          <w:bCs/>
          <w:sz w:val="21"/>
          <w:szCs w:val="21"/>
          <w:u w:val="single" w:color="000000"/>
        </w:rPr>
        <w:t>/</w:t>
      </w:r>
      <w:r>
        <w:rPr>
          <w:rFonts w:hint="eastAsia" w:hAnsi="宋体" w:cs="宋体"/>
          <w:sz w:val="21"/>
          <w:szCs w:val="21"/>
          <w:u w:val="single" w:color="000000"/>
        </w:rPr>
        <w:t>。</w:t>
      </w:r>
      <w:r>
        <w:rPr>
          <w:rFonts w:hint="eastAsia" w:hAnsi="宋体" w:cs="宋体"/>
          <w:sz w:val="21"/>
          <w:szCs w:val="21"/>
        </w:rPr>
        <w:t xml:space="preserve">  </w:t>
      </w:r>
    </w:p>
    <w:p w14:paraId="328DF230">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r>
        <w:rPr>
          <w:rFonts w:hint="eastAsia" w:hAnsi="宋体" w:cs="宋体"/>
          <w:sz w:val="21"/>
          <w:szCs w:val="21"/>
        </w:rPr>
        <w:t>2.4.3 进度付款申请单的提交</w:t>
      </w:r>
    </w:p>
    <w:p w14:paraId="19B5337A">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（1）单价合同进度付款申请单提交的约定：</w:t>
      </w:r>
      <w:r>
        <w:rPr>
          <w:rFonts w:hint="eastAsia" w:hAnsi="宋体" w:cs="宋体"/>
          <w:b/>
          <w:bCs/>
          <w:sz w:val="21"/>
          <w:szCs w:val="21"/>
          <w:u w:val="single" w:color="000000"/>
        </w:rPr>
        <w:t>/</w:t>
      </w:r>
      <w:r>
        <w:rPr>
          <w:rFonts w:hint="eastAsia" w:hAnsi="宋体" w:cs="宋体"/>
          <w:sz w:val="21"/>
          <w:szCs w:val="21"/>
        </w:rPr>
        <w:t xml:space="preserve"> 。</w:t>
      </w:r>
    </w:p>
    <w:p w14:paraId="4A9A27CA">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 xml:space="preserve">（2）总价合同进度付款申请单提交的约定：       </w:t>
      </w:r>
      <w:r>
        <w:rPr>
          <w:rFonts w:hint="eastAsia" w:hAnsi="宋体" w:cs="宋体"/>
          <w:sz w:val="21"/>
          <w:szCs w:val="21"/>
          <w:u w:val="single" w:color="000000"/>
        </w:rPr>
        <w:t xml:space="preserve">   /    </w:t>
      </w:r>
      <w:r>
        <w:rPr>
          <w:rFonts w:hint="eastAsia" w:hAnsi="宋体" w:cs="宋体"/>
          <w:sz w:val="21"/>
          <w:szCs w:val="21"/>
        </w:rPr>
        <w:t xml:space="preserve">      。</w:t>
      </w:r>
    </w:p>
    <w:p w14:paraId="09C9145E">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 xml:space="preserve">（3）其他价格形式合同进度付款申请单提交的约定：  </w:t>
      </w:r>
      <w:r>
        <w:rPr>
          <w:rFonts w:hint="eastAsia" w:hAnsi="宋体" w:cs="宋体"/>
          <w:sz w:val="21"/>
          <w:szCs w:val="21"/>
          <w:u w:val="single" w:color="000000"/>
        </w:rPr>
        <w:t xml:space="preserve">   /   </w:t>
      </w:r>
      <w:r>
        <w:rPr>
          <w:rFonts w:hint="eastAsia" w:hAnsi="宋体" w:cs="宋体"/>
          <w:sz w:val="21"/>
          <w:szCs w:val="21"/>
        </w:rPr>
        <w:t xml:space="preserve">     。</w:t>
      </w:r>
    </w:p>
    <w:p w14:paraId="04264D6C">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12.4.4 进度款审核和支付</w:t>
      </w:r>
    </w:p>
    <w:p w14:paraId="4B5883CA">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（1）监理人审查并报送发包人的期限：</w:t>
      </w:r>
      <w:r>
        <w:rPr>
          <w:rFonts w:hint="eastAsia" w:hAnsi="宋体" w:cs="宋体"/>
          <w:sz w:val="21"/>
          <w:szCs w:val="21"/>
          <w:u w:val="single" w:color="000000"/>
        </w:rPr>
        <w:t xml:space="preserve"> 七天内完成审查 </w:t>
      </w:r>
      <w:r>
        <w:rPr>
          <w:rFonts w:hint="eastAsia" w:hAnsi="宋体" w:cs="宋体"/>
          <w:sz w:val="21"/>
          <w:szCs w:val="21"/>
        </w:rPr>
        <w:t xml:space="preserve"> 。</w:t>
      </w:r>
    </w:p>
    <w:p w14:paraId="1ADDDE62">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发包人完成审批并签发进度款支付证书的期限：</w:t>
      </w:r>
      <w:r>
        <w:rPr>
          <w:rFonts w:hint="eastAsia" w:hAnsi="宋体" w:cs="宋体"/>
          <w:sz w:val="21"/>
          <w:szCs w:val="21"/>
          <w:u w:val="single" w:color="000000"/>
        </w:rPr>
        <w:t>收到监理人报送的进度付款申请单及相关资料后十四天内。</w:t>
      </w:r>
    </w:p>
    <w:p w14:paraId="6D9FB2C7">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 xml:space="preserve">（2）发包人支付进度款的期限： </w:t>
      </w:r>
      <w:r>
        <w:rPr>
          <w:rFonts w:hint="eastAsia" w:hAnsi="宋体" w:cs="宋体"/>
          <w:sz w:val="21"/>
          <w:szCs w:val="21"/>
          <w:u w:val="single" w:color="000000"/>
        </w:rPr>
        <w:t>在进度款支付证书或临时进度款支付证书签发后七天内完成支付。</w:t>
      </w:r>
    </w:p>
    <w:p w14:paraId="5EAD6505">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发包人逾期支付进度款的违约金的计算方式：</w:t>
      </w:r>
      <w:r>
        <w:rPr>
          <w:rFonts w:hint="eastAsia" w:hAnsi="宋体" w:cs="宋体"/>
          <w:sz w:val="21"/>
          <w:szCs w:val="21"/>
          <w:u w:val="single" w:color="000000"/>
        </w:rPr>
        <w:t xml:space="preserve">        /         </w:t>
      </w:r>
      <w:r>
        <w:rPr>
          <w:rFonts w:hint="eastAsia" w:hAnsi="宋体" w:cs="宋体"/>
          <w:sz w:val="21"/>
          <w:szCs w:val="21"/>
        </w:rPr>
        <w:t>。</w:t>
      </w:r>
    </w:p>
    <w:p w14:paraId="632491B3">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12.4.6 支付分解表的编制</w:t>
      </w:r>
    </w:p>
    <w:p w14:paraId="53AA7577">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2、总价合同支付分解表的编制与审批：</w:t>
      </w:r>
      <w:r>
        <w:rPr>
          <w:rFonts w:hint="eastAsia" w:hAnsi="宋体" w:cs="宋体"/>
          <w:sz w:val="21"/>
          <w:szCs w:val="21"/>
          <w:u w:val="single" w:color="000000"/>
        </w:rPr>
        <w:t xml:space="preserve">按通用合同条款第12.4.6条第2项规定执行  </w:t>
      </w:r>
      <w:r>
        <w:rPr>
          <w:rFonts w:hint="eastAsia" w:hAnsi="宋体" w:cs="宋体"/>
          <w:sz w:val="21"/>
          <w:szCs w:val="21"/>
        </w:rPr>
        <w:t>。</w:t>
      </w:r>
    </w:p>
    <w:p w14:paraId="40CEABF3">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3、单价合同的总价项目支付分解表的编制与审批：</w:t>
      </w:r>
      <w:r>
        <w:rPr>
          <w:rFonts w:hint="eastAsia" w:hAnsi="宋体" w:cs="宋体"/>
          <w:sz w:val="21"/>
          <w:szCs w:val="21"/>
          <w:u w:val="single" w:color="000000"/>
        </w:rPr>
        <w:t>按通用合同条款第12.4.6条第3项规定执行。</w:t>
      </w:r>
    </w:p>
    <w:p w14:paraId="4F645B5F">
      <w:pPr>
        <w:pStyle w:val="6"/>
        <w:snapToGrid w:val="0"/>
        <w:spacing w:before="0" w:after="0" w:line="360" w:lineRule="auto"/>
        <w:ind w:firstLine="420" w:firstLineChars="200"/>
        <w:textAlignment w:val="baseline"/>
        <w:rPr>
          <w:rFonts w:ascii="宋体" w:hAnsi="宋体" w:cs="宋体"/>
          <w:b w:val="0"/>
          <w:sz w:val="21"/>
          <w:szCs w:val="21"/>
        </w:rPr>
      </w:pPr>
      <w:bookmarkStart w:id="604" w:name="_Toc351203645"/>
      <w:r>
        <w:rPr>
          <w:rFonts w:hint="eastAsia" w:ascii="宋体" w:hAnsi="宋体" w:cs="宋体"/>
          <w:b w:val="0"/>
          <w:sz w:val="21"/>
          <w:szCs w:val="21"/>
        </w:rPr>
        <w:t>13. 验收和工程试车</w:t>
      </w:r>
      <w:bookmarkEnd w:id="604"/>
    </w:p>
    <w:p w14:paraId="29F92AC5">
      <w:pPr>
        <w:snapToGrid w:val="0"/>
        <w:spacing w:line="360" w:lineRule="auto"/>
        <w:ind w:firstLine="420" w:firstLineChars="200"/>
        <w:textAlignment w:val="baseline"/>
        <w:rPr>
          <w:rFonts w:hAnsi="宋体" w:cs="宋体"/>
          <w:sz w:val="21"/>
          <w:szCs w:val="21"/>
        </w:rPr>
      </w:pPr>
      <w:r>
        <w:rPr>
          <w:rFonts w:hint="eastAsia" w:hAnsi="宋体" w:cs="宋体"/>
          <w:sz w:val="21"/>
          <w:szCs w:val="21"/>
        </w:rPr>
        <w:t>13.1 分部分项工程验收</w:t>
      </w:r>
    </w:p>
    <w:p w14:paraId="68478E2C">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13.1.2监理人不能按时进行验收时，应提前</w:t>
      </w:r>
      <w:r>
        <w:rPr>
          <w:rFonts w:hint="eastAsia" w:hAnsi="宋体" w:cs="宋体"/>
          <w:sz w:val="21"/>
          <w:szCs w:val="21"/>
          <w:u w:val="single" w:color="000000"/>
        </w:rPr>
        <w:t xml:space="preserve">  24 </w:t>
      </w:r>
      <w:r>
        <w:rPr>
          <w:rFonts w:hint="eastAsia" w:hAnsi="宋体" w:cs="宋体"/>
          <w:sz w:val="21"/>
          <w:szCs w:val="21"/>
        </w:rPr>
        <w:t>小时提交书面延期要求。</w:t>
      </w:r>
    </w:p>
    <w:p w14:paraId="2EFB6D3F">
      <w:pPr>
        <w:snapToGrid w:val="0"/>
        <w:spacing w:line="360" w:lineRule="auto"/>
        <w:ind w:firstLine="420" w:firstLineChars="200"/>
        <w:jc w:val="left"/>
        <w:textAlignment w:val="baseline"/>
        <w:rPr>
          <w:rFonts w:hAnsi="宋体" w:cs="宋体"/>
          <w:b/>
          <w:sz w:val="21"/>
          <w:szCs w:val="21"/>
        </w:rPr>
      </w:pPr>
      <w:r>
        <w:rPr>
          <w:rFonts w:hint="eastAsia" w:hAnsi="宋体" w:cs="宋体"/>
          <w:sz w:val="21"/>
          <w:szCs w:val="21"/>
        </w:rPr>
        <w:t>关于延期最长不得超过：</w:t>
      </w:r>
      <w:r>
        <w:rPr>
          <w:rFonts w:hint="eastAsia" w:hAnsi="宋体" w:cs="宋体"/>
          <w:sz w:val="21"/>
          <w:szCs w:val="21"/>
          <w:u w:val="single" w:color="000000"/>
        </w:rPr>
        <w:t xml:space="preserve">  24  </w:t>
      </w:r>
      <w:r>
        <w:rPr>
          <w:rFonts w:hint="eastAsia" w:hAnsi="宋体" w:cs="宋体"/>
          <w:sz w:val="21"/>
          <w:szCs w:val="21"/>
        </w:rPr>
        <w:t>小时。</w:t>
      </w:r>
    </w:p>
    <w:p w14:paraId="51E41ED6">
      <w:pPr>
        <w:snapToGrid w:val="0"/>
        <w:spacing w:line="360" w:lineRule="auto"/>
        <w:ind w:firstLine="420" w:firstLineChars="200"/>
        <w:textAlignment w:val="baseline"/>
        <w:rPr>
          <w:rFonts w:hAnsi="宋体" w:cs="宋体"/>
          <w:sz w:val="21"/>
          <w:szCs w:val="21"/>
        </w:rPr>
      </w:pPr>
      <w:r>
        <w:rPr>
          <w:rFonts w:hint="eastAsia" w:hAnsi="宋体" w:cs="宋体"/>
          <w:sz w:val="21"/>
          <w:szCs w:val="21"/>
        </w:rPr>
        <w:t>13.2 竣工验收</w:t>
      </w:r>
    </w:p>
    <w:p w14:paraId="4E2E5A93">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13.2.2竣工验收程序</w:t>
      </w:r>
    </w:p>
    <w:p w14:paraId="69909905">
      <w:pPr>
        <w:snapToGrid w:val="0"/>
        <w:spacing w:line="360" w:lineRule="auto"/>
        <w:ind w:firstLine="420" w:firstLineChars="200"/>
        <w:jc w:val="left"/>
        <w:textAlignment w:val="baseline"/>
        <w:rPr>
          <w:rFonts w:hAnsi="宋体" w:cs="宋体"/>
          <w:sz w:val="21"/>
          <w:szCs w:val="21"/>
          <w:u w:val="single"/>
        </w:rPr>
      </w:pPr>
      <w:r>
        <w:rPr>
          <w:rFonts w:hint="eastAsia" w:hAnsi="宋体" w:cs="宋体"/>
          <w:kern w:val="0"/>
          <w:sz w:val="21"/>
          <w:szCs w:val="21"/>
        </w:rPr>
        <w:t>关于竣工验收程序的约定：</w:t>
      </w:r>
      <w:r>
        <w:rPr>
          <w:rFonts w:hint="eastAsia" w:hAnsi="宋体" w:cs="宋体"/>
          <w:sz w:val="21"/>
          <w:szCs w:val="21"/>
          <w:u w:val="single" w:color="000000"/>
        </w:rPr>
        <w:t xml:space="preserve">按通用条款约定  </w:t>
      </w:r>
      <w:r>
        <w:rPr>
          <w:rFonts w:hint="eastAsia" w:hAnsi="宋体" w:cs="宋体"/>
          <w:sz w:val="21"/>
          <w:szCs w:val="21"/>
        </w:rPr>
        <w:t>。</w:t>
      </w:r>
    </w:p>
    <w:p w14:paraId="62671A4D">
      <w:pPr>
        <w:snapToGrid w:val="0"/>
        <w:spacing w:line="360" w:lineRule="auto"/>
        <w:ind w:firstLine="420" w:firstLineChars="200"/>
        <w:jc w:val="left"/>
        <w:textAlignment w:val="baseline"/>
        <w:rPr>
          <w:rFonts w:hAnsi="宋体" w:cs="宋体"/>
          <w:sz w:val="21"/>
          <w:szCs w:val="21"/>
          <w:u w:val="single"/>
        </w:rPr>
      </w:pPr>
      <w:r>
        <w:rPr>
          <w:rFonts w:hint="eastAsia" w:hAnsi="宋体" w:cs="宋体"/>
          <w:kern w:val="0"/>
          <w:sz w:val="21"/>
          <w:szCs w:val="21"/>
        </w:rPr>
        <w:t>发包人不按照本项约定组织竣工验收、颁发工程接收证书的违约金的计算方法：</w:t>
      </w:r>
      <w:r>
        <w:rPr>
          <w:rFonts w:hint="eastAsia" w:hAnsi="宋体" w:cs="宋体"/>
          <w:sz w:val="21"/>
          <w:szCs w:val="21"/>
          <w:u w:val="single" w:color="000000"/>
        </w:rPr>
        <w:t xml:space="preserve">   按通用条款约定  </w:t>
      </w:r>
      <w:r>
        <w:rPr>
          <w:rFonts w:hint="eastAsia" w:hAnsi="宋体" w:cs="宋体"/>
          <w:sz w:val="21"/>
          <w:szCs w:val="21"/>
        </w:rPr>
        <w:t>。</w:t>
      </w:r>
    </w:p>
    <w:p w14:paraId="32E9FBF6">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13.2.5移交、接收全部与部分工程</w:t>
      </w:r>
    </w:p>
    <w:p w14:paraId="6543CEB8">
      <w:pPr>
        <w:snapToGrid w:val="0"/>
        <w:spacing w:line="360" w:lineRule="auto"/>
        <w:ind w:firstLine="420" w:firstLineChars="200"/>
        <w:jc w:val="left"/>
        <w:textAlignment w:val="baseline"/>
        <w:rPr>
          <w:rFonts w:hAnsi="宋体" w:cs="宋体"/>
          <w:sz w:val="21"/>
          <w:szCs w:val="21"/>
          <w:u w:val="single"/>
        </w:rPr>
      </w:pPr>
      <w:r>
        <w:rPr>
          <w:rFonts w:hint="eastAsia" w:hAnsi="宋体" w:cs="宋体"/>
          <w:kern w:val="0"/>
          <w:sz w:val="21"/>
          <w:szCs w:val="21"/>
        </w:rPr>
        <w:t>承包人向发包人移交工程的期限：</w:t>
      </w:r>
      <w:r>
        <w:rPr>
          <w:rFonts w:hint="eastAsia" w:hAnsi="宋体" w:cs="宋体"/>
          <w:sz w:val="21"/>
          <w:szCs w:val="21"/>
          <w:u w:val="single" w:color="000000"/>
        </w:rPr>
        <w:t xml:space="preserve">待发包人同意之日后 30 日内完成  </w:t>
      </w:r>
      <w:r>
        <w:rPr>
          <w:rFonts w:hint="eastAsia" w:hAnsi="宋体" w:cs="宋体"/>
          <w:sz w:val="21"/>
          <w:szCs w:val="21"/>
        </w:rPr>
        <w:t>。</w:t>
      </w:r>
    </w:p>
    <w:p w14:paraId="3FDBFEB5">
      <w:pPr>
        <w:snapToGrid w:val="0"/>
        <w:spacing w:line="360" w:lineRule="auto"/>
        <w:ind w:firstLine="420" w:firstLineChars="200"/>
        <w:jc w:val="left"/>
        <w:textAlignment w:val="baseline"/>
        <w:rPr>
          <w:rFonts w:hAnsi="宋体" w:cs="宋体"/>
          <w:sz w:val="21"/>
          <w:szCs w:val="21"/>
          <w:u w:val="single"/>
        </w:rPr>
      </w:pPr>
      <w:r>
        <w:rPr>
          <w:rFonts w:hint="eastAsia" w:hAnsi="宋体" w:cs="宋体"/>
          <w:kern w:val="0"/>
          <w:sz w:val="21"/>
          <w:szCs w:val="21"/>
        </w:rPr>
        <w:t>发包人未按本合同约定接收全部或部分工程的，违约金的计算方法为：</w:t>
      </w:r>
      <w:r>
        <w:rPr>
          <w:rFonts w:hint="eastAsia" w:hAnsi="宋体" w:cs="宋体"/>
          <w:sz w:val="21"/>
          <w:szCs w:val="21"/>
          <w:u w:val="single" w:color="000000"/>
        </w:rPr>
        <w:t xml:space="preserve">    /    </w:t>
      </w:r>
      <w:r>
        <w:rPr>
          <w:rFonts w:hint="eastAsia" w:hAnsi="宋体" w:cs="宋体"/>
          <w:sz w:val="21"/>
          <w:szCs w:val="21"/>
        </w:rPr>
        <w:t>。</w:t>
      </w:r>
    </w:p>
    <w:p w14:paraId="662292C1">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承包人未按时移交工程的，违约金的计算方法为：</w:t>
      </w:r>
      <w:r>
        <w:rPr>
          <w:rFonts w:hint="eastAsia" w:hAnsi="宋体" w:cs="宋体"/>
          <w:sz w:val="21"/>
          <w:szCs w:val="21"/>
          <w:u w:val="single" w:color="000000"/>
        </w:rPr>
        <w:t xml:space="preserve"> 工程验收合格承包人应在发包人同意之日后3</w:t>
      </w:r>
      <w:r>
        <w:rPr>
          <w:rFonts w:hAnsi="宋体" w:cs="宋体"/>
          <w:sz w:val="21"/>
          <w:szCs w:val="21"/>
          <w:u w:val="single" w:color="000000"/>
        </w:rPr>
        <w:t>0</w:t>
      </w:r>
      <w:r>
        <w:rPr>
          <w:rFonts w:hint="eastAsia" w:hAnsi="宋体" w:cs="宋体"/>
          <w:sz w:val="21"/>
          <w:szCs w:val="21"/>
          <w:u w:val="single" w:color="000000"/>
        </w:rPr>
        <w:t>日内向发包人移交全部工程，承包人无正当理由不移交工程的，承包人应承担工程照管、成品保护、保管等与工程有关的各项费用，且每延误一天承包人应当向发包人支付合同签约价万分之三的违约金，但金额不超过通用合同条款的约定。且因逾期移交工程而给发包人造成经济损失的，由承包人负责赔偿损失</w:t>
      </w:r>
      <w:r>
        <w:rPr>
          <w:rFonts w:hint="eastAsia" w:hAnsi="宋体" w:cs="宋体"/>
          <w:sz w:val="21"/>
          <w:szCs w:val="21"/>
        </w:rPr>
        <w:t>。</w:t>
      </w:r>
    </w:p>
    <w:p w14:paraId="41D8AC7C">
      <w:pPr>
        <w:snapToGrid w:val="0"/>
        <w:spacing w:line="360" w:lineRule="auto"/>
        <w:ind w:firstLine="420" w:firstLineChars="200"/>
        <w:textAlignment w:val="baseline"/>
        <w:rPr>
          <w:rFonts w:hAnsi="宋体" w:cs="宋体"/>
          <w:sz w:val="21"/>
          <w:szCs w:val="21"/>
        </w:rPr>
      </w:pPr>
      <w:r>
        <w:rPr>
          <w:rFonts w:hint="eastAsia" w:hAnsi="宋体" w:cs="宋体"/>
          <w:sz w:val="21"/>
          <w:szCs w:val="21"/>
        </w:rPr>
        <w:t>13.3 工程试车</w:t>
      </w:r>
    </w:p>
    <w:p w14:paraId="1166BA45">
      <w:pPr>
        <w:snapToGrid w:val="0"/>
        <w:spacing w:line="360" w:lineRule="auto"/>
        <w:ind w:firstLine="420" w:firstLineChars="200"/>
        <w:jc w:val="left"/>
        <w:textAlignment w:val="baseline"/>
        <w:rPr>
          <w:rFonts w:hAnsi="宋体" w:cs="宋体"/>
          <w:kern w:val="0"/>
          <w:sz w:val="21"/>
          <w:szCs w:val="21"/>
        </w:rPr>
      </w:pPr>
      <w:r>
        <w:rPr>
          <w:rFonts w:hint="eastAsia" w:hAnsi="宋体" w:cs="宋体"/>
          <w:kern w:val="0"/>
          <w:sz w:val="21"/>
          <w:szCs w:val="21"/>
        </w:rPr>
        <w:t>13.3.1 试车程序</w:t>
      </w:r>
    </w:p>
    <w:p w14:paraId="33F46B3C">
      <w:pPr>
        <w:snapToGrid w:val="0"/>
        <w:spacing w:line="360" w:lineRule="auto"/>
        <w:ind w:firstLine="420" w:firstLineChars="200"/>
        <w:jc w:val="left"/>
        <w:textAlignment w:val="baseline"/>
        <w:rPr>
          <w:rFonts w:hAnsi="宋体" w:cs="宋体"/>
          <w:sz w:val="21"/>
          <w:szCs w:val="21"/>
          <w:u w:val="single"/>
        </w:rPr>
      </w:pPr>
      <w:r>
        <w:rPr>
          <w:rFonts w:hint="eastAsia" w:hAnsi="宋体" w:cs="宋体"/>
          <w:kern w:val="0"/>
          <w:sz w:val="21"/>
          <w:szCs w:val="21"/>
        </w:rPr>
        <w:t>工程试车内容：</w:t>
      </w:r>
      <w:r>
        <w:rPr>
          <w:rFonts w:hint="eastAsia" w:hAnsi="宋体" w:cs="宋体"/>
          <w:sz w:val="21"/>
          <w:szCs w:val="21"/>
          <w:u w:val="single" w:color="000000"/>
        </w:rPr>
        <w:t xml:space="preserve"> 按国家、浙江省、杭州市、上城区的有关规定及监理人要求   </w:t>
      </w:r>
      <w:r>
        <w:rPr>
          <w:rFonts w:hint="eastAsia" w:hAnsi="宋体" w:cs="宋体"/>
          <w:sz w:val="21"/>
          <w:szCs w:val="21"/>
        </w:rPr>
        <w:t>。</w:t>
      </w:r>
    </w:p>
    <w:p w14:paraId="680B51E9">
      <w:pPr>
        <w:snapToGrid w:val="0"/>
        <w:spacing w:line="360" w:lineRule="auto"/>
        <w:ind w:firstLine="420" w:firstLineChars="200"/>
        <w:jc w:val="left"/>
        <w:textAlignment w:val="baseline"/>
        <w:rPr>
          <w:rFonts w:hAnsi="宋体" w:cs="宋体"/>
          <w:kern w:val="0"/>
          <w:sz w:val="21"/>
          <w:szCs w:val="21"/>
        </w:rPr>
      </w:pPr>
      <w:r>
        <w:rPr>
          <w:rFonts w:hint="eastAsia" w:hAnsi="宋体" w:cs="宋体"/>
          <w:kern w:val="0"/>
          <w:sz w:val="21"/>
          <w:szCs w:val="21"/>
        </w:rPr>
        <w:t>（1）单机无负荷试车费用由</w:t>
      </w:r>
      <w:r>
        <w:rPr>
          <w:rFonts w:hint="eastAsia" w:hAnsi="宋体" w:cs="宋体"/>
          <w:sz w:val="21"/>
          <w:szCs w:val="21"/>
          <w:u w:val="single" w:color="000000"/>
        </w:rPr>
        <w:t xml:space="preserve">     承包人       </w:t>
      </w:r>
      <w:r>
        <w:rPr>
          <w:rFonts w:hint="eastAsia" w:hAnsi="宋体" w:cs="宋体"/>
          <w:kern w:val="0"/>
          <w:sz w:val="21"/>
          <w:szCs w:val="21"/>
        </w:rPr>
        <w:t>承担；</w:t>
      </w:r>
    </w:p>
    <w:p w14:paraId="19846DEA">
      <w:pPr>
        <w:snapToGrid w:val="0"/>
        <w:spacing w:line="360" w:lineRule="auto"/>
        <w:ind w:firstLine="420" w:firstLineChars="200"/>
        <w:jc w:val="left"/>
        <w:textAlignment w:val="baseline"/>
        <w:rPr>
          <w:rFonts w:hAnsi="宋体" w:cs="宋体"/>
          <w:kern w:val="0"/>
          <w:sz w:val="21"/>
          <w:szCs w:val="21"/>
        </w:rPr>
      </w:pPr>
      <w:r>
        <w:rPr>
          <w:rFonts w:hint="eastAsia" w:hAnsi="宋体" w:cs="宋体"/>
          <w:kern w:val="0"/>
          <w:sz w:val="21"/>
          <w:szCs w:val="21"/>
        </w:rPr>
        <w:t>（2）无负荷联动试车费用由</w:t>
      </w:r>
      <w:r>
        <w:rPr>
          <w:rFonts w:hint="eastAsia" w:hAnsi="宋体" w:cs="宋体"/>
          <w:sz w:val="21"/>
          <w:szCs w:val="21"/>
          <w:u w:val="single" w:color="000000"/>
        </w:rPr>
        <w:t xml:space="preserve">     承包人    </w:t>
      </w:r>
      <w:r>
        <w:rPr>
          <w:rFonts w:hint="eastAsia" w:hAnsi="宋体" w:cs="宋体"/>
          <w:kern w:val="0"/>
          <w:sz w:val="21"/>
          <w:szCs w:val="21"/>
        </w:rPr>
        <w:t>承担。</w:t>
      </w:r>
    </w:p>
    <w:p w14:paraId="79CAD618">
      <w:pPr>
        <w:snapToGrid w:val="0"/>
        <w:spacing w:line="360" w:lineRule="auto"/>
        <w:ind w:firstLine="420" w:firstLineChars="200"/>
        <w:jc w:val="left"/>
        <w:textAlignment w:val="baseline"/>
        <w:rPr>
          <w:rFonts w:hAnsi="宋体" w:cs="宋体"/>
          <w:kern w:val="0"/>
          <w:sz w:val="21"/>
          <w:szCs w:val="21"/>
        </w:rPr>
      </w:pPr>
      <w:r>
        <w:rPr>
          <w:rFonts w:hint="eastAsia" w:hAnsi="宋体" w:cs="宋体"/>
          <w:kern w:val="0"/>
          <w:sz w:val="21"/>
          <w:szCs w:val="21"/>
        </w:rPr>
        <w:t>13.3.3 投料试车</w:t>
      </w:r>
    </w:p>
    <w:p w14:paraId="506E2940">
      <w:pPr>
        <w:snapToGrid w:val="0"/>
        <w:spacing w:line="360" w:lineRule="auto"/>
        <w:ind w:firstLine="420" w:firstLineChars="200"/>
        <w:jc w:val="left"/>
        <w:textAlignment w:val="baseline"/>
        <w:rPr>
          <w:rFonts w:hAnsi="宋体" w:cs="宋体"/>
          <w:sz w:val="21"/>
          <w:szCs w:val="21"/>
          <w:u w:val="single"/>
        </w:rPr>
      </w:pPr>
      <w:r>
        <w:rPr>
          <w:rFonts w:hint="eastAsia" w:hAnsi="宋体" w:cs="宋体"/>
          <w:kern w:val="0"/>
          <w:sz w:val="21"/>
          <w:szCs w:val="21"/>
        </w:rPr>
        <w:t>关于投料试车相关事项的约定：</w:t>
      </w:r>
      <w:r>
        <w:rPr>
          <w:rFonts w:hint="eastAsia" w:hAnsi="宋体" w:cs="宋体"/>
          <w:sz w:val="21"/>
          <w:szCs w:val="21"/>
          <w:u w:val="single" w:color="000000"/>
        </w:rPr>
        <w:t xml:space="preserve">   按国家、浙江省、杭州市、上城区的有关规定及监理人要求               </w:t>
      </w:r>
      <w:r>
        <w:rPr>
          <w:rFonts w:hint="eastAsia" w:hAnsi="宋体" w:cs="宋体"/>
          <w:sz w:val="21"/>
          <w:szCs w:val="21"/>
        </w:rPr>
        <w:t>。</w:t>
      </w:r>
    </w:p>
    <w:p w14:paraId="27BF003F">
      <w:pPr>
        <w:snapToGrid w:val="0"/>
        <w:spacing w:line="360" w:lineRule="auto"/>
        <w:ind w:firstLine="420" w:firstLineChars="200"/>
        <w:textAlignment w:val="baseline"/>
        <w:rPr>
          <w:rFonts w:hAnsi="宋体" w:cs="宋体"/>
          <w:sz w:val="21"/>
          <w:szCs w:val="21"/>
        </w:rPr>
      </w:pPr>
      <w:r>
        <w:rPr>
          <w:rFonts w:hint="eastAsia" w:hAnsi="宋体" w:cs="宋体"/>
          <w:sz w:val="21"/>
          <w:szCs w:val="21"/>
        </w:rPr>
        <w:t>13.6 竣工退场</w:t>
      </w:r>
    </w:p>
    <w:p w14:paraId="1AFA3D9E">
      <w:pPr>
        <w:snapToGrid w:val="0"/>
        <w:spacing w:line="360" w:lineRule="auto"/>
        <w:ind w:firstLine="420" w:firstLineChars="200"/>
        <w:jc w:val="left"/>
        <w:textAlignment w:val="baseline"/>
        <w:rPr>
          <w:rFonts w:hAnsi="宋体" w:cs="宋体"/>
          <w:kern w:val="0"/>
          <w:sz w:val="21"/>
          <w:szCs w:val="21"/>
        </w:rPr>
      </w:pPr>
      <w:r>
        <w:rPr>
          <w:rFonts w:hint="eastAsia" w:hAnsi="宋体" w:cs="宋体"/>
          <w:kern w:val="0"/>
          <w:sz w:val="21"/>
          <w:szCs w:val="21"/>
        </w:rPr>
        <w:t>13.6.1 竣工退场</w:t>
      </w:r>
    </w:p>
    <w:p w14:paraId="704C5977">
      <w:pPr>
        <w:snapToGrid w:val="0"/>
        <w:spacing w:line="360" w:lineRule="auto"/>
        <w:ind w:firstLine="420" w:firstLineChars="200"/>
        <w:jc w:val="left"/>
        <w:textAlignment w:val="baseline"/>
        <w:rPr>
          <w:rFonts w:hAnsi="宋体" w:cs="宋体"/>
          <w:kern w:val="0"/>
          <w:sz w:val="21"/>
          <w:szCs w:val="21"/>
        </w:rPr>
      </w:pPr>
      <w:r>
        <w:rPr>
          <w:rFonts w:hint="eastAsia" w:hAnsi="宋体" w:cs="宋体"/>
          <w:kern w:val="0"/>
          <w:sz w:val="21"/>
          <w:szCs w:val="21"/>
        </w:rPr>
        <w:t>承包人完成竣工退场的期限：</w:t>
      </w:r>
      <w:r>
        <w:rPr>
          <w:rFonts w:hint="eastAsia" w:hAnsi="宋体" w:cs="宋体"/>
          <w:sz w:val="21"/>
          <w:szCs w:val="21"/>
          <w:u w:val="single" w:color="000000"/>
        </w:rPr>
        <w:t xml:space="preserve">  竣工验收后 </w:t>
      </w:r>
      <w:r>
        <w:rPr>
          <w:rFonts w:hAnsi="宋体" w:cs="宋体"/>
          <w:sz w:val="21"/>
          <w:szCs w:val="21"/>
          <w:u w:val="single" w:color="000000"/>
        </w:rPr>
        <w:t>5</w:t>
      </w:r>
      <w:r>
        <w:rPr>
          <w:rFonts w:hint="eastAsia" w:hAnsi="宋体" w:cs="宋体"/>
          <w:sz w:val="21"/>
          <w:szCs w:val="21"/>
          <w:u w:val="single" w:color="000000"/>
        </w:rPr>
        <w:t xml:space="preserve"> 日内  </w:t>
      </w:r>
      <w:r>
        <w:rPr>
          <w:rFonts w:hint="eastAsia" w:hAnsi="宋体" w:cs="宋体"/>
          <w:kern w:val="0"/>
          <w:sz w:val="21"/>
          <w:szCs w:val="21"/>
        </w:rPr>
        <w:t>。</w:t>
      </w:r>
    </w:p>
    <w:p w14:paraId="23663621">
      <w:pPr>
        <w:pStyle w:val="6"/>
        <w:snapToGrid w:val="0"/>
        <w:spacing w:before="0" w:after="0" w:line="360" w:lineRule="auto"/>
        <w:ind w:firstLine="420" w:firstLineChars="200"/>
        <w:textAlignment w:val="baseline"/>
        <w:rPr>
          <w:rFonts w:ascii="宋体" w:hAnsi="宋体" w:cs="宋体"/>
          <w:b w:val="0"/>
          <w:sz w:val="21"/>
          <w:szCs w:val="21"/>
        </w:rPr>
      </w:pPr>
      <w:bookmarkStart w:id="605" w:name="_Toc351203646"/>
      <w:r>
        <w:rPr>
          <w:rFonts w:hint="eastAsia" w:ascii="宋体" w:hAnsi="宋体" w:cs="宋体"/>
          <w:b w:val="0"/>
          <w:sz w:val="21"/>
          <w:szCs w:val="21"/>
        </w:rPr>
        <w:t>14. 竣工结算</w:t>
      </w:r>
      <w:bookmarkEnd w:id="605"/>
    </w:p>
    <w:p w14:paraId="07A649C5">
      <w:pPr>
        <w:snapToGrid w:val="0"/>
        <w:spacing w:line="360" w:lineRule="auto"/>
        <w:ind w:firstLine="420" w:firstLineChars="200"/>
        <w:textAlignment w:val="baseline"/>
        <w:rPr>
          <w:rFonts w:hAnsi="宋体" w:cs="宋体"/>
          <w:sz w:val="21"/>
          <w:szCs w:val="21"/>
        </w:rPr>
      </w:pPr>
      <w:r>
        <w:rPr>
          <w:rFonts w:hint="eastAsia" w:hAnsi="宋体" w:cs="宋体"/>
          <w:sz w:val="21"/>
          <w:szCs w:val="21"/>
        </w:rPr>
        <w:t>14.1 竣工结算申请</w:t>
      </w:r>
    </w:p>
    <w:p w14:paraId="0869B32E">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承包人提交竣工结算申请单的期限：</w:t>
      </w:r>
      <w:r>
        <w:rPr>
          <w:rFonts w:hint="eastAsia" w:hAnsi="宋体" w:cs="宋体"/>
          <w:sz w:val="21"/>
          <w:szCs w:val="21"/>
          <w:u w:val="single" w:color="000000"/>
        </w:rPr>
        <w:t xml:space="preserve">  工程竣工验收达到合格标准后，承包人应在28天内向发包人递交竣工结算报告及完整的结算资料。  </w:t>
      </w:r>
      <w:r>
        <w:rPr>
          <w:rFonts w:hint="eastAsia" w:hAnsi="宋体" w:cs="宋体"/>
          <w:sz w:val="21"/>
          <w:szCs w:val="21"/>
        </w:rPr>
        <w:t>。</w:t>
      </w:r>
    </w:p>
    <w:p w14:paraId="219C3D51">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竣工付款申请单应包括的内容：</w:t>
      </w:r>
      <w:r>
        <w:rPr>
          <w:rFonts w:hint="eastAsia" w:hAnsi="宋体" w:cs="宋体"/>
          <w:sz w:val="21"/>
          <w:szCs w:val="21"/>
          <w:u w:val="single" w:color="000000"/>
        </w:rPr>
        <w:t xml:space="preserve">  按《通用合同条款》14.1条执行 。</w:t>
      </w:r>
    </w:p>
    <w:p w14:paraId="136A7FFF">
      <w:pPr>
        <w:snapToGrid w:val="0"/>
        <w:spacing w:line="360" w:lineRule="auto"/>
        <w:ind w:firstLine="420" w:firstLineChars="200"/>
        <w:textAlignment w:val="baseline"/>
        <w:rPr>
          <w:rFonts w:hAnsi="宋体" w:cs="宋体"/>
          <w:sz w:val="21"/>
          <w:szCs w:val="21"/>
        </w:rPr>
      </w:pPr>
      <w:r>
        <w:rPr>
          <w:rFonts w:hint="eastAsia" w:hAnsi="宋体" w:cs="宋体"/>
          <w:sz w:val="21"/>
          <w:szCs w:val="21"/>
        </w:rPr>
        <w:t>14.2 竣工结算审核</w:t>
      </w:r>
    </w:p>
    <w:p w14:paraId="26564BBE">
      <w:pPr>
        <w:snapToGrid w:val="0"/>
        <w:spacing w:line="360" w:lineRule="auto"/>
        <w:ind w:firstLine="422" w:firstLineChars="200"/>
        <w:textAlignment w:val="baseline"/>
        <w:rPr>
          <w:rFonts w:hAnsi="宋体" w:cs="宋体"/>
          <w:sz w:val="21"/>
          <w:szCs w:val="21"/>
          <w:u w:val="single"/>
        </w:rPr>
      </w:pPr>
      <w:r>
        <w:rPr>
          <w:rFonts w:hint="eastAsia" w:hAnsi="宋体" w:cs="宋体"/>
          <w:b/>
          <w:sz w:val="21"/>
          <w:szCs w:val="21"/>
          <w:u w:val="single" w:color="000000"/>
        </w:rPr>
        <w:t>发包人审批竣工付款申请单的期限：  承包人申请施工竣工结算的，完成合同约定内容，竣工验收通过并完成竣工验收备案手续，发包人按照竣工结算办理相应流程，进行竣工结算审核工作。本工程竣工结算审核完成后，发包人应当向承包人支付至工程</w:t>
      </w:r>
      <w:r>
        <w:rPr>
          <w:rFonts w:hint="eastAsia" w:hAnsi="宋体" w:cs="宋体"/>
          <w:b/>
          <w:bCs/>
          <w:sz w:val="21"/>
          <w:szCs w:val="21"/>
          <w:u w:val="single" w:color="000000"/>
        </w:rPr>
        <w:t>审定价的100%。承包人需在最终经审定的工程款支付之前将审定价1.5%的工程质量保证金汇至发包人指定账户</w:t>
      </w:r>
      <w:r>
        <w:rPr>
          <w:rFonts w:hint="eastAsia" w:hAnsi="宋体" w:cs="宋体"/>
          <w:sz w:val="21"/>
          <w:szCs w:val="21"/>
          <w:u w:val="single" w:color="000000"/>
        </w:rPr>
        <w:t>。</w:t>
      </w:r>
    </w:p>
    <w:p w14:paraId="7422A11C">
      <w:pPr>
        <w:snapToGrid w:val="0"/>
        <w:spacing w:line="360" w:lineRule="auto"/>
        <w:ind w:firstLine="422" w:firstLineChars="200"/>
        <w:textAlignment w:val="baseline"/>
        <w:rPr>
          <w:rFonts w:hAnsi="宋体" w:cs="宋体"/>
          <w:b/>
          <w:sz w:val="21"/>
          <w:szCs w:val="21"/>
          <w:u w:val="single" w:color="000000"/>
        </w:rPr>
      </w:pPr>
      <w:r>
        <w:rPr>
          <w:rFonts w:hint="eastAsia" w:hAnsi="宋体" w:cs="宋体"/>
          <w:b/>
          <w:sz w:val="21"/>
          <w:szCs w:val="21"/>
          <w:u w:val="single" w:color="000000"/>
        </w:rPr>
        <w:t>发包人、审计部门应在竣工验收通过并完成竣工验收备案手续、承包人提供完整结算资料以及具备其它结算条件后及时按有关规定核实承包人递交的结算报告及结算资料，但并不受通用合同条款所述的时间约束。承包人报送的结算资料，工程价款审计后核减额超过送审造价5%幅度以外的审查费用及核增部分审查费用追加费参照浙价服（2009）84号文件标准计算，并由承包人直接支付给结算审核单位。</w:t>
      </w:r>
    </w:p>
    <w:p w14:paraId="589818D1">
      <w:pPr>
        <w:snapToGrid w:val="0"/>
        <w:spacing w:line="360" w:lineRule="auto"/>
        <w:ind w:firstLine="422" w:firstLineChars="200"/>
        <w:textAlignment w:val="baseline"/>
        <w:rPr>
          <w:rFonts w:hint="eastAsia" w:hAnsi="宋体" w:cs="宋体"/>
          <w:b/>
          <w:sz w:val="21"/>
          <w:szCs w:val="21"/>
          <w:u w:val="single" w:color="000000"/>
        </w:rPr>
      </w:pPr>
      <w:r>
        <w:rPr>
          <w:rFonts w:hint="eastAsia" w:hAnsi="宋体" w:cs="宋体"/>
          <w:b/>
          <w:sz w:val="21"/>
          <w:szCs w:val="21"/>
          <w:u w:val="single" w:color="000000"/>
        </w:rPr>
        <w:t>承包人不配合的情形包括但不限于：拒绝核对工程量；拒绝接受中介机构的询证、询问和审核；拒绝对审计审价报告征求初稿发表意见；拒绝签收审计审价报告初稿等。</w:t>
      </w:r>
    </w:p>
    <w:p w14:paraId="21559792">
      <w:pPr>
        <w:snapToGrid w:val="0"/>
        <w:spacing w:line="360" w:lineRule="auto"/>
        <w:ind w:firstLine="422" w:firstLineChars="200"/>
        <w:textAlignment w:val="baseline"/>
        <w:rPr>
          <w:rFonts w:hint="eastAsia" w:hAnsi="宋体" w:cs="宋体"/>
          <w:b/>
          <w:sz w:val="21"/>
          <w:szCs w:val="21"/>
          <w:u w:val="single" w:color="000000"/>
        </w:rPr>
      </w:pPr>
      <w:r>
        <w:rPr>
          <w:rFonts w:hint="eastAsia" w:hAnsi="宋体" w:cs="宋体"/>
          <w:b/>
          <w:sz w:val="21"/>
          <w:szCs w:val="21"/>
          <w:u w:val="single" w:color="000000"/>
        </w:rPr>
        <w:t>发包人向承包人提交审核报告（审计报告）初稿后</w:t>
      </w:r>
      <w:r>
        <w:rPr>
          <w:rFonts w:hAnsi="宋体" w:cs="宋体"/>
          <w:b/>
          <w:sz w:val="21"/>
          <w:szCs w:val="21"/>
          <w:u w:val="single" w:color="000000"/>
        </w:rPr>
        <w:t>14</w:t>
      </w:r>
      <w:r>
        <w:rPr>
          <w:rFonts w:hint="eastAsia" w:hAnsi="宋体" w:cs="宋体"/>
          <w:b/>
          <w:sz w:val="21"/>
          <w:szCs w:val="21"/>
          <w:u w:val="single" w:color="000000"/>
        </w:rPr>
        <w:t>日内，承包人未书面提出异议或异议内容无合法依据的，视为承包人认可该报告数据，审核中介机构可以出具单方审核报告，发包人按审核报告结算工程款。</w:t>
      </w:r>
    </w:p>
    <w:p w14:paraId="58FE4CE8">
      <w:pPr>
        <w:snapToGrid w:val="0"/>
        <w:spacing w:line="360" w:lineRule="auto"/>
        <w:ind w:firstLine="422" w:firstLineChars="200"/>
        <w:textAlignment w:val="baseline"/>
        <w:rPr>
          <w:rFonts w:hint="eastAsia" w:hAnsi="宋体" w:cs="宋体"/>
          <w:b/>
          <w:sz w:val="21"/>
          <w:szCs w:val="21"/>
          <w:u w:val="single" w:color="000000"/>
        </w:rPr>
      </w:pPr>
      <w:r>
        <w:rPr>
          <w:rFonts w:hint="eastAsia" w:hAnsi="宋体" w:cs="宋体"/>
          <w:b/>
          <w:sz w:val="21"/>
          <w:szCs w:val="21"/>
          <w:u w:val="single" w:color="000000"/>
        </w:rPr>
        <w:t>发包人完成竣工付款的期限：     发包人应在完成竣工结算申请审批后完成对承包人的竣工付款  。</w:t>
      </w:r>
    </w:p>
    <w:p w14:paraId="7BD51CE9">
      <w:pPr>
        <w:snapToGrid w:val="0"/>
        <w:spacing w:line="360" w:lineRule="auto"/>
        <w:ind w:firstLine="422" w:firstLineChars="200"/>
        <w:textAlignment w:val="baseline"/>
        <w:rPr>
          <w:rFonts w:hAnsi="宋体" w:cs="宋体"/>
          <w:b/>
          <w:sz w:val="21"/>
          <w:szCs w:val="21"/>
          <w:u w:val="single"/>
        </w:rPr>
      </w:pPr>
    </w:p>
    <w:p w14:paraId="4C25DDED">
      <w:pPr>
        <w:snapToGrid w:val="0"/>
        <w:spacing w:line="360" w:lineRule="auto"/>
        <w:ind w:firstLine="422" w:firstLineChars="200"/>
        <w:textAlignment w:val="baseline"/>
        <w:rPr>
          <w:rFonts w:hint="eastAsia" w:hAnsi="宋体" w:cs="宋体"/>
          <w:b/>
          <w:sz w:val="21"/>
          <w:szCs w:val="21"/>
          <w:u w:val="single" w:color="000000"/>
        </w:rPr>
      </w:pPr>
      <w:r>
        <w:rPr>
          <w:rFonts w:hint="eastAsia" w:hAnsi="宋体" w:cs="宋体"/>
          <w:b/>
          <w:sz w:val="21"/>
          <w:szCs w:val="21"/>
          <w:u w:val="single" w:color="000000"/>
        </w:rPr>
        <w:t>14.4最终结清</w:t>
      </w:r>
    </w:p>
    <w:p w14:paraId="67323147">
      <w:pPr>
        <w:pStyle w:val="5"/>
      </w:pPr>
      <w:r>
        <w:rPr>
          <w:rFonts w:hint="eastAsia" w:cs="宋体"/>
          <w:b/>
          <w:sz w:val="21"/>
          <w:szCs w:val="21"/>
          <w:u w:val="single" w:color="000000"/>
        </w:rPr>
        <w:t>14.4.1最终结清申请单</w:t>
      </w:r>
    </w:p>
    <w:p w14:paraId="7BBD4ED0">
      <w:pPr>
        <w:snapToGrid w:val="0"/>
        <w:spacing w:line="360" w:lineRule="auto"/>
        <w:ind w:firstLine="422" w:firstLineChars="200"/>
        <w:textAlignment w:val="baseline"/>
        <w:rPr>
          <w:rFonts w:hAnsi="宋体" w:cs="宋体"/>
          <w:b/>
          <w:sz w:val="21"/>
          <w:szCs w:val="21"/>
          <w:u w:val="single"/>
        </w:rPr>
      </w:pPr>
      <w:r>
        <w:rPr>
          <w:rFonts w:hint="eastAsia" w:hAnsi="宋体" w:cs="宋体"/>
          <w:b/>
          <w:sz w:val="21"/>
          <w:szCs w:val="21"/>
          <w:u w:val="single" w:color="000000"/>
        </w:rPr>
        <w:t>（1）承包人提交最终结清申请单的份数： 承包人应在缺陷责任期终止证书颁发后7天内，向发包人提交一式捌份的最终结清申请单，并提供相关证明材料。最终结清申请单应列明质量保证金、应扣除的质量保证金、质量保修期内发生的增减费用 。</w:t>
      </w:r>
    </w:p>
    <w:p w14:paraId="1283DCBD">
      <w:pPr>
        <w:snapToGrid w:val="0"/>
        <w:spacing w:line="360" w:lineRule="auto"/>
        <w:ind w:firstLine="422" w:firstLineChars="200"/>
        <w:textAlignment w:val="baseline"/>
        <w:rPr>
          <w:rFonts w:hint="eastAsia" w:hAnsi="宋体" w:cs="宋体"/>
          <w:b/>
          <w:sz w:val="21"/>
          <w:szCs w:val="21"/>
          <w:u w:val="single" w:color="000000"/>
        </w:rPr>
      </w:pPr>
      <w:r>
        <w:rPr>
          <w:rFonts w:hint="eastAsia" w:hAnsi="宋体" w:cs="宋体"/>
          <w:b/>
          <w:sz w:val="21"/>
          <w:szCs w:val="21"/>
          <w:u w:val="single" w:color="000000"/>
        </w:rPr>
        <w:t>（2）承包人提交最终结算申请单的期限： 按通用条款约定 。</w:t>
      </w:r>
    </w:p>
    <w:p w14:paraId="4610E705">
      <w:pPr>
        <w:snapToGrid w:val="0"/>
        <w:spacing w:line="360" w:lineRule="auto"/>
        <w:ind w:firstLine="422" w:firstLineChars="200"/>
        <w:textAlignment w:val="baseline"/>
        <w:rPr>
          <w:rFonts w:hAnsi="宋体" w:cs="宋体"/>
          <w:b/>
          <w:sz w:val="21"/>
          <w:szCs w:val="21"/>
          <w:u w:val="single"/>
        </w:rPr>
      </w:pPr>
      <w:r>
        <w:rPr>
          <w:rFonts w:hint="eastAsia" w:hAnsi="宋体" w:cs="宋体"/>
          <w:b/>
          <w:sz w:val="21"/>
          <w:szCs w:val="21"/>
          <w:u w:val="single" w:color="000000"/>
        </w:rPr>
        <w:t>14.4.2 最终结清证书和支付</w:t>
      </w:r>
    </w:p>
    <w:p w14:paraId="05BC2B65">
      <w:pPr>
        <w:spacing w:line="400" w:lineRule="exact"/>
        <w:ind w:firstLine="420" w:firstLineChars="200"/>
        <w:rPr>
          <w:rFonts w:hint="eastAsia" w:hAnsi="宋体" w:cs="宋体"/>
          <w:sz w:val="21"/>
          <w:szCs w:val="21"/>
        </w:rPr>
      </w:pPr>
      <w:r>
        <w:rPr>
          <w:rFonts w:hint="eastAsia" w:hAnsi="宋体" w:cs="宋体"/>
          <w:sz w:val="21"/>
          <w:szCs w:val="21"/>
        </w:rPr>
        <w:t>1）发包人完成最终结清申请单的审批并颁发最终结清证书的期限：</w:t>
      </w:r>
      <w:r>
        <w:rPr>
          <w:rFonts w:hint="eastAsia" w:hAnsi="宋体" w:cs="宋体"/>
          <w:b/>
          <w:bCs/>
          <w:sz w:val="21"/>
          <w:szCs w:val="21"/>
          <w:u w:val="single"/>
        </w:rPr>
        <w:t>收到承包人结清申请单及房屋使用人或物业公司出具的证明材料后30天内</w:t>
      </w:r>
      <w:r>
        <w:rPr>
          <w:rFonts w:hint="eastAsia" w:hAnsi="宋体" w:cs="宋体"/>
          <w:sz w:val="21"/>
          <w:szCs w:val="21"/>
        </w:rPr>
        <w:t>。</w:t>
      </w:r>
    </w:p>
    <w:p w14:paraId="586C7505">
      <w:pPr>
        <w:snapToGrid w:val="0"/>
        <w:spacing w:line="360" w:lineRule="auto"/>
        <w:ind w:firstLine="420" w:firstLineChars="200"/>
        <w:textAlignment w:val="baseline"/>
        <w:rPr>
          <w:rFonts w:hint="eastAsia" w:hAnsi="宋体" w:cs="宋体"/>
          <w:sz w:val="21"/>
          <w:szCs w:val="21"/>
        </w:rPr>
      </w:pPr>
      <w:r>
        <w:rPr>
          <w:rFonts w:hint="eastAsia" w:hAnsi="宋体" w:cs="宋体"/>
          <w:sz w:val="21"/>
          <w:szCs w:val="21"/>
        </w:rPr>
        <w:t>（2）发包人完成支付的期限：</w:t>
      </w:r>
      <w:r>
        <w:rPr>
          <w:rFonts w:hint="eastAsia" w:hAnsi="宋体" w:cs="宋体"/>
          <w:b/>
          <w:bCs/>
          <w:sz w:val="21"/>
          <w:szCs w:val="21"/>
          <w:u w:val="single"/>
        </w:rPr>
        <w:t>发包人应在颁发最终结清证书后30天内完成支付</w:t>
      </w:r>
      <w:r>
        <w:rPr>
          <w:rFonts w:hint="eastAsia" w:hAnsi="宋体" w:cs="宋体"/>
          <w:sz w:val="21"/>
          <w:szCs w:val="21"/>
        </w:rPr>
        <w:t>。</w:t>
      </w:r>
    </w:p>
    <w:p w14:paraId="0C11CBA3">
      <w:pPr>
        <w:pStyle w:val="6"/>
        <w:snapToGrid w:val="0"/>
        <w:spacing w:before="0" w:after="0" w:line="360" w:lineRule="auto"/>
        <w:ind w:firstLine="420" w:firstLineChars="200"/>
        <w:textAlignment w:val="baseline"/>
        <w:rPr>
          <w:rFonts w:ascii="宋体" w:hAnsi="宋体" w:cs="宋体"/>
          <w:b w:val="0"/>
          <w:sz w:val="21"/>
          <w:szCs w:val="21"/>
        </w:rPr>
      </w:pPr>
      <w:bookmarkStart w:id="606" w:name="_Toc351203647"/>
      <w:bookmarkStart w:id="607" w:name="_Toc267251483"/>
      <w:r>
        <w:rPr>
          <w:rFonts w:hint="eastAsia" w:ascii="宋体" w:hAnsi="宋体" w:cs="宋体"/>
          <w:b w:val="0"/>
          <w:sz w:val="21"/>
          <w:szCs w:val="21"/>
        </w:rPr>
        <w:t>15. 缺陷责任期与保修</w:t>
      </w:r>
      <w:bookmarkEnd w:id="606"/>
    </w:p>
    <w:p w14:paraId="251D3A2E">
      <w:pPr>
        <w:snapToGrid w:val="0"/>
        <w:spacing w:line="360" w:lineRule="auto"/>
        <w:ind w:firstLine="420" w:firstLineChars="200"/>
        <w:textAlignment w:val="baseline"/>
        <w:rPr>
          <w:rFonts w:hAnsi="宋体" w:cs="宋体"/>
          <w:sz w:val="21"/>
          <w:szCs w:val="21"/>
        </w:rPr>
      </w:pPr>
      <w:r>
        <w:rPr>
          <w:rFonts w:hint="eastAsia" w:hAnsi="宋体" w:cs="宋体"/>
          <w:sz w:val="21"/>
          <w:szCs w:val="21"/>
        </w:rPr>
        <w:t>15.2缺陷责任期</w:t>
      </w:r>
      <w:bookmarkEnd w:id="607"/>
    </w:p>
    <w:p w14:paraId="15A7EB6A">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缺陷责任期的具体期限：</w:t>
      </w:r>
      <w:r>
        <w:rPr>
          <w:rFonts w:hint="eastAsia" w:hAnsi="宋体" w:cs="宋体"/>
          <w:sz w:val="21"/>
          <w:szCs w:val="21"/>
          <w:u w:val="single" w:color="000000"/>
        </w:rPr>
        <w:t>自接管单位交接表签订之日起 24 个月</w:t>
      </w:r>
      <w:r>
        <w:rPr>
          <w:rFonts w:hint="eastAsia" w:hAnsi="宋体" w:cs="宋体"/>
          <w:sz w:val="21"/>
          <w:szCs w:val="21"/>
        </w:rPr>
        <w:t>。</w:t>
      </w:r>
    </w:p>
    <w:p w14:paraId="7D4CC245">
      <w:pPr>
        <w:snapToGrid w:val="0"/>
        <w:spacing w:line="360" w:lineRule="auto"/>
        <w:ind w:firstLine="420" w:firstLineChars="200"/>
        <w:textAlignment w:val="baseline"/>
        <w:rPr>
          <w:rFonts w:hAnsi="宋体" w:cs="宋体"/>
          <w:sz w:val="21"/>
          <w:szCs w:val="21"/>
        </w:rPr>
      </w:pPr>
      <w:r>
        <w:rPr>
          <w:rFonts w:hint="eastAsia" w:hAnsi="宋体" w:cs="宋体"/>
          <w:sz w:val="21"/>
          <w:szCs w:val="21"/>
        </w:rPr>
        <w:t>15.3 质量保证金</w:t>
      </w:r>
    </w:p>
    <w:p w14:paraId="202843B9">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关于是否扣留质量保证金的约定：</w:t>
      </w:r>
      <w:r>
        <w:rPr>
          <w:rFonts w:hint="eastAsia" w:hAnsi="宋体" w:cs="宋体"/>
          <w:sz w:val="21"/>
          <w:szCs w:val="21"/>
          <w:u w:val="single" w:color="000000"/>
        </w:rPr>
        <w:t xml:space="preserve">    是     </w:t>
      </w:r>
      <w:r>
        <w:rPr>
          <w:rFonts w:hint="eastAsia" w:hAnsi="宋体" w:cs="宋体"/>
          <w:sz w:val="21"/>
          <w:szCs w:val="21"/>
        </w:rPr>
        <w:t>。</w:t>
      </w:r>
    </w:p>
    <w:p w14:paraId="5CB08807">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15.3.1 承包人提供质量保证金的方式</w:t>
      </w:r>
    </w:p>
    <w:p w14:paraId="31190BFB">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质量保证金采用以下第</w:t>
      </w:r>
      <w:r>
        <w:rPr>
          <w:rFonts w:hint="eastAsia" w:hAnsi="宋体" w:cs="宋体"/>
          <w:sz w:val="21"/>
          <w:szCs w:val="21"/>
          <w:u w:val="single" w:color="000000"/>
        </w:rPr>
        <w:t xml:space="preserve">   （2）  </w:t>
      </w:r>
      <w:r>
        <w:rPr>
          <w:rFonts w:hint="eastAsia" w:hAnsi="宋体" w:cs="宋体"/>
          <w:sz w:val="21"/>
          <w:szCs w:val="21"/>
        </w:rPr>
        <w:t>种方式：</w:t>
      </w:r>
    </w:p>
    <w:p w14:paraId="121EAA06">
      <w:pPr>
        <w:snapToGrid w:val="0"/>
        <w:spacing w:line="360" w:lineRule="auto"/>
        <w:ind w:firstLine="420" w:firstLineChars="200"/>
        <w:jc w:val="left"/>
        <w:textAlignment w:val="baseline"/>
        <w:rPr>
          <w:rFonts w:hAnsi="宋体" w:cs="宋体"/>
          <w:kern w:val="0"/>
          <w:sz w:val="21"/>
          <w:szCs w:val="21"/>
        </w:rPr>
      </w:pPr>
      <w:r>
        <w:rPr>
          <w:rFonts w:hint="eastAsia" w:hAnsi="宋体" w:cs="宋体"/>
          <w:kern w:val="0"/>
          <w:sz w:val="21"/>
          <w:szCs w:val="21"/>
        </w:rPr>
        <w:t>（1）质量保证金保函，保证金额为：</w:t>
      </w:r>
      <w:r>
        <w:rPr>
          <w:rFonts w:hint="eastAsia" w:hAnsi="宋体" w:cs="宋体"/>
          <w:kern w:val="0"/>
          <w:sz w:val="21"/>
          <w:szCs w:val="21"/>
          <w:u w:val="single" w:color="000000"/>
        </w:rPr>
        <w:t xml:space="preserve">    /      </w:t>
      </w:r>
      <w:r>
        <w:rPr>
          <w:rFonts w:hint="eastAsia" w:hAnsi="宋体" w:cs="宋体"/>
          <w:kern w:val="0"/>
          <w:sz w:val="21"/>
          <w:szCs w:val="21"/>
        </w:rPr>
        <w:t xml:space="preserve">； </w:t>
      </w:r>
    </w:p>
    <w:p w14:paraId="0617BC8C">
      <w:pPr>
        <w:snapToGrid w:val="0"/>
        <w:spacing w:line="360" w:lineRule="auto"/>
        <w:ind w:firstLine="420" w:firstLineChars="200"/>
        <w:jc w:val="left"/>
        <w:textAlignment w:val="baseline"/>
        <w:rPr>
          <w:rFonts w:hAnsi="宋体" w:cs="宋体"/>
          <w:kern w:val="0"/>
          <w:sz w:val="21"/>
          <w:szCs w:val="21"/>
        </w:rPr>
      </w:pPr>
      <w:r>
        <w:rPr>
          <w:rFonts w:hint="eastAsia" w:hAnsi="宋体" w:cs="宋体"/>
          <w:kern w:val="0"/>
          <w:sz w:val="21"/>
          <w:szCs w:val="21"/>
        </w:rPr>
        <w:t>（2）</w:t>
      </w:r>
      <w:r>
        <w:rPr>
          <w:rFonts w:hint="eastAsia" w:hAnsi="宋体" w:cs="宋体"/>
          <w:sz w:val="21"/>
          <w:szCs w:val="21"/>
          <w:u w:val="single" w:color="000000"/>
        </w:rPr>
        <w:t xml:space="preserve">  1.5   %</w:t>
      </w:r>
      <w:r>
        <w:rPr>
          <w:rFonts w:hint="eastAsia" w:hAnsi="宋体" w:cs="宋体"/>
          <w:kern w:val="0"/>
          <w:sz w:val="21"/>
          <w:szCs w:val="21"/>
        </w:rPr>
        <w:t>的工程款；</w:t>
      </w:r>
    </w:p>
    <w:p w14:paraId="064AA61C">
      <w:pPr>
        <w:pStyle w:val="34"/>
        <w:snapToGrid w:val="0"/>
        <w:spacing w:line="360" w:lineRule="auto"/>
        <w:ind w:firstLine="420" w:firstLineChars="200"/>
        <w:textAlignment w:val="baseline"/>
        <w:rPr>
          <w:rFonts w:hAnsi="宋体" w:cs="宋体"/>
          <w:kern w:val="0"/>
          <w:u w:val="single"/>
        </w:rPr>
      </w:pPr>
      <w:r>
        <w:rPr>
          <w:rFonts w:hint="eastAsia" w:hAnsi="宋体" w:cs="宋体"/>
          <w:kern w:val="0"/>
        </w:rPr>
        <w:t>（3）其他方式:</w:t>
      </w:r>
      <w:r>
        <w:rPr>
          <w:rFonts w:hint="eastAsia" w:hAnsi="宋体" w:cs="宋体"/>
          <w:kern w:val="0"/>
          <w:u w:val="single" w:color="000000"/>
        </w:rPr>
        <w:t xml:space="preserve">  / 。</w:t>
      </w:r>
    </w:p>
    <w:p w14:paraId="4A2D0F94">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 xml:space="preserve">15.3.2 质量保证金的扣留 </w:t>
      </w:r>
    </w:p>
    <w:p w14:paraId="6BB41024">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质量保证金的扣留采取以下第</w:t>
      </w:r>
      <w:r>
        <w:rPr>
          <w:rFonts w:hint="eastAsia" w:hAnsi="宋体" w:cs="宋体"/>
          <w:sz w:val="21"/>
          <w:szCs w:val="21"/>
          <w:u w:val="single" w:color="000000"/>
        </w:rPr>
        <w:t xml:space="preserve">  3   </w:t>
      </w:r>
      <w:r>
        <w:rPr>
          <w:rFonts w:hint="eastAsia" w:hAnsi="宋体" w:cs="宋体"/>
          <w:sz w:val="21"/>
          <w:szCs w:val="21"/>
        </w:rPr>
        <w:t>种方式：</w:t>
      </w:r>
    </w:p>
    <w:p w14:paraId="59125D8F">
      <w:pPr>
        <w:snapToGrid w:val="0"/>
        <w:spacing w:line="360" w:lineRule="auto"/>
        <w:ind w:firstLine="420" w:firstLineChars="200"/>
        <w:jc w:val="left"/>
        <w:textAlignment w:val="baseline"/>
        <w:rPr>
          <w:rFonts w:hAnsi="宋体" w:cs="宋体"/>
          <w:kern w:val="0"/>
          <w:sz w:val="21"/>
          <w:szCs w:val="21"/>
        </w:rPr>
      </w:pPr>
      <w:r>
        <w:rPr>
          <w:rFonts w:hint="eastAsia" w:hAnsi="宋体" w:cs="宋体"/>
          <w:kern w:val="0"/>
          <w:sz w:val="21"/>
          <w:szCs w:val="21"/>
        </w:rPr>
        <w:t>（1）在支付工程进度款时逐次扣留，在此情形下，质量保证金的计算基数不包括预付款的支付、扣回以及价格调整的金额；</w:t>
      </w:r>
    </w:p>
    <w:p w14:paraId="6576191D">
      <w:pPr>
        <w:snapToGrid w:val="0"/>
        <w:spacing w:line="360" w:lineRule="auto"/>
        <w:ind w:firstLine="420" w:firstLineChars="200"/>
        <w:jc w:val="left"/>
        <w:textAlignment w:val="baseline"/>
        <w:rPr>
          <w:rFonts w:hAnsi="宋体" w:cs="宋体"/>
          <w:kern w:val="0"/>
          <w:sz w:val="21"/>
          <w:szCs w:val="21"/>
        </w:rPr>
      </w:pPr>
      <w:r>
        <w:rPr>
          <w:rFonts w:hint="eastAsia" w:hAnsi="宋体" w:cs="宋体"/>
          <w:kern w:val="0"/>
          <w:sz w:val="21"/>
          <w:szCs w:val="21"/>
        </w:rPr>
        <w:t>（2）工程竣工结算时一次性扣留质量保证金；</w:t>
      </w:r>
    </w:p>
    <w:p w14:paraId="4B4EFC44">
      <w:pPr>
        <w:snapToGrid w:val="0"/>
        <w:spacing w:line="360" w:lineRule="auto"/>
        <w:ind w:firstLine="420" w:firstLineChars="200"/>
        <w:jc w:val="left"/>
        <w:textAlignment w:val="baseline"/>
        <w:rPr>
          <w:rFonts w:hAnsi="宋体" w:cs="宋体"/>
          <w:kern w:val="0"/>
          <w:sz w:val="21"/>
          <w:szCs w:val="21"/>
        </w:rPr>
      </w:pPr>
      <w:r>
        <w:rPr>
          <w:rFonts w:hint="eastAsia" w:hAnsi="宋体" w:cs="宋体"/>
          <w:kern w:val="0"/>
          <w:sz w:val="21"/>
          <w:szCs w:val="21"/>
        </w:rPr>
        <w:t>（3）其他扣留方式:</w:t>
      </w:r>
      <w:r>
        <w:rPr>
          <w:rFonts w:hint="eastAsia" w:hAnsi="宋体" w:cs="宋体"/>
          <w:kern w:val="0"/>
          <w:sz w:val="21"/>
          <w:szCs w:val="21"/>
          <w:u w:val="single" w:color="000000"/>
        </w:rPr>
        <w:t xml:space="preserve">   </w:t>
      </w:r>
      <w:r>
        <w:rPr>
          <w:rFonts w:hint="eastAsia" w:hAnsi="宋体" w:cs="宋体"/>
          <w:b/>
          <w:bCs/>
          <w:sz w:val="21"/>
          <w:szCs w:val="21"/>
          <w:u w:val="single" w:color="000000"/>
        </w:rPr>
        <w:t>承包人将审定价的1</w:t>
      </w:r>
      <w:r>
        <w:rPr>
          <w:rFonts w:hAnsi="宋体" w:cs="宋体"/>
          <w:b/>
          <w:bCs/>
          <w:sz w:val="21"/>
          <w:szCs w:val="21"/>
          <w:u w:val="single" w:color="000000"/>
        </w:rPr>
        <w:t>.5</w:t>
      </w:r>
      <w:r>
        <w:rPr>
          <w:rFonts w:hint="eastAsia" w:hAnsi="宋体" w:cs="宋体"/>
          <w:b/>
          <w:bCs/>
          <w:sz w:val="21"/>
          <w:szCs w:val="21"/>
          <w:u w:val="single" w:color="000000"/>
        </w:rPr>
        <w:t>%作为质量保证金打入发包人账户</w:t>
      </w:r>
      <w:r>
        <w:rPr>
          <w:rFonts w:hint="eastAsia" w:hAnsi="宋体" w:cs="宋体"/>
          <w:kern w:val="0"/>
          <w:sz w:val="21"/>
          <w:szCs w:val="21"/>
          <w:u w:val="single" w:color="000000"/>
        </w:rPr>
        <w:t xml:space="preserve">     </w:t>
      </w:r>
      <w:r>
        <w:rPr>
          <w:rFonts w:hint="eastAsia" w:hAnsi="宋体" w:cs="宋体"/>
          <w:kern w:val="0"/>
          <w:sz w:val="21"/>
          <w:szCs w:val="21"/>
        </w:rPr>
        <w:t>。</w:t>
      </w:r>
    </w:p>
    <w:p w14:paraId="0CD8E3D6">
      <w:pPr>
        <w:snapToGrid w:val="0"/>
        <w:spacing w:line="360" w:lineRule="auto"/>
        <w:ind w:firstLine="420" w:firstLineChars="200"/>
        <w:jc w:val="left"/>
        <w:textAlignment w:val="baseline"/>
        <w:rPr>
          <w:rFonts w:hAnsi="宋体" w:cs="宋体"/>
          <w:kern w:val="0"/>
          <w:sz w:val="21"/>
          <w:szCs w:val="21"/>
          <w:u w:val="single"/>
        </w:rPr>
      </w:pPr>
      <w:r>
        <w:rPr>
          <w:rFonts w:hint="eastAsia" w:hAnsi="宋体" w:cs="宋体"/>
          <w:sz w:val="21"/>
          <w:szCs w:val="21"/>
        </w:rPr>
        <w:t>关于质量保证金的补充约定：</w:t>
      </w:r>
      <w:r>
        <w:rPr>
          <w:rFonts w:hint="eastAsia" w:hAnsi="宋体" w:cs="宋体"/>
          <w:kern w:val="0"/>
          <w:sz w:val="21"/>
          <w:szCs w:val="21"/>
          <w:u w:val="single" w:color="000000"/>
        </w:rPr>
        <w:t>工程在保修期内出现质量问题需要维修，如承包人在接到发包人的维修通知后一周内未予响应，发包人有权自行或委托第三方维修，所需费用由承包人全部承担（修复费用=实际修复费用+实际修复费用20%的管理费用），上述违约金额在质量保证金中直接扣除，且承包人应在收到发包人扣罚通知后 7天内补足质量保证金，若承包人未按要求补足质量保证金的，发包人有权在退还质量保证金时双倍扣罚上述修复费用，若不够扣除的，则承包人应当另行将不足部分支付给发包人。质量保证金不计利息</w:t>
      </w:r>
      <w:r>
        <w:rPr>
          <w:rFonts w:hAnsi="宋体" w:cs="宋体"/>
          <w:kern w:val="0"/>
          <w:sz w:val="21"/>
          <w:szCs w:val="21"/>
          <w:u w:val="single" w:color="000000"/>
        </w:rPr>
        <w:t xml:space="preserve">  </w:t>
      </w:r>
      <w:r>
        <w:rPr>
          <w:rFonts w:hint="eastAsia" w:hAnsi="宋体" w:cs="宋体"/>
          <w:kern w:val="0"/>
          <w:sz w:val="21"/>
          <w:szCs w:val="21"/>
        </w:rPr>
        <w:t>。</w:t>
      </w:r>
    </w:p>
    <w:p w14:paraId="0C2D3EA1">
      <w:pPr>
        <w:snapToGrid w:val="0"/>
        <w:spacing w:line="360" w:lineRule="auto"/>
        <w:ind w:firstLine="420" w:firstLineChars="200"/>
        <w:textAlignment w:val="baseline"/>
        <w:rPr>
          <w:rFonts w:hAnsi="宋体" w:cs="宋体"/>
          <w:sz w:val="21"/>
          <w:szCs w:val="21"/>
        </w:rPr>
      </w:pPr>
      <w:r>
        <w:rPr>
          <w:rFonts w:hint="eastAsia" w:hAnsi="宋体" w:cs="宋体"/>
          <w:sz w:val="21"/>
          <w:szCs w:val="21"/>
        </w:rPr>
        <w:t>15.4保修</w:t>
      </w:r>
    </w:p>
    <w:p w14:paraId="7C2C4F6F">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15.4.1 保修责任</w:t>
      </w:r>
    </w:p>
    <w:p w14:paraId="344E0730">
      <w:pPr>
        <w:snapToGrid w:val="0"/>
        <w:spacing w:line="360" w:lineRule="auto"/>
        <w:ind w:firstLine="420" w:firstLineChars="200"/>
        <w:jc w:val="left"/>
        <w:textAlignment w:val="baseline"/>
        <w:rPr>
          <w:rFonts w:hAnsi="宋体" w:cs="宋体"/>
          <w:kern w:val="0"/>
          <w:sz w:val="21"/>
          <w:szCs w:val="21"/>
          <w:u w:val="single"/>
        </w:rPr>
      </w:pPr>
      <w:r>
        <w:rPr>
          <w:rFonts w:hint="eastAsia" w:hAnsi="宋体" w:cs="宋体"/>
          <w:sz w:val="21"/>
          <w:szCs w:val="21"/>
        </w:rPr>
        <w:t>工程保修期为：</w:t>
      </w:r>
      <w:r>
        <w:rPr>
          <w:rFonts w:hint="eastAsia" w:hAnsi="宋体" w:cs="宋体"/>
          <w:kern w:val="0"/>
          <w:sz w:val="21"/>
          <w:szCs w:val="21"/>
          <w:u w:val="single" w:color="000000"/>
        </w:rPr>
        <w:t xml:space="preserve">  详见《工程质量保修书》。</w:t>
      </w:r>
    </w:p>
    <w:p w14:paraId="0E77AD61">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15.4.3 修复通知</w:t>
      </w:r>
    </w:p>
    <w:p w14:paraId="75168BFC">
      <w:pPr>
        <w:snapToGrid w:val="0"/>
        <w:spacing w:line="360" w:lineRule="auto"/>
        <w:ind w:firstLine="420" w:firstLineChars="200"/>
        <w:jc w:val="left"/>
        <w:textAlignment w:val="baseline"/>
        <w:rPr>
          <w:rFonts w:hAnsi="宋体" w:cs="宋体"/>
          <w:kern w:val="0"/>
          <w:sz w:val="21"/>
          <w:szCs w:val="21"/>
          <w:u w:val="single"/>
        </w:rPr>
      </w:pPr>
      <w:r>
        <w:rPr>
          <w:rFonts w:hint="eastAsia" w:hAnsi="宋体" w:cs="宋体"/>
          <w:kern w:val="0"/>
          <w:sz w:val="21"/>
          <w:szCs w:val="21"/>
        </w:rPr>
        <w:t>承包人收到保修通知并到达工程现场的合理时间：</w:t>
      </w:r>
      <w:r>
        <w:rPr>
          <w:rFonts w:hint="eastAsia" w:hAnsi="宋体" w:cs="宋体"/>
          <w:kern w:val="0"/>
          <w:sz w:val="21"/>
          <w:szCs w:val="21"/>
          <w:u w:val="single" w:color="000000"/>
        </w:rPr>
        <w:t xml:space="preserve"> 承包人应在收到通知后48 小时内到达工程现场并修复缺陷或损坏，遇紧急情况应在收到通知后2 小时内到达。发包人的修复通知采用口头通知、书面通知、书面留置通知等方式，承包人应无条件接受  </w:t>
      </w:r>
      <w:r>
        <w:rPr>
          <w:rFonts w:hint="eastAsia" w:hAnsi="宋体" w:cs="宋体"/>
          <w:kern w:val="0"/>
          <w:sz w:val="21"/>
          <w:szCs w:val="21"/>
        </w:rPr>
        <w:t>。</w:t>
      </w:r>
    </w:p>
    <w:p w14:paraId="664C5B2C">
      <w:pPr>
        <w:pStyle w:val="6"/>
        <w:snapToGrid w:val="0"/>
        <w:spacing w:before="0" w:after="0" w:line="360" w:lineRule="auto"/>
        <w:ind w:firstLine="420" w:firstLineChars="200"/>
        <w:textAlignment w:val="baseline"/>
        <w:rPr>
          <w:rFonts w:ascii="宋体" w:hAnsi="宋体" w:cs="宋体"/>
          <w:b w:val="0"/>
          <w:sz w:val="21"/>
          <w:szCs w:val="21"/>
        </w:rPr>
      </w:pPr>
      <w:bookmarkStart w:id="608" w:name="_Toc351203648"/>
      <w:bookmarkStart w:id="609" w:name="_Toc280868717"/>
      <w:r>
        <w:rPr>
          <w:rFonts w:hint="eastAsia" w:ascii="宋体" w:hAnsi="宋体" w:cs="宋体"/>
          <w:b w:val="0"/>
          <w:sz w:val="21"/>
          <w:szCs w:val="21"/>
        </w:rPr>
        <w:t>16. 违约</w:t>
      </w:r>
      <w:bookmarkEnd w:id="608"/>
    </w:p>
    <w:p w14:paraId="7362F2B0">
      <w:pPr>
        <w:snapToGrid w:val="0"/>
        <w:spacing w:line="360" w:lineRule="auto"/>
        <w:ind w:firstLine="420" w:firstLineChars="200"/>
        <w:textAlignment w:val="baseline"/>
        <w:rPr>
          <w:rFonts w:hAnsi="宋体" w:cs="宋体"/>
          <w:sz w:val="21"/>
          <w:szCs w:val="21"/>
        </w:rPr>
      </w:pPr>
      <w:r>
        <w:rPr>
          <w:rFonts w:hint="eastAsia" w:hAnsi="宋体" w:cs="宋体"/>
          <w:sz w:val="21"/>
          <w:szCs w:val="21"/>
        </w:rPr>
        <w:t>16.1 发包人违约</w:t>
      </w:r>
    </w:p>
    <w:p w14:paraId="3058236E">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16.1.1发包人违约的情形</w:t>
      </w:r>
    </w:p>
    <w:p w14:paraId="63977F5D">
      <w:pPr>
        <w:snapToGrid w:val="0"/>
        <w:spacing w:line="360" w:lineRule="auto"/>
        <w:ind w:firstLine="420" w:firstLineChars="200"/>
        <w:jc w:val="left"/>
        <w:textAlignment w:val="baseline"/>
        <w:rPr>
          <w:rFonts w:hAnsi="宋体" w:cs="宋体"/>
          <w:kern w:val="0"/>
          <w:sz w:val="21"/>
          <w:szCs w:val="21"/>
          <w:u w:val="single"/>
        </w:rPr>
      </w:pPr>
      <w:r>
        <w:rPr>
          <w:rFonts w:hint="eastAsia" w:hAnsi="宋体" w:cs="宋体"/>
          <w:kern w:val="0"/>
          <w:sz w:val="21"/>
          <w:szCs w:val="21"/>
        </w:rPr>
        <w:t>发包人违约的其他情形：</w:t>
      </w:r>
      <w:r>
        <w:rPr>
          <w:rFonts w:hint="eastAsia" w:hAnsi="宋体" w:cs="宋体"/>
          <w:kern w:val="0"/>
          <w:sz w:val="21"/>
          <w:szCs w:val="21"/>
          <w:u w:val="single" w:color="000000"/>
        </w:rPr>
        <w:t xml:space="preserve">   按通用条款约定  </w:t>
      </w:r>
      <w:r>
        <w:rPr>
          <w:rFonts w:hint="eastAsia" w:hAnsi="宋体" w:cs="宋体"/>
          <w:kern w:val="0"/>
          <w:sz w:val="21"/>
          <w:szCs w:val="21"/>
        </w:rPr>
        <w:t>。</w:t>
      </w:r>
    </w:p>
    <w:p w14:paraId="2646E256">
      <w:pPr>
        <w:snapToGrid w:val="0"/>
        <w:spacing w:line="360" w:lineRule="auto"/>
        <w:ind w:firstLine="420" w:firstLineChars="200"/>
        <w:jc w:val="left"/>
        <w:textAlignment w:val="baseline"/>
        <w:rPr>
          <w:rFonts w:hAnsi="宋体" w:cs="宋体"/>
          <w:kern w:val="0"/>
          <w:sz w:val="21"/>
          <w:szCs w:val="21"/>
        </w:rPr>
      </w:pPr>
      <w:r>
        <w:rPr>
          <w:rFonts w:hint="eastAsia" w:hAnsi="宋体" w:cs="宋体"/>
          <w:kern w:val="0"/>
          <w:sz w:val="21"/>
          <w:szCs w:val="21"/>
        </w:rPr>
        <w:t>16.1.2 发包人违约的责任</w:t>
      </w:r>
    </w:p>
    <w:p w14:paraId="27478F21">
      <w:pPr>
        <w:snapToGrid w:val="0"/>
        <w:spacing w:line="360" w:lineRule="auto"/>
        <w:ind w:firstLine="420" w:firstLineChars="200"/>
        <w:jc w:val="left"/>
        <w:textAlignment w:val="baseline"/>
        <w:rPr>
          <w:rFonts w:hAnsi="宋体" w:cs="宋体"/>
          <w:kern w:val="0"/>
          <w:sz w:val="21"/>
          <w:szCs w:val="21"/>
        </w:rPr>
      </w:pPr>
      <w:r>
        <w:rPr>
          <w:rFonts w:hint="eastAsia" w:hAnsi="宋体" w:cs="宋体"/>
          <w:kern w:val="0"/>
          <w:sz w:val="21"/>
          <w:szCs w:val="21"/>
        </w:rPr>
        <w:t>发包人违约责任的承担方式和计算方法：</w:t>
      </w:r>
    </w:p>
    <w:p w14:paraId="634AE250">
      <w:pPr>
        <w:snapToGrid w:val="0"/>
        <w:spacing w:line="360" w:lineRule="auto"/>
        <w:ind w:firstLine="420" w:firstLineChars="200"/>
        <w:jc w:val="left"/>
        <w:textAlignment w:val="baseline"/>
        <w:rPr>
          <w:rFonts w:hAnsi="宋体" w:cs="宋体"/>
          <w:kern w:val="0"/>
          <w:sz w:val="21"/>
          <w:szCs w:val="21"/>
          <w:u w:val="single"/>
        </w:rPr>
      </w:pPr>
      <w:r>
        <w:rPr>
          <w:rFonts w:hint="eastAsia" w:hAnsi="宋体" w:cs="宋体"/>
          <w:kern w:val="0"/>
          <w:sz w:val="21"/>
          <w:szCs w:val="21"/>
        </w:rPr>
        <w:t>（1）因发包人原因未能在计划开工日期前7天内下达开工通知的违约责任：</w:t>
      </w:r>
      <w:r>
        <w:rPr>
          <w:rFonts w:hint="eastAsia" w:hAnsi="宋体" w:cs="宋体"/>
          <w:kern w:val="0"/>
          <w:sz w:val="21"/>
          <w:szCs w:val="21"/>
          <w:u w:val="single" w:color="000000"/>
        </w:rPr>
        <w:t xml:space="preserve">   由发包人原因引起的工期顺延，不另计违约金及承包人利润等损失</w:t>
      </w:r>
      <w:r>
        <w:rPr>
          <w:rFonts w:hAnsi="宋体" w:cs="宋体"/>
          <w:kern w:val="0"/>
          <w:sz w:val="21"/>
          <w:szCs w:val="21"/>
          <w:u w:val="single" w:color="000000"/>
        </w:rPr>
        <w:t xml:space="preserve">  </w:t>
      </w:r>
      <w:r>
        <w:rPr>
          <w:rFonts w:hint="eastAsia" w:hAnsi="宋体" w:cs="宋体"/>
          <w:kern w:val="0"/>
          <w:sz w:val="21"/>
          <w:szCs w:val="21"/>
          <w:u w:val="single" w:color="000000"/>
        </w:rPr>
        <w:t xml:space="preserve"> </w:t>
      </w:r>
      <w:r>
        <w:rPr>
          <w:rFonts w:hint="eastAsia" w:hAnsi="宋体" w:cs="宋体"/>
          <w:kern w:val="0"/>
          <w:sz w:val="21"/>
          <w:szCs w:val="21"/>
        </w:rPr>
        <w:t>。</w:t>
      </w:r>
    </w:p>
    <w:p w14:paraId="419DB322">
      <w:pPr>
        <w:snapToGrid w:val="0"/>
        <w:spacing w:line="360" w:lineRule="auto"/>
        <w:ind w:firstLine="420" w:firstLineChars="200"/>
        <w:jc w:val="left"/>
        <w:textAlignment w:val="baseline"/>
        <w:rPr>
          <w:rFonts w:hAnsi="宋体" w:cs="宋体"/>
          <w:kern w:val="0"/>
          <w:sz w:val="21"/>
          <w:szCs w:val="21"/>
          <w:u w:val="single"/>
        </w:rPr>
      </w:pPr>
      <w:r>
        <w:rPr>
          <w:rFonts w:hint="eastAsia" w:hAnsi="宋体" w:cs="宋体"/>
          <w:kern w:val="0"/>
          <w:sz w:val="21"/>
          <w:szCs w:val="21"/>
        </w:rPr>
        <w:t>（2）因发包人原因未能按合同约定支付合同价款的违约责任：</w:t>
      </w:r>
      <w:r>
        <w:rPr>
          <w:rFonts w:hint="eastAsia" w:hAnsi="宋体" w:cs="宋体"/>
          <w:kern w:val="0"/>
          <w:sz w:val="21"/>
          <w:szCs w:val="21"/>
          <w:u w:val="single" w:color="000000"/>
        </w:rPr>
        <w:t xml:space="preserve"> </w:t>
      </w:r>
      <w:r>
        <w:rPr>
          <w:rFonts w:hAnsi="宋体" w:cs="宋体"/>
          <w:kern w:val="0"/>
          <w:sz w:val="21"/>
          <w:szCs w:val="21"/>
          <w:u w:val="single" w:color="000000"/>
        </w:rPr>
        <w:t xml:space="preserve"> </w:t>
      </w:r>
      <w:r>
        <w:rPr>
          <w:rFonts w:hint="eastAsia" w:hAnsi="宋体" w:cs="宋体"/>
          <w:kern w:val="0"/>
          <w:sz w:val="21"/>
          <w:szCs w:val="21"/>
          <w:u w:val="single" w:color="000000"/>
        </w:rPr>
        <w:t xml:space="preserve">/  </w:t>
      </w:r>
      <w:r>
        <w:rPr>
          <w:rFonts w:hint="eastAsia" w:hAnsi="宋体" w:cs="宋体"/>
          <w:kern w:val="0"/>
          <w:sz w:val="21"/>
          <w:szCs w:val="21"/>
        </w:rPr>
        <w:t>。</w:t>
      </w:r>
    </w:p>
    <w:p w14:paraId="0E481DC6">
      <w:pPr>
        <w:snapToGrid w:val="0"/>
        <w:spacing w:line="360" w:lineRule="auto"/>
        <w:ind w:firstLine="420" w:firstLineChars="200"/>
        <w:jc w:val="left"/>
        <w:textAlignment w:val="baseline"/>
        <w:rPr>
          <w:rFonts w:hAnsi="宋体" w:cs="宋体"/>
          <w:kern w:val="0"/>
          <w:sz w:val="21"/>
          <w:szCs w:val="21"/>
          <w:u w:val="single"/>
        </w:rPr>
      </w:pPr>
      <w:r>
        <w:rPr>
          <w:rFonts w:hint="eastAsia" w:hAnsi="宋体" w:cs="宋体"/>
          <w:kern w:val="0"/>
          <w:sz w:val="21"/>
          <w:szCs w:val="21"/>
        </w:rPr>
        <w:t>（3）发包人违反第10.1款〔变更的范围〕第（2）项约定，自行实施被取消的工作或转由他人实施的违约责任：</w:t>
      </w:r>
      <w:r>
        <w:rPr>
          <w:rFonts w:hint="eastAsia" w:hAnsi="宋体" w:cs="宋体"/>
          <w:kern w:val="0"/>
          <w:sz w:val="21"/>
          <w:szCs w:val="21"/>
          <w:u w:val="single" w:color="000000"/>
        </w:rPr>
        <w:t xml:space="preserve">    </w:t>
      </w:r>
      <w:r>
        <w:rPr>
          <w:rFonts w:hAnsi="宋体" w:cs="宋体"/>
          <w:kern w:val="0"/>
          <w:sz w:val="21"/>
          <w:szCs w:val="21"/>
          <w:u w:val="single" w:color="000000"/>
        </w:rPr>
        <w:t xml:space="preserve"> </w:t>
      </w:r>
      <w:r>
        <w:rPr>
          <w:rFonts w:hint="eastAsia" w:hAnsi="宋体" w:cs="宋体"/>
          <w:kern w:val="0"/>
          <w:sz w:val="21"/>
          <w:szCs w:val="21"/>
          <w:u w:val="single" w:color="000000"/>
        </w:rPr>
        <w:t>/  。</w:t>
      </w:r>
    </w:p>
    <w:p w14:paraId="66EDDF34">
      <w:pPr>
        <w:snapToGrid w:val="0"/>
        <w:spacing w:line="360" w:lineRule="auto"/>
        <w:ind w:firstLine="420" w:firstLineChars="200"/>
        <w:jc w:val="left"/>
        <w:textAlignment w:val="baseline"/>
        <w:rPr>
          <w:rFonts w:hAnsi="宋体" w:cs="宋体"/>
          <w:kern w:val="0"/>
          <w:sz w:val="21"/>
          <w:szCs w:val="21"/>
          <w:u w:val="single"/>
        </w:rPr>
      </w:pPr>
      <w:r>
        <w:rPr>
          <w:rFonts w:hint="eastAsia" w:hAnsi="宋体" w:cs="宋体"/>
          <w:kern w:val="0"/>
          <w:sz w:val="21"/>
          <w:szCs w:val="21"/>
        </w:rPr>
        <w:t>（4）发包人提供的材料、工程设备的规格、数量或质量不符合合同约定，或因发包人原因导致交货日期延误或交货地点变更等情况的违约责任：</w:t>
      </w:r>
      <w:r>
        <w:rPr>
          <w:rFonts w:hint="eastAsia" w:hAnsi="宋体" w:cs="宋体"/>
          <w:kern w:val="0"/>
          <w:sz w:val="21"/>
          <w:szCs w:val="21"/>
          <w:u w:val="single" w:color="000000"/>
        </w:rPr>
        <w:t xml:space="preserve">  </w:t>
      </w:r>
      <w:r>
        <w:rPr>
          <w:rFonts w:hAnsi="宋体" w:cs="宋体"/>
          <w:kern w:val="0"/>
          <w:sz w:val="21"/>
          <w:szCs w:val="21"/>
          <w:u w:val="single" w:color="000000"/>
        </w:rPr>
        <w:t xml:space="preserve"> </w:t>
      </w:r>
      <w:r>
        <w:rPr>
          <w:rFonts w:hint="eastAsia" w:hAnsi="宋体" w:cs="宋体"/>
          <w:kern w:val="0"/>
          <w:sz w:val="21"/>
          <w:szCs w:val="21"/>
          <w:u w:val="single" w:color="000000"/>
        </w:rPr>
        <w:t>/</w:t>
      </w:r>
      <w:r>
        <w:rPr>
          <w:rFonts w:hAnsi="宋体" w:cs="宋体"/>
          <w:kern w:val="0"/>
          <w:sz w:val="21"/>
          <w:szCs w:val="21"/>
          <w:u w:val="single" w:color="000000"/>
        </w:rPr>
        <w:t xml:space="preserve"> </w:t>
      </w:r>
      <w:r>
        <w:rPr>
          <w:rFonts w:hint="eastAsia" w:hAnsi="宋体" w:cs="宋体"/>
          <w:kern w:val="0"/>
          <w:sz w:val="21"/>
          <w:szCs w:val="21"/>
          <w:u w:val="single" w:color="000000"/>
        </w:rPr>
        <w:t xml:space="preserve"> </w:t>
      </w:r>
      <w:r>
        <w:rPr>
          <w:rFonts w:hint="eastAsia" w:hAnsi="宋体" w:cs="宋体"/>
          <w:kern w:val="0"/>
          <w:sz w:val="21"/>
          <w:szCs w:val="21"/>
        </w:rPr>
        <w:t>。</w:t>
      </w:r>
    </w:p>
    <w:p w14:paraId="001C940A">
      <w:pPr>
        <w:snapToGrid w:val="0"/>
        <w:spacing w:line="360" w:lineRule="auto"/>
        <w:ind w:firstLine="420" w:firstLineChars="200"/>
        <w:jc w:val="left"/>
        <w:textAlignment w:val="baseline"/>
        <w:rPr>
          <w:rFonts w:hAnsi="宋体" w:cs="宋体"/>
          <w:kern w:val="0"/>
          <w:sz w:val="21"/>
          <w:szCs w:val="21"/>
          <w:u w:val="single"/>
        </w:rPr>
      </w:pPr>
      <w:r>
        <w:rPr>
          <w:rFonts w:hint="eastAsia" w:hAnsi="宋体" w:cs="宋体"/>
          <w:kern w:val="0"/>
          <w:sz w:val="21"/>
          <w:szCs w:val="21"/>
        </w:rPr>
        <w:t>（5）因发包人违反合同约定造成暂停施工的违约责任：</w:t>
      </w:r>
      <w:r>
        <w:rPr>
          <w:rFonts w:hint="eastAsia" w:hAnsi="宋体" w:cs="宋体"/>
          <w:kern w:val="0"/>
          <w:sz w:val="21"/>
          <w:szCs w:val="21"/>
          <w:u w:val="single" w:color="000000"/>
        </w:rPr>
        <w:t xml:space="preserve"> </w:t>
      </w:r>
      <w:r>
        <w:rPr>
          <w:rFonts w:hAnsi="宋体" w:cs="宋体"/>
          <w:kern w:val="0"/>
          <w:sz w:val="21"/>
          <w:szCs w:val="21"/>
          <w:u w:val="single" w:color="000000"/>
        </w:rPr>
        <w:t xml:space="preserve"> </w:t>
      </w:r>
      <w:r>
        <w:rPr>
          <w:rFonts w:hint="eastAsia" w:hAnsi="宋体" w:cs="宋体"/>
          <w:kern w:val="0"/>
          <w:sz w:val="21"/>
          <w:szCs w:val="21"/>
          <w:u w:val="single" w:color="000000"/>
        </w:rPr>
        <w:t>由发包人原因引起的工期顺延，不另计违约金及承包人利润等损失</w:t>
      </w:r>
      <w:r>
        <w:rPr>
          <w:rFonts w:hAnsi="宋体" w:cs="宋体"/>
          <w:kern w:val="0"/>
          <w:sz w:val="21"/>
          <w:szCs w:val="21"/>
          <w:u w:val="single" w:color="000000"/>
        </w:rPr>
        <w:t xml:space="preserve">   </w:t>
      </w:r>
      <w:r>
        <w:rPr>
          <w:rFonts w:hint="eastAsia" w:hAnsi="宋体" w:cs="宋体"/>
          <w:kern w:val="0"/>
          <w:sz w:val="21"/>
          <w:szCs w:val="21"/>
        </w:rPr>
        <w:t>。</w:t>
      </w:r>
    </w:p>
    <w:p w14:paraId="4E4F3326">
      <w:pPr>
        <w:snapToGrid w:val="0"/>
        <w:spacing w:line="360" w:lineRule="auto"/>
        <w:ind w:firstLine="420" w:firstLineChars="200"/>
        <w:jc w:val="left"/>
        <w:textAlignment w:val="baseline"/>
        <w:rPr>
          <w:rFonts w:hAnsi="宋体" w:cs="宋体"/>
          <w:kern w:val="0"/>
          <w:sz w:val="21"/>
          <w:szCs w:val="21"/>
        </w:rPr>
      </w:pPr>
      <w:r>
        <w:rPr>
          <w:rFonts w:hint="eastAsia" w:hAnsi="宋体" w:cs="宋体"/>
          <w:kern w:val="0"/>
          <w:sz w:val="21"/>
          <w:szCs w:val="21"/>
        </w:rPr>
        <w:t>（6）发包人无正当理由没有在约定期限内发出复工指示，导致承包人无法复工的违约责任：</w:t>
      </w:r>
      <w:r>
        <w:rPr>
          <w:rFonts w:hint="eastAsia" w:hAnsi="宋体" w:cs="宋体"/>
          <w:kern w:val="0"/>
          <w:sz w:val="21"/>
          <w:szCs w:val="21"/>
          <w:u w:val="single" w:color="000000"/>
        </w:rPr>
        <w:t xml:space="preserve"> </w:t>
      </w:r>
      <w:r>
        <w:rPr>
          <w:rFonts w:hAnsi="宋体" w:cs="宋体"/>
          <w:kern w:val="0"/>
          <w:sz w:val="21"/>
          <w:szCs w:val="21"/>
          <w:u w:val="single" w:color="000000"/>
        </w:rPr>
        <w:t xml:space="preserve">  </w:t>
      </w:r>
      <w:r>
        <w:rPr>
          <w:rFonts w:hint="eastAsia" w:hAnsi="宋体" w:cs="宋体"/>
          <w:kern w:val="0"/>
          <w:sz w:val="21"/>
          <w:szCs w:val="21"/>
          <w:u w:val="single" w:color="000000"/>
        </w:rPr>
        <w:t xml:space="preserve">由发包人原因引起的工期顺延，不另计违约金及承包人利润等损失  </w:t>
      </w:r>
      <w:r>
        <w:rPr>
          <w:rFonts w:hint="eastAsia" w:hAnsi="宋体" w:cs="宋体"/>
          <w:kern w:val="0"/>
          <w:sz w:val="21"/>
          <w:szCs w:val="21"/>
        </w:rPr>
        <w:t>。</w:t>
      </w:r>
    </w:p>
    <w:p w14:paraId="1F0273D5">
      <w:pPr>
        <w:snapToGrid w:val="0"/>
        <w:spacing w:line="360" w:lineRule="auto"/>
        <w:ind w:firstLine="420" w:firstLineChars="200"/>
        <w:jc w:val="left"/>
        <w:textAlignment w:val="baseline"/>
        <w:rPr>
          <w:rFonts w:hAnsi="宋体" w:cs="宋体"/>
          <w:kern w:val="0"/>
          <w:sz w:val="21"/>
          <w:szCs w:val="21"/>
        </w:rPr>
      </w:pPr>
      <w:r>
        <w:rPr>
          <w:rFonts w:hint="eastAsia" w:hAnsi="宋体" w:cs="宋体"/>
          <w:kern w:val="0"/>
          <w:sz w:val="21"/>
          <w:szCs w:val="21"/>
        </w:rPr>
        <w:t>（7）其他：</w:t>
      </w:r>
      <w:r>
        <w:rPr>
          <w:rFonts w:hint="eastAsia" w:hAnsi="宋体" w:cs="宋体"/>
          <w:kern w:val="0"/>
          <w:sz w:val="21"/>
          <w:szCs w:val="21"/>
          <w:u w:val="single" w:color="000000"/>
        </w:rPr>
        <w:t xml:space="preserve">       /                        </w:t>
      </w:r>
      <w:r>
        <w:rPr>
          <w:rFonts w:hint="eastAsia" w:hAnsi="宋体" w:cs="宋体"/>
          <w:kern w:val="0"/>
          <w:sz w:val="21"/>
          <w:szCs w:val="21"/>
        </w:rPr>
        <w:t>。</w:t>
      </w:r>
    </w:p>
    <w:p w14:paraId="535C96CB">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16.1.3 因发包人违约解除合同</w:t>
      </w:r>
    </w:p>
    <w:p w14:paraId="1FE7F2CA">
      <w:pPr>
        <w:snapToGrid w:val="0"/>
        <w:spacing w:line="360" w:lineRule="auto"/>
        <w:ind w:firstLine="420" w:firstLineChars="200"/>
        <w:jc w:val="left"/>
        <w:textAlignment w:val="baseline"/>
        <w:rPr>
          <w:rFonts w:hAnsi="宋体" w:cs="宋体"/>
          <w:kern w:val="0"/>
          <w:sz w:val="21"/>
          <w:szCs w:val="21"/>
        </w:rPr>
      </w:pPr>
      <w:r>
        <w:rPr>
          <w:rFonts w:hint="eastAsia" w:hAnsi="宋体" w:cs="宋体"/>
          <w:kern w:val="0"/>
          <w:sz w:val="21"/>
          <w:szCs w:val="21"/>
        </w:rPr>
        <w:t>承包人按16.1.1项〔发包人违约的情形〕约定暂停施工满</w:t>
      </w:r>
      <w:r>
        <w:rPr>
          <w:rFonts w:hint="eastAsia" w:hAnsi="宋体" w:cs="宋体"/>
          <w:kern w:val="0"/>
          <w:sz w:val="21"/>
          <w:szCs w:val="21"/>
          <w:u w:val="single" w:color="000000"/>
        </w:rPr>
        <w:t xml:space="preserve">  </w:t>
      </w:r>
      <w:r>
        <w:rPr>
          <w:rFonts w:hAnsi="宋体" w:cs="宋体"/>
          <w:kern w:val="0"/>
          <w:sz w:val="21"/>
          <w:szCs w:val="21"/>
          <w:u w:val="single" w:color="000000"/>
        </w:rPr>
        <w:t>/</w:t>
      </w:r>
      <w:r>
        <w:rPr>
          <w:rFonts w:hint="eastAsia" w:hAnsi="宋体" w:cs="宋体"/>
          <w:kern w:val="0"/>
          <w:sz w:val="21"/>
          <w:szCs w:val="21"/>
          <w:u w:val="single" w:color="000000"/>
        </w:rPr>
        <w:t xml:space="preserve"> </w:t>
      </w:r>
      <w:r>
        <w:rPr>
          <w:rFonts w:hint="eastAsia" w:hAnsi="宋体" w:cs="宋体"/>
          <w:kern w:val="0"/>
          <w:sz w:val="21"/>
          <w:szCs w:val="21"/>
        </w:rPr>
        <w:t>天后发包人仍不纠正其违约行为并致使合同目的不能实现的，承包人有权解除合同。</w:t>
      </w:r>
    </w:p>
    <w:p w14:paraId="5823767E">
      <w:pPr>
        <w:snapToGrid w:val="0"/>
        <w:spacing w:line="360" w:lineRule="auto"/>
        <w:ind w:firstLine="420" w:firstLineChars="200"/>
        <w:textAlignment w:val="baseline"/>
        <w:rPr>
          <w:rFonts w:hAnsi="宋体" w:cs="宋体"/>
          <w:sz w:val="21"/>
          <w:szCs w:val="21"/>
        </w:rPr>
      </w:pPr>
      <w:r>
        <w:rPr>
          <w:rFonts w:hint="eastAsia" w:hAnsi="宋体" w:cs="宋体"/>
          <w:sz w:val="21"/>
          <w:szCs w:val="21"/>
        </w:rPr>
        <w:t>16.2 承包人违约</w:t>
      </w:r>
    </w:p>
    <w:p w14:paraId="74400EDF">
      <w:pPr>
        <w:snapToGrid w:val="0"/>
        <w:spacing w:line="360" w:lineRule="auto"/>
        <w:ind w:firstLine="420" w:firstLineChars="200"/>
        <w:jc w:val="left"/>
        <w:textAlignment w:val="baseline"/>
        <w:rPr>
          <w:rFonts w:hAnsi="宋体" w:cs="宋体"/>
          <w:kern w:val="0"/>
          <w:sz w:val="21"/>
          <w:szCs w:val="21"/>
        </w:rPr>
      </w:pPr>
      <w:r>
        <w:rPr>
          <w:rFonts w:hint="eastAsia" w:hAnsi="宋体" w:cs="宋体"/>
          <w:kern w:val="0"/>
          <w:sz w:val="21"/>
          <w:szCs w:val="21"/>
        </w:rPr>
        <w:t>16.2.1 承包人违约的情形</w:t>
      </w:r>
    </w:p>
    <w:p w14:paraId="78CD0699">
      <w:pPr>
        <w:snapToGrid w:val="0"/>
        <w:spacing w:line="360" w:lineRule="auto"/>
        <w:ind w:firstLine="420" w:firstLineChars="200"/>
        <w:jc w:val="left"/>
        <w:textAlignment w:val="baseline"/>
        <w:rPr>
          <w:rFonts w:hint="eastAsia" w:hAnsi="宋体" w:cs="宋体"/>
          <w:kern w:val="0"/>
          <w:sz w:val="21"/>
          <w:szCs w:val="21"/>
          <w:u w:val="single" w:color="000000"/>
        </w:rPr>
      </w:pPr>
      <w:r>
        <w:rPr>
          <w:rFonts w:hint="eastAsia" w:hAnsi="宋体" w:cs="宋体"/>
          <w:kern w:val="0"/>
          <w:sz w:val="21"/>
          <w:szCs w:val="21"/>
        </w:rPr>
        <w:t>承包人违约的其他情形：</w:t>
      </w:r>
      <w:r>
        <w:rPr>
          <w:rFonts w:hint="eastAsia" w:hAnsi="宋体" w:cs="宋体"/>
          <w:kern w:val="0"/>
          <w:sz w:val="21"/>
          <w:szCs w:val="21"/>
          <w:u w:val="single" w:color="000000"/>
        </w:rPr>
        <w:t xml:space="preserve">    （1）本工程若有民工工资保障金的，承包人应在施工合同签订后5日内按有关规定交纳民工工资保障金，决不影响发包人办理施工许可证等证件，否则发包人将扣除承包人的全部履约保证金；</w:t>
      </w:r>
    </w:p>
    <w:p w14:paraId="641B2E73">
      <w:pPr>
        <w:snapToGrid w:val="0"/>
        <w:spacing w:line="360" w:lineRule="auto"/>
        <w:ind w:firstLine="420" w:firstLineChars="200"/>
        <w:jc w:val="left"/>
        <w:textAlignment w:val="baseline"/>
        <w:rPr>
          <w:rFonts w:hint="eastAsia" w:hAnsi="宋体" w:cs="宋体"/>
          <w:kern w:val="0"/>
          <w:sz w:val="21"/>
          <w:szCs w:val="21"/>
          <w:u w:val="single" w:color="000000"/>
        </w:rPr>
      </w:pPr>
      <w:r>
        <w:rPr>
          <w:rFonts w:hint="eastAsia" w:hAnsi="宋体" w:cs="宋体"/>
          <w:kern w:val="0"/>
          <w:sz w:val="21"/>
          <w:szCs w:val="21"/>
          <w:u w:val="single" w:color="000000"/>
        </w:rPr>
        <w:t>（2）本合同在实施中，如承包人的施工队伍素质、力量、机械配备不符合工程施工需要，造成现场管理混乱，工程质量和进度明显达不到预定计划时，发包人有权要求其整改并充实施工力量，承包人必须接受，否则发包人有权解除本合同，承包人应当赔偿发包人损失；</w:t>
      </w:r>
    </w:p>
    <w:p w14:paraId="1E7A62FD">
      <w:pPr>
        <w:snapToGrid w:val="0"/>
        <w:spacing w:line="360" w:lineRule="auto"/>
        <w:ind w:firstLine="420" w:firstLineChars="200"/>
        <w:jc w:val="left"/>
        <w:textAlignment w:val="baseline"/>
        <w:rPr>
          <w:rFonts w:hint="eastAsia" w:hAnsi="宋体" w:cs="宋体"/>
          <w:kern w:val="0"/>
          <w:sz w:val="21"/>
          <w:szCs w:val="21"/>
          <w:u w:val="single" w:color="000000"/>
        </w:rPr>
      </w:pPr>
      <w:r>
        <w:rPr>
          <w:rFonts w:hint="eastAsia" w:hAnsi="宋体" w:cs="宋体"/>
          <w:kern w:val="0"/>
          <w:sz w:val="21"/>
          <w:szCs w:val="21"/>
          <w:u w:val="single" w:color="000000"/>
        </w:rPr>
        <w:t>（3）承包人不得将本工程转包。特殊专业辅助工程，未经发包人同意的，不得分包。</w:t>
      </w:r>
    </w:p>
    <w:p w14:paraId="51A5BBB3">
      <w:pPr>
        <w:snapToGrid w:val="0"/>
        <w:spacing w:line="360" w:lineRule="auto"/>
        <w:ind w:firstLine="420" w:firstLineChars="200"/>
        <w:jc w:val="left"/>
        <w:textAlignment w:val="baseline"/>
        <w:rPr>
          <w:rFonts w:hint="eastAsia" w:hAnsi="宋体" w:cs="宋体"/>
          <w:kern w:val="0"/>
          <w:sz w:val="21"/>
          <w:szCs w:val="21"/>
          <w:u w:val="single" w:color="000000"/>
        </w:rPr>
      </w:pPr>
      <w:r>
        <w:rPr>
          <w:rFonts w:hint="eastAsia" w:hAnsi="宋体" w:cs="宋体"/>
          <w:kern w:val="0"/>
          <w:sz w:val="21"/>
          <w:szCs w:val="21"/>
          <w:u w:val="single" w:color="000000"/>
        </w:rPr>
        <w:t>（4）在合同执行过程中，承包人如果用行贿、送礼或其他不正当手段企图影响或已经影响了发包人代表或监理人员行为和欲获得超出合同规定以外的额外费用，则发包人除按有关规定严肃处理当事人（含发包人人员和监理人员）外，承包人对上述行为造成的工程损害、发包人的经济损失等，承包人应负一切责任，并予赔偿。情节严重者，发包人有权解除本合同，终止承包人在本合同项下的承包；</w:t>
      </w:r>
    </w:p>
    <w:p w14:paraId="240F12B6">
      <w:pPr>
        <w:snapToGrid w:val="0"/>
        <w:spacing w:line="360" w:lineRule="auto"/>
        <w:ind w:firstLine="420" w:firstLineChars="200"/>
        <w:jc w:val="left"/>
        <w:textAlignment w:val="baseline"/>
        <w:rPr>
          <w:rFonts w:hAnsi="宋体" w:cs="宋体"/>
          <w:kern w:val="0"/>
          <w:sz w:val="21"/>
          <w:szCs w:val="21"/>
        </w:rPr>
      </w:pPr>
      <w:r>
        <w:rPr>
          <w:rFonts w:hint="eastAsia" w:hAnsi="宋体" w:cs="宋体"/>
          <w:kern w:val="0"/>
          <w:sz w:val="21"/>
          <w:szCs w:val="21"/>
        </w:rPr>
        <w:t>16.2.2承包人违约的责任</w:t>
      </w:r>
    </w:p>
    <w:p w14:paraId="2F863C53">
      <w:pPr>
        <w:snapToGrid w:val="0"/>
        <w:spacing w:line="360" w:lineRule="auto"/>
        <w:ind w:firstLine="420" w:firstLineChars="200"/>
        <w:jc w:val="left"/>
        <w:textAlignment w:val="baseline"/>
        <w:rPr>
          <w:rFonts w:hint="eastAsia" w:hAnsi="宋体" w:cs="宋体"/>
          <w:kern w:val="0"/>
          <w:sz w:val="21"/>
          <w:szCs w:val="21"/>
        </w:rPr>
      </w:pPr>
      <w:r>
        <w:rPr>
          <w:rFonts w:hint="eastAsia" w:hAnsi="宋体" w:cs="宋体"/>
          <w:kern w:val="0"/>
          <w:sz w:val="21"/>
          <w:szCs w:val="21"/>
        </w:rPr>
        <w:t>承包人违约责任的承担方式和计算方法：</w:t>
      </w:r>
    </w:p>
    <w:p w14:paraId="5EB9FB28">
      <w:pPr>
        <w:snapToGrid w:val="0"/>
        <w:spacing w:line="360" w:lineRule="auto"/>
        <w:ind w:firstLine="420" w:firstLineChars="200"/>
        <w:jc w:val="left"/>
        <w:textAlignment w:val="baseline"/>
        <w:rPr>
          <w:rFonts w:hAnsi="宋体" w:cs="宋体"/>
          <w:b/>
          <w:bCs/>
          <w:kern w:val="0"/>
          <w:sz w:val="21"/>
          <w:szCs w:val="21"/>
          <w:u w:val="single" w:color="000000"/>
        </w:rPr>
      </w:pPr>
      <w:r>
        <w:rPr>
          <w:rFonts w:hint="eastAsia" w:hAnsi="宋体" w:cs="宋体"/>
          <w:kern w:val="0"/>
          <w:sz w:val="21"/>
          <w:szCs w:val="21"/>
        </w:rPr>
        <w:t>承包人应承担因其违约行为而增加的费用和(或)延误的工期，以及本合同中约定的其他违约责任。</w:t>
      </w:r>
    </w:p>
    <w:p w14:paraId="5D04238D">
      <w:pPr>
        <w:numPr>
          <w:ilvl w:val="0"/>
          <w:numId w:val="2"/>
        </w:numPr>
        <w:snapToGrid w:val="0"/>
        <w:spacing w:line="360" w:lineRule="auto"/>
        <w:ind w:firstLine="422" w:firstLineChars="200"/>
        <w:jc w:val="left"/>
        <w:textAlignment w:val="baseline"/>
        <w:rPr>
          <w:rFonts w:hint="eastAsia" w:hAnsi="宋体" w:cs="宋体"/>
          <w:kern w:val="0"/>
          <w:sz w:val="21"/>
          <w:szCs w:val="21"/>
          <w:u w:val="single" w:color="000000"/>
        </w:rPr>
      </w:pPr>
      <w:r>
        <w:rPr>
          <w:rFonts w:hint="eastAsia" w:hAnsi="宋体" w:cs="宋体"/>
          <w:b/>
          <w:bCs/>
          <w:kern w:val="0"/>
          <w:sz w:val="21"/>
          <w:szCs w:val="21"/>
          <w:u w:val="single" w:color="000000"/>
        </w:rPr>
        <w:t>承包人违反合同约定进行转包或违法分包的违约责任：</w:t>
      </w:r>
      <w:r>
        <w:rPr>
          <w:rFonts w:hint="eastAsia" w:hAnsi="宋体" w:cs="宋体"/>
          <w:kern w:val="0"/>
          <w:sz w:val="21"/>
          <w:szCs w:val="21"/>
          <w:u w:val="single" w:color="000000"/>
        </w:rPr>
        <w:t>承包人不得将本工程转包。特殊专业辅助工程，未经发包人同意的，不得分包。一旦发现承包人擅自或违法转包或分包的，除立即取消转包或分包外，没收承包人的全部履约担保，并承包人应当向发包人支付合同协议书中签约合同价2%的违约金，同时由承包人承担发包人及第三方全部直接和间接经济损失，且发包人有权单方面解除本合同，承包人还应当依法承担相应的法律责任。情节严重的，发包人将同时向有关行政主管部门通报有关情况，并同时由行政主管部门进行处罚。</w:t>
      </w:r>
    </w:p>
    <w:p w14:paraId="5DDC845E">
      <w:pPr>
        <w:snapToGrid w:val="0"/>
        <w:spacing w:line="360" w:lineRule="auto"/>
        <w:ind w:firstLine="422" w:firstLineChars="200"/>
        <w:jc w:val="left"/>
        <w:textAlignment w:val="baseline"/>
        <w:rPr>
          <w:rFonts w:hint="eastAsia" w:hAnsi="宋体" w:cs="宋体"/>
          <w:kern w:val="0"/>
          <w:sz w:val="21"/>
          <w:szCs w:val="21"/>
          <w:u w:val="single" w:color="000000"/>
        </w:rPr>
      </w:pPr>
      <w:r>
        <w:rPr>
          <w:rFonts w:hint="eastAsia" w:hAnsi="宋体" w:cs="宋体"/>
          <w:b/>
          <w:bCs/>
          <w:kern w:val="0"/>
          <w:sz w:val="21"/>
          <w:szCs w:val="21"/>
          <w:u w:val="single" w:color="000000"/>
        </w:rPr>
        <w:t xml:space="preserve">（2）承包人违反合同约定采购和使用不合格的材料和工程设备的违约责任： </w:t>
      </w:r>
      <w:r>
        <w:rPr>
          <w:rFonts w:hint="eastAsia" w:hAnsi="宋体" w:cs="宋体"/>
          <w:kern w:val="0"/>
          <w:sz w:val="21"/>
          <w:szCs w:val="21"/>
          <w:u w:val="single" w:color="000000"/>
        </w:rPr>
        <w:t>如监理单位、发包人发现承包人在工程中使用的原材料、设备、构配件的规格、型号、品牌和其他性能的要求不能满足合同、施工图纸、招标文件以及投标承诺约定的（以较严格的条款为准），发包人有权要求承包人支付给发包人不合格的材料、设备、构配件造价的20%的违约金，并要求承包人予以整改至满足要求，且不得影响工期。</w:t>
      </w:r>
    </w:p>
    <w:p w14:paraId="2222B9A7">
      <w:pPr>
        <w:snapToGrid w:val="0"/>
        <w:spacing w:line="360" w:lineRule="auto"/>
        <w:ind w:firstLine="422" w:firstLineChars="200"/>
        <w:jc w:val="left"/>
        <w:textAlignment w:val="baseline"/>
        <w:rPr>
          <w:rFonts w:hint="eastAsia" w:hAnsi="宋体" w:cs="宋体"/>
          <w:kern w:val="0"/>
          <w:sz w:val="21"/>
          <w:szCs w:val="21"/>
          <w:u w:val="single" w:color="000000"/>
        </w:rPr>
      </w:pPr>
      <w:r>
        <w:rPr>
          <w:rFonts w:hint="eastAsia" w:hAnsi="宋体" w:cs="宋体"/>
          <w:b/>
          <w:bCs/>
          <w:kern w:val="0"/>
          <w:sz w:val="21"/>
          <w:szCs w:val="21"/>
          <w:u w:val="single" w:color="000000"/>
        </w:rPr>
        <w:t>（3）因承包人原因导致工程质量不符合合同要求的违约责任：</w:t>
      </w:r>
      <w:r>
        <w:rPr>
          <w:rFonts w:hint="eastAsia" w:hAnsi="宋体" w:cs="宋体"/>
          <w:kern w:val="0"/>
          <w:sz w:val="21"/>
          <w:szCs w:val="21"/>
          <w:u w:val="single" w:color="000000"/>
        </w:rPr>
        <w:t>因承包人原因，工程一次性验收不合格，则承包人无条件返工、整改、采取相应的补救、修复措施，直至验收合格，由此追加的费用和延误的工期均由承包人负责。同时因此引起的逾期责任，由承包人承担并按工期逾期向发包人支付违约金，且发包人有权单方面解除合同，并要求承包人赔偿发包人因此发生的全部损失。</w:t>
      </w:r>
    </w:p>
    <w:p w14:paraId="325C2F34">
      <w:pPr>
        <w:snapToGrid w:val="0"/>
        <w:spacing w:line="360" w:lineRule="auto"/>
        <w:ind w:firstLine="422" w:firstLineChars="200"/>
        <w:jc w:val="left"/>
        <w:textAlignment w:val="baseline"/>
        <w:rPr>
          <w:rFonts w:hint="eastAsia" w:hAnsi="宋体" w:cs="宋体"/>
          <w:b/>
          <w:bCs/>
          <w:kern w:val="0"/>
          <w:sz w:val="21"/>
          <w:szCs w:val="21"/>
          <w:u w:val="single" w:color="000000"/>
        </w:rPr>
      </w:pPr>
      <w:r>
        <w:rPr>
          <w:rFonts w:hint="eastAsia" w:hAnsi="宋体" w:cs="宋体"/>
          <w:b/>
          <w:bCs/>
          <w:kern w:val="0"/>
          <w:sz w:val="21"/>
          <w:szCs w:val="21"/>
          <w:u w:val="single" w:color="000000"/>
        </w:rPr>
        <w:t>（4）承包人违反通用合同条款第 8.9 款〔材料与设备专用要求〕的约定，未经批准，私自将已按照合同约定进入施工现场的材料或设备撤离施工现场的违约责任：承包人应及时停止撤离，重新搬回现场，并承担相应损失，且不得影响工期。</w:t>
      </w:r>
    </w:p>
    <w:p w14:paraId="067472B3">
      <w:pPr>
        <w:snapToGrid w:val="0"/>
        <w:spacing w:line="360" w:lineRule="auto"/>
        <w:ind w:firstLine="422" w:firstLineChars="200"/>
        <w:jc w:val="left"/>
        <w:textAlignment w:val="baseline"/>
        <w:rPr>
          <w:rFonts w:hint="eastAsia" w:hAnsi="宋体" w:cs="宋体"/>
          <w:b/>
          <w:bCs/>
          <w:kern w:val="0"/>
          <w:sz w:val="21"/>
          <w:szCs w:val="21"/>
          <w:u w:val="single" w:color="000000"/>
        </w:rPr>
      </w:pPr>
      <w:r>
        <w:rPr>
          <w:rFonts w:hint="eastAsia" w:hAnsi="宋体" w:cs="宋体"/>
          <w:b/>
          <w:bCs/>
          <w:kern w:val="0"/>
          <w:sz w:val="21"/>
          <w:szCs w:val="21"/>
          <w:u w:val="single" w:color="000000"/>
        </w:rPr>
        <w:t>（5）承包人未能按施工进度计划及时完成合同约定的工作，造成工期延误的违约责任：同专用合同条款 7.5.2款约定。</w:t>
      </w:r>
    </w:p>
    <w:p w14:paraId="1147FBC8">
      <w:pPr>
        <w:snapToGrid w:val="0"/>
        <w:spacing w:line="360" w:lineRule="auto"/>
        <w:ind w:firstLine="422" w:firstLineChars="200"/>
        <w:jc w:val="left"/>
        <w:textAlignment w:val="baseline"/>
        <w:rPr>
          <w:rFonts w:hint="eastAsia" w:hAnsi="宋体" w:cs="宋体"/>
          <w:b/>
          <w:bCs/>
          <w:kern w:val="0"/>
          <w:sz w:val="21"/>
          <w:szCs w:val="21"/>
          <w:u w:val="single" w:color="000000"/>
        </w:rPr>
      </w:pPr>
      <w:r>
        <w:rPr>
          <w:rFonts w:hint="eastAsia" w:hAnsi="宋体" w:cs="宋体"/>
          <w:b/>
          <w:bCs/>
          <w:kern w:val="0"/>
          <w:sz w:val="21"/>
          <w:szCs w:val="21"/>
          <w:u w:val="single" w:color="000000"/>
        </w:rPr>
        <w:t>（6）承包人在缺陷责任期及保修期内，未能在合理期限对工程缺陷进行修复，或拒绝按发包人要求进行修复的违约责任： 工程在保修期内出现质量问题需要维修，如承包人在接到发包人的维修通知后一周内未予响应，发包人有权自行修复或委托第三方修复，所需费用由承包人全部承担（修复费用=实际修复费用+实际修复费用20%的管理费用），上述违约金额在质量保证金中直接扣除，且承包人应在收到发包人扣罚通知后 7天内补足质量保证金，若承包人未按要求补足质量保证金的，发包人有权在退还质量保证金时双倍扣罚上述修复费用。</w:t>
      </w:r>
    </w:p>
    <w:p w14:paraId="5FD86F9E">
      <w:pPr>
        <w:snapToGrid w:val="0"/>
        <w:spacing w:line="360" w:lineRule="auto"/>
        <w:ind w:firstLine="422" w:firstLineChars="200"/>
        <w:jc w:val="left"/>
        <w:textAlignment w:val="baseline"/>
        <w:rPr>
          <w:rFonts w:hint="eastAsia" w:hAnsi="宋体" w:cs="宋体"/>
          <w:b/>
          <w:bCs/>
          <w:kern w:val="0"/>
          <w:sz w:val="21"/>
          <w:szCs w:val="21"/>
          <w:u w:val="single" w:color="000000"/>
        </w:rPr>
      </w:pPr>
      <w:r>
        <w:rPr>
          <w:rFonts w:hint="eastAsia" w:hAnsi="宋体" w:cs="宋体"/>
          <w:b/>
          <w:bCs/>
          <w:kern w:val="0"/>
          <w:sz w:val="21"/>
          <w:szCs w:val="21"/>
          <w:u w:val="single" w:color="000000"/>
        </w:rPr>
        <w:t>（</w:t>
      </w:r>
      <w:r>
        <w:rPr>
          <w:rFonts w:hAnsi="宋体" w:cs="宋体"/>
          <w:b/>
          <w:bCs/>
          <w:kern w:val="0"/>
          <w:sz w:val="21"/>
          <w:szCs w:val="21"/>
          <w:u w:val="single" w:color="000000"/>
        </w:rPr>
        <w:t>7</w:t>
      </w:r>
      <w:r>
        <w:rPr>
          <w:rFonts w:hint="eastAsia" w:hAnsi="宋体" w:cs="宋体"/>
          <w:b/>
          <w:bCs/>
          <w:kern w:val="0"/>
          <w:sz w:val="21"/>
          <w:szCs w:val="21"/>
          <w:u w:val="single" w:color="000000"/>
        </w:rPr>
        <w:t>）因承包人原因违约，承包人应按合同中约定承担违约金，如违约金不足以弥补发包人损失的，承包人应另行赔偿。</w:t>
      </w:r>
    </w:p>
    <w:p w14:paraId="2DD788BB">
      <w:pPr>
        <w:pStyle w:val="5"/>
      </w:pPr>
      <w:r>
        <w:rPr>
          <w:rFonts w:hint="eastAsia" w:cs="宋体"/>
          <w:b/>
          <w:bCs/>
          <w:kern w:val="0"/>
          <w:sz w:val="21"/>
          <w:szCs w:val="21"/>
          <w:u w:val="single" w:color="000000"/>
        </w:rPr>
        <w:t>（8）本合同中约定的其他相关条款。</w:t>
      </w:r>
    </w:p>
    <w:p w14:paraId="5D75BFF6">
      <w:pPr>
        <w:snapToGrid w:val="0"/>
        <w:spacing w:line="360" w:lineRule="auto"/>
        <w:ind w:firstLine="422" w:firstLineChars="200"/>
        <w:jc w:val="left"/>
        <w:textAlignment w:val="baseline"/>
        <w:rPr>
          <w:rFonts w:hAnsi="宋体" w:cs="宋体"/>
          <w:b/>
          <w:bCs/>
          <w:kern w:val="0"/>
          <w:sz w:val="21"/>
          <w:szCs w:val="21"/>
          <w:u w:val="single"/>
        </w:rPr>
      </w:pPr>
      <w:r>
        <w:rPr>
          <w:rFonts w:hint="eastAsia" w:hAnsi="宋体" w:cs="宋体"/>
          <w:b/>
          <w:bCs/>
          <w:sz w:val="21"/>
          <w:szCs w:val="21"/>
        </w:rPr>
        <w:t xml:space="preserve">因承包人的任何违约或违法行为导致双方产生纠纷的，发包人、监理单位为处理纠纷而支出的合理开支（包括但不限于律师费、诉讼费、仲裁费、交通费等）以及遭受的任何直接和间接损失，均由承包人承担。   </w:t>
      </w:r>
    </w:p>
    <w:p w14:paraId="41DD9570">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16.2.3 因承包人违约解除合同</w:t>
      </w:r>
    </w:p>
    <w:p w14:paraId="2917B4EC">
      <w:pPr>
        <w:snapToGrid w:val="0"/>
        <w:spacing w:line="360" w:lineRule="auto"/>
        <w:ind w:firstLine="420" w:firstLineChars="200"/>
        <w:textAlignment w:val="baseline"/>
        <w:rPr>
          <w:rFonts w:hint="eastAsia" w:hAnsi="宋体" w:cs="宋体"/>
          <w:kern w:val="0"/>
          <w:sz w:val="21"/>
          <w:szCs w:val="21"/>
        </w:rPr>
      </w:pPr>
      <w:r>
        <w:rPr>
          <w:rFonts w:hint="eastAsia" w:hAnsi="宋体" w:cs="宋体"/>
          <w:kern w:val="0"/>
          <w:sz w:val="21"/>
          <w:szCs w:val="21"/>
        </w:rPr>
        <w:t>关于承包人违约解除合同的特别约定：</w:t>
      </w:r>
    </w:p>
    <w:p w14:paraId="463A3BB2">
      <w:pPr>
        <w:snapToGrid w:val="0"/>
        <w:spacing w:line="360" w:lineRule="auto"/>
        <w:ind w:firstLine="420" w:firstLineChars="200"/>
        <w:textAlignment w:val="baseline"/>
        <w:rPr>
          <w:rFonts w:hint="eastAsia" w:hAnsi="宋体" w:cs="宋体"/>
          <w:kern w:val="0"/>
          <w:sz w:val="21"/>
          <w:szCs w:val="21"/>
        </w:rPr>
      </w:pPr>
      <w:r>
        <w:rPr>
          <w:rFonts w:hint="eastAsia" w:hAnsi="宋体" w:cs="宋体"/>
          <w:kern w:val="0"/>
          <w:sz w:val="21"/>
          <w:szCs w:val="21"/>
        </w:rPr>
        <w:t>发生本合同约定的因承包人违约而发包人可以解除合同的情形的，发包人有权解除本合同；除此之外，出现第16.2.1项〔承包人违约的情形〕约定的违约情况时，或监理人发出整改通知后，承包人在指定的合理期限内仍不纠正违约行为并致使合同目的不能实现的，发包人有权解除合同。</w:t>
      </w:r>
    </w:p>
    <w:p w14:paraId="4BDD0210">
      <w:pPr>
        <w:snapToGrid w:val="0"/>
        <w:spacing w:line="360" w:lineRule="auto"/>
        <w:ind w:firstLine="420" w:firstLineChars="200"/>
        <w:textAlignment w:val="baseline"/>
        <w:rPr>
          <w:rFonts w:hint="eastAsia" w:hAnsi="宋体" w:cs="宋体"/>
          <w:kern w:val="0"/>
          <w:sz w:val="21"/>
          <w:szCs w:val="21"/>
        </w:rPr>
      </w:pPr>
      <w:r>
        <w:rPr>
          <w:rFonts w:hint="eastAsia" w:hAnsi="宋体" w:cs="宋体"/>
          <w:kern w:val="0"/>
          <w:sz w:val="21"/>
          <w:szCs w:val="21"/>
        </w:rPr>
        <w:t>合同解除后，因继续完成工程的需要，发包人有权使用承包人在施工现场的材料、设备、临时工程、承包人文件和由承包人或以其名义编制的其他文件的费用承担方式：     除用于永久工程的材料和设备，按合同约定的价格和实际使用的数量结算，其余不计算费用。发包人继续使用的行为不免除或减轻承包人应承担的违约责任。</w:t>
      </w:r>
    </w:p>
    <w:p w14:paraId="349B886A">
      <w:pPr>
        <w:snapToGrid w:val="0"/>
        <w:spacing w:line="360" w:lineRule="auto"/>
        <w:ind w:firstLine="420" w:firstLineChars="200"/>
        <w:textAlignment w:val="baseline"/>
        <w:rPr>
          <w:rFonts w:hint="eastAsia" w:hAnsi="宋体" w:cs="宋体"/>
          <w:kern w:val="0"/>
          <w:sz w:val="21"/>
          <w:szCs w:val="21"/>
        </w:rPr>
      </w:pPr>
      <w:r>
        <w:rPr>
          <w:rFonts w:hint="eastAsia" w:hAnsi="宋体" w:cs="宋体"/>
          <w:kern w:val="0"/>
          <w:sz w:val="21"/>
          <w:szCs w:val="21"/>
        </w:rPr>
        <w:t>16.2.4因承包人违约解除合同后处理（本合同中对处理另有约定的除按另行约定的处理外，还需要一并执行本条款的处理约定）</w:t>
      </w:r>
    </w:p>
    <w:p w14:paraId="1A63E767">
      <w:pPr>
        <w:snapToGrid w:val="0"/>
        <w:spacing w:line="360" w:lineRule="auto"/>
        <w:ind w:firstLine="420" w:firstLineChars="200"/>
        <w:textAlignment w:val="baseline"/>
        <w:rPr>
          <w:rFonts w:hint="eastAsia" w:hAnsi="宋体" w:cs="宋体"/>
          <w:kern w:val="0"/>
          <w:sz w:val="21"/>
          <w:szCs w:val="21"/>
        </w:rPr>
      </w:pPr>
      <w:r>
        <w:rPr>
          <w:rFonts w:hint="eastAsia" w:hAnsi="宋体" w:cs="宋体"/>
          <w:kern w:val="0"/>
          <w:sz w:val="21"/>
          <w:szCs w:val="21"/>
        </w:rPr>
        <w:t>因承包人原因导致合同解除的，则合同当事人应在合同解除后发包人规定的时间内完成估价、付款和清算，并按以下约定执行：</w:t>
      </w:r>
    </w:p>
    <w:p w14:paraId="75E70A63">
      <w:pPr>
        <w:snapToGrid w:val="0"/>
        <w:spacing w:line="360" w:lineRule="auto"/>
        <w:ind w:firstLine="420" w:firstLineChars="200"/>
        <w:textAlignment w:val="baseline"/>
        <w:rPr>
          <w:rFonts w:hint="eastAsia" w:hAnsi="宋体" w:cs="宋体"/>
          <w:kern w:val="0"/>
          <w:sz w:val="21"/>
          <w:szCs w:val="21"/>
          <w:u w:val="single" w:color="000000"/>
        </w:rPr>
      </w:pPr>
      <w:r>
        <w:rPr>
          <w:rFonts w:hint="eastAsia" w:hAnsi="宋体" w:cs="宋体"/>
          <w:kern w:val="0"/>
          <w:sz w:val="21"/>
          <w:szCs w:val="21"/>
          <w:u w:val="single" w:color="000000"/>
        </w:rPr>
        <w:t>（1）合同解除后，按通用合同条款第4.4款〔商定或确定〕商定或确定承包人实际完成工作对应的合同价款，以及承包人已提供的材料、工程设备、施工设备和临时工程等的价值；</w:t>
      </w:r>
    </w:p>
    <w:p w14:paraId="49B68EB2">
      <w:pPr>
        <w:snapToGrid w:val="0"/>
        <w:spacing w:line="360" w:lineRule="auto"/>
        <w:ind w:firstLine="420" w:firstLineChars="200"/>
        <w:textAlignment w:val="baseline"/>
        <w:rPr>
          <w:rFonts w:hint="eastAsia" w:hAnsi="宋体" w:cs="宋体"/>
          <w:kern w:val="0"/>
          <w:sz w:val="21"/>
          <w:szCs w:val="21"/>
          <w:u w:val="single" w:color="000000"/>
        </w:rPr>
      </w:pPr>
      <w:r>
        <w:rPr>
          <w:rFonts w:hint="eastAsia" w:hAnsi="宋体" w:cs="宋体"/>
          <w:kern w:val="0"/>
          <w:sz w:val="21"/>
          <w:szCs w:val="21"/>
          <w:u w:val="single" w:color="000000"/>
        </w:rPr>
        <w:t>（2）合同解除后，承包人按照本合同约定应支付的违约金，如违约金不足以弥补发包人损失的，承包人应另行赔偿；</w:t>
      </w:r>
    </w:p>
    <w:p w14:paraId="7ABF6103">
      <w:pPr>
        <w:snapToGrid w:val="0"/>
        <w:spacing w:line="360" w:lineRule="auto"/>
        <w:ind w:firstLine="420" w:firstLineChars="200"/>
        <w:textAlignment w:val="baseline"/>
        <w:rPr>
          <w:rFonts w:hint="eastAsia" w:hAnsi="宋体" w:cs="宋体"/>
          <w:kern w:val="0"/>
          <w:sz w:val="21"/>
          <w:szCs w:val="21"/>
          <w:u w:val="single" w:color="000000"/>
        </w:rPr>
      </w:pPr>
      <w:r>
        <w:rPr>
          <w:rFonts w:hint="eastAsia" w:hAnsi="宋体" w:cs="宋体"/>
          <w:kern w:val="0"/>
          <w:sz w:val="21"/>
          <w:szCs w:val="21"/>
          <w:u w:val="single" w:color="000000"/>
        </w:rPr>
        <w:t>（3）合同解除后，因解除合同给发包人造成的损失；</w:t>
      </w:r>
    </w:p>
    <w:p w14:paraId="181FEB2A">
      <w:pPr>
        <w:snapToGrid w:val="0"/>
        <w:spacing w:line="360" w:lineRule="auto"/>
        <w:ind w:firstLine="420" w:firstLineChars="200"/>
        <w:textAlignment w:val="baseline"/>
        <w:rPr>
          <w:rFonts w:hint="eastAsia" w:hAnsi="宋体" w:cs="宋体"/>
          <w:kern w:val="0"/>
          <w:sz w:val="21"/>
          <w:szCs w:val="21"/>
          <w:u w:val="single" w:color="000000"/>
        </w:rPr>
      </w:pPr>
      <w:r>
        <w:rPr>
          <w:rFonts w:hint="eastAsia" w:hAnsi="宋体" w:cs="宋体"/>
          <w:kern w:val="0"/>
          <w:sz w:val="21"/>
          <w:szCs w:val="21"/>
          <w:u w:val="single" w:color="000000"/>
        </w:rPr>
        <w:t>（4）合同解除后发包人将本工程另行发包，新的施工单位签约价与本合同签约价之间的差额也作为发包人损失全部由承包人承担；</w:t>
      </w:r>
    </w:p>
    <w:p w14:paraId="595AF81F">
      <w:pPr>
        <w:snapToGrid w:val="0"/>
        <w:spacing w:line="360" w:lineRule="auto"/>
        <w:ind w:firstLine="420" w:firstLineChars="200"/>
        <w:textAlignment w:val="baseline"/>
        <w:rPr>
          <w:rFonts w:hint="eastAsia" w:hAnsi="宋体" w:cs="宋体"/>
          <w:kern w:val="0"/>
          <w:sz w:val="21"/>
          <w:szCs w:val="21"/>
          <w:u w:val="single" w:color="000000"/>
        </w:rPr>
      </w:pPr>
      <w:r>
        <w:rPr>
          <w:rFonts w:hint="eastAsia" w:hAnsi="宋体" w:cs="宋体"/>
          <w:kern w:val="0"/>
          <w:sz w:val="21"/>
          <w:szCs w:val="21"/>
          <w:u w:val="single" w:color="000000"/>
        </w:rPr>
        <w:t>（5）合同解除后，承包人对由其完成的工程，仍应按《工程质量保修书》约定履行质量保修义务；</w:t>
      </w:r>
    </w:p>
    <w:p w14:paraId="2AEB9BAA">
      <w:pPr>
        <w:pStyle w:val="44"/>
        <w:ind w:firstLine="420" w:firstLineChars="200"/>
        <w:rPr>
          <w:rFonts w:hint="eastAsia" w:ascii="宋体" w:hAnsi="宋体" w:eastAsia="宋体" w:cs="宋体"/>
          <w:kern w:val="0"/>
          <w:sz w:val="21"/>
          <w:szCs w:val="21"/>
          <w:u w:val="single" w:color="000000"/>
        </w:rPr>
      </w:pPr>
      <w:r>
        <w:rPr>
          <w:rFonts w:hint="eastAsia" w:ascii="宋体" w:hAnsi="宋体" w:eastAsia="宋体" w:cs="宋体"/>
          <w:kern w:val="0"/>
          <w:sz w:val="21"/>
          <w:szCs w:val="21"/>
          <w:u w:val="single" w:color="000000"/>
        </w:rPr>
        <w:t>（6）合同解除后，承包人应妥善做好已完工程和已购材料、设备的保护和移交工作，按发包人要求将自有机械设备、材料和人员撤出施工场地，承包人须在发包人发出解除通知书之日起3日内撤离施工现场并移交全部工程及工程资料，每逾期一日，应向发包人支付合同协议书中签约合同价的0.03%作为违约金；逾期超过7日的，发包人有权直接清理现场，由此造成的损失和清理费用以及产生的不利后果由承包人承担，且承包人仍应按前述要求移交全部工程资料，如有逾期则需按照上述约定支付违约金；</w:t>
      </w:r>
    </w:p>
    <w:p w14:paraId="22DBAEE1">
      <w:pPr>
        <w:snapToGrid w:val="0"/>
        <w:spacing w:line="360" w:lineRule="auto"/>
        <w:ind w:firstLine="420" w:firstLineChars="200"/>
        <w:textAlignment w:val="baseline"/>
        <w:rPr>
          <w:rFonts w:hint="eastAsia" w:hAnsi="宋体" w:cs="宋体"/>
          <w:kern w:val="0"/>
          <w:sz w:val="21"/>
          <w:szCs w:val="21"/>
          <w:u w:val="single" w:color="000000"/>
        </w:rPr>
      </w:pPr>
      <w:r>
        <w:rPr>
          <w:rFonts w:hint="eastAsia" w:hAnsi="宋体" w:cs="宋体"/>
          <w:kern w:val="0"/>
          <w:sz w:val="21"/>
          <w:szCs w:val="21"/>
        </w:rPr>
        <w:t>（</w:t>
      </w:r>
      <w:r>
        <w:rPr>
          <w:rFonts w:hint="eastAsia" w:hAnsi="宋体" w:cs="宋体"/>
          <w:kern w:val="0"/>
          <w:sz w:val="21"/>
          <w:szCs w:val="21"/>
          <w:u w:val="single" w:color="000000"/>
        </w:rPr>
        <w:t>7）发包人和承包人应在合同解除后进行清算，出具最终结清付款证书，结清全部款项。</w:t>
      </w:r>
    </w:p>
    <w:p w14:paraId="41E44501">
      <w:pPr>
        <w:snapToGrid w:val="0"/>
        <w:spacing w:line="360" w:lineRule="auto"/>
        <w:ind w:firstLine="420" w:firstLineChars="200"/>
        <w:textAlignment w:val="baseline"/>
        <w:rPr>
          <w:rFonts w:hint="eastAsia" w:hAnsi="宋体" w:cs="宋体"/>
          <w:kern w:val="0"/>
          <w:sz w:val="21"/>
          <w:szCs w:val="21"/>
          <w:u w:val="single" w:color="000000"/>
        </w:rPr>
      </w:pPr>
      <w:r>
        <w:rPr>
          <w:rFonts w:hint="eastAsia" w:hAnsi="宋体" w:cs="宋体"/>
          <w:kern w:val="0"/>
          <w:sz w:val="21"/>
          <w:szCs w:val="21"/>
          <w:u w:val="single" w:color="000000"/>
        </w:rPr>
        <w:t>因承包人违约解除合同的，发包人有权暂停对承包人的付款，查清各项付款和已扣款项。发包人和承包人未能就合同解除后的清算和款项支付达成一致的，按照第20条〔争议解决〕的约定处理。</w:t>
      </w:r>
    </w:p>
    <w:p w14:paraId="3A1ACA38">
      <w:pPr>
        <w:pStyle w:val="6"/>
        <w:tabs>
          <w:tab w:val="left" w:pos="630"/>
          <w:tab w:val="clear" w:pos="864"/>
        </w:tabs>
        <w:snapToGrid w:val="0"/>
        <w:spacing w:before="0" w:after="0" w:line="360" w:lineRule="auto"/>
        <w:ind w:firstLine="422" w:firstLineChars="200"/>
        <w:textAlignment w:val="baseline"/>
        <w:rPr>
          <w:rFonts w:ascii="宋体" w:hAnsi="宋体" w:cs="宋体"/>
          <w:b w:val="0"/>
          <w:sz w:val="21"/>
          <w:szCs w:val="21"/>
        </w:rPr>
      </w:pPr>
      <w:r>
        <w:rPr>
          <w:rFonts w:hint="eastAsia" w:hAnsi="宋体" w:cs="宋体"/>
          <w:kern w:val="0"/>
          <w:sz w:val="21"/>
          <w:szCs w:val="21"/>
          <w:u w:val="single" w:color="000000"/>
        </w:rPr>
        <w:t xml:space="preserve"> </w:t>
      </w:r>
      <w:bookmarkStart w:id="610" w:name="_Toc351203649"/>
      <w:r>
        <w:rPr>
          <w:rFonts w:hint="eastAsia" w:ascii="宋体" w:hAnsi="宋体" w:cs="宋体"/>
          <w:b w:val="0"/>
          <w:sz w:val="21"/>
          <w:szCs w:val="21"/>
        </w:rPr>
        <w:t>17. 不可抗力</w:t>
      </w:r>
      <w:bookmarkEnd w:id="610"/>
      <w:r>
        <w:rPr>
          <w:rFonts w:hint="eastAsia" w:ascii="宋体" w:hAnsi="宋体" w:cs="宋体"/>
          <w:b w:val="0"/>
          <w:sz w:val="21"/>
          <w:szCs w:val="21"/>
        </w:rPr>
        <w:t xml:space="preserve"> </w:t>
      </w:r>
      <w:bookmarkEnd w:id="609"/>
    </w:p>
    <w:p w14:paraId="03CB27A9">
      <w:pPr>
        <w:snapToGrid w:val="0"/>
        <w:spacing w:line="360" w:lineRule="auto"/>
        <w:ind w:firstLine="420" w:firstLineChars="200"/>
        <w:textAlignment w:val="baseline"/>
        <w:rPr>
          <w:rFonts w:hAnsi="宋体" w:cs="宋体"/>
          <w:sz w:val="21"/>
          <w:szCs w:val="21"/>
        </w:rPr>
      </w:pPr>
      <w:r>
        <w:rPr>
          <w:rFonts w:hint="eastAsia" w:hAnsi="宋体" w:cs="宋体"/>
          <w:sz w:val="21"/>
          <w:szCs w:val="21"/>
        </w:rPr>
        <w:t>17.1 不可抗力的确认</w:t>
      </w:r>
    </w:p>
    <w:p w14:paraId="043E4D2E">
      <w:pPr>
        <w:snapToGrid w:val="0"/>
        <w:spacing w:line="360" w:lineRule="auto"/>
        <w:ind w:firstLine="420" w:firstLineChars="200"/>
        <w:jc w:val="left"/>
        <w:textAlignment w:val="baseline"/>
        <w:rPr>
          <w:rFonts w:hAnsi="宋体" w:cs="宋体"/>
          <w:kern w:val="0"/>
          <w:sz w:val="21"/>
          <w:szCs w:val="21"/>
          <w:u w:val="single"/>
        </w:rPr>
      </w:pPr>
      <w:r>
        <w:rPr>
          <w:rFonts w:hint="eastAsia" w:hAnsi="宋体" w:cs="宋体"/>
          <w:sz w:val="21"/>
          <w:szCs w:val="21"/>
        </w:rPr>
        <w:t>除通用合同条款约定的不可抗力事件之外，视为不可抗力的其他情形：</w:t>
      </w:r>
      <w:r>
        <w:rPr>
          <w:rFonts w:hint="eastAsia" w:hAnsi="宋体" w:cs="宋体"/>
          <w:sz w:val="21"/>
          <w:szCs w:val="21"/>
          <w:u w:val="single"/>
        </w:rPr>
        <w:t>六级以上地震(震中距施工现场十五公里内)等自然灾害，战争，政府政策，政府行为等不可预见、不可避免、不可克服的客观情况</w:t>
      </w:r>
      <w:r>
        <w:rPr>
          <w:rFonts w:hint="eastAsia" w:hAnsi="宋体" w:cs="宋体"/>
          <w:kern w:val="0"/>
          <w:sz w:val="21"/>
          <w:szCs w:val="21"/>
          <w:u w:val="single"/>
        </w:rPr>
        <w:t>。</w:t>
      </w:r>
    </w:p>
    <w:p w14:paraId="2C581273">
      <w:pPr>
        <w:snapToGrid w:val="0"/>
        <w:spacing w:line="360" w:lineRule="auto"/>
        <w:ind w:firstLine="420" w:firstLineChars="200"/>
        <w:textAlignment w:val="baseline"/>
        <w:rPr>
          <w:rFonts w:hAnsi="宋体" w:cs="宋体"/>
          <w:sz w:val="21"/>
          <w:szCs w:val="21"/>
        </w:rPr>
      </w:pPr>
      <w:r>
        <w:rPr>
          <w:rFonts w:hint="eastAsia" w:hAnsi="宋体" w:cs="宋体"/>
          <w:sz w:val="21"/>
          <w:szCs w:val="21"/>
        </w:rPr>
        <w:t>17.4 因不可抗力解除合同</w:t>
      </w:r>
    </w:p>
    <w:p w14:paraId="28115642">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合同解除后，发包人应在商定或确定发包人应支付款项后</w:t>
      </w:r>
      <w:r>
        <w:rPr>
          <w:rFonts w:hAnsi="宋体" w:cs="宋体"/>
          <w:sz w:val="21"/>
          <w:szCs w:val="21"/>
          <w:u w:val="single" w:color="000000"/>
        </w:rPr>
        <w:t>60</w:t>
      </w:r>
      <w:r>
        <w:rPr>
          <w:rFonts w:hint="eastAsia" w:hAnsi="宋体" w:cs="宋体"/>
          <w:sz w:val="21"/>
          <w:szCs w:val="21"/>
          <w:u w:val="single" w:color="000000"/>
        </w:rPr>
        <w:t xml:space="preserve">   </w:t>
      </w:r>
      <w:r>
        <w:rPr>
          <w:rFonts w:hint="eastAsia" w:hAnsi="宋体" w:cs="宋体"/>
          <w:sz w:val="21"/>
          <w:szCs w:val="21"/>
        </w:rPr>
        <w:t>天内完成款项的支付。</w:t>
      </w:r>
    </w:p>
    <w:p w14:paraId="09B4C9F8">
      <w:pPr>
        <w:pStyle w:val="6"/>
        <w:numPr>
          <w:ilvl w:val="0"/>
          <w:numId w:val="3"/>
        </w:numPr>
        <w:snapToGrid w:val="0"/>
        <w:spacing w:before="0" w:after="0" w:line="360" w:lineRule="auto"/>
        <w:ind w:firstLine="420" w:firstLineChars="200"/>
        <w:textAlignment w:val="baseline"/>
        <w:rPr>
          <w:rFonts w:ascii="宋体" w:hAnsi="宋体" w:cs="宋体"/>
          <w:b w:val="0"/>
          <w:sz w:val="21"/>
          <w:szCs w:val="21"/>
        </w:rPr>
      </w:pPr>
      <w:bookmarkStart w:id="611" w:name="_Toc351203650"/>
      <w:r>
        <w:rPr>
          <w:rFonts w:hint="eastAsia" w:ascii="宋体" w:hAnsi="宋体" w:cs="宋体"/>
          <w:b w:val="0"/>
          <w:sz w:val="21"/>
          <w:szCs w:val="21"/>
        </w:rPr>
        <w:t>保险</w:t>
      </w:r>
      <w:bookmarkEnd w:id="611"/>
    </w:p>
    <w:p w14:paraId="4B74F354">
      <w:pPr>
        <w:snapToGrid w:val="0"/>
        <w:spacing w:line="360" w:lineRule="auto"/>
        <w:ind w:firstLine="420" w:firstLineChars="200"/>
        <w:textAlignment w:val="baseline"/>
        <w:rPr>
          <w:rFonts w:hAnsi="宋体" w:cs="宋体"/>
          <w:sz w:val="21"/>
          <w:szCs w:val="21"/>
        </w:rPr>
      </w:pPr>
      <w:r>
        <w:rPr>
          <w:rFonts w:hint="eastAsia" w:hAnsi="宋体" w:cs="宋体"/>
          <w:sz w:val="21"/>
          <w:szCs w:val="21"/>
        </w:rPr>
        <w:t>18.1 工程保险</w:t>
      </w:r>
    </w:p>
    <w:p w14:paraId="42A03122">
      <w:pPr>
        <w:snapToGrid w:val="0"/>
        <w:spacing w:line="360" w:lineRule="auto"/>
        <w:ind w:firstLine="420" w:firstLineChars="200"/>
        <w:jc w:val="left"/>
        <w:textAlignment w:val="baseline"/>
        <w:rPr>
          <w:rFonts w:hAnsi="宋体" w:cs="宋体"/>
          <w:kern w:val="0"/>
          <w:sz w:val="21"/>
          <w:szCs w:val="21"/>
          <w:u w:val="single"/>
        </w:rPr>
      </w:pPr>
      <w:r>
        <w:rPr>
          <w:rFonts w:hint="eastAsia" w:hAnsi="宋体" w:cs="宋体"/>
          <w:sz w:val="21"/>
          <w:szCs w:val="21"/>
        </w:rPr>
        <w:t>关于工程保险的特别约定：</w:t>
      </w:r>
      <w:r>
        <w:rPr>
          <w:rFonts w:hint="eastAsia" w:hAnsi="宋体" w:cs="宋体"/>
          <w:kern w:val="0"/>
          <w:sz w:val="21"/>
          <w:szCs w:val="21"/>
          <w:u w:val="single" w:color="000000"/>
        </w:rPr>
        <w:t>由承包人按规定办理农民工工伤保险、意外险、建筑工程一切险等，保险费用按照杭政办函（2007）148 号规定的公式计算  。</w:t>
      </w:r>
    </w:p>
    <w:p w14:paraId="634ED1D6">
      <w:pPr>
        <w:snapToGrid w:val="0"/>
        <w:spacing w:line="360" w:lineRule="auto"/>
        <w:ind w:firstLine="420" w:firstLineChars="200"/>
        <w:textAlignment w:val="baseline"/>
        <w:rPr>
          <w:rFonts w:hAnsi="宋体" w:cs="宋体"/>
          <w:sz w:val="21"/>
          <w:szCs w:val="21"/>
        </w:rPr>
      </w:pPr>
      <w:r>
        <w:rPr>
          <w:rFonts w:hint="eastAsia" w:hAnsi="宋体" w:cs="宋体"/>
          <w:sz w:val="21"/>
          <w:szCs w:val="21"/>
        </w:rPr>
        <w:t>18.3 其他保险</w:t>
      </w:r>
    </w:p>
    <w:p w14:paraId="0B03C442">
      <w:pPr>
        <w:snapToGrid w:val="0"/>
        <w:spacing w:line="360" w:lineRule="auto"/>
        <w:ind w:firstLine="420" w:firstLineChars="200"/>
        <w:jc w:val="left"/>
        <w:textAlignment w:val="baseline"/>
        <w:rPr>
          <w:rFonts w:hAnsi="宋体" w:cs="宋体"/>
          <w:kern w:val="0"/>
          <w:sz w:val="21"/>
          <w:szCs w:val="21"/>
        </w:rPr>
      </w:pPr>
      <w:r>
        <w:rPr>
          <w:rFonts w:hint="eastAsia" w:hAnsi="宋体" w:cs="宋体"/>
          <w:sz w:val="21"/>
          <w:szCs w:val="21"/>
        </w:rPr>
        <w:t>关于其他保险的约定：</w:t>
      </w:r>
      <w:r>
        <w:rPr>
          <w:rFonts w:hint="eastAsia" w:hAnsi="宋体" w:cs="宋体"/>
          <w:kern w:val="0"/>
          <w:sz w:val="21"/>
          <w:szCs w:val="21"/>
          <w:u w:val="single" w:color="000000"/>
        </w:rPr>
        <w:t xml:space="preserve">   承包人为建设工程和施工场地内的自有人员设备及第三方生命财产办理保险并支付保险费用，费用已包含在总价内。移交之前所发生的一切与本工程有关的承包人的人员、财产等意外伤害、损失，由承包人承担全部责任和费用。（注：承包人须定期按要求提供保单备案） </w:t>
      </w:r>
      <w:r>
        <w:rPr>
          <w:rFonts w:hint="eastAsia" w:hAnsi="宋体" w:cs="宋体"/>
          <w:kern w:val="0"/>
          <w:sz w:val="21"/>
          <w:szCs w:val="21"/>
        </w:rPr>
        <w:t>。</w:t>
      </w:r>
    </w:p>
    <w:p w14:paraId="036838D5">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承包人是否应为其施工设备等办理财产保险：</w:t>
      </w:r>
      <w:r>
        <w:rPr>
          <w:rFonts w:hint="eastAsia" w:hAnsi="宋体" w:cs="宋体"/>
          <w:sz w:val="21"/>
          <w:szCs w:val="21"/>
          <w:u w:val="single" w:color="000000"/>
        </w:rPr>
        <w:t xml:space="preserve">   是     </w:t>
      </w:r>
      <w:r>
        <w:rPr>
          <w:rFonts w:hint="eastAsia" w:hAnsi="宋体" w:cs="宋体"/>
          <w:sz w:val="21"/>
          <w:szCs w:val="21"/>
        </w:rPr>
        <w:t>。</w:t>
      </w:r>
    </w:p>
    <w:p w14:paraId="29D3F123">
      <w:pPr>
        <w:snapToGrid w:val="0"/>
        <w:spacing w:line="360" w:lineRule="auto"/>
        <w:ind w:firstLine="420" w:firstLineChars="200"/>
        <w:textAlignment w:val="baseline"/>
        <w:rPr>
          <w:rFonts w:hAnsi="宋体" w:cs="宋体"/>
          <w:sz w:val="21"/>
          <w:szCs w:val="21"/>
        </w:rPr>
      </w:pPr>
      <w:r>
        <w:rPr>
          <w:rFonts w:hint="eastAsia" w:hAnsi="宋体" w:cs="宋体"/>
          <w:sz w:val="21"/>
          <w:szCs w:val="21"/>
        </w:rPr>
        <w:t>18.7 通知义务</w:t>
      </w:r>
    </w:p>
    <w:p w14:paraId="71698AAC">
      <w:pPr>
        <w:snapToGrid w:val="0"/>
        <w:spacing w:line="360" w:lineRule="auto"/>
        <w:ind w:firstLine="420" w:firstLineChars="200"/>
        <w:jc w:val="left"/>
        <w:textAlignment w:val="baseline"/>
        <w:rPr>
          <w:rFonts w:hAnsi="宋体" w:cs="宋体"/>
          <w:sz w:val="21"/>
          <w:szCs w:val="21"/>
          <w:u w:val="single"/>
        </w:rPr>
      </w:pPr>
      <w:r>
        <w:rPr>
          <w:rFonts w:hint="eastAsia" w:hAnsi="宋体" w:cs="宋体"/>
          <w:kern w:val="0"/>
          <w:sz w:val="21"/>
          <w:szCs w:val="21"/>
        </w:rPr>
        <w:t>关于变更保险合同时的通知义务的约定：</w:t>
      </w:r>
      <w:r>
        <w:rPr>
          <w:rFonts w:hint="eastAsia" w:hAnsi="宋体" w:cs="宋体"/>
          <w:b/>
          <w:sz w:val="21"/>
          <w:szCs w:val="21"/>
          <w:u w:val="single" w:color="000000"/>
        </w:rPr>
        <w:t>按通用条款约定</w:t>
      </w:r>
      <w:r>
        <w:rPr>
          <w:rFonts w:hint="eastAsia" w:hAnsi="宋体" w:cs="宋体"/>
          <w:sz w:val="21"/>
          <w:szCs w:val="21"/>
          <w:u w:val="single" w:color="000000"/>
        </w:rPr>
        <w:t xml:space="preserve">   。</w:t>
      </w:r>
    </w:p>
    <w:p w14:paraId="22625E19">
      <w:pPr>
        <w:pStyle w:val="6"/>
        <w:snapToGrid w:val="0"/>
        <w:spacing w:before="0" w:after="0" w:line="360" w:lineRule="auto"/>
        <w:ind w:firstLine="420" w:firstLineChars="200"/>
        <w:textAlignment w:val="baseline"/>
        <w:rPr>
          <w:rFonts w:ascii="宋体" w:hAnsi="宋体" w:cs="宋体"/>
          <w:b w:val="0"/>
          <w:sz w:val="21"/>
          <w:szCs w:val="21"/>
        </w:rPr>
      </w:pPr>
      <w:bookmarkStart w:id="612" w:name="_Toc351203651"/>
      <w:r>
        <w:rPr>
          <w:rFonts w:hint="eastAsia" w:ascii="宋体" w:hAnsi="宋体" w:cs="宋体"/>
          <w:b w:val="0"/>
          <w:sz w:val="21"/>
          <w:szCs w:val="21"/>
        </w:rPr>
        <w:t>20. 争议解决</w:t>
      </w:r>
      <w:bookmarkEnd w:id="612"/>
    </w:p>
    <w:p w14:paraId="75DC5AA5">
      <w:pPr>
        <w:snapToGrid w:val="0"/>
        <w:spacing w:line="360" w:lineRule="auto"/>
        <w:ind w:firstLine="420" w:firstLineChars="200"/>
        <w:textAlignment w:val="baseline"/>
        <w:rPr>
          <w:rFonts w:hAnsi="宋体" w:cs="宋体"/>
          <w:sz w:val="21"/>
          <w:szCs w:val="21"/>
        </w:rPr>
      </w:pPr>
      <w:r>
        <w:rPr>
          <w:rFonts w:hint="eastAsia" w:hAnsi="宋体" w:cs="宋体"/>
          <w:sz w:val="21"/>
          <w:szCs w:val="21"/>
        </w:rPr>
        <w:t>20.3 争议评审</w:t>
      </w:r>
    </w:p>
    <w:p w14:paraId="317EB602">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合同当事人是否同意将工程争议提交争议评审小组决定：</w:t>
      </w:r>
      <w:r>
        <w:rPr>
          <w:rFonts w:hint="eastAsia" w:hAnsi="宋体" w:cs="宋体"/>
          <w:sz w:val="21"/>
          <w:szCs w:val="21"/>
          <w:u w:val="single" w:color="000000"/>
        </w:rPr>
        <w:t xml:space="preserve">  否 </w:t>
      </w:r>
      <w:r>
        <w:rPr>
          <w:rFonts w:hint="eastAsia" w:hAnsi="宋体" w:cs="宋体"/>
          <w:sz w:val="21"/>
          <w:szCs w:val="21"/>
        </w:rPr>
        <w:t xml:space="preserve">。  </w:t>
      </w:r>
    </w:p>
    <w:p w14:paraId="7B1EC005">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20.3.1 争议评审小组的确定</w:t>
      </w:r>
    </w:p>
    <w:p w14:paraId="0500434F">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争议评审小组成员的确定：</w:t>
      </w:r>
      <w:r>
        <w:rPr>
          <w:rFonts w:hint="eastAsia" w:hAnsi="宋体" w:cs="宋体"/>
          <w:sz w:val="21"/>
          <w:szCs w:val="21"/>
          <w:u w:val="single" w:color="000000"/>
        </w:rPr>
        <w:t xml:space="preserve">      /     </w:t>
      </w:r>
      <w:r>
        <w:rPr>
          <w:rFonts w:hint="eastAsia" w:hAnsi="宋体" w:cs="宋体"/>
          <w:sz w:val="21"/>
          <w:szCs w:val="21"/>
        </w:rPr>
        <w:t>。</w:t>
      </w:r>
    </w:p>
    <w:p w14:paraId="1BDB459E">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选定争议评审员的期限：</w:t>
      </w:r>
      <w:r>
        <w:rPr>
          <w:rFonts w:hint="eastAsia" w:hAnsi="宋体" w:cs="宋体"/>
          <w:sz w:val="21"/>
          <w:szCs w:val="21"/>
          <w:u w:val="single" w:color="000000"/>
        </w:rPr>
        <w:t xml:space="preserve">       /          </w:t>
      </w:r>
      <w:r>
        <w:rPr>
          <w:rFonts w:hint="eastAsia" w:hAnsi="宋体" w:cs="宋体"/>
          <w:sz w:val="21"/>
          <w:szCs w:val="21"/>
        </w:rPr>
        <w:t>。</w:t>
      </w:r>
    </w:p>
    <w:p w14:paraId="04DB25E5">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争议评审小组成员的报酬承担方式：</w:t>
      </w:r>
      <w:r>
        <w:rPr>
          <w:rFonts w:hint="eastAsia" w:hAnsi="宋体" w:cs="宋体"/>
          <w:sz w:val="21"/>
          <w:szCs w:val="21"/>
          <w:u w:val="single" w:color="000000"/>
        </w:rPr>
        <w:t xml:space="preserve">    /        </w:t>
      </w:r>
      <w:r>
        <w:rPr>
          <w:rFonts w:hint="eastAsia" w:hAnsi="宋体" w:cs="宋体"/>
          <w:sz w:val="21"/>
          <w:szCs w:val="21"/>
        </w:rPr>
        <w:t>。</w:t>
      </w:r>
    </w:p>
    <w:p w14:paraId="51801B82">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其他事项的约定：</w:t>
      </w:r>
      <w:r>
        <w:rPr>
          <w:rFonts w:hint="eastAsia" w:hAnsi="宋体" w:cs="宋体"/>
          <w:sz w:val="21"/>
          <w:szCs w:val="21"/>
          <w:u w:val="single" w:color="000000"/>
        </w:rPr>
        <w:t xml:space="preserve">              /           </w:t>
      </w:r>
      <w:r>
        <w:rPr>
          <w:rFonts w:hint="eastAsia" w:hAnsi="宋体" w:cs="宋体"/>
          <w:sz w:val="21"/>
          <w:szCs w:val="21"/>
        </w:rPr>
        <w:t>。</w:t>
      </w:r>
    </w:p>
    <w:p w14:paraId="4B719374">
      <w:pPr>
        <w:snapToGrid w:val="0"/>
        <w:spacing w:line="360" w:lineRule="auto"/>
        <w:ind w:firstLine="420" w:firstLineChars="200"/>
        <w:jc w:val="left"/>
        <w:textAlignment w:val="baseline"/>
        <w:rPr>
          <w:rFonts w:hAnsi="宋体" w:cs="宋体"/>
          <w:kern w:val="0"/>
          <w:sz w:val="21"/>
          <w:szCs w:val="21"/>
          <w:u w:val="single"/>
        </w:rPr>
      </w:pPr>
      <w:r>
        <w:rPr>
          <w:rFonts w:hint="eastAsia" w:hAnsi="宋体" w:cs="宋体"/>
          <w:kern w:val="0"/>
          <w:sz w:val="21"/>
          <w:szCs w:val="21"/>
        </w:rPr>
        <w:t>20.3.2 争议评审小组的决定</w:t>
      </w:r>
    </w:p>
    <w:p w14:paraId="2E5F6321">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合同当事人关于本项的约定：</w:t>
      </w:r>
      <w:r>
        <w:rPr>
          <w:rFonts w:hint="eastAsia" w:hAnsi="宋体" w:cs="宋体"/>
          <w:sz w:val="21"/>
          <w:szCs w:val="21"/>
          <w:u w:val="single" w:color="000000"/>
        </w:rPr>
        <w:t xml:space="preserve">      /       </w:t>
      </w:r>
      <w:r>
        <w:rPr>
          <w:rFonts w:hint="eastAsia" w:hAnsi="宋体" w:cs="宋体"/>
          <w:sz w:val="21"/>
          <w:szCs w:val="21"/>
        </w:rPr>
        <w:t>。</w:t>
      </w:r>
    </w:p>
    <w:p w14:paraId="0F3FD1A9">
      <w:pPr>
        <w:snapToGrid w:val="0"/>
        <w:spacing w:line="360" w:lineRule="auto"/>
        <w:ind w:firstLine="420" w:firstLineChars="200"/>
        <w:textAlignment w:val="baseline"/>
        <w:rPr>
          <w:rFonts w:hAnsi="宋体" w:cs="宋体"/>
          <w:sz w:val="21"/>
          <w:szCs w:val="21"/>
        </w:rPr>
      </w:pPr>
      <w:r>
        <w:rPr>
          <w:rFonts w:hint="eastAsia" w:hAnsi="宋体" w:cs="宋体"/>
          <w:sz w:val="21"/>
          <w:szCs w:val="21"/>
        </w:rPr>
        <w:t>20.4仲裁或诉讼</w:t>
      </w:r>
    </w:p>
    <w:p w14:paraId="09E91473">
      <w:pPr>
        <w:snapToGrid w:val="0"/>
        <w:spacing w:line="360" w:lineRule="auto"/>
        <w:ind w:firstLine="420" w:firstLineChars="200"/>
        <w:textAlignment w:val="baseline"/>
        <w:rPr>
          <w:rFonts w:hAnsi="宋体" w:cs="宋体"/>
          <w:sz w:val="21"/>
          <w:szCs w:val="21"/>
        </w:rPr>
      </w:pPr>
      <w:r>
        <w:rPr>
          <w:rFonts w:hint="eastAsia" w:hAnsi="宋体" w:cs="宋体"/>
          <w:sz w:val="21"/>
          <w:szCs w:val="21"/>
        </w:rPr>
        <w:t>因合同及合同有关事项发生的争议，双方当事人特别约定以下列解决方式中第</w:t>
      </w:r>
      <w:r>
        <w:rPr>
          <w:rFonts w:hint="eastAsia" w:hAnsi="宋体" w:cs="宋体"/>
          <w:sz w:val="21"/>
          <w:szCs w:val="21"/>
          <w:u w:val="single" w:color="000000"/>
        </w:rPr>
        <w:t xml:space="preserve"> 2 </w:t>
      </w:r>
      <w:r>
        <w:rPr>
          <w:rFonts w:hint="eastAsia" w:hAnsi="宋体" w:cs="宋体"/>
          <w:sz w:val="21"/>
          <w:szCs w:val="21"/>
        </w:rPr>
        <w:t>种方式解决争议。本合同通用条款等其他部分约定与本处不一致的，以专用条款约定为准：</w:t>
      </w:r>
    </w:p>
    <w:p w14:paraId="62E8D4FB">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（1）提交</w:t>
      </w:r>
      <w:r>
        <w:rPr>
          <w:rFonts w:hint="eastAsia" w:hAnsi="宋体" w:cs="宋体"/>
          <w:sz w:val="21"/>
          <w:szCs w:val="21"/>
          <w:u w:val="single" w:color="000000"/>
        </w:rPr>
        <w:t xml:space="preserve">          </w:t>
      </w:r>
      <w:r>
        <w:rPr>
          <w:rFonts w:hint="eastAsia" w:hAnsi="宋体" w:cs="宋体"/>
          <w:sz w:val="21"/>
          <w:szCs w:val="21"/>
        </w:rPr>
        <w:t>仲裁委员会申请仲裁；</w:t>
      </w:r>
    </w:p>
    <w:p w14:paraId="7A40962A">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（2）依法向</w:t>
      </w:r>
      <w:r>
        <w:rPr>
          <w:rFonts w:hint="eastAsia" w:hAnsi="宋体" w:cs="宋体"/>
          <w:sz w:val="21"/>
          <w:szCs w:val="21"/>
          <w:u w:val="single" w:color="000000"/>
        </w:rPr>
        <w:t xml:space="preserve">   工程所在地    有管辖权的</w:t>
      </w:r>
      <w:r>
        <w:rPr>
          <w:rFonts w:hint="eastAsia" w:hAnsi="宋体" w:cs="宋体"/>
          <w:sz w:val="21"/>
          <w:szCs w:val="21"/>
        </w:rPr>
        <w:t>人民法院起诉。</w:t>
      </w:r>
    </w:p>
    <w:p w14:paraId="2654CDBC">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21．其他补充事项的约定</w:t>
      </w:r>
    </w:p>
    <w:p w14:paraId="7F6A29F3">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u w:val="single" w:color="000000"/>
        </w:rPr>
        <w:t>1、若中标价低于招标风险控制价，中标人应提交履约保证金的同时，必须额外提交中标价净值与风险控制价之差额____万元。</w:t>
      </w:r>
    </w:p>
    <w:p w14:paraId="2B9063AA">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u w:val="single" w:color="000000"/>
        </w:rPr>
        <w:t>2、合同双方确认，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14:paraId="4A411D12">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u w:val="single" w:color="000000"/>
        </w:rPr>
        <w:t xml:space="preserve">3、承包人未按合同约定履行义务，造成工程质量低下、进度迟缓、管理混乱，发包人有权解除本合同，没收全部履约保证金，承包人赔偿发包人因此造成的损失且依法承担相应的法律责任；对工程实施出现的质量问题，承包人按照发包人的要求无条件地进行限期整改，达到质量要求；因整改造成工期延误，由承包人承担一切责任。  </w:t>
      </w:r>
    </w:p>
    <w:p w14:paraId="6779BF5E">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u w:val="single" w:color="000000"/>
        </w:rPr>
        <w:t>4、材料、设备必须为原厂产品，如发现贴牌产品则不得进场，承包人应按合同约定向发包人支付违约金</w:t>
      </w:r>
      <w:r>
        <w:rPr>
          <w:rFonts w:hint="eastAsia" w:hAnsi="宋体" w:cs="宋体"/>
          <w:sz w:val="21"/>
          <w:szCs w:val="21"/>
          <w:u w:val="single"/>
        </w:rPr>
        <w:t xml:space="preserve"> </w:t>
      </w:r>
      <w:r>
        <w:rPr>
          <w:rFonts w:hAnsi="宋体" w:cs="宋体"/>
          <w:sz w:val="21"/>
          <w:szCs w:val="21"/>
          <w:u w:val="single"/>
        </w:rPr>
        <w:t xml:space="preserve">          </w:t>
      </w:r>
      <w:r>
        <w:rPr>
          <w:rFonts w:hint="eastAsia" w:hAnsi="宋体" w:cs="宋体"/>
          <w:sz w:val="21"/>
          <w:szCs w:val="21"/>
          <w:u w:val="single" w:color="000000"/>
        </w:rPr>
        <w:t>元。所有材料、设备必须经甲方、监理确认后方可订货。所有的材料、设备在相同品牌、技术参数的情况下，颜色、型号需经甲方确认后才允许使用。承包人承诺在发包人使用投标所有产品或工程时不会因知识产权或所有权等问题引起第三方索赔或其他要求，否则由此给发包人造成的一切损失都应由承包人承担。在招标文件中由发包人推荐品牌的材料，如在合同履行期间由于缺货或其他原因，需更换推荐品牌中的任何其他一个，投标价格不作调整。</w:t>
      </w:r>
    </w:p>
    <w:p w14:paraId="7CFDE36F">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5、</w:t>
      </w:r>
      <w:r>
        <w:rPr>
          <w:rFonts w:hint="eastAsia" w:hAnsi="宋体" w:cs="宋体"/>
          <w:sz w:val="21"/>
          <w:szCs w:val="21"/>
          <w:u w:val="single" w:color="000000"/>
        </w:rPr>
        <w:t>工程具备竣工验收条件，承包人按国家工程验收有关规定，向发包人提供完整竣工资料及竣工验收报告；工程价款结算最终以财政部门审定结果为支付依据。</w:t>
      </w:r>
    </w:p>
    <w:p w14:paraId="1B4196FC">
      <w:pPr>
        <w:widowControl/>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6、</w:t>
      </w:r>
      <w:r>
        <w:rPr>
          <w:rFonts w:hint="eastAsia" w:hAnsi="宋体" w:cs="宋体"/>
          <w:sz w:val="21"/>
          <w:szCs w:val="21"/>
          <w:u w:val="single" w:color="000000"/>
        </w:rPr>
        <w:t>对于承包人搭建的临时设施，在工程竣工验收合格后</w:t>
      </w:r>
      <w:r>
        <w:rPr>
          <w:rFonts w:hAnsi="宋体" w:cs="宋体"/>
          <w:sz w:val="21"/>
          <w:szCs w:val="21"/>
          <w:u w:val="single" w:color="000000"/>
        </w:rPr>
        <w:t>7</w:t>
      </w:r>
      <w:r>
        <w:rPr>
          <w:rFonts w:hint="eastAsia" w:hAnsi="宋体" w:cs="宋体"/>
          <w:sz w:val="21"/>
          <w:szCs w:val="21"/>
          <w:u w:val="single" w:color="000000"/>
        </w:rPr>
        <w:t>天内无条件拆除。退履约保证金和后续工程款支付须提交临时设施拆除证明。证明须经监理、发包人代表签证认可。</w:t>
      </w:r>
    </w:p>
    <w:p w14:paraId="258DE902">
      <w:pPr>
        <w:widowControl/>
        <w:snapToGrid w:val="0"/>
        <w:spacing w:line="360" w:lineRule="auto"/>
        <w:ind w:firstLine="210" w:firstLineChars="100"/>
        <w:jc w:val="left"/>
        <w:textAlignment w:val="baseline"/>
        <w:rPr>
          <w:rFonts w:hAnsi="宋体" w:cs="宋体"/>
          <w:sz w:val="21"/>
          <w:szCs w:val="21"/>
          <w:u w:val="single" w:color="000000"/>
        </w:rPr>
      </w:pPr>
      <w:r>
        <w:rPr>
          <w:rFonts w:hint="eastAsia" w:hAnsi="宋体" w:cs="宋体"/>
          <w:sz w:val="21"/>
          <w:szCs w:val="21"/>
        </w:rPr>
        <w:t xml:space="preserve"> 7、</w:t>
      </w:r>
      <w:r>
        <w:rPr>
          <w:rFonts w:hint="eastAsia" w:hAnsi="宋体" w:cs="宋体"/>
          <w:sz w:val="21"/>
          <w:szCs w:val="21"/>
          <w:u w:val="single" w:color="000000"/>
        </w:rPr>
        <w:t>本工程工程量按实际施工据实调整。</w:t>
      </w:r>
    </w:p>
    <w:p w14:paraId="196DDAED">
      <w:pPr>
        <w:widowControl/>
        <w:snapToGrid w:val="0"/>
        <w:spacing w:line="360" w:lineRule="auto"/>
        <w:ind w:firstLine="420" w:firstLineChars="200"/>
        <w:jc w:val="left"/>
        <w:textAlignment w:val="baseline"/>
        <w:rPr>
          <w:rFonts w:hAnsi="宋体" w:cs="宋体"/>
          <w:sz w:val="21"/>
          <w:szCs w:val="21"/>
          <w:u w:val="single" w:color="000000"/>
        </w:rPr>
      </w:pPr>
      <w:r>
        <w:rPr>
          <w:rFonts w:hint="eastAsia" w:hAnsi="宋体" w:cs="宋体"/>
          <w:sz w:val="21"/>
          <w:szCs w:val="21"/>
          <w:u w:val="single" w:color="000000"/>
        </w:rPr>
        <w:t>8、新型冠状病毒疫情期间，承包人要落实工人进出健康码检查点及常备防疫物资等工作，并根据疫情发展，按杭州市、上城区最新要求执行，承包人在投标时已充分考虑疫情因素合理报价，相关费用已包含在合同价款中。</w:t>
      </w:r>
    </w:p>
    <w:p w14:paraId="338CE202">
      <w:pPr>
        <w:widowControl/>
        <w:snapToGrid w:val="0"/>
        <w:spacing w:line="360" w:lineRule="auto"/>
        <w:ind w:firstLine="420" w:firstLineChars="200"/>
        <w:jc w:val="left"/>
        <w:textAlignment w:val="baseline"/>
        <w:rPr>
          <w:rFonts w:hAnsi="宋体" w:cs="宋体"/>
          <w:sz w:val="21"/>
          <w:szCs w:val="21"/>
          <w:u w:val="single" w:color="000000"/>
        </w:rPr>
      </w:pPr>
      <w:r>
        <w:rPr>
          <w:rFonts w:hint="eastAsia" w:hAnsi="宋体" w:cs="宋体"/>
          <w:sz w:val="21"/>
          <w:szCs w:val="21"/>
          <w:u w:val="single" w:color="000000"/>
        </w:rPr>
        <w:t>9、发包人有权从应支付给承包人的款项中扣除本合同中约定的承包人应当向发包人支付的违约金、款项以及承包人应当承担的损失、费用、扣款等；若发生不足以扣除的情形的，则承包人应当另行向发包人支付。</w:t>
      </w:r>
    </w:p>
    <w:p w14:paraId="4950FAB0">
      <w:pPr>
        <w:widowControl/>
        <w:snapToGrid w:val="0"/>
        <w:spacing w:line="360" w:lineRule="auto"/>
        <w:ind w:firstLine="420" w:firstLineChars="200"/>
        <w:jc w:val="left"/>
        <w:textAlignment w:val="baseline"/>
        <w:rPr>
          <w:rFonts w:hint="eastAsia" w:hAnsi="宋体" w:cs="宋体"/>
          <w:sz w:val="21"/>
          <w:szCs w:val="21"/>
          <w:u w:val="single" w:color="000000"/>
        </w:rPr>
      </w:pPr>
      <w:r>
        <w:rPr>
          <w:rFonts w:hint="eastAsia" w:hAnsi="宋体" w:cs="宋体"/>
          <w:sz w:val="21"/>
          <w:szCs w:val="21"/>
          <w:u w:val="single" w:color="000000"/>
        </w:rPr>
        <w:t>1</w:t>
      </w:r>
      <w:r>
        <w:rPr>
          <w:rFonts w:hAnsi="宋体" w:cs="宋体"/>
          <w:sz w:val="21"/>
          <w:szCs w:val="21"/>
          <w:u w:val="single" w:color="000000"/>
        </w:rPr>
        <w:t>0</w:t>
      </w:r>
      <w:r>
        <w:rPr>
          <w:rFonts w:hint="eastAsia" w:hAnsi="宋体" w:cs="宋体"/>
          <w:sz w:val="21"/>
          <w:szCs w:val="21"/>
          <w:u w:val="single" w:color="000000"/>
        </w:rPr>
        <w:t>、若发生扣除履约保证金的部分或全部情形的，承包人应当在收到发包人书面通知后三日内补足履约保证金，若不予以补足的，则发包人有权从应支付给承包人的款项中扣除用以进行履约保证金补足。</w:t>
      </w:r>
    </w:p>
    <w:p w14:paraId="5ACA91E4">
      <w:pPr>
        <w:jc w:val="left"/>
        <w:textAlignment w:val="baseline"/>
        <w:rPr>
          <w:rFonts w:hAnsi="宋体" w:cs="宋体"/>
          <w:b/>
          <w:sz w:val="18"/>
          <w:szCs w:val="18"/>
        </w:rPr>
      </w:pPr>
    </w:p>
    <w:p w14:paraId="09758DF7">
      <w:pPr>
        <w:jc w:val="left"/>
        <w:textAlignment w:val="baseline"/>
        <w:rPr>
          <w:rFonts w:hAnsi="宋体" w:cs="宋体"/>
          <w:b/>
          <w:sz w:val="18"/>
          <w:szCs w:val="18"/>
        </w:rPr>
      </w:pPr>
    </w:p>
    <w:p w14:paraId="4166E9B6">
      <w:pPr>
        <w:jc w:val="left"/>
        <w:textAlignment w:val="baseline"/>
        <w:rPr>
          <w:rFonts w:hAnsi="宋体" w:cs="宋体"/>
          <w:b/>
          <w:sz w:val="18"/>
          <w:szCs w:val="18"/>
        </w:rPr>
      </w:pPr>
    </w:p>
    <w:p w14:paraId="0773BDC4">
      <w:pPr>
        <w:jc w:val="left"/>
        <w:textAlignment w:val="baseline"/>
        <w:rPr>
          <w:rFonts w:hAnsi="宋体" w:cs="宋体"/>
          <w:b/>
          <w:sz w:val="18"/>
          <w:szCs w:val="18"/>
        </w:rPr>
      </w:pPr>
    </w:p>
    <w:p w14:paraId="1B70287D">
      <w:pPr>
        <w:jc w:val="left"/>
        <w:textAlignment w:val="baseline"/>
        <w:rPr>
          <w:rFonts w:hAnsi="宋体" w:cs="宋体"/>
          <w:b/>
          <w:sz w:val="18"/>
          <w:szCs w:val="18"/>
        </w:rPr>
      </w:pPr>
    </w:p>
    <w:p w14:paraId="0F99FF9E">
      <w:pPr>
        <w:jc w:val="left"/>
        <w:textAlignment w:val="baseline"/>
        <w:rPr>
          <w:rFonts w:hAnsi="宋体" w:cs="宋体"/>
          <w:b/>
          <w:sz w:val="18"/>
          <w:szCs w:val="18"/>
        </w:rPr>
      </w:pPr>
    </w:p>
    <w:p w14:paraId="1482F157">
      <w:pPr>
        <w:pStyle w:val="44"/>
        <w:rPr>
          <w:rFonts w:hAnsi="宋体" w:cs="宋体"/>
          <w:b/>
          <w:sz w:val="18"/>
          <w:szCs w:val="18"/>
        </w:rPr>
      </w:pPr>
    </w:p>
    <w:p w14:paraId="60DEA2BA">
      <w:pPr>
        <w:rPr>
          <w:rFonts w:hAnsi="宋体" w:cs="宋体"/>
          <w:b/>
          <w:sz w:val="18"/>
          <w:szCs w:val="18"/>
        </w:rPr>
      </w:pPr>
    </w:p>
    <w:p w14:paraId="319DF656">
      <w:pPr>
        <w:pStyle w:val="44"/>
        <w:rPr>
          <w:rFonts w:hAnsi="宋体" w:cs="宋体"/>
          <w:b/>
          <w:sz w:val="18"/>
          <w:szCs w:val="18"/>
        </w:rPr>
      </w:pPr>
    </w:p>
    <w:p w14:paraId="1D90C0B4">
      <w:pPr>
        <w:rPr>
          <w:rFonts w:hAnsi="宋体" w:cs="宋体"/>
          <w:b/>
          <w:sz w:val="18"/>
          <w:szCs w:val="18"/>
        </w:rPr>
      </w:pPr>
    </w:p>
    <w:p w14:paraId="4399C3A5">
      <w:pPr>
        <w:pStyle w:val="44"/>
      </w:pPr>
    </w:p>
    <w:p w14:paraId="177978E7">
      <w:pPr>
        <w:jc w:val="left"/>
        <w:textAlignment w:val="baseline"/>
        <w:rPr>
          <w:rFonts w:hAnsi="宋体" w:cs="宋体"/>
          <w:b/>
          <w:sz w:val="18"/>
          <w:szCs w:val="18"/>
        </w:rPr>
      </w:pPr>
    </w:p>
    <w:p w14:paraId="04F087AE">
      <w:pPr>
        <w:jc w:val="left"/>
        <w:textAlignment w:val="baseline"/>
        <w:rPr>
          <w:rFonts w:hAnsi="宋体" w:cs="宋体"/>
          <w:b/>
          <w:sz w:val="18"/>
          <w:szCs w:val="18"/>
        </w:rPr>
      </w:pPr>
    </w:p>
    <w:p w14:paraId="3CA5A64B">
      <w:pPr>
        <w:jc w:val="left"/>
        <w:textAlignment w:val="baseline"/>
        <w:rPr>
          <w:rFonts w:hAnsi="宋体" w:cs="宋体"/>
          <w:b/>
          <w:sz w:val="24"/>
          <w:szCs w:val="24"/>
        </w:rPr>
      </w:pPr>
      <w:r>
        <w:rPr>
          <w:rFonts w:hint="eastAsia" w:hAnsi="宋体" w:cs="宋体"/>
          <w:b/>
          <w:sz w:val="24"/>
          <w:szCs w:val="24"/>
        </w:rPr>
        <w:t>附件</w:t>
      </w:r>
    </w:p>
    <w:p w14:paraId="7ECE845A">
      <w:pPr>
        <w:jc w:val="left"/>
        <w:textAlignment w:val="baseline"/>
        <w:rPr>
          <w:rFonts w:hAnsi="宋体" w:cs="宋体"/>
          <w:sz w:val="24"/>
          <w:szCs w:val="24"/>
        </w:rPr>
      </w:pPr>
      <w:r>
        <w:rPr>
          <w:rFonts w:hint="eastAsia" w:hAnsi="宋体" w:cs="宋体"/>
          <w:sz w:val="24"/>
          <w:szCs w:val="24"/>
        </w:rPr>
        <w:t>协议书附件：</w:t>
      </w:r>
    </w:p>
    <w:p w14:paraId="44A7D569">
      <w:pPr>
        <w:jc w:val="left"/>
        <w:textAlignment w:val="baseline"/>
        <w:rPr>
          <w:rFonts w:hAnsi="宋体" w:cs="宋体"/>
          <w:sz w:val="24"/>
          <w:szCs w:val="24"/>
        </w:rPr>
      </w:pPr>
      <w:r>
        <w:rPr>
          <w:rFonts w:hint="eastAsia" w:hAnsi="宋体" w:cs="宋体"/>
          <w:sz w:val="24"/>
          <w:szCs w:val="24"/>
        </w:rPr>
        <w:t>附件1：承包人承揽工程项目一览表</w:t>
      </w:r>
    </w:p>
    <w:p w14:paraId="6F2D0D42">
      <w:pPr>
        <w:jc w:val="left"/>
        <w:textAlignment w:val="baseline"/>
        <w:rPr>
          <w:rFonts w:hAnsi="宋体" w:cs="宋体"/>
          <w:sz w:val="24"/>
          <w:szCs w:val="24"/>
        </w:rPr>
      </w:pPr>
      <w:r>
        <w:rPr>
          <w:rFonts w:hint="eastAsia" w:hAnsi="宋体" w:cs="宋体"/>
          <w:sz w:val="24"/>
          <w:szCs w:val="24"/>
        </w:rPr>
        <w:t>专用合同条款附件：</w:t>
      </w:r>
    </w:p>
    <w:p w14:paraId="49441151">
      <w:pPr>
        <w:jc w:val="left"/>
        <w:textAlignment w:val="baseline"/>
        <w:rPr>
          <w:rFonts w:hAnsi="宋体" w:cs="宋体"/>
          <w:sz w:val="24"/>
          <w:szCs w:val="24"/>
        </w:rPr>
      </w:pPr>
      <w:r>
        <w:rPr>
          <w:rFonts w:hint="eastAsia" w:hAnsi="宋体" w:cs="宋体"/>
          <w:sz w:val="24"/>
          <w:szCs w:val="24"/>
        </w:rPr>
        <w:t>附件2：发包人供应材料设备一览表</w:t>
      </w:r>
    </w:p>
    <w:p w14:paraId="0B032908">
      <w:pPr>
        <w:jc w:val="left"/>
        <w:textAlignment w:val="baseline"/>
        <w:rPr>
          <w:rFonts w:hAnsi="宋体" w:cs="宋体"/>
          <w:sz w:val="24"/>
          <w:szCs w:val="24"/>
        </w:rPr>
      </w:pPr>
      <w:r>
        <w:rPr>
          <w:rFonts w:hint="eastAsia" w:hAnsi="宋体" w:cs="宋体"/>
          <w:sz w:val="24"/>
          <w:szCs w:val="24"/>
        </w:rPr>
        <w:t>附件3：工程质量保修书</w:t>
      </w:r>
    </w:p>
    <w:p w14:paraId="2BFC2A09">
      <w:pPr>
        <w:jc w:val="left"/>
        <w:textAlignment w:val="baseline"/>
        <w:rPr>
          <w:rFonts w:hAnsi="宋体" w:cs="宋体"/>
          <w:sz w:val="24"/>
          <w:szCs w:val="24"/>
        </w:rPr>
      </w:pPr>
      <w:r>
        <w:rPr>
          <w:rFonts w:hint="eastAsia" w:hAnsi="宋体" w:cs="宋体"/>
          <w:sz w:val="24"/>
          <w:szCs w:val="24"/>
        </w:rPr>
        <w:t>附件4：主要建设工程文件目录（略）</w:t>
      </w:r>
    </w:p>
    <w:p w14:paraId="17BE79AE">
      <w:pPr>
        <w:jc w:val="left"/>
        <w:textAlignment w:val="baseline"/>
        <w:rPr>
          <w:rFonts w:hAnsi="宋体" w:cs="宋体"/>
          <w:sz w:val="24"/>
          <w:szCs w:val="24"/>
        </w:rPr>
      </w:pPr>
      <w:r>
        <w:rPr>
          <w:rFonts w:hint="eastAsia" w:hAnsi="宋体" w:cs="宋体"/>
          <w:sz w:val="24"/>
          <w:szCs w:val="24"/>
        </w:rPr>
        <w:t>附件5：承包人用于本工程施工的机械设备表（略）</w:t>
      </w:r>
    </w:p>
    <w:p w14:paraId="329AC5E3">
      <w:pPr>
        <w:jc w:val="left"/>
        <w:textAlignment w:val="baseline"/>
        <w:rPr>
          <w:rFonts w:hAnsi="宋体" w:cs="宋体"/>
          <w:sz w:val="24"/>
          <w:szCs w:val="24"/>
        </w:rPr>
      </w:pPr>
      <w:r>
        <w:rPr>
          <w:rFonts w:hint="eastAsia" w:hAnsi="宋体" w:cs="宋体"/>
          <w:sz w:val="24"/>
          <w:szCs w:val="24"/>
        </w:rPr>
        <w:t>附件6：承包人主要施工管理人员表（略）</w:t>
      </w:r>
    </w:p>
    <w:p w14:paraId="30AEB7DA">
      <w:pPr>
        <w:jc w:val="left"/>
        <w:textAlignment w:val="baseline"/>
        <w:rPr>
          <w:rFonts w:hAnsi="宋体" w:cs="宋体"/>
          <w:sz w:val="24"/>
          <w:szCs w:val="24"/>
        </w:rPr>
      </w:pPr>
      <w:r>
        <w:rPr>
          <w:rFonts w:hint="eastAsia" w:hAnsi="宋体" w:cs="宋体"/>
          <w:sz w:val="24"/>
          <w:szCs w:val="24"/>
        </w:rPr>
        <w:t>附件7：分包人主要施工管理人员表（略）</w:t>
      </w:r>
    </w:p>
    <w:p w14:paraId="5747D54A">
      <w:pPr>
        <w:jc w:val="left"/>
        <w:textAlignment w:val="baseline"/>
        <w:rPr>
          <w:rFonts w:hAnsi="宋体" w:cs="宋体"/>
          <w:sz w:val="24"/>
          <w:szCs w:val="24"/>
        </w:rPr>
      </w:pPr>
      <w:r>
        <w:rPr>
          <w:rFonts w:hint="eastAsia" w:hAnsi="宋体" w:cs="宋体"/>
          <w:sz w:val="24"/>
          <w:szCs w:val="24"/>
        </w:rPr>
        <w:t>附件8：履约担保格式（略）</w:t>
      </w:r>
    </w:p>
    <w:p w14:paraId="331D67D9">
      <w:pPr>
        <w:jc w:val="left"/>
        <w:textAlignment w:val="baseline"/>
        <w:rPr>
          <w:rFonts w:hAnsi="宋体" w:cs="宋体"/>
          <w:sz w:val="24"/>
          <w:szCs w:val="24"/>
        </w:rPr>
      </w:pPr>
      <w:r>
        <w:rPr>
          <w:rFonts w:hint="eastAsia" w:hAnsi="宋体" w:cs="宋体"/>
          <w:sz w:val="24"/>
          <w:szCs w:val="24"/>
        </w:rPr>
        <w:t>附件9：预付款担保格式（略）</w:t>
      </w:r>
    </w:p>
    <w:p w14:paraId="296E308F">
      <w:pPr>
        <w:jc w:val="left"/>
        <w:textAlignment w:val="baseline"/>
        <w:rPr>
          <w:rFonts w:hAnsi="宋体" w:cs="宋体"/>
          <w:b/>
          <w:sz w:val="24"/>
          <w:szCs w:val="24"/>
        </w:rPr>
      </w:pPr>
      <w:r>
        <w:rPr>
          <w:rFonts w:hint="eastAsia" w:hAnsi="宋体" w:cs="宋体"/>
          <w:sz w:val="24"/>
          <w:szCs w:val="24"/>
        </w:rPr>
        <w:t>附件10：支付担保格式</w:t>
      </w:r>
      <w:r>
        <w:rPr>
          <w:rFonts w:hint="eastAsia" w:hAnsi="宋体" w:cs="宋体"/>
          <w:b/>
          <w:sz w:val="24"/>
          <w:szCs w:val="24"/>
        </w:rPr>
        <w:t>（财政性投资项目按相关规定执行）</w:t>
      </w:r>
      <w:r>
        <w:rPr>
          <w:rFonts w:hint="eastAsia" w:hAnsi="宋体" w:cs="宋体"/>
          <w:sz w:val="24"/>
          <w:szCs w:val="24"/>
        </w:rPr>
        <w:t>（略）</w:t>
      </w:r>
    </w:p>
    <w:p w14:paraId="10E5980D">
      <w:pPr>
        <w:textAlignment w:val="baseline"/>
        <w:rPr>
          <w:rFonts w:hAnsi="宋体"/>
          <w:sz w:val="24"/>
          <w:szCs w:val="24"/>
          <w:u w:val="single"/>
        </w:rPr>
      </w:pPr>
      <w:r>
        <w:rPr>
          <w:rFonts w:hint="eastAsia" w:hAnsi="宋体" w:cs="宋体"/>
          <w:sz w:val="24"/>
          <w:szCs w:val="24"/>
        </w:rPr>
        <w:t>附件11：暂估价一览表（略）</w:t>
      </w:r>
    </w:p>
    <w:p w14:paraId="7FE81AED">
      <w:pPr>
        <w:textAlignment w:val="baseline"/>
        <w:rPr>
          <w:sz w:val="18"/>
          <w:szCs w:val="18"/>
        </w:rPr>
      </w:pPr>
    </w:p>
    <w:p w14:paraId="18730435">
      <w:pPr>
        <w:textAlignment w:val="baseline"/>
        <w:rPr>
          <w:rFonts w:hAnsi="宋体"/>
          <w:b/>
          <w:bCs/>
          <w:sz w:val="20"/>
        </w:rPr>
      </w:pPr>
      <w:r>
        <w:rPr>
          <w:rFonts w:hint="eastAsia" w:hAnsi="宋体"/>
          <w:b/>
          <w:bCs/>
        </w:rPr>
        <w:br w:type="textWrapping"/>
      </w:r>
    </w:p>
    <w:p w14:paraId="5CF40C97">
      <w:pPr>
        <w:pStyle w:val="34"/>
        <w:spacing w:line="440" w:lineRule="exact"/>
        <w:textAlignment w:val="baseline"/>
        <w:rPr>
          <w:rFonts w:hAnsi="宋体"/>
          <w:b/>
          <w:bCs/>
        </w:rPr>
      </w:pPr>
      <w:r>
        <w:rPr>
          <w:rFonts w:hAnsi="宋体"/>
          <w:b/>
          <w:bCs/>
        </w:rPr>
        <w:br w:type="page"/>
      </w:r>
    </w:p>
    <w:p w14:paraId="4D610EEE">
      <w:pPr>
        <w:pStyle w:val="34"/>
        <w:spacing w:line="440" w:lineRule="exact"/>
        <w:textAlignment w:val="baseline"/>
        <w:rPr>
          <w:rFonts w:hAnsi="宋体"/>
          <w:b/>
          <w:bCs/>
        </w:rPr>
      </w:pPr>
      <w:r>
        <w:rPr>
          <w:rFonts w:hint="eastAsia" w:hAnsi="宋体"/>
          <w:b/>
          <w:bCs/>
        </w:rPr>
        <w:t>附件1:</w:t>
      </w:r>
    </w:p>
    <w:p w14:paraId="464E8758">
      <w:pPr>
        <w:pStyle w:val="34"/>
        <w:spacing w:line="440" w:lineRule="exact"/>
        <w:jc w:val="center"/>
        <w:textAlignment w:val="baseline"/>
        <w:rPr>
          <w:rFonts w:hAnsi="宋体"/>
          <w:b/>
          <w:bCs/>
        </w:rPr>
      </w:pPr>
      <w:r>
        <w:rPr>
          <w:rFonts w:hint="eastAsia" w:hAnsi="宋体"/>
          <w:b/>
          <w:bCs/>
        </w:rPr>
        <w:t>承包人承揽工程项目一览表</w:t>
      </w:r>
    </w:p>
    <w:tbl>
      <w:tblPr>
        <w:tblStyle w:val="62"/>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956"/>
        <w:gridCol w:w="1258"/>
        <w:gridCol w:w="654"/>
        <w:gridCol w:w="956"/>
        <w:gridCol w:w="955"/>
        <w:gridCol w:w="1276"/>
        <w:gridCol w:w="947"/>
        <w:gridCol w:w="756"/>
        <w:gridCol w:w="1023"/>
      </w:tblGrid>
      <w:tr w14:paraId="4D5D7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55" w:type="dxa"/>
            <w:noWrap w:val="0"/>
            <w:vAlign w:val="center"/>
          </w:tcPr>
          <w:p w14:paraId="1BAA24AB">
            <w:pPr>
              <w:pStyle w:val="34"/>
              <w:jc w:val="center"/>
              <w:textAlignment w:val="baseline"/>
              <w:rPr>
                <w:rFonts w:hAnsi="宋体"/>
              </w:rPr>
            </w:pPr>
            <w:r>
              <w:rPr>
                <w:rFonts w:hint="eastAsia" w:hAnsi="宋体"/>
              </w:rPr>
              <w:t>单位工程名称</w:t>
            </w:r>
          </w:p>
        </w:tc>
        <w:tc>
          <w:tcPr>
            <w:tcW w:w="956" w:type="dxa"/>
            <w:noWrap w:val="0"/>
            <w:vAlign w:val="center"/>
          </w:tcPr>
          <w:p w14:paraId="6C2055EB">
            <w:pPr>
              <w:pStyle w:val="34"/>
              <w:jc w:val="center"/>
              <w:textAlignment w:val="baseline"/>
              <w:rPr>
                <w:rFonts w:hAnsi="宋体"/>
              </w:rPr>
            </w:pPr>
            <w:r>
              <w:rPr>
                <w:rFonts w:hint="eastAsia" w:hAnsi="宋体"/>
              </w:rPr>
              <w:t>建设</w:t>
            </w:r>
          </w:p>
          <w:p w14:paraId="3642C8C0">
            <w:pPr>
              <w:pStyle w:val="34"/>
              <w:jc w:val="center"/>
              <w:textAlignment w:val="baseline"/>
              <w:rPr>
                <w:rFonts w:hAnsi="宋体"/>
              </w:rPr>
            </w:pPr>
            <w:r>
              <w:rPr>
                <w:rFonts w:hint="eastAsia" w:hAnsi="宋体"/>
              </w:rPr>
              <w:t>规模</w:t>
            </w:r>
          </w:p>
        </w:tc>
        <w:tc>
          <w:tcPr>
            <w:tcW w:w="1258" w:type="dxa"/>
            <w:noWrap w:val="0"/>
            <w:vAlign w:val="center"/>
          </w:tcPr>
          <w:p w14:paraId="1FB4A5C3">
            <w:pPr>
              <w:pStyle w:val="34"/>
              <w:jc w:val="center"/>
              <w:textAlignment w:val="baseline"/>
              <w:rPr>
                <w:rFonts w:hAnsi="宋体"/>
              </w:rPr>
            </w:pPr>
            <w:r>
              <w:rPr>
                <w:rFonts w:hint="eastAsia" w:hAnsi="宋体"/>
              </w:rPr>
              <w:t>建筑面积(平方米)</w:t>
            </w:r>
          </w:p>
        </w:tc>
        <w:tc>
          <w:tcPr>
            <w:tcW w:w="654" w:type="dxa"/>
            <w:noWrap w:val="0"/>
            <w:vAlign w:val="center"/>
          </w:tcPr>
          <w:p w14:paraId="095DC0F6">
            <w:pPr>
              <w:pStyle w:val="34"/>
              <w:jc w:val="center"/>
              <w:textAlignment w:val="baseline"/>
              <w:rPr>
                <w:rFonts w:hAnsi="宋体"/>
              </w:rPr>
            </w:pPr>
            <w:r>
              <w:rPr>
                <w:rFonts w:hint="eastAsia" w:hAnsi="宋体"/>
              </w:rPr>
              <w:t>结构</w:t>
            </w:r>
          </w:p>
        </w:tc>
        <w:tc>
          <w:tcPr>
            <w:tcW w:w="956" w:type="dxa"/>
            <w:noWrap w:val="0"/>
            <w:vAlign w:val="center"/>
          </w:tcPr>
          <w:p w14:paraId="6ADD18A9">
            <w:pPr>
              <w:pStyle w:val="34"/>
              <w:jc w:val="center"/>
              <w:textAlignment w:val="baseline"/>
              <w:rPr>
                <w:rFonts w:hAnsi="宋体"/>
              </w:rPr>
            </w:pPr>
            <w:r>
              <w:rPr>
                <w:rFonts w:hint="eastAsia" w:hAnsi="宋体"/>
              </w:rPr>
              <w:t>层数</w:t>
            </w:r>
          </w:p>
        </w:tc>
        <w:tc>
          <w:tcPr>
            <w:tcW w:w="955" w:type="dxa"/>
            <w:noWrap w:val="0"/>
            <w:vAlign w:val="center"/>
          </w:tcPr>
          <w:p w14:paraId="29843C2D">
            <w:pPr>
              <w:pStyle w:val="34"/>
              <w:jc w:val="center"/>
              <w:textAlignment w:val="baseline"/>
              <w:rPr>
                <w:rFonts w:hAnsi="宋体"/>
              </w:rPr>
            </w:pPr>
            <w:r>
              <w:rPr>
                <w:rFonts w:hint="eastAsia" w:hAnsi="宋体"/>
              </w:rPr>
              <w:t>跨度(米)</w:t>
            </w:r>
          </w:p>
        </w:tc>
        <w:tc>
          <w:tcPr>
            <w:tcW w:w="1276" w:type="dxa"/>
            <w:noWrap w:val="0"/>
            <w:vAlign w:val="center"/>
          </w:tcPr>
          <w:p w14:paraId="79122A76">
            <w:pPr>
              <w:pStyle w:val="34"/>
              <w:jc w:val="center"/>
              <w:textAlignment w:val="baseline"/>
              <w:rPr>
                <w:rFonts w:hAnsi="宋体"/>
              </w:rPr>
            </w:pPr>
            <w:r>
              <w:rPr>
                <w:rFonts w:hint="eastAsia" w:hAnsi="宋体"/>
              </w:rPr>
              <w:t>设备</w:t>
            </w:r>
          </w:p>
          <w:p w14:paraId="3C224E70">
            <w:pPr>
              <w:pStyle w:val="34"/>
              <w:jc w:val="center"/>
              <w:textAlignment w:val="baseline"/>
              <w:rPr>
                <w:rFonts w:hAnsi="宋体"/>
              </w:rPr>
            </w:pPr>
            <w:r>
              <w:rPr>
                <w:rFonts w:hint="eastAsia" w:hAnsi="宋体"/>
              </w:rPr>
              <w:t>安装内容</w:t>
            </w:r>
          </w:p>
        </w:tc>
        <w:tc>
          <w:tcPr>
            <w:tcW w:w="947" w:type="dxa"/>
            <w:noWrap w:val="0"/>
            <w:vAlign w:val="center"/>
          </w:tcPr>
          <w:p w14:paraId="474AEFEC">
            <w:pPr>
              <w:pStyle w:val="34"/>
              <w:jc w:val="center"/>
              <w:textAlignment w:val="baseline"/>
              <w:rPr>
                <w:rFonts w:hAnsi="宋体"/>
              </w:rPr>
            </w:pPr>
            <w:r>
              <w:rPr>
                <w:rFonts w:hint="eastAsia" w:hAnsi="宋体"/>
              </w:rPr>
              <w:t>工程造价(元)</w:t>
            </w:r>
          </w:p>
        </w:tc>
        <w:tc>
          <w:tcPr>
            <w:tcW w:w="756" w:type="dxa"/>
            <w:noWrap w:val="0"/>
            <w:vAlign w:val="center"/>
          </w:tcPr>
          <w:p w14:paraId="11AE1BB0">
            <w:pPr>
              <w:pStyle w:val="34"/>
              <w:jc w:val="center"/>
              <w:textAlignment w:val="baseline"/>
              <w:rPr>
                <w:rFonts w:hAnsi="宋体"/>
              </w:rPr>
            </w:pPr>
            <w:r>
              <w:rPr>
                <w:rFonts w:hint="eastAsia" w:hAnsi="宋体"/>
              </w:rPr>
              <w:t>开工</w:t>
            </w:r>
          </w:p>
          <w:p w14:paraId="3961AA3A">
            <w:pPr>
              <w:pStyle w:val="34"/>
              <w:jc w:val="center"/>
              <w:textAlignment w:val="baseline"/>
              <w:rPr>
                <w:rFonts w:hAnsi="宋体"/>
              </w:rPr>
            </w:pPr>
            <w:r>
              <w:rPr>
                <w:rFonts w:hint="eastAsia" w:hAnsi="宋体"/>
              </w:rPr>
              <w:t>日期</w:t>
            </w:r>
          </w:p>
        </w:tc>
        <w:tc>
          <w:tcPr>
            <w:tcW w:w="1023" w:type="dxa"/>
            <w:noWrap w:val="0"/>
            <w:vAlign w:val="center"/>
          </w:tcPr>
          <w:p w14:paraId="00B45250">
            <w:pPr>
              <w:pStyle w:val="34"/>
              <w:jc w:val="center"/>
              <w:textAlignment w:val="baseline"/>
              <w:rPr>
                <w:rFonts w:hAnsi="宋体"/>
              </w:rPr>
            </w:pPr>
            <w:r>
              <w:rPr>
                <w:rFonts w:hint="eastAsia" w:hAnsi="宋体"/>
              </w:rPr>
              <w:t>竣工</w:t>
            </w:r>
          </w:p>
          <w:p w14:paraId="76817274">
            <w:pPr>
              <w:pStyle w:val="34"/>
              <w:jc w:val="center"/>
              <w:textAlignment w:val="baseline"/>
              <w:rPr>
                <w:rFonts w:hAnsi="宋体"/>
              </w:rPr>
            </w:pPr>
            <w:r>
              <w:rPr>
                <w:rFonts w:hint="eastAsia" w:hAnsi="宋体"/>
              </w:rPr>
              <w:t>日期</w:t>
            </w:r>
          </w:p>
        </w:tc>
      </w:tr>
      <w:tr w14:paraId="3D30A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955" w:type="dxa"/>
            <w:noWrap w:val="0"/>
            <w:vAlign w:val="center"/>
          </w:tcPr>
          <w:p w14:paraId="7272F4D4">
            <w:pPr>
              <w:pStyle w:val="34"/>
              <w:spacing w:line="365" w:lineRule="exact"/>
              <w:jc w:val="center"/>
              <w:textAlignment w:val="baseline"/>
              <w:rPr>
                <w:rFonts w:hAnsi="宋体"/>
              </w:rPr>
            </w:pPr>
          </w:p>
        </w:tc>
        <w:tc>
          <w:tcPr>
            <w:tcW w:w="956" w:type="dxa"/>
            <w:noWrap w:val="0"/>
            <w:vAlign w:val="center"/>
          </w:tcPr>
          <w:p w14:paraId="740462FF">
            <w:pPr>
              <w:pStyle w:val="34"/>
              <w:spacing w:line="365" w:lineRule="exact"/>
              <w:jc w:val="center"/>
              <w:textAlignment w:val="baseline"/>
              <w:rPr>
                <w:rFonts w:hAnsi="宋体"/>
              </w:rPr>
            </w:pPr>
          </w:p>
        </w:tc>
        <w:tc>
          <w:tcPr>
            <w:tcW w:w="1258" w:type="dxa"/>
            <w:noWrap w:val="0"/>
            <w:vAlign w:val="center"/>
          </w:tcPr>
          <w:p w14:paraId="798B0235">
            <w:pPr>
              <w:pStyle w:val="34"/>
              <w:spacing w:line="365" w:lineRule="exact"/>
              <w:jc w:val="center"/>
              <w:textAlignment w:val="baseline"/>
              <w:rPr>
                <w:rFonts w:hAnsi="宋体"/>
              </w:rPr>
            </w:pPr>
          </w:p>
        </w:tc>
        <w:tc>
          <w:tcPr>
            <w:tcW w:w="654" w:type="dxa"/>
            <w:noWrap w:val="0"/>
            <w:vAlign w:val="center"/>
          </w:tcPr>
          <w:p w14:paraId="28812E3C">
            <w:pPr>
              <w:pStyle w:val="34"/>
              <w:spacing w:line="365" w:lineRule="exact"/>
              <w:jc w:val="center"/>
              <w:textAlignment w:val="baseline"/>
              <w:rPr>
                <w:rFonts w:hAnsi="宋体"/>
              </w:rPr>
            </w:pPr>
          </w:p>
        </w:tc>
        <w:tc>
          <w:tcPr>
            <w:tcW w:w="956" w:type="dxa"/>
            <w:noWrap w:val="0"/>
            <w:vAlign w:val="center"/>
          </w:tcPr>
          <w:p w14:paraId="0110C56C">
            <w:pPr>
              <w:pStyle w:val="34"/>
              <w:spacing w:line="365" w:lineRule="exact"/>
              <w:jc w:val="center"/>
              <w:textAlignment w:val="baseline"/>
              <w:rPr>
                <w:rFonts w:hAnsi="宋体"/>
              </w:rPr>
            </w:pPr>
          </w:p>
        </w:tc>
        <w:tc>
          <w:tcPr>
            <w:tcW w:w="955" w:type="dxa"/>
            <w:noWrap w:val="0"/>
            <w:vAlign w:val="center"/>
          </w:tcPr>
          <w:p w14:paraId="2B4927B1">
            <w:pPr>
              <w:pStyle w:val="34"/>
              <w:spacing w:line="365" w:lineRule="exact"/>
              <w:jc w:val="center"/>
              <w:textAlignment w:val="baseline"/>
              <w:rPr>
                <w:rFonts w:hAnsi="宋体"/>
              </w:rPr>
            </w:pPr>
          </w:p>
        </w:tc>
        <w:tc>
          <w:tcPr>
            <w:tcW w:w="1276" w:type="dxa"/>
            <w:noWrap w:val="0"/>
            <w:vAlign w:val="center"/>
          </w:tcPr>
          <w:p w14:paraId="6810AFE8">
            <w:pPr>
              <w:pStyle w:val="34"/>
              <w:spacing w:line="365" w:lineRule="exact"/>
              <w:jc w:val="center"/>
              <w:textAlignment w:val="baseline"/>
              <w:rPr>
                <w:rFonts w:hAnsi="宋体"/>
              </w:rPr>
            </w:pPr>
          </w:p>
        </w:tc>
        <w:tc>
          <w:tcPr>
            <w:tcW w:w="947" w:type="dxa"/>
            <w:noWrap w:val="0"/>
            <w:vAlign w:val="center"/>
          </w:tcPr>
          <w:p w14:paraId="4571E0CE">
            <w:pPr>
              <w:pStyle w:val="34"/>
              <w:spacing w:line="365" w:lineRule="exact"/>
              <w:jc w:val="center"/>
              <w:textAlignment w:val="baseline"/>
              <w:rPr>
                <w:rFonts w:hAnsi="宋体"/>
              </w:rPr>
            </w:pPr>
          </w:p>
        </w:tc>
        <w:tc>
          <w:tcPr>
            <w:tcW w:w="756" w:type="dxa"/>
            <w:noWrap w:val="0"/>
            <w:vAlign w:val="center"/>
          </w:tcPr>
          <w:p w14:paraId="4B56BEBD">
            <w:pPr>
              <w:pStyle w:val="34"/>
              <w:spacing w:line="365" w:lineRule="exact"/>
              <w:jc w:val="center"/>
              <w:textAlignment w:val="baseline"/>
              <w:rPr>
                <w:rFonts w:hAnsi="宋体"/>
              </w:rPr>
            </w:pPr>
          </w:p>
        </w:tc>
        <w:tc>
          <w:tcPr>
            <w:tcW w:w="1023" w:type="dxa"/>
            <w:noWrap w:val="0"/>
            <w:vAlign w:val="center"/>
          </w:tcPr>
          <w:p w14:paraId="133A2FD4">
            <w:pPr>
              <w:pStyle w:val="34"/>
              <w:spacing w:line="365" w:lineRule="exact"/>
              <w:jc w:val="center"/>
              <w:textAlignment w:val="baseline"/>
              <w:rPr>
                <w:rFonts w:hAnsi="宋体"/>
              </w:rPr>
            </w:pPr>
          </w:p>
        </w:tc>
      </w:tr>
      <w:tr w14:paraId="01A58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955" w:type="dxa"/>
            <w:noWrap w:val="0"/>
            <w:vAlign w:val="center"/>
          </w:tcPr>
          <w:p w14:paraId="69D8E5A6">
            <w:pPr>
              <w:pStyle w:val="34"/>
              <w:spacing w:line="365" w:lineRule="exact"/>
              <w:jc w:val="center"/>
              <w:textAlignment w:val="baseline"/>
              <w:rPr>
                <w:rFonts w:hAnsi="宋体"/>
              </w:rPr>
            </w:pPr>
          </w:p>
        </w:tc>
        <w:tc>
          <w:tcPr>
            <w:tcW w:w="956" w:type="dxa"/>
            <w:noWrap w:val="0"/>
            <w:vAlign w:val="center"/>
          </w:tcPr>
          <w:p w14:paraId="2D8FFB48">
            <w:pPr>
              <w:pStyle w:val="34"/>
              <w:spacing w:line="365" w:lineRule="exact"/>
              <w:jc w:val="center"/>
              <w:textAlignment w:val="baseline"/>
              <w:rPr>
                <w:rFonts w:hAnsi="宋体"/>
              </w:rPr>
            </w:pPr>
          </w:p>
        </w:tc>
        <w:tc>
          <w:tcPr>
            <w:tcW w:w="1258" w:type="dxa"/>
            <w:noWrap w:val="0"/>
            <w:vAlign w:val="center"/>
          </w:tcPr>
          <w:p w14:paraId="4723C09B">
            <w:pPr>
              <w:pStyle w:val="34"/>
              <w:spacing w:line="365" w:lineRule="exact"/>
              <w:jc w:val="center"/>
              <w:textAlignment w:val="baseline"/>
              <w:rPr>
                <w:rFonts w:hAnsi="宋体"/>
              </w:rPr>
            </w:pPr>
          </w:p>
        </w:tc>
        <w:tc>
          <w:tcPr>
            <w:tcW w:w="654" w:type="dxa"/>
            <w:noWrap w:val="0"/>
            <w:vAlign w:val="center"/>
          </w:tcPr>
          <w:p w14:paraId="25CEA8D9">
            <w:pPr>
              <w:pStyle w:val="34"/>
              <w:spacing w:line="365" w:lineRule="exact"/>
              <w:jc w:val="center"/>
              <w:textAlignment w:val="baseline"/>
              <w:rPr>
                <w:rFonts w:hAnsi="宋体"/>
              </w:rPr>
            </w:pPr>
          </w:p>
        </w:tc>
        <w:tc>
          <w:tcPr>
            <w:tcW w:w="956" w:type="dxa"/>
            <w:noWrap w:val="0"/>
            <w:vAlign w:val="center"/>
          </w:tcPr>
          <w:p w14:paraId="7CD4AFCB">
            <w:pPr>
              <w:pStyle w:val="34"/>
              <w:spacing w:line="365" w:lineRule="exact"/>
              <w:jc w:val="center"/>
              <w:textAlignment w:val="baseline"/>
              <w:rPr>
                <w:rFonts w:hAnsi="宋体"/>
              </w:rPr>
            </w:pPr>
          </w:p>
        </w:tc>
        <w:tc>
          <w:tcPr>
            <w:tcW w:w="955" w:type="dxa"/>
            <w:noWrap w:val="0"/>
            <w:vAlign w:val="center"/>
          </w:tcPr>
          <w:p w14:paraId="60E6ABDD">
            <w:pPr>
              <w:pStyle w:val="34"/>
              <w:spacing w:line="365" w:lineRule="exact"/>
              <w:jc w:val="center"/>
              <w:textAlignment w:val="baseline"/>
              <w:rPr>
                <w:rFonts w:hAnsi="宋体"/>
              </w:rPr>
            </w:pPr>
          </w:p>
        </w:tc>
        <w:tc>
          <w:tcPr>
            <w:tcW w:w="1276" w:type="dxa"/>
            <w:noWrap w:val="0"/>
            <w:vAlign w:val="center"/>
          </w:tcPr>
          <w:p w14:paraId="1B0B3376">
            <w:pPr>
              <w:pStyle w:val="34"/>
              <w:spacing w:line="365" w:lineRule="exact"/>
              <w:jc w:val="center"/>
              <w:textAlignment w:val="baseline"/>
              <w:rPr>
                <w:rFonts w:hAnsi="宋体"/>
              </w:rPr>
            </w:pPr>
          </w:p>
        </w:tc>
        <w:tc>
          <w:tcPr>
            <w:tcW w:w="947" w:type="dxa"/>
            <w:noWrap w:val="0"/>
            <w:vAlign w:val="center"/>
          </w:tcPr>
          <w:p w14:paraId="10CAE000">
            <w:pPr>
              <w:pStyle w:val="34"/>
              <w:spacing w:line="365" w:lineRule="exact"/>
              <w:jc w:val="center"/>
              <w:textAlignment w:val="baseline"/>
              <w:rPr>
                <w:rFonts w:hAnsi="宋体"/>
              </w:rPr>
            </w:pPr>
          </w:p>
        </w:tc>
        <w:tc>
          <w:tcPr>
            <w:tcW w:w="756" w:type="dxa"/>
            <w:noWrap w:val="0"/>
            <w:vAlign w:val="center"/>
          </w:tcPr>
          <w:p w14:paraId="62B5F9E1">
            <w:pPr>
              <w:pStyle w:val="34"/>
              <w:spacing w:line="365" w:lineRule="exact"/>
              <w:jc w:val="center"/>
              <w:textAlignment w:val="baseline"/>
              <w:rPr>
                <w:rFonts w:hAnsi="宋体"/>
              </w:rPr>
            </w:pPr>
          </w:p>
        </w:tc>
        <w:tc>
          <w:tcPr>
            <w:tcW w:w="1023" w:type="dxa"/>
            <w:noWrap w:val="0"/>
            <w:vAlign w:val="center"/>
          </w:tcPr>
          <w:p w14:paraId="3E5A7711">
            <w:pPr>
              <w:pStyle w:val="34"/>
              <w:spacing w:line="365" w:lineRule="exact"/>
              <w:jc w:val="center"/>
              <w:textAlignment w:val="baseline"/>
              <w:rPr>
                <w:rFonts w:hAnsi="宋体"/>
              </w:rPr>
            </w:pPr>
          </w:p>
        </w:tc>
      </w:tr>
      <w:tr w14:paraId="59AD1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955" w:type="dxa"/>
            <w:noWrap w:val="0"/>
            <w:vAlign w:val="center"/>
          </w:tcPr>
          <w:p w14:paraId="458DA683">
            <w:pPr>
              <w:pStyle w:val="34"/>
              <w:spacing w:line="365" w:lineRule="exact"/>
              <w:jc w:val="center"/>
              <w:textAlignment w:val="baseline"/>
              <w:rPr>
                <w:rFonts w:hAnsi="宋体"/>
              </w:rPr>
            </w:pPr>
          </w:p>
        </w:tc>
        <w:tc>
          <w:tcPr>
            <w:tcW w:w="956" w:type="dxa"/>
            <w:noWrap w:val="0"/>
            <w:vAlign w:val="center"/>
          </w:tcPr>
          <w:p w14:paraId="332D5036">
            <w:pPr>
              <w:pStyle w:val="34"/>
              <w:spacing w:line="365" w:lineRule="exact"/>
              <w:jc w:val="center"/>
              <w:textAlignment w:val="baseline"/>
              <w:rPr>
                <w:rFonts w:hAnsi="宋体"/>
              </w:rPr>
            </w:pPr>
          </w:p>
        </w:tc>
        <w:tc>
          <w:tcPr>
            <w:tcW w:w="1258" w:type="dxa"/>
            <w:noWrap w:val="0"/>
            <w:vAlign w:val="center"/>
          </w:tcPr>
          <w:p w14:paraId="0159DCC8">
            <w:pPr>
              <w:pStyle w:val="34"/>
              <w:spacing w:line="365" w:lineRule="exact"/>
              <w:jc w:val="center"/>
              <w:textAlignment w:val="baseline"/>
              <w:rPr>
                <w:rFonts w:hAnsi="宋体"/>
              </w:rPr>
            </w:pPr>
          </w:p>
        </w:tc>
        <w:tc>
          <w:tcPr>
            <w:tcW w:w="654" w:type="dxa"/>
            <w:noWrap w:val="0"/>
            <w:vAlign w:val="center"/>
          </w:tcPr>
          <w:p w14:paraId="078A02D7">
            <w:pPr>
              <w:pStyle w:val="34"/>
              <w:spacing w:line="365" w:lineRule="exact"/>
              <w:jc w:val="center"/>
              <w:textAlignment w:val="baseline"/>
              <w:rPr>
                <w:rFonts w:hAnsi="宋体"/>
              </w:rPr>
            </w:pPr>
          </w:p>
        </w:tc>
        <w:tc>
          <w:tcPr>
            <w:tcW w:w="956" w:type="dxa"/>
            <w:noWrap w:val="0"/>
            <w:vAlign w:val="center"/>
          </w:tcPr>
          <w:p w14:paraId="6E6625C2">
            <w:pPr>
              <w:pStyle w:val="34"/>
              <w:spacing w:line="365" w:lineRule="exact"/>
              <w:jc w:val="center"/>
              <w:textAlignment w:val="baseline"/>
              <w:rPr>
                <w:rFonts w:hAnsi="宋体"/>
              </w:rPr>
            </w:pPr>
          </w:p>
        </w:tc>
        <w:tc>
          <w:tcPr>
            <w:tcW w:w="955" w:type="dxa"/>
            <w:noWrap w:val="0"/>
            <w:vAlign w:val="center"/>
          </w:tcPr>
          <w:p w14:paraId="43AC07FE">
            <w:pPr>
              <w:pStyle w:val="34"/>
              <w:spacing w:line="365" w:lineRule="exact"/>
              <w:jc w:val="center"/>
              <w:textAlignment w:val="baseline"/>
              <w:rPr>
                <w:rFonts w:hAnsi="宋体"/>
              </w:rPr>
            </w:pPr>
          </w:p>
        </w:tc>
        <w:tc>
          <w:tcPr>
            <w:tcW w:w="1276" w:type="dxa"/>
            <w:noWrap w:val="0"/>
            <w:vAlign w:val="center"/>
          </w:tcPr>
          <w:p w14:paraId="71E10B3A">
            <w:pPr>
              <w:pStyle w:val="34"/>
              <w:spacing w:line="365" w:lineRule="exact"/>
              <w:jc w:val="center"/>
              <w:textAlignment w:val="baseline"/>
              <w:rPr>
                <w:rFonts w:hAnsi="宋体"/>
              </w:rPr>
            </w:pPr>
          </w:p>
        </w:tc>
        <w:tc>
          <w:tcPr>
            <w:tcW w:w="947" w:type="dxa"/>
            <w:noWrap w:val="0"/>
            <w:vAlign w:val="center"/>
          </w:tcPr>
          <w:p w14:paraId="54FFA713">
            <w:pPr>
              <w:pStyle w:val="34"/>
              <w:spacing w:line="365" w:lineRule="exact"/>
              <w:jc w:val="center"/>
              <w:textAlignment w:val="baseline"/>
              <w:rPr>
                <w:rFonts w:hAnsi="宋体"/>
              </w:rPr>
            </w:pPr>
          </w:p>
        </w:tc>
        <w:tc>
          <w:tcPr>
            <w:tcW w:w="756" w:type="dxa"/>
            <w:noWrap w:val="0"/>
            <w:vAlign w:val="center"/>
          </w:tcPr>
          <w:p w14:paraId="5BF31CB5">
            <w:pPr>
              <w:pStyle w:val="34"/>
              <w:spacing w:line="365" w:lineRule="exact"/>
              <w:jc w:val="center"/>
              <w:textAlignment w:val="baseline"/>
              <w:rPr>
                <w:rFonts w:hAnsi="宋体"/>
              </w:rPr>
            </w:pPr>
          </w:p>
        </w:tc>
        <w:tc>
          <w:tcPr>
            <w:tcW w:w="1023" w:type="dxa"/>
            <w:noWrap w:val="0"/>
            <w:vAlign w:val="center"/>
          </w:tcPr>
          <w:p w14:paraId="4E61A228">
            <w:pPr>
              <w:pStyle w:val="34"/>
              <w:spacing w:line="365" w:lineRule="exact"/>
              <w:jc w:val="center"/>
              <w:textAlignment w:val="baseline"/>
              <w:rPr>
                <w:rFonts w:hAnsi="宋体"/>
              </w:rPr>
            </w:pPr>
          </w:p>
        </w:tc>
      </w:tr>
      <w:tr w14:paraId="324A5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955" w:type="dxa"/>
            <w:noWrap w:val="0"/>
            <w:vAlign w:val="center"/>
          </w:tcPr>
          <w:p w14:paraId="5B145E77">
            <w:pPr>
              <w:pStyle w:val="34"/>
              <w:spacing w:line="365" w:lineRule="exact"/>
              <w:jc w:val="center"/>
              <w:textAlignment w:val="baseline"/>
              <w:rPr>
                <w:rFonts w:hAnsi="宋体"/>
              </w:rPr>
            </w:pPr>
          </w:p>
        </w:tc>
        <w:tc>
          <w:tcPr>
            <w:tcW w:w="956" w:type="dxa"/>
            <w:noWrap w:val="0"/>
            <w:vAlign w:val="center"/>
          </w:tcPr>
          <w:p w14:paraId="39E19FF6">
            <w:pPr>
              <w:pStyle w:val="34"/>
              <w:spacing w:line="365" w:lineRule="exact"/>
              <w:jc w:val="center"/>
              <w:textAlignment w:val="baseline"/>
              <w:rPr>
                <w:rFonts w:hAnsi="宋体"/>
              </w:rPr>
            </w:pPr>
          </w:p>
        </w:tc>
        <w:tc>
          <w:tcPr>
            <w:tcW w:w="1258" w:type="dxa"/>
            <w:noWrap w:val="0"/>
            <w:vAlign w:val="center"/>
          </w:tcPr>
          <w:p w14:paraId="158CBB95">
            <w:pPr>
              <w:pStyle w:val="34"/>
              <w:spacing w:line="365" w:lineRule="exact"/>
              <w:jc w:val="center"/>
              <w:textAlignment w:val="baseline"/>
              <w:rPr>
                <w:rFonts w:hAnsi="宋体"/>
              </w:rPr>
            </w:pPr>
          </w:p>
        </w:tc>
        <w:tc>
          <w:tcPr>
            <w:tcW w:w="654" w:type="dxa"/>
            <w:noWrap w:val="0"/>
            <w:vAlign w:val="center"/>
          </w:tcPr>
          <w:p w14:paraId="27A19B84">
            <w:pPr>
              <w:pStyle w:val="34"/>
              <w:spacing w:line="365" w:lineRule="exact"/>
              <w:jc w:val="center"/>
              <w:textAlignment w:val="baseline"/>
              <w:rPr>
                <w:rFonts w:hAnsi="宋体"/>
              </w:rPr>
            </w:pPr>
          </w:p>
        </w:tc>
        <w:tc>
          <w:tcPr>
            <w:tcW w:w="956" w:type="dxa"/>
            <w:noWrap w:val="0"/>
            <w:vAlign w:val="center"/>
          </w:tcPr>
          <w:p w14:paraId="6259736E">
            <w:pPr>
              <w:pStyle w:val="34"/>
              <w:spacing w:line="365" w:lineRule="exact"/>
              <w:jc w:val="center"/>
              <w:textAlignment w:val="baseline"/>
              <w:rPr>
                <w:rFonts w:hAnsi="宋体"/>
              </w:rPr>
            </w:pPr>
          </w:p>
        </w:tc>
        <w:tc>
          <w:tcPr>
            <w:tcW w:w="955" w:type="dxa"/>
            <w:noWrap w:val="0"/>
            <w:vAlign w:val="center"/>
          </w:tcPr>
          <w:p w14:paraId="418A1F41">
            <w:pPr>
              <w:pStyle w:val="34"/>
              <w:spacing w:line="365" w:lineRule="exact"/>
              <w:jc w:val="center"/>
              <w:textAlignment w:val="baseline"/>
              <w:rPr>
                <w:rFonts w:hAnsi="宋体"/>
              </w:rPr>
            </w:pPr>
          </w:p>
        </w:tc>
        <w:tc>
          <w:tcPr>
            <w:tcW w:w="1276" w:type="dxa"/>
            <w:noWrap w:val="0"/>
            <w:vAlign w:val="center"/>
          </w:tcPr>
          <w:p w14:paraId="0601B7AE">
            <w:pPr>
              <w:pStyle w:val="34"/>
              <w:spacing w:line="365" w:lineRule="exact"/>
              <w:jc w:val="center"/>
              <w:textAlignment w:val="baseline"/>
              <w:rPr>
                <w:rFonts w:hAnsi="宋体"/>
              </w:rPr>
            </w:pPr>
          </w:p>
        </w:tc>
        <w:tc>
          <w:tcPr>
            <w:tcW w:w="947" w:type="dxa"/>
            <w:noWrap w:val="0"/>
            <w:vAlign w:val="center"/>
          </w:tcPr>
          <w:p w14:paraId="5BFE01C1">
            <w:pPr>
              <w:pStyle w:val="34"/>
              <w:spacing w:line="365" w:lineRule="exact"/>
              <w:jc w:val="center"/>
              <w:textAlignment w:val="baseline"/>
              <w:rPr>
                <w:rFonts w:hAnsi="宋体"/>
              </w:rPr>
            </w:pPr>
          </w:p>
        </w:tc>
        <w:tc>
          <w:tcPr>
            <w:tcW w:w="756" w:type="dxa"/>
            <w:noWrap w:val="0"/>
            <w:vAlign w:val="center"/>
          </w:tcPr>
          <w:p w14:paraId="0F943AC9">
            <w:pPr>
              <w:pStyle w:val="34"/>
              <w:spacing w:line="365" w:lineRule="exact"/>
              <w:jc w:val="center"/>
              <w:textAlignment w:val="baseline"/>
              <w:rPr>
                <w:rFonts w:hAnsi="宋体"/>
              </w:rPr>
            </w:pPr>
          </w:p>
        </w:tc>
        <w:tc>
          <w:tcPr>
            <w:tcW w:w="1023" w:type="dxa"/>
            <w:noWrap w:val="0"/>
            <w:vAlign w:val="center"/>
          </w:tcPr>
          <w:p w14:paraId="7E0D459B">
            <w:pPr>
              <w:pStyle w:val="34"/>
              <w:spacing w:line="365" w:lineRule="exact"/>
              <w:jc w:val="center"/>
              <w:textAlignment w:val="baseline"/>
              <w:rPr>
                <w:rFonts w:hAnsi="宋体"/>
              </w:rPr>
            </w:pPr>
          </w:p>
        </w:tc>
      </w:tr>
      <w:tr w14:paraId="7F464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955" w:type="dxa"/>
            <w:noWrap w:val="0"/>
            <w:vAlign w:val="center"/>
          </w:tcPr>
          <w:p w14:paraId="0EC53A38">
            <w:pPr>
              <w:pStyle w:val="34"/>
              <w:spacing w:line="365" w:lineRule="exact"/>
              <w:jc w:val="center"/>
              <w:textAlignment w:val="baseline"/>
              <w:rPr>
                <w:rFonts w:hAnsi="宋体"/>
              </w:rPr>
            </w:pPr>
          </w:p>
        </w:tc>
        <w:tc>
          <w:tcPr>
            <w:tcW w:w="956" w:type="dxa"/>
            <w:noWrap w:val="0"/>
            <w:vAlign w:val="center"/>
          </w:tcPr>
          <w:p w14:paraId="42761E3F">
            <w:pPr>
              <w:pStyle w:val="34"/>
              <w:spacing w:line="365" w:lineRule="exact"/>
              <w:jc w:val="center"/>
              <w:textAlignment w:val="baseline"/>
              <w:rPr>
                <w:rFonts w:hAnsi="宋体"/>
              </w:rPr>
            </w:pPr>
          </w:p>
        </w:tc>
        <w:tc>
          <w:tcPr>
            <w:tcW w:w="1258" w:type="dxa"/>
            <w:noWrap w:val="0"/>
            <w:vAlign w:val="center"/>
          </w:tcPr>
          <w:p w14:paraId="2CC36E62">
            <w:pPr>
              <w:pStyle w:val="34"/>
              <w:spacing w:line="365" w:lineRule="exact"/>
              <w:jc w:val="center"/>
              <w:textAlignment w:val="baseline"/>
              <w:rPr>
                <w:rFonts w:hAnsi="宋体"/>
              </w:rPr>
            </w:pPr>
          </w:p>
        </w:tc>
        <w:tc>
          <w:tcPr>
            <w:tcW w:w="654" w:type="dxa"/>
            <w:noWrap w:val="0"/>
            <w:vAlign w:val="center"/>
          </w:tcPr>
          <w:p w14:paraId="6A669170">
            <w:pPr>
              <w:pStyle w:val="34"/>
              <w:spacing w:line="365" w:lineRule="exact"/>
              <w:jc w:val="center"/>
              <w:textAlignment w:val="baseline"/>
              <w:rPr>
                <w:rFonts w:hAnsi="宋体"/>
              </w:rPr>
            </w:pPr>
          </w:p>
        </w:tc>
        <w:tc>
          <w:tcPr>
            <w:tcW w:w="956" w:type="dxa"/>
            <w:noWrap w:val="0"/>
            <w:vAlign w:val="center"/>
          </w:tcPr>
          <w:p w14:paraId="5E71083D">
            <w:pPr>
              <w:pStyle w:val="34"/>
              <w:spacing w:line="365" w:lineRule="exact"/>
              <w:jc w:val="center"/>
              <w:textAlignment w:val="baseline"/>
              <w:rPr>
                <w:rFonts w:hAnsi="宋体"/>
              </w:rPr>
            </w:pPr>
          </w:p>
        </w:tc>
        <w:tc>
          <w:tcPr>
            <w:tcW w:w="955" w:type="dxa"/>
            <w:noWrap w:val="0"/>
            <w:vAlign w:val="center"/>
          </w:tcPr>
          <w:p w14:paraId="16C65298">
            <w:pPr>
              <w:pStyle w:val="34"/>
              <w:spacing w:line="365" w:lineRule="exact"/>
              <w:jc w:val="center"/>
              <w:textAlignment w:val="baseline"/>
              <w:rPr>
                <w:rFonts w:hAnsi="宋体"/>
              </w:rPr>
            </w:pPr>
          </w:p>
        </w:tc>
        <w:tc>
          <w:tcPr>
            <w:tcW w:w="1276" w:type="dxa"/>
            <w:noWrap w:val="0"/>
            <w:vAlign w:val="center"/>
          </w:tcPr>
          <w:p w14:paraId="2F1678A0">
            <w:pPr>
              <w:pStyle w:val="34"/>
              <w:spacing w:line="365" w:lineRule="exact"/>
              <w:jc w:val="center"/>
              <w:textAlignment w:val="baseline"/>
              <w:rPr>
                <w:rFonts w:hAnsi="宋体"/>
              </w:rPr>
            </w:pPr>
          </w:p>
        </w:tc>
        <w:tc>
          <w:tcPr>
            <w:tcW w:w="947" w:type="dxa"/>
            <w:noWrap w:val="0"/>
            <w:vAlign w:val="center"/>
          </w:tcPr>
          <w:p w14:paraId="5E51C720">
            <w:pPr>
              <w:pStyle w:val="34"/>
              <w:spacing w:line="365" w:lineRule="exact"/>
              <w:jc w:val="center"/>
              <w:textAlignment w:val="baseline"/>
              <w:rPr>
                <w:rFonts w:hAnsi="宋体"/>
              </w:rPr>
            </w:pPr>
          </w:p>
        </w:tc>
        <w:tc>
          <w:tcPr>
            <w:tcW w:w="756" w:type="dxa"/>
            <w:noWrap w:val="0"/>
            <w:vAlign w:val="center"/>
          </w:tcPr>
          <w:p w14:paraId="3C86D5F1">
            <w:pPr>
              <w:pStyle w:val="34"/>
              <w:spacing w:line="365" w:lineRule="exact"/>
              <w:jc w:val="center"/>
              <w:textAlignment w:val="baseline"/>
              <w:rPr>
                <w:rFonts w:hAnsi="宋体"/>
              </w:rPr>
            </w:pPr>
          </w:p>
        </w:tc>
        <w:tc>
          <w:tcPr>
            <w:tcW w:w="1023" w:type="dxa"/>
            <w:noWrap w:val="0"/>
            <w:vAlign w:val="center"/>
          </w:tcPr>
          <w:p w14:paraId="056A63E1">
            <w:pPr>
              <w:pStyle w:val="34"/>
              <w:spacing w:line="365" w:lineRule="exact"/>
              <w:jc w:val="center"/>
              <w:textAlignment w:val="baseline"/>
              <w:rPr>
                <w:rFonts w:hAnsi="宋体"/>
              </w:rPr>
            </w:pPr>
          </w:p>
        </w:tc>
      </w:tr>
    </w:tbl>
    <w:p w14:paraId="36EA2BBD">
      <w:pPr>
        <w:pStyle w:val="34"/>
        <w:spacing w:line="440" w:lineRule="exact"/>
        <w:ind w:firstLine="540" w:firstLineChars="225"/>
        <w:jc w:val="center"/>
        <w:textAlignment w:val="baseline"/>
        <w:rPr>
          <w:rFonts w:hAnsi="宋体"/>
          <w:sz w:val="24"/>
        </w:rPr>
      </w:pPr>
    </w:p>
    <w:p w14:paraId="5A40B975">
      <w:pPr>
        <w:pStyle w:val="34"/>
        <w:spacing w:line="440" w:lineRule="exact"/>
        <w:textAlignment w:val="baseline"/>
        <w:rPr>
          <w:rFonts w:hAnsi="宋体"/>
          <w:b/>
          <w:bCs/>
        </w:rPr>
      </w:pPr>
      <w:r>
        <w:rPr>
          <w:rFonts w:hint="eastAsia" w:hAnsi="宋体"/>
          <w:b/>
          <w:bCs/>
        </w:rPr>
        <w:t>附件2:</w:t>
      </w:r>
    </w:p>
    <w:p w14:paraId="60AA4C36">
      <w:pPr>
        <w:pStyle w:val="34"/>
        <w:spacing w:line="440" w:lineRule="exact"/>
        <w:jc w:val="center"/>
        <w:textAlignment w:val="baseline"/>
        <w:rPr>
          <w:rFonts w:hAnsi="宋体"/>
          <w:b/>
          <w:bCs/>
        </w:rPr>
      </w:pPr>
      <w:r>
        <w:rPr>
          <w:rFonts w:hint="eastAsia" w:hAnsi="宋体"/>
          <w:b/>
          <w:bCs/>
        </w:rPr>
        <w:t>发包人供应材料设备一览表</w:t>
      </w:r>
    </w:p>
    <w:tbl>
      <w:tblPr>
        <w:tblStyle w:val="62"/>
        <w:tblW w:w="99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1258"/>
        <w:gridCol w:w="1001"/>
        <w:gridCol w:w="1001"/>
        <w:gridCol w:w="1001"/>
        <w:gridCol w:w="1000"/>
        <w:gridCol w:w="1001"/>
        <w:gridCol w:w="1001"/>
        <w:gridCol w:w="1001"/>
        <w:gridCol w:w="744"/>
      </w:tblGrid>
      <w:tr w14:paraId="7775F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noWrap w:val="0"/>
            <w:vAlign w:val="center"/>
          </w:tcPr>
          <w:p w14:paraId="416FBAAA">
            <w:pPr>
              <w:pStyle w:val="34"/>
              <w:spacing w:line="365" w:lineRule="exact"/>
              <w:jc w:val="center"/>
              <w:textAlignment w:val="baseline"/>
              <w:rPr>
                <w:rFonts w:hAnsi="宋体"/>
              </w:rPr>
            </w:pPr>
            <w:r>
              <w:rPr>
                <w:rFonts w:hint="eastAsia" w:hAnsi="宋体"/>
              </w:rPr>
              <w:t>序号</w:t>
            </w:r>
          </w:p>
        </w:tc>
        <w:tc>
          <w:tcPr>
            <w:tcW w:w="1258" w:type="dxa"/>
            <w:noWrap w:val="0"/>
            <w:vAlign w:val="center"/>
          </w:tcPr>
          <w:p w14:paraId="4B24AF40">
            <w:pPr>
              <w:pStyle w:val="34"/>
              <w:spacing w:line="365" w:lineRule="exact"/>
              <w:jc w:val="center"/>
              <w:textAlignment w:val="baseline"/>
              <w:rPr>
                <w:rFonts w:hAnsi="宋体"/>
              </w:rPr>
            </w:pPr>
            <w:r>
              <w:rPr>
                <w:rFonts w:hint="eastAsia" w:hAnsi="宋体"/>
              </w:rPr>
              <w:t>材料/设备</w:t>
            </w:r>
          </w:p>
          <w:p w14:paraId="1A724804">
            <w:pPr>
              <w:pStyle w:val="34"/>
              <w:spacing w:line="365" w:lineRule="exact"/>
              <w:jc w:val="center"/>
              <w:textAlignment w:val="baseline"/>
              <w:rPr>
                <w:rFonts w:hAnsi="宋体"/>
              </w:rPr>
            </w:pPr>
            <w:r>
              <w:rPr>
                <w:rFonts w:hint="eastAsia" w:hAnsi="宋体"/>
              </w:rPr>
              <w:t>品   种</w:t>
            </w:r>
          </w:p>
        </w:tc>
        <w:tc>
          <w:tcPr>
            <w:tcW w:w="1001" w:type="dxa"/>
            <w:noWrap w:val="0"/>
            <w:vAlign w:val="center"/>
          </w:tcPr>
          <w:p w14:paraId="50A107EA">
            <w:pPr>
              <w:pStyle w:val="34"/>
              <w:spacing w:line="365" w:lineRule="exact"/>
              <w:jc w:val="center"/>
              <w:textAlignment w:val="baseline"/>
              <w:rPr>
                <w:rFonts w:hAnsi="宋体"/>
              </w:rPr>
            </w:pPr>
            <w:r>
              <w:rPr>
                <w:rFonts w:hint="eastAsia" w:hAnsi="宋体"/>
              </w:rPr>
              <w:t>规格</w:t>
            </w:r>
          </w:p>
          <w:p w14:paraId="63D4F8E5">
            <w:pPr>
              <w:pStyle w:val="34"/>
              <w:spacing w:line="365" w:lineRule="exact"/>
              <w:jc w:val="center"/>
              <w:textAlignment w:val="baseline"/>
              <w:rPr>
                <w:rFonts w:hAnsi="宋体"/>
              </w:rPr>
            </w:pPr>
            <w:r>
              <w:rPr>
                <w:rFonts w:hint="eastAsia" w:hAnsi="宋体"/>
              </w:rPr>
              <w:t>型号</w:t>
            </w:r>
          </w:p>
        </w:tc>
        <w:tc>
          <w:tcPr>
            <w:tcW w:w="1001" w:type="dxa"/>
            <w:noWrap w:val="0"/>
            <w:vAlign w:val="center"/>
          </w:tcPr>
          <w:p w14:paraId="034732C3">
            <w:pPr>
              <w:pStyle w:val="34"/>
              <w:spacing w:line="365" w:lineRule="exact"/>
              <w:jc w:val="center"/>
              <w:textAlignment w:val="baseline"/>
              <w:rPr>
                <w:rFonts w:hAnsi="宋体"/>
              </w:rPr>
            </w:pPr>
            <w:r>
              <w:rPr>
                <w:rFonts w:hint="eastAsia" w:hAnsi="宋体"/>
              </w:rPr>
              <w:t>单位</w:t>
            </w:r>
          </w:p>
        </w:tc>
        <w:tc>
          <w:tcPr>
            <w:tcW w:w="1001" w:type="dxa"/>
            <w:noWrap w:val="0"/>
            <w:vAlign w:val="center"/>
          </w:tcPr>
          <w:p w14:paraId="225C7690">
            <w:pPr>
              <w:pStyle w:val="34"/>
              <w:spacing w:line="365" w:lineRule="exact"/>
              <w:jc w:val="center"/>
              <w:textAlignment w:val="baseline"/>
              <w:rPr>
                <w:rFonts w:hAnsi="宋体"/>
              </w:rPr>
            </w:pPr>
            <w:r>
              <w:rPr>
                <w:rFonts w:hint="eastAsia" w:hAnsi="宋体"/>
              </w:rPr>
              <w:t>数</w:t>
            </w:r>
          </w:p>
          <w:p w14:paraId="78339DEB">
            <w:pPr>
              <w:pStyle w:val="34"/>
              <w:spacing w:line="365" w:lineRule="exact"/>
              <w:jc w:val="center"/>
              <w:textAlignment w:val="baseline"/>
              <w:rPr>
                <w:rFonts w:hAnsi="宋体"/>
              </w:rPr>
            </w:pPr>
            <w:r>
              <w:rPr>
                <w:rFonts w:hint="eastAsia" w:hAnsi="宋体"/>
              </w:rPr>
              <w:t>量</w:t>
            </w:r>
          </w:p>
        </w:tc>
        <w:tc>
          <w:tcPr>
            <w:tcW w:w="1000" w:type="dxa"/>
            <w:noWrap w:val="0"/>
            <w:vAlign w:val="center"/>
          </w:tcPr>
          <w:p w14:paraId="52725A05">
            <w:pPr>
              <w:pStyle w:val="34"/>
              <w:spacing w:line="365" w:lineRule="exact"/>
              <w:jc w:val="center"/>
              <w:textAlignment w:val="baseline"/>
              <w:rPr>
                <w:rFonts w:hAnsi="宋体"/>
              </w:rPr>
            </w:pPr>
            <w:r>
              <w:rPr>
                <w:rFonts w:hint="eastAsia" w:hAnsi="宋体"/>
              </w:rPr>
              <w:t>单</w:t>
            </w:r>
          </w:p>
          <w:p w14:paraId="6B40947F">
            <w:pPr>
              <w:pStyle w:val="34"/>
              <w:spacing w:line="365" w:lineRule="exact"/>
              <w:jc w:val="center"/>
              <w:textAlignment w:val="baseline"/>
              <w:rPr>
                <w:rFonts w:hAnsi="宋体"/>
              </w:rPr>
            </w:pPr>
            <w:r>
              <w:rPr>
                <w:rFonts w:hint="eastAsia" w:hAnsi="宋体"/>
              </w:rPr>
              <w:t>价</w:t>
            </w:r>
          </w:p>
        </w:tc>
        <w:tc>
          <w:tcPr>
            <w:tcW w:w="1001" w:type="dxa"/>
            <w:noWrap w:val="0"/>
            <w:vAlign w:val="center"/>
          </w:tcPr>
          <w:p w14:paraId="20EDA627">
            <w:pPr>
              <w:pStyle w:val="34"/>
              <w:spacing w:line="365" w:lineRule="exact"/>
              <w:jc w:val="center"/>
              <w:textAlignment w:val="baseline"/>
              <w:rPr>
                <w:rFonts w:hAnsi="宋体"/>
              </w:rPr>
            </w:pPr>
            <w:r>
              <w:rPr>
                <w:rFonts w:hint="eastAsia" w:hAnsi="宋体"/>
              </w:rPr>
              <w:t>质量</w:t>
            </w:r>
          </w:p>
          <w:p w14:paraId="7671B996">
            <w:pPr>
              <w:pStyle w:val="34"/>
              <w:spacing w:line="365" w:lineRule="exact"/>
              <w:jc w:val="center"/>
              <w:textAlignment w:val="baseline"/>
              <w:rPr>
                <w:rFonts w:hAnsi="宋体"/>
              </w:rPr>
            </w:pPr>
            <w:r>
              <w:rPr>
                <w:rFonts w:hint="eastAsia" w:hAnsi="宋体"/>
              </w:rPr>
              <w:t>等级</w:t>
            </w:r>
          </w:p>
        </w:tc>
        <w:tc>
          <w:tcPr>
            <w:tcW w:w="1001" w:type="dxa"/>
            <w:noWrap w:val="0"/>
            <w:vAlign w:val="center"/>
          </w:tcPr>
          <w:p w14:paraId="17F00CA9">
            <w:pPr>
              <w:pStyle w:val="34"/>
              <w:spacing w:line="365" w:lineRule="exact"/>
              <w:jc w:val="center"/>
              <w:textAlignment w:val="baseline"/>
              <w:rPr>
                <w:rFonts w:hAnsi="宋体"/>
              </w:rPr>
            </w:pPr>
            <w:r>
              <w:rPr>
                <w:rFonts w:hint="eastAsia" w:hAnsi="宋体"/>
              </w:rPr>
              <w:t>供应</w:t>
            </w:r>
          </w:p>
          <w:p w14:paraId="467ED09D">
            <w:pPr>
              <w:pStyle w:val="34"/>
              <w:spacing w:line="365" w:lineRule="exact"/>
              <w:jc w:val="center"/>
              <w:textAlignment w:val="baseline"/>
              <w:rPr>
                <w:rFonts w:hAnsi="宋体"/>
              </w:rPr>
            </w:pPr>
            <w:r>
              <w:rPr>
                <w:rFonts w:hint="eastAsia" w:hAnsi="宋体"/>
              </w:rPr>
              <w:t>时间</w:t>
            </w:r>
          </w:p>
        </w:tc>
        <w:tc>
          <w:tcPr>
            <w:tcW w:w="1001" w:type="dxa"/>
            <w:noWrap w:val="0"/>
            <w:vAlign w:val="center"/>
          </w:tcPr>
          <w:p w14:paraId="13634DBA">
            <w:pPr>
              <w:pStyle w:val="34"/>
              <w:spacing w:line="365" w:lineRule="exact"/>
              <w:jc w:val="center"/>
              <w:textAlignment w:val="baseline"/>
              <w:rPr>
                <w:rFonts w:hAnsi="宋体"/>
              </w:rPr>
            </w:pPr>
            <w:r>
              <w:rPr>
                <w:rFonts w:hint="eastAsia" w:hAnsi="宋体"/>
              </w:rPr>
              <w:t>送达</w:t>
            </w:r>
          </w:p>
          <w:p w14:paraId="0722BDFF">
            <w:pPr>
              <w:pStyle w:val="34"/>
              <w:spacing w:line="365" w:lineRule="exact"/>
              <w:jc w:val="center"/>
              <w:textAlignment w:val="baseline"/>
              <w:rPr>
                <w:rFonts w:hAnsi="宋体"/>
              </w:rPr>
            </w:pPr>
            <w:r>
              <w:rPr>
                <w:rFonts w:hint="eastAsia" w:hAnsi="宋体"/>
              </w:rPr>
              <w:t>地点</w:t>
            </w:r>
          </w:p>
        </w:tc>
        <w:tc>
          <w:tcPr>
            <w:tcW w:w="744" w:type="dxa"/>
            <w:noWrap w:val="0"/>
            <w:vAlign w:val="center"/>
          </w:tcPr>
          <w:p w14:paraId="60E8B7CB">
            <w:pPr>
              <w:pStyle w:val="34"/>
              <w:spacing w:line="365" w:lineRule="exact"/>
              <w:jc w:val="center"/>
              <w:textAlignment w:val="baseline"/>
              <w:rPr>
                <w:rFonts w:hAnsi="宋体"/>
              </w:rPr>
            </w:pPr>
            <w:r>
              <w:rPr>
                <w:rFonts w:hint="eastAsia" w:hAnsi="宋体"/>
              </w:rPr>
              <w:t>备注</w:t>
            </w:r>
          </w:p>
        </w:tc>
      </w:tr>
      <w:tr w14:paraId="115A3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892" w:type="dxa"/>
            <w:noWrap w:val="0"/>
            <w:vAlign w:val="center"/>
          </w:tcPr>
          <w:p w14:paraId="030994DE">
            <w:pPr>
              <w:pStyle w:val="34"/>
              <w:spacing w:line="365" w:lineRule="exact"/>
              <w:jc w:val="center"/>
              <w:textAlignment w:val="baseline"/>
              <w:rPr>
                <w:rFonts w:hAnsi="宋体"/>
                <w:sz w:val="24"/>
              </w:rPr>
            </w:pPr>
          </w:p>
        </w:tc>
        <w:tc>
          <w:tcPr>
            <w:tcW w:w="1258" w:type="dxa"/>
            <w:noWrap w:val="0"/>
            <w:vAlign w:val="center"/>
          </w:tcPr>
          <w:p w14:paraId="5CC31B75">
            <w:pPr>
              <w:pStyle w:val="34"/>
              <w:spacing w:line="365" w:lineRule="exact"/>
              <w:jc w:val="center"/>
              <w:textAlignment w:val="baseline"/>
              <w:rPr>
                <w:rFonts w:hAnsi="宋体"/>
                <w:sz w:val="24"/>
              </w:rPr>
            </w:pPr>
          </w:p>
        </w:tc>
        <w:tc>
          <w:tcPr>
            <w:tcW w:w="1001" w:type="dxa"/>
            <w:noWrap w:val="0"/>
            <w:vAlign w:val="center"/>
          </w:tcPr>
          <w:p w14:paraId="6829CFC2">
            <w:pPr>
              <w:pStyle w:val="34"/>
              <w:spacing w:line="365" w:lineRule="exact"/>
              <w:jc w:val="center"/>
              <w:textAlignment w:val="baseline"/>
              <w:rPr>
                <w:rFonts w:hAnsi="宋体"/>
                <w:sz w:val="24"/>
              </w:rPr>
            </w:pPr>
          </w:p>
        </w:tc>
        <w:tc>
          <w:tcPr>
            <w:tcW w:w="1001" w:type="dxa"/>
            <w:noWrap w:val="0"/>
            <w:vAlign w:val="center"/>
          </w:tcPr>
          <w:p w14:paraId="32ED59BD">
            <w:pPr>
              <w:pStyle w:val="34"/>
              <w:spacing w:line="365" w:lineRule="exact"/>
              <w:jc w:val="center"/>
              <w:textAlignment w:val="baseline"/>
              <w:rPr>
                <w:rFonts w:hAnsi="宋体"/>
                <w:sz w:val="24"/>
              </w:rPr>
            </w:pPr>
          </w:p>
        </w:tc>
        <w:tc>
          <w:tcPr>
            <w:tcW w:w="1001" w:type="dxa"/>
            <w:noWrap w:val="0"/>
            <w:vAlign w:val="center"/>
          </w:tcPr>
          <w:p w14:paraId="66BD26D8">
            <w:pPr>
              <w:pStyle w:val="34"/>
              <w:spacing w:line="365" w:lineRule="exact"/>
              <w:jc w:val="center"/>
              <w:textAlignment w:val="baseline"/>
              <w:rPr>
                <w:rFonts w:hAnsi="宋体"/>
                <w:sz w:val="24"/>
              </w:rPr>
            </w:pPr>
          </w:p>
        </w:tc>
        <w:tc>
          <w:tcPr>
            <w:tcW w:w="1000" w:type="dxa"/>
            <w:noWrap w:val="0"/>
            <w:vAlign w:val="center"/>
          </w:tcPr>
          <w:p w14:paraId="4B293D0A">
            <w:pPr>
              <w:pStyle w:val="34"/>
              <w:spacing w:line="365" w:lineRule="exact"/>
              <w:jc w:val="center"/>
              <w:textAlignment w:val="baseline"/>
              <w:rPr>
                <w:rFonts w:hAnsi="宋体"/>
                <w:sz w:val="24"/>
              </w:rPr>
            </w:pPr>
          </w:p>
        </w:tc>
        <w:tc>
          <w:tcPr>
            <w:tcW w:w="1001" w:type="dxa"/>
            <w:noWrap w:val="0"/>
            <w:vAlign w:val="center"/>
          </w:tcPr>
          <w:p w14:paraId="1BB5D067">
            <w:pPr>
              <w:pStyle w:val="34"/>
              <w:spacing w:line="365" w:lineRule="exact"/>
              <w:jc w:val="center"/>
              <w:textAlignment w:val="baseline"/>
              <w:rPr>
                <w:rFonts w:hAnsi="宋体"/>
                <w:sz w:val="24"/>
              </w:rPr>
            </w:pPr>
          </w:p>
        </w:tc>
        <w:tc>
          <w:tcPr>
            <w:tcW w:w="1001" w:type="dxa"/>
            <w:noWrap w:val="0"/>
            <w:vAlign w:val="center"/>
          </w:tcPr>
          <w:p w14:paraId="587AC6F6">
            <w:pPr>
              <w:pStyle w:val="34"/>
              <w:spacing w:line="365" w:lineRule="exact"/>
              <w:jc w:val="center"/>
              <w:textAlignment w:val="baseline"/>
              <w:rPr>
                <w:rFonts w:hAnsi="宋体"/>
                <w:sz w:val="24"/>
              </w:rPr>
            </w:pPr>
          </w:p>
        </w:tc>
        <w:tc>
          <w:tcPr>
            <w:tcW w:w="1001" w:type="dxa"/>
            <w:noWrap w:val="0"/>
            <w:vAlign w:val="center"/>
          </w:tcPr>
          <w:p w14:paraId="408A0660">
            <w:pPr>
              <w:pStyle w:val="34"/>
              <w:spacing w:line="365" w:lineRule="exact"/>
              <w:jc w:val="center"/>
              <w:textAlignment w:val="baseline"/>
              <w:rPr>
                <w:rFonts w:hAnsi="宋体"/>
                <w:sz w:val="24"/>
              </w:rPr>
            </w:pPr>
          </w:p>
        </w:tc>
        <w:tc>
          <w:tcPr>
            <w:tcW w:w="744" w:type="dxa"/>
            <w:noWrap w:val="0"/>
            <w:vAlign w:val="center"/>
          </w:tcPr>
          <w:p w14:paraId="6854D8BA">
            <w:pPr>
              <w:pStyle w:val="34"/>
              <w:spacing w:line="365" w:lineRule="exact"/>
              <w:jc w:val="center"/>
              <w:textAlignment w:val="baseline"/>
              <w:rPr>
                <w:rFonts w:hAnsi="宋体"/>
                <w:sz w:val="24"/>
              </w:rPr>
            </w:pPr>
          </w:p>
        </w:tc>
      </w:tr>
      <w:tr w14:paraId="72F2B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892" w:type="dxa"/>
            <w:noWrap w:val="0"/>
            <w:vAlign w:val="center"/>
          </w:tcPr>
          <w:p w14:paraId="271C50B0">
            <w:pPr>
              <w:pStyle w:val="34"/>
              <w:spacing w:line="365" w:lineRule="exact"/>
              <w:jc w:val="center"/>
              <w:textAlignment w:val="baseline"/>
              <w:rPr>
                <w:rFonts w:hAnsi="宋体"/>
                <w:sz w:val="24"/>
              </w:rPr>
            </w:pPr>
          </w:p>
        </w:tc>
        <w:tc>
          <w:tcPr>
            <w:tcW w:w="1258" w:type="dxa"/>
            <w:noWrap w:val="0"/>
            <w:vAlign w:val="center"/>
          </w:tcPr>
          <w:p w14:paraId="59EEF3E9">
            <w:pPr>
              <w:pStyle w:val="34"/>
              <w:spacing w:line="365" w:lineRule="exact"/>
              <w:jc w:val="center"/>
              <w:textAlignment w:val="baseline"/>
              <w:rPr>
                <w:rFonts w:hAnsi="宋体"/>
                <w:sz w:val="24"/>
              </w:rPr>
            </w:pPr>
          </w:p>
        </w:tc>
        <w:tc>
          <w:tcPr>
            <w:tcW w:w="1001" w:type="dxa"/>
            <w:noWrap w:val="0"/>
            <w:vAlign w:val="center"/>
          </w:tcPr>
          <w:p w14:paraId="61C48CAC">
            <w:pPr>
              <w:pStyle w:val="34"/>
              <w:spacing w:line="365" w:lineRule="exact"/>
              <w:jc w:val="center"/>
              <w:textAlignment w:val="baseline"/>
              <w:rPr>
                <w:rFonts w:hAnsi="宋体"/>
                <w:sz w:val="24"/>
              </w:rPr>
            </w:pPr>
          </w:p>
        </w:tc>
        <w:tc>
          <w:tcPr>
            <w:tcW w:w="1001" w:type="dxa"/>
            <w:noWrap w:val="0"/>
            <w:vAlign w:val="center"/>
          </w:tcPr>
          <w:p w14:paraId="4E167C02">
            <w:pPr>
              <w:pStyle w:val="34"/>
              <w:spacing w:line="365" w:lineRule="exact"/>
              <w:jc w:val="center"/>
              <w:textAlignment w:val="baseline"/>
              <w:rPr>
                <w:rFonts w:hAnsi="宋体"/>
                <w:sz w:val="24"/>
              </w:rPr>
            </w:pPr>
          </w:p>
        </w:tc>
        <w:tc>
          <w:tcPr>
            <w:tcW w:w="1001" w:type="dxa"/>
            <w:noWrap w:val="0"/>
            <w:vAlign w:val="center"/>
          </w:tcPr>
          <w:p w14:paraId="472E847B">
            <w:pPr>
              <w:pStyle w:val="34"/>
              <w:spacing w:line="365" w:lineRule="exact"/>
              <w:jc w:val="center"/>
              <w:textAlignment w:val="baseline"/>
              <w:rPr>
                <w:rFonts w:hAnsi="宋体"/>
                <w:sz w:val="24"/>
              </w:rPr>
            </w:pPr>
          </w:p>
        </w:tc>
        <w:tc>
          <w:tcPr>
            <w:tcW w:w="1000" w:type="dxa"/>
            <w:noWrap w:val="0"/>
            <w:vAlign w:val="center"/>
          </w:tcPr>
          <w:p w14:paraId="7C6ED628">
            <w:pPr>
              <w:pStyle w:val="34"/>
              <w:spacing w:line="365" w:lineRule="exact"/>
              <w:jc w:val="center"/>
              <w:textAlignment w:val="baseline"/>
              <w:rPr>
                <w:rFonts w:hAnsi="宋体"/>
                <w:sz w:val="24"/>
              </w:rPr>
            </w:pPr>
          </w:p>
        </w:tc>
        <w:tc>
          <w:tcPr>
            <w:tcW w:w="1001" w:type="dxa"/>
            <w:noWrap w:val="0"/>
            <w:vAlign w:val="center"/>
          </w:tcPr>
          <w:p w14:paraId="6E59EDFF">
            <w:pPr>
              <w:pStyle w:val="34"/>
              <w:spacing w:line="365" w:lineRule="exact"/>
              <w:jc w:val="center"/>
              <w:textAlignment w:val="baseline"/>
              <w:rPr>
                <w:rFonts w:hAnsi="宋体"/>
                <w:sz w:val="24"/>
              </w:rPr>
            </w:pPr>
          </w:p>
        </w:tc>
        <w:tc>
          <w:tcPr>
            <w:tcW w:w="1001" w:type="dxa"/>
            <w:noWrap w:val="0"/>
            <w:vAlign w:val="center"/>
          </w:tcPr>
          <w:p w14:paraId="0CB90184">
            <w:pPr>
              <w:pStyle w:val="34"/>
              <w:spacing w:line="365" w:lineRule="exact"/>
              <w:jc w:val="center"/>
              <w:textAlignment w:val="baseline"/>
              <w:rPr>
                <w:rFonts w:hAnsi="宋体"/>
                <w:sz w:val="24"/>
              </w:rPr>
            </w:pPr>
          </w:p>
        </w:tc>
        <w:tc>
          <w:tcPr>
            <w:tcW w:w="1001" w:type="dxa"/>
            <w:noWrap w:val="0"/>
            <w:vAlign w:val="center"/>
          </w:tcPr>
          <w:p w14:paraId="3B95283E">
            <w:pPr>
              <w:pStyle w:val="34"/>
              <w:spacing w:line="365" w:lineRule="exact"/>
              <w:jc w:val="center"/>
              <w:textAlignment w:val="baseline"/>
              <w:rPr>
                <w:rFonts w:hAnsi="宋体"/>
                <w:sz w:val="24"/>
              </w:rPr>
            </w:pPr>
          </w:p>
        </w:tc>
        <w:tc>
          <w:tcPr>
            <w:tcW w:w="744" w:type="dxa"/>
            <w:noWrap w:val="0"/>
            <w:vAlign w:val="center"/>
          </w:tcPr>
          <w:p w14:paraId="5DA35AD4">
            <w:pPr>
              <w:pStyle w:val="34"/>
              <w:spacing w:line="365" w:lineRule="exact"/>
              <w:jc w:val="center"/>
              <w:textAlignment w:val="baseline"/>
              <w:rPr>
                <w:rFonts w:hAnsi="宋体"/>
                <w:sz w:val="24"/>
              </w:rPr>
            </w:pPr>
          </w:p>
        </w:tc>
      </w:tr>
      <w:tr w14:paraId="2CAA9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4" w:hRule="exact"/>
        </w:trPr>
        <w:tc>
          <w:tcPr>
            <w:tcW w:w="892" w:type="dxa"/>
            <w:noWrap w:val="0"/>
            <w:vAlign w:val="center"/>
          </w:tcPr>
          <w:p w14:paraId="6090501B">
            <w:pPr>
              <w:pStyle w:val="34"/>
              <w:spacing w:line="365" w:lineRule="exact"/>
              <w:jc w:val="center"/>
              <w:textAlignment w:val="baseline"/>
              <w:rPr>
                <w:rFonts w:hAnsi="宋体"/>
                <w:sz w:val="24"/>
              </w:rPr>
            </w:pPr>
          </w:p>
        </w:tc>
        <w:tc>
          <w:tcPr>
            <w:tcW w:w="1258" w:type="dxa"/>
            <w:noWrap w:val="0"/>
            <w:vAlign w:val="center"/>
          </w:tcPr>
          <w:p w14:paraId="7621BFE9">
            <w:pPr>
              <w:pStyle w:val="34"/>
              <w:spacing w:line="365" w:lineRule="exact"/>
              <w:jc w:val="center"/>
              <w:textAlignment w:val="baseline"/>
              <w:rPr>
                <w:rFonts w:hAnsi="宋体"/>
                <w:sz w:val="24"/>
              </w:rPr>
            </w:pPr>
          </w:p>
        </w:tc>
        <w:tc>
          <w:tcPr>
            <w:tcW w:w="1001" w:type="dxa"/>
            <w:noWrap w:val="0"/>
            <w:vAlign w:val="center"/>
          </w:tcPr>
          <w:p w14:paraId="6F971767">
            <w:pPr>
              <w:pStyle w:val="34"/>
              <w:spacing w:line="365" w:lineRule="exact"/>
              <w:jc w:val="center"/>
              <w:textAlignment w:val="baseline"/>
              <w:rPr>
                <w:rFonts w:hAnsi="宋体"/>
                <w:sz w:val="24"/>
              </w:rPr>
            </w:pPr>
          </w:p>
        </w:tc>
        <w:tc>
          <w:tcPr>
            <w:tcW w:w="1001" w:type="dxa"/>
            <w:noWrap w:val="0"/>
            <w:vAlign w:val="center"/>
          </w:tcPr>
          <w:p w14:paraId="009D1AF4">
            <w:pPr>
              <w:pStyle w:val="34"/>
              <w:spacing w:line="365" w:lineRule="exact"/>
              <w:jc w:val="center"/>
              <w:textAlignment w:val="baseline"/>
              <w:rPr>
                <w:rFonts w:hAnsi="宋体"/>
                <w:sz w:val="24"/>
              </w:rPr>
            </w:pPr>
          </w:p>
        </w:tc>
        <w:tc>
          <w:tcPr>
            <w:tcW w:w="1001" w:type="dxa"/>
            <w:noWrap w:val="0"/>
            <w:vAlign w:val="center"/>
          </w:tcPr>
          <w:p w14:paraId="17291F53">
            <w:pPr>
              <w:pStyle w:val="34"/>
              <w:spacing w:line="365" w:lineRule="exact"/>
              <w:jc w:val="center"/>
              <w:textAlignment w:val="baseline"/>
              <w:rPr>
                <w:rFonts w:hAnsi="宋体"/>
                <w:sz w:val="24"/>
              </w:rPr>
            </w:pPr>
          </w:p>
        </w:tc>
        <w:tc>
          <w:tcPr>
            <w:tcW w:w="1000" w:type="dxa"/>
            <w:noWrap w:val="0"/>
            <w:vAlign w:val="center"/>
          </w:tcPr>
          <w:p w14:paraId="4F5ECBD8">
            <w:pPr>
              <w:pStyle w:val="34"/>
              <w:spacing w:line="365" w:lineRule="exact"/>
              <w:jc w:val="center"/>
              <w:textAlignment w:val="baseline"/>
              <w:rPr>
                <w:rFonts w:hAnsi="宋体"/>
                <w:sz w:val="24"/>
              </w:rPr>
            </w:pPr>
          </w:p>
        </w:tc>
        <w:tc>
          <w:tcPr>
            <w:tcW w:w="1001" w:type="dxa"/>
            <w:noWrap w:val="0"/>
            <w:vAlign w:val="center"/>
          </w:tcPr>
          <w:p w14:paraId="2E890836">
            <w:pPr>
              <w:pStyle w:val="34"/>
              <w:spacing w:line="365" w:lineRule="exact"/>
              <w:jc w:val="center"/>
              <w:textAlignment w:val="baseline"/>
              <w:rPr>
                <w:rFonts w:hAnsi="宋体"/>
                <w:sz w:val="24"/>
              </w:rPr>
            </w:pPr>
          </w:p>
        </w:tc>
        <w:tc>
          <w:tcPr>
            <w:tcW w:w="1001" w:type="dxa"/>
            <w:noWrap w:val="0"/>
            <w:vAlign w:val="center"/>
          </w:tcPr>
          <w:p w14:paraId="4BBA9D27">
            <w:pPr>
              <w:pStyle w:val="34"/>
              <w:spacing w:line="365" w:lineRule="exact"/>
              <w:jc w:val="center"/>
              <w:textAlignment w:val="baseline"/>
              <w:rPr>
                <w:rFonts w:hAnsi="宋体"/>
                <w:sz w:val="24"/>
              </w:rPr>
            </w:pPr>
          </w:p>
        </w:tc>
        <w:tc>
          <w:tcPr>
            <w:tcW w:w="1001" w:type="dxa"/>
            <w:noWrap w:val="0"/>
            <w:vAlign w:val="center"/>
          </w:tcPr>
          <w:p w14:paraId="1EC02CEF">
            <w:pPr>
              <w:pStyle w:val="34"/>
              <w:spacing w:line="365" w:lineRule="exact"/>
              <w:jc w:val="center"/>
              <w:textAlignment w:val="baseline"/>
              <w:rPr>
                <w:rFonts w:hAnsi="宋体"/>
                <w:sz w:val="24"/>
              </w:rPr>
            </w:pPr>
          </w:p>
        </w:tc>
        <w:tc>
          <w:tcPr>
            <w:tcW w:w="744" w:type="dxa"/>
            <w:noWrap w:val="0"/>
            <w:vAlign w:val="center"/>
          </w:tcPr>
          <w:p w14:paraId="3BA56D87">
            <w:pPr>
              <w:pStyle w:val="34"/>
              <w:spacing w:line="365" w:lineRule="exact"/>
              <w:jc w:val="center"/>
              <w:textAlignment w:val="baseline"/>
              <w:rPr>
                <w:rFonts w:hAnsi="宋体"/>
                <w:sz w:val="24"/>
              </w:rPr>
            </w:pPr>
          </w:p>
        </w:tc>
      </w:tr>
    </w:tbl>
    <w:p w14:paraId="1B0D176F">
      <w:pPr>
        <w:pStyle w:val="34"/>
        <w:spacing w:line="440" w:lineRule="exact"/>
        <w:ind w:firstLine="540" w:firstLineChars="225"/>
        <w:textAlignment w:val="baseline"/>
        <w:rPr>
          <w:rFonts w:hAnsi="宋体"/>
          <w:sz w:val="24"/>
        </w:rPr>
      </w:pPr>
    </w:p>
    <w:p w14:paraId="404C17C4">
      <w:pPr>
        <w:pStyle w:val="34"/>
        <w:spacing w:line="440" w:lineRule="exact"/>
        <w:ind w:firstLine="540" w:firstLineChars="225"/>
        <w:textAlignment w:val="baseline"/>
        <w:rPr>
          <w:rFonts w:hAnsi="宋体"/>
          <w:sz w:val="24"/>
        </w:rPr>
      </w:pPr>
    </w:p>
    <w:p w14:paraId="1CBC624F">
      <w:pPr>
        <w:pStyle w:val="34"/>
        <w:spacing w:line="440" w:lineRule="exact"/>
        <w:ind w:firstLine="540" w:firstLineChars="225"/>
        <w:textAlignment w:val="baseline"/>
        <w:rPr>
          <w:rFonts w:hAnsi="宋体"/>
          <w:sz w:val="24"/>
        </w:rPr>
      </w:pPr>
    </w:p>
    <w:p w14:paraId="4CF3ACF4">
      <w:pPr>
        <w:pStyle w:val="34"/>
        <w:spacing w:line="440" w:lineRule="exact"/>
        <w:ind w:firstLine="540" w:firstLineChars="225"/>
        <w:textAlignment w:val="baseline"/>
        <w:rPr>
          <w:rFonts w:hAnsi="宋体"/>
          <w:sz w:val="24"/>
        </w:rPr>
      </w:pPr>
    </w:p>
    <w:p w14:paraId="2E52AB42">
      <w:pPr>
        <w:pStyle w:val="34"/>
        <w:spacing w:line="440" w:lineRule="exact"/>
        <w:jc w:val="left"/>
        <w:textAlignment w:val="baseline"/>
        <w:rPr>
          <w:rFonts w:hAnsi="宋体"/>
          <w:b/>
          <w:sz w:val="18"/>
          <w:szCs w:val="18"/>
        </w:rPr>
      </w:pPr>
    </w:p>
    <w:p w14:paraId="17EB5321">
      <w:pPr>
        <w:pStyle w:val="34"/>
        <w:spacing w:line="440" w:lineRule="exact"/>
        <w:jc w:val="left"/>
        <w:textAlignment w:val="baseline"/>
        <w:rPr>
          <w:rFonts w:hAnsi="宋体" w:cs="Times New Roman"/>
          <w:sz w:val="24"/>
          <w:szCs w:val="24"/>
        </w:rPr>
      </w:pPr>
      <w:r>
        <w:rPr>
          <w:rFonts w:hAnsi="宋体" w:cs="Times New Roman"/>
          <w:sz w:val="24"/>
          <w:szCs w:val="24"/>
        </w:rPr>
        <w:t xml:space="preserve">附件3：    </w:t>
      </w:r>
    </w:p>
    <w:p w14:paraId="089F2D7E">
      <w:pPr>
        <w:jc w:val="center"/>
        <w:textAlignment w:val="baseline"/>
        <w:rPr>
          <w:rFonts w:hAnsi="宋体"/>
          <w:sz w:val="24"/>
          <w:szCs w:val="24"/>
        </w:rPr>
      </w:pPr>
      <w:r>
        <w:rPr>
          <w:rFonts w:hAnsi="宋体"/>
          <w:sz w:val="24"/>
          <w:szCs w:val="24"/>
        </w:rPr>
        <w:t>工程质量保修书</w:t>
      </w:r>
    </w:p>
    <w:p w14:paraId="065C22ED">
      <w:pPr>
        <w:ind w:firstLine="480" w:firstLineChars="200"/>
        <w:textAlignment w:val="baseline"/>
        <w:rPr>
          <w:rFonts w:hAnsi="宋体"/>
          <w:sz w:val="24"/>
          <w:szCs w:val="24"/>
        </w:rPr>
      </w:pPr>
    </w:p>
    <w:p w14:paraId="5179671C">
      <w:pPr>
        <w:snapToGrid w:val="0"/>
        <w:spacing w:line="360" w:lineRule="auto"/>
        <w:ind w:firstLine="411" w:firstLineChars="196"/>
        <w:textAlignment w:val="baseline"/>
        <w:rPr>
          <w:rFonts w:hAnsi="宋体"/>
          <w:sz w:val="21"/>
          <w:szCs w:val="21"/>
          <w:u w:val="single"/>
        </w:rPr>
      </w:pPr>
      <w:r>
        <w:rPr>
          <w:rFonts w:hAnsi="宋体"/>
          <w:sz w:val="21"/>
          <w:szCs w:val="21"/>
        </w:rPr>
        <w:t>发包人（全称）</w:t>
      </w:r>
      <w:r>
        <w:rPr>
          <w:rFonts w:hint="eastAsia" w:hAnsi="宋体"/>
          <w:sz w:val="21"/>
          <w:szCs w:val="21"/>
        </w:rPr>
        <w:t>:</w:t>
      </w:r>
      <w:r>
        <w:rPr>
          <w:rFonts w:hint="eastAsia" w:hAnsi="宋体"/>
          <w:sz w:val="21"/>
          <w:szCs w:val="21"/>
          <w:u w:val="single" w:color="000000"/>
        </w:rPr>
        <w:t xml:space="preserve">  </w:t>
      </w:r>
      <w:r>
        <w:rPr>
          <w:rFonts w:hint="eastAsia" w:hAnsi="宋体" w:cs="Courier New"/>
          <w:sz w:val="21"/>
          <w:szCs w:val="21"/>
          <w:u w:val="single" w:color="000000"/>
        </w:rPr>
        <w:t xml:space="preserve"> </w:t>
      </w:r>
      <w:r>
        <w:rPr>
          <w:rFonts w:hAnsi="宋体" w:cs="Courier New"/>
          <w:sz w:val="21"/>
          <w:szCs w:val="21"/>
          <w:u w:val="single" w:color="000000"/>
        </w:rPr>
        <w:t xml:space="preserve">    </w:t>
      </w:r>
      <w:r>
        <w:rPr>
          <w:rFonts w:hint="eastAsia" w:hAnsi="宋体"/>
          <w:sz w:val="21"/>
          <w:szCs w:val="21"/>
          <w:u w:val="single" w:color="000000"/>
        </w:rPr>
        <w:t xml:space="preserve">       </w:t>
      </w:r>
    </w:p>
    <w:p w14:paraId="6FF3EB4E">
      <w:pPr>
        <w:widowControl/>
        <w:ind w:firstLine="420" w:firstLineChars="200"/>
        <w:jc w:val="left"/>
        <w:rPr>
          <w:rFonts w:hAnsi="宋体"/>
          <w:sz w:val="24"/>
          <w:szCs w:val="24"/>
        </w:rPr>
      </w:pPr>
      <w:r>
        <w:rPr>
          <w:rFonts w:hAnsi="宋体"/>
          <w:sz w:val="21"/>
          <w:szCs w:val="21"/>
        </w:rPr>
        <w:t>承包人（全称）：</w:t>
      </w:r>
      <w:r>
        <w:rPr>
          <w:rFonts w:hint="eastAsia" w:hAnsi="宋体"/>
          <w:sz w:val="21"/>
          <w:szCs w:val="21"/>
          <w:u w:val="single" w:color="000000"/>
        </w:rPr>
        <w:t xml:space="preserve"> </w:t>
      </w:r>
      <w:r>
        <w:rPr>
          <w:rFonts w:hint="eastAsia" w:hAnsi="宋体" w:cs="Courier New"/>
          <w:sz w:val="21"/>
          <w:szCs w:val="21"/>
          <w:u w:val="single" w:color="000000"/>
        </w:rPr>
        <w:t xml:space="preserve"> </w:t>
      </w:r>
      <w:r>
        <w:rPr>
          <w:rFonts w:hAnsi="宋体" w:cs="Courier New"/>
          <w:sz w:val="21"/>
          <w:szCs w:val="21"/>
          <w:u w:val="single" w:color="000000"/>
        </w:rPr>
        <w:t xml:space="preserve">                        </w:t>
      </w:r>
      <w:r>
        <w:rPr>
          <w:rFonts w:hint="eastAsia" w:hAnsi="宋体"/>
          <w:sz w:val="24"/>
          <w:szCs w:val="24"/>
        </w:rPr>
        <w:t xml:space="preserve">                      </w:t>
      </w:r>
      <w:r>
        <w:rPr>
          <w:rFonts w:hAnsi="宋体"/>
          <w:sz w:val="24"/>
          <w:szCs w:val="24"/>
        </w:rPr>
        <w:t xml:space="preserve"> </w:t>
      </w:r>
      <w:r>
        <w:rPr>
          <w:rFonts w:hint="eastAsia" w:hAnsi="宋体"/>
          <w:sz w:val="24"/>
          <w:szCs w:val="24"/>
        </w:rPr>
        <w:t xml:space="preserve"> </w:t>
      </w:r>
    </w:p>
    <w:p w14:paraId="0605E9AD">
      <w:pPr>
        <w:textAlignment w:val="baseline"/>
        <w:rPr>
          <w:rFonts w:hAnsi="宋体"/>
          <w:sz w:val="24"/>
          <w:szCs w:val="24"/>
        </w:rPr>
      </w:pPr>
      <w:r>
        <w:rPr>
          <w:rFonts w:hAnsi="宋体"/>
          <w:sz w:val="24"/>
          <w:szCs w:val="24"/>
        </w:rPr>
        <w:t>　　</w:t>
      </w:r>
    </w:p>
    <w:p w14:paraId="128614B5">
      <w:pPr>
        <w:textAlignment w:val="baseline"/>
        <w:rPr>
          <w:rFonts w:hAnsi="宋体"/>
          <w:sz w:val="24"/>
          <w:szCs w:val="24"/>
        </w:rPr>
      </w:pPr>
      <w:r>
        <w:rPr>
          <w:rFonts w:hAnsi="宋体"/>
          <w:sz w:val="24"/>
          <w:szCs w:val="24"/>
        </w:rPr>
        <w:t>发包人和承包人根据《中华人民共和国建筑法》和《建设工程质量管理条例》，经协商一致就</w:t>
      </w:r>
      <w:r>
        <w:rPr>
          <w:rFonts w:hint="eastAsia" w:hAnsi="宋体"/>
          <w:sz w:val="24"/>
          <w:szCs w:val="24"/>
          <w:u w:val="single" w:color="000000"/>
        </w:rPr>
        <w:t xml:space="preserve">  </w:t>
      </w:r>
      <w:r>
        <w:rPr>
          <w:rFonts w:hint="eastAsia" w:hAnsi="宋体" w:cs="Courier New"/>
          <w:sz w:val="21"/>
          <w:szCs w:val="21"/>
          <w:u w:val="single" w:color="000000"/>
        </w:rPr>
        <w:t xml:space="preserve"> </w:t>
      </w:r>
      <w:r>
        <w:rPr>
          <w:rFonts w:hAnsi="宋体" w:cs="Courier New"/>
          <w:sz w:val="21"/>
          <w:szCs w:val="21"/>
          <w:u w:val="single" w:color="000000"/>
        </w:rPr>
        <w:t xml:space="preserve">                        </w:t>
      </w:r>
      <w:r>
        <w:rPr>
          <w:rFonts w:hint="eastAsia" w:hAnsi="宋体"/>
          <w:sz w:val="24"/>
          <w:szCs w:val="24"/>
          <w:u w:val="single" w:color="000000"/>
        </w:rPr>
        <w:t xml:space="preserve"> </w:t>
      </w:r>
      <w:r>
        <w:rPr>
          <w:rFonts w:hAnsi="宋体"/>
          <w:sz w:val="24"/>
          <w:szCs w:val="24"/>
        </w:rPr>
        <w:t>（工程全称）签订工程质量保修书。</w:t>
      </w:r>
    </w:p>
    <w:p w14:paraId="652F9D28">
      <w:pPr>
        <w:textAlignment w:val="baseline"/>
        <w:rPr>
          <w:rFonts w:hAnsi="宋体"/>
          <w:sz w:val="24"/>
          <w:szCs w:val="24"/>
        </w:rPr>
      </w:pPr>
      <w:r>
        <w:rPr>
          <w:rFonts w:hAnsi="宋体"/>
          <w:sz w:val="24"/>
          <w:szCs w:val="24"/>
        </w:rPr>
        <w:t>　　一、工程质量保修范围和内容</w:t>
      </w:r>
    </w:p>
    <w:p w14:paraId="5367B95B">
      <w:pPr>
        <w:textAlignment w:val="baseline"/>
        <w:rPr>
          <w:rFonts w:hAnsi="宋体"/>
          <w:sz w:val="24"/>
          <w:szCs w:val="24"/>
        </w:rPr>
      </w:pPr>
      <w:r>
        <w:rPr>
          <w:rFonts w:hAnsi="宋体"/>
          <w:sz w:val="24"/>
          <w:szCs w:val="24"/>
        </w:rPr>
        <w:t>　　承包人在质量保修期内，按照有关法律规定和合同约定，承担工程质量保修责任。</w:t>
      </w:r>
    </w:p>
    <w:p w14:paraId="4DF893CE">
      <w:pPr>
        <w:ind w:firstLine="420"/>
        <w:textAlignment w:val="baseline"/>
        <w:rPr>
          <w:rFonts w:hAnsi="宋体"/>
          <w:sz w:val="24"/>
          <w:szCs w:val="24"/>
        </w:rPr>
      </w:pPr>
      <w:r>
        <w:rPr>
          <w:rFonts w:hAnsi="宋体"/>
          <w:sz w:val="24"/>
          <w:szCs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749D8FB0">
      <w:pPr>
        <w:ind w:firstLine="420"/>
        <w:textAlignment w:val="baseline"/>
        <w:rPr>
          <w:rFonts w:hAnsi="宋体"/>
          <w:sz w:val="24"/>
          <w:szCs w:val="24"/>
        </w:rPr>
      </w:pPr>
      <w:r>
        <w:rPr>
          <w:rFonts w:hint="eastAsia" w:hAnsi="宋体"/>
          <w:sz w:val="24"/>
          <w:szCs w:val="24"/>
        </w:rPr>
        <w:t>保修承包施工范围内所有完工工程</w:t>
      </w:r>
      <w:r>
        <w:rPr>
          <w:rFonts w:hAnsi="宋体"/>
          <w:sz w:val="24"/>
          <w:szCs w:val="24"/>
        </w:rPr>
        <w:t>。</w:t>
      </w:r>
    </w:p>
    <w:p w14:paraId="404E1BF7">
      <w:pPr>
        <w:textAlignment w:val="baseline"/>
        <w:rPr>
          <w:rFonts w:hAnsi="宋体"/>
          <w:sz w:val="24"/>
          <w:szCs w:val="24"/>
        </w:rPr>
      </w:pPr>
      <w:r>
        <w:rPr>
          <w:rFonts w:hAnsi="宋体"/>
          <w:sz w:val="24"/>
          <w:szCs w:val="24"/>
        </w:rPr>
        <w:t>　　二、质量保修期</w:t>
      </w:r>
    </w:p>
    <w:p w14:paraId="65DE36BC">
      <w:pPr>
        <w:ind w:firstLine="480" w:firstLineChars="200"/>
        <w:textAlignment w:val="baseline"/>
        <w:rPr>
          <w:rFonts w:hAnsi="宋体"/>
          <w:sz w:val="24"/>
          <w:szCs w:val="24"/>
        </w:rPr>
      </w:pPr>
      <w:r>
        <w:rPr>
          <w:rFonts w:hAnsi="宋体"/>
          <w:sz w:val="24"/>
          <w:szCs w:val="24"/>
        </w:rPr>
        <w:t>根据《建设工程质量管理条例》及有关规定，工程的质量保修期如下：</w:t>
      </w:r>
    </w:p>
    <w:p w14:paraId="103662E4">
      <w:pPr>
        <w:ind w:firstLine="480" w:firstLineChars="200"/>
        <w:textAlignment w:val="baseline"/>
        <w:rPr>
          <w:rFonts w:hAnsi="宋体"/>
          <w:sz w:val="24"/>
          <w:szCs w:val="24"/>
        </w:rPr>
      </w:pPr>
      <w:r>
        <w:rPr>
          <w:rFonts w:hint="eastAsia" w:hAnsi="宋体"/>
          <w:sz w:val="24"/>
          <w:szCs w:val="24"/>
        </w:rPr>
        <w:t>1．地基基础工程和主体结构工程为设计文件规定的工程合理使用年限；</w:t>
      </w:r>
    </w:p>
    <w:p w14:paraId="73E59110">
      <w:pPr>
        <w:ind w:firstLine="480" w:firstLineChars="200"/>
        <w:textAlignment w:val="baseline"/>
        <w:rPr>
          <w:rFonts w:hAnsi="宋体"/>
          <w:sz w:val="24"/>
          <w:szCs w:val="24"/>
        </w:rPr>
      </w:pPr>
      <w:r>
        <w:rPr>
          <w:rFonts w:hint="eastAsia" w:hAnsi="宋体"/>
          <w:sz w:val="24"/>
          <w:szCs w:val="24"/>
        </w:rPr>
        <w:t>2．</w:t>
      </w:r>
      <w:r>
        <w:rPr>
          <w:rFonts w:hAnsi="宋体"/>
          <w:sz w:val="24"/>
          <w:szCs w:val="24"/>
        </w:rPr>
        <w:t>屋面防水工程、有防水要求的卫生间、房间和外墙面的防渗</w:t>
      </w:r>
      <w:r>
        <w:rPr>
          <w:rFonts w:hint="eastAsia" w:hAnsi="宋体"/>
          <w:sz w:val="24"/>
          <w:szCs w:val="24"/>
        </w:rPr>
        <w:t xml:space="preserve">为 </w:t>
      </w:r>
      <w:r>
        <w:rPr>
          <w:rFonts w:hint="eastAsia" w:hAnsi="宋体"/>
          <w:sz w:val="24"/>
          <w:szCs w:val="24"/>
          <w:highlight w:val="green"/>
        </w:rPr>
        <w:t xml:space="preserve"> </w:t>
      </w:r>
      <w:r>
        <w:rPr>
          <w:rFonts w:hint="eastAsia" w:hAnsi="宋体"/>
          <w:sz w:val="24"/>
          <w:szCs w:val="24"/>
          <w:highlight w:val="green"/>
          <w:lang w:val="en-US" w:eastAsia="zh-CN"/>
        </w:rPr>
        <w:t>8</w:t>
      </w:r>
      <w:r>
        <w:rPr>
          <w:rFonts w:hint="eastAsia" w:hAnsi="宋体"/>
          <w:sz w:val="24"/>
          <w:szCs w:val="24"/>
        </w:rPr>
        <w:t xml:space="preserve">  </w:t>
      </w:r>
      <w:r>
        <w:rPr>
          <w:rFonts w:hAnsi="宋体"/>
          <w:sz w:val="24"/>
          <w:szCs w:val="24"/>
        </w:rPr>
        <w:t>年；</w:t>
      </w:r>
    </w:p>
    <w:p w14:paraId="770A5690">
      <w:pPr>
        <w:ind w:firstLine="480" w:firstLineChars="200"/>
        <w:textAlignment w:val="baseline"/>
        <w:rPr>
          <w:rFonts w:hAnsi="宋体"/>
          <w:sz w:val="24"/>
          <w:szCs w:val="24"/>
        </w:rPr>
      </w:pPr>
      <w:r>
        <w:rPr>
          <w:rFonts w:hint="eastAsia" w:hAnsi="宋体"/>
          <w:sz w:val="24"/>
          <w:szCs w:val="24"/>
        </w:rPr>
        <w:t>3．</w:t>
      </w:r>
      <w:r>
        <w:rPr>
          <w:rFonts w:hAnsi="宋体"/>
          <w:sz w:val="24"/>
          <w:szCs w:val="24"/>
        </w:rPr>
        <w:t>装修工程为   2 年；</w:t>
      </w:r>
    </w:p>
    <w:p w14:paraId="324A9AB1">
      <w:pPr>
        <w:ind w:firstLine="480" w:firstLineChars="200"/>
        <w:textAlignment w:val="baseline"/>
        <w:rPr>
          <w:rFonts w:hAnsi="宋体"/>
          <w:sz w:val="24"/>
          <w:szCs w:val="24"/>
        </w:rPr>
      </w:pPr>
      <w:r>
        <w:rPr>
          <w:rFonts w:hint="eastAsia" w:hAnsi="宋体"/>
          <w:sz w:val="24"/>
          <w:szCs w:val="24"/>
        </w:rPr>
        <w:t>4．</w:t>
      </w:r>
      <w:r>
        <w:rPr>
          <w:rFonts w:hAnsi="宋体"/>
          <w:sz w:val="24"/>
          <w:szCs w:val="24"/>
        </w:rPr>
        <w:t>电气管线、给排水管道、设备安装工程为  2  年；</w:t>
      </w:r>
    </w:p>
    <w:p w14:paraId="7E342B9E">
      <w:pPr>
        <w:ind w:firstLine="480" w:firstLineChars="200"/>
        <w:textAlignment w:val="baseline"/>
        <w:rPr>
          <w:rFonts w:hAnsi="宋体"/>
          <w:sz w:val="24"/>
          <w:szCs w:val="24"/>
        </w:rPr>
      </w:pPr>
      <w:r>
        <w:rPr>
          <w:rFonts w:hint="eastAsia" w:hAnsi="宋体"/>
          <w:sz w:val="24"/>
          <w:szCs w:val="24"/>
        </w:rPr>
        <w:t>5．</w:t>
      </w:r>
      <w:r>
        <w:rPr>
          <w:rFonts w:hAnsi="宋体"/>
          <w:sz w:val="24"/>
          <w:szCs w:val="24"/>
        </w:rPr>
        <w:t>供热与供冷系统为  2  个采暖期、供冷期；</w:t>
      </w:r>
    </w:p>
    <w:p w14:paraId="7E6C109C">
      <w:pPr>
        <w:ind w:firstLine="480" w:firstLineChars="200"/>
        <w:rPr>
          <w:rFonts w:hint="eastAsia" w:hAnsi="宋体"/>
          <w:sz w:val="24"/>
          <w:szCs w:val="24"/>
        </w:rPr>
      </w:pPr>
      <w:r>
        <w:rPr>
          <w:rFonts w:hint="eastAsia" w:hAnsi="宋体"/>
          <w:sz w:val="24"/>
          <w:szCs w:val="24"/>
        </w:rPr>
        <w:t>6．</w:t>
      </w:r>
      <w:r>
        <w:rPr>
          <w:rFonts w:hAnsi="宋体"/>
          <w:sz w:val="24"/>
          <w:szCs w:val="24"/>
        </w:rPr>
        <w:t>住宅小区内的给排水设施、道路等配套工程为  2  年；</w:t>
      </w:r>
    </w:p>
    <w:p w14:paraId="301F616F">
      <w:pPr>
        <w:pStyle w:val="5"/>
        <w:rPr>
          <w:rFonts w:hint="eastAsia"/>
          <w:szCs w:val="24"/>
        </w:rPr>
      </w:pPr>
      <w:r>
        <w:rPr>
          <w:rFonts w:hint="eastAsia"/>
          <w:szCs w:val="24"/>
        </w:rPr>
        <w:t>7．</w:t>
      </w:r>
      <w:r>
        <w:rPr>
          <w:szCs w:val="24"/>
        </w:rPr>
        <w:t>其他项目保修期限约定如下：</w:t>
      </w:r>
      <w:r>
        <w:rPr>
          <w:rFonts w:hint="eastAsia"/>
          <w:szCs w:val="24"/>
        </w:rPr>
        <w:t>保修期为2年。</w:t>
      </w:r>
    </w:p>
    <w:p w14:paraId="60E72718">
      <w:pPr>
        <w:pStyle w:val="5"/>
      </w:pPr>
    </w:p>
    <w:p w14:paraId="47CC4AB3">
      <w:pPr>
        <w:textAlignment w:val="baseline"/>
        <w:rPr>
          <w:rFonts w:hAnsi="宋体"/>
          <w:sz w:val="24"/>
          <w:szCs w:val="24"/>
        </w:rPr>
      </w:pPr>
      <w:r>
        <w:rPr>
          <w:rFonts w:hAnsi="宋体"/>
          <w:sz w:val="24"/>
          <w:szCs w:val="24"/>
        </w:rPr>
        <w:t>　　质量保修期自工程竣工验收合格之日起计算。</w:t>
      </w:r>
    </w:p>
    <w:p w14:paraId="165ED691">
      <w:pPr>
        <w:ind w:firstLine="480" w:firstLineChars="200"/>
        <w:textAlignment w:val="baseline"/>
        <w:rPr>
          <w:rFonts w:hAnsi="宋体"/>
          <w:sz w:val="24"/>
          <w:szCs w:val="24"/>
        </w:rPr>
      </w:pPr>
      <w:r>
        <w:rPr>
          <w:rFonts w:hAnsi="宋体"/>
          <w:sz w:val="24"/>
          <w:szCs w:val="24"/>
        </w:rPr>
        <w:t>三、缺陷责任期</w:t>
      </w:r>
    </w:p>
    <w:p w14:paraId="639AD0EC">
      <w:pPr>
        <w:ind w:firstLine="480" w:firstLineChars="200"/>
        <w:textAlignment w:val="baseline"/>
        <w:rPr>
          <w:rFonts w:hAnsi="宋体"/>
          <w:sz w:val="24"/>
          <w:szCs w:val="24"/>
        </w:rPr>
      </w:pPr>
      <w:r>
        <w:rPr>
          <w:rFonts w:hAnsi="宋体"/>
          <w:sz w:val="24"/>
          <w:szCs w:val="24"/>
        </w:rPr>
        <w:t>工程缺陷责任期为</w:t>
      </w:r>
      <w:r>
        <w:rPr>
          <w:rFonts w:hint="eastAsia" w:hAnsi="宋体"/>
          <w:sz w:val="24"/>
          <w:szCs w:val="24"/>
          <w:u w:val="single"/>
        </w:rPr>
        <w:t>24</w:t>
      </w:r>
      <w:r>
        <w:rPr>
          <w:rFonts w:hAnsi="宋体"/>
          <w:sz w:val="24"/>
          <w:szCs w:val="24"/>
          <w:u w:val="single"/>
        </w:rPr>
        <w:t>个月</w:t>
      </w:r>
      <w:r>
        <w:rPr>
          <w:rFonts w:hAnsi="宋体"/>
          <w:sz w:val="24"/>
          <w:szCs w:val="24"/>
        </w:rPr>
        <w:t>，缺陷责任期自</w:t>
      </w:r>
      <w:r>
        <w:rPr>
          <w:rFonts w:hint="eastAsia" w:hAnsi="宋体"/>
          <w:sz w:val="24"/>
          <w:szCs w:val="24"/>
        </w:rPr>
        <w:t>工程竣工验收合格之日</w:t>
      </w:r>
      <w:r>
        <w:rPr>
          <w:rFonts w:hAnsi="宋体"/>
          <w:sz w:val="24"/>
          <w:szCs w:val="24"/>
        </w:rPr>
        <w:t>起计算。单位工程先于全部工程进行验收，单位工程缺陷责任期自单位工程</w:t>
      </w:r>
      <w:r>
        <w:rPr>
          <w:rFonts w:hint="eastAsia" w:hAnsi="宋体"/>
          <w:sz w:val="24"/>
          <w:szCs w:val="24"/>
        </w:rPr>
        <w:t>验收合格之日期</w:t>
      </w:r>
      <w:r>
        <w:rPr>
          <w:rFonts w:hAnsi="宋体"/>
          <w:sz w:val="24"/>
          <w:szCs w:val="24"/>
        </w:rPr>
        <w:t>起算。</w:t>
      </w:r>
    </w:p>
    <w:p w14:paraId="2DE17909">
      <w:pPr>
        <w:ind w:firstLine="480" w:firstLineChars="200"/>
        <w:textAlignment w:val="baseline"/>
        <w:rPr>
          <w:rFonts w:hAnsi="宋体"/>
          <w:sz w:val="24"/>
          <w:szCs w:val="24"/>
        </w:rPr>
      </w:pPr>
      <w:r>
        <w:rPr>
          <w:rFonts w:hAnsi="宋体"/>
          <w:sz w:val="24"/>
          <w:szCs w:val="24"/>
        </w:rPr>
        <w:t>缺陷责任期终止后，发包人应</w:t>
      </w:r>
      <w:r>
        <w:rPr>
          <w:rFonts w:hint="eastAsia" w:hAnsi="宋体"/>
          <w:sz w:val="24"/>
          <w:szCs w:val="24"/>
        </w:rPr>
        <w:t>无息</w:t>
      </w:r>
      <w:r>
        <w:rPr>
          <w:rFonts w:hAnsi="宋体"/>
          <w:sz w:val="24"/>
          <w:szCs w:val="24"/>
        </w:rPr>
        <w:t>退还剩余的质量保证金。</w:t>
      </w:r>
    </w:p>
    <w:p w14:paraId="5A975016">
      <w:pPr>
        <w:textAlignment w:val="baseline"/>
        <w:rPr>
          <w:rFonts w:hAnsi="宋体"/>
          <w:sz w:val="24"/>
          <w:szCs w:val="24"/>
        </w:rPr>
      </w:pPr>
      <w:r>
        <w:rPr>
          <w:rFonts w:hAnsi="宋体"/>
          <w:sz w:val="24"/>
          <w:szCs w:val="24"/>
        </w:rPr>
        <w:t xml:space="preserve">    四、质量保修责任</w:t>
      </w:r>
    </w:p>
    <w:p w14:paraId="0A466FFE">
      <w:pPr>
        <w:ind w:firstLine="480" w:firstLineChars="200"/>
        <w:textAlignment w:val="baseline"/>
        <w:rPr>
          <w:rFonts w:hAnsi="宋体"/>
          <w:sz w:val="24"/>
          <w:szCs w:val="24"/>
        </w:rPr>
      </w:pPr>
      <w:r>
        <w:rPr>
          <w:rFonts w:hint="eastAsia" w:hAnsi="宋体"/>
          <w:sz w:val="24"/>
          <w:szCs w:val="24"/>
        </w:rPr>
        <w:t>1．</w:t>
      </w:r>
      <w:r>
        <w:rPr>
          <w:rFonts w:hAnsi="宋体"/>
          <w:sz w:val="24"/>
          <w:szCs w:val="24"/>
        </w:rPr>
        <w:t>属于保修范围、内容的项目，承包人应当在接到保修通知之日起</w:t>
      </w:r>
      <w:r>
        <w:rPr>
          <w:rFonts w:hint="eastAsia" w:hAnsi="宋体"/>
          <w:sz w:val="24"/>
          <w:szCs w:val="24"/>
        </w:rPr>
        <w:t>24小时</w:t>
      </w:r>
      <w:r>
        <w:rPr>
          <w:rFonts w:hAnsi="宋体"/>
          <w:sz w:val="24"/>
          <w:szCs w:val="24"/>
        </w:rPr>
        <w:t>内派人修</w:t>
      </w:r>
      <w:r>
        <w:rPr>
          <w:rFonts w:hint="eastAsia" w:hAnsi="宋体"/>
          <w:sz w:val="24"/>
          <w:szCs w:val="24"/>
        </w:rPr>
        <w:t>理</w:t>
      </w:r>
      <w:r>
        <w:rPr>
          <w:rFonts w:hAnsi="宋体"/>
          <w:sz w:val="24"/>
          <w:szCs w:val="24"/>
        </w:rPr>
        <w:t>，7天内完成。承包人不在约定期限内认真及时抢修的，</w:t>
      </w:r>
      <w:r>
        <w:rPr>
          <w:rFonts w:hint="eastAsia" w:hAnsi="宋体"/>
          <w:sz w:val="24"/>
          <w:szCs w:val="24"/>
        </w:rPr>
        <w:t>发包人有权自行修复或委托第三方修复，所需费用由承包人全部承担（修复费用=实际修复费用+实际修复费用20%的管理费用），上述违约金额在质量保证金中直接扣除，且承包人应在收到发包人扣罚通知后 7天内补足质量保证金，若承包人未按要求补足质量保证金的，发包人有权在退还质量保证金时双倍扣罚上述修复费用</w:t>
      </w:r>
      <w:r>
        <w:rPr>
          <w:rFonts w:hAnsi="宋体"/>
          <w:sz w:val="24"/>
          <w:szCs w:val="24"/>
        </w:rPr>
        <w:t>。</w:t>
      </w:r>
    </w:p>
    <w:p w14:paraId="15D9F557">
      <w:pPr>
        <w:ind w:firstLine="480" w:firstLineChars="200"/>
        <w:textAlignment w:val="baseline"/>
        <w:rPr>
          <w:rFonts w:hAnsi="宋体"/>
          <w:sz w:val="24"/>
          <w:szCs w:val="24"/>
        </w:rPr>
      </w:pPr>
      <w:r>
        <w:rPr>
          <w:rFonts w:hint="eastAsia" w:hAnsi="宋体"/>
          <w:sz w:val="24"/>
          <w:szCs w:val="24"/>
        </w:rPr>
        <w:t>2．</w:t>
      </w:r>
      <w:r>
        <w:rPr>
          <w:rFonts w:hAnsi="宋体"/>
          <w:sz w:val="24"/>
          <w:szCs w:val="24"/>
        </w:rPr>
        <w:t>发生须紧急抢修事故，承包人接到事故通知后，应立即到达事故现场抢修，当超过2小时未到达事故现场，发包人可以委托他人修理，抢修费用由承包人承担</w:t>
      </w:r>
      <w:r>
        <w:rPr>
          <w:rFonts w:hint="eastAsia" w:hAnsi="宋体"/>
          <w:sz w:val="24"/>
          <w:szCs w:val="24"/>
        </w:rPr>
        <w:t>。</w:t>
      </w:r>
    </w:p>
    <w:p w14:paraId="69FE9761">
      <w:pPr>
        <w:ind w:firstLine="480" w:firstLineChars="200"/>
        <w:textAlignment w:val="baseline"/>
        <w:rPr>
          <w:rFonts w:hAnsi="宋体"/>
          <w:sz w:val="24"/>
          <w:szCs w:val="24"/>
        </w:rPr>
      </w:pPr>
      <w:r>
        <w:rPr>
          <w:rFonts w:hint="eastAsia" w:hAnsi="宋体"/>
          <w:sz w:val="24"/>
          <w:szCs w:val="24"/>
        </w:rPr>
        <w:t>3．</w:t>
      </w:r>
      <w:r>
        <w:rPr>
          <w:rFonts w:hAnsi="宋体"/>
          <w:sz w:val="24"/>
          <w:szCs w:val="24"/>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598373B6">
      <w:pPr>
        <w:ind w:firstLine="480" w:firstLineChars="200"/>
        <w:textAlignment w:val="baseline"/>
        <w:rPr>
          <w:rFonts w:hAnsi="宋体"/>
          <w:sz w:val="24"/>
          <w:szCs w:val="24"/>
        </w:rPr>
      </w:pPr>
      <w:r>
        <w:rPr>
          <w:rFonts w:hint="eastAsia" w:hAnsi="宋体"/>
          <w:sz w:val="24"/>
          <w:szCs w:val="24"/>
        </w:rPr>
        <w:t>4．</w:t>
      </w:r>
      <w:r>
        <w:rPr>
          <w:rFonts w:hAnsi="宋体"/>
          <w:sz w:val="24"/>
          <w:szCs w:val="24"/>
        </w:rPr>
        <w:t>质量保修完成后，由发包人组织验收。</w:t>
      </w:r>
    </w:p>
    <w:p w14:paraId="657D233F">
      <w:pPr>
        <w:textAlignment w:val="baseline"/>
        <w:rPr>
          <w:rFonts w:hAnsi="宋体"/>
          <w:sz w:val="24"/>
          <w:szCs w:val="24"/>
        </w:rPr>
      </w:pPr>
      <w:r>
        <w:rPr>
          <w:rFonts w:hAnsi="宋体"/>
          <w:sz w:val="24"/>
          <w:szCs w:val="24"/>
        </w:rPr>
        <w:t>　　五、保修费用</w:t>
      </w:r>
    </w:p>
    <w:p w14:paraId="3B1B2B99">
      <w:pPr>
        <w:textAlignment w:val="baseline"/>
        <w:rPr>
          <w:rFonts w:hint="eastAsia" w:hAnsi="宋体"/>
          <w:sz w:val="24"/>
          <w:szCs w:val="24"/>
          <w:u w:val="single"/>
        </w:rPr>
      </w:pPr>
      <w:r>
        <w:rPr>
          <w:rFonts w:hAnsi="宋体"/>
          <w:sz w:val="24"/>
          <w:szCs w:val="24"/>
        </w:rPr>
        <w:t>　　</w:t>
      </w:r>
      <w:r>
        <w:rPr>
          <w:rFonts w:hint="eastAsia" w:hAnsi="宋体"/>
          <w:sz w:val="24"/>
          <w:szCs w:val="24"/>
          <w:u w:val="single"/>
        </w:rPr>
        <w:t>1、保修费用由造成质量缺陷的责任方承担。</w:t>
      </w:r>
    </w:p>
    <w:p w14:paraId="514E08BE">
      <w:pPr>
        <w:ind w:firstLine="480" w:firstLineChars="200"/>
        <w:textAlignment w:val="baseline"/>
        <w:rPr>
          <w:rFonts w:hAnsi="宋体"/>
          <w:sz w:val="24"/>
          <w:szCs w:val="24"/>
          <w:u w:val="single"/>
        </w:rPr>
      </w:pPr>
      <w:r>
        <w:rPr>
          <w:rFonts w:hint="eastAsia" w:hAnsi="宋体"/>
          <w:sz w:val="24"/>
          <w:szCs w:val="24"/>
          <w:u w:val="single"/>
        </w:rPr>
        <w:t>2、承包人在缺陷责任期及保修期内，未能在合理期限对工程缺陷进行修复，或拒绝按发包人要求进行修复的违约责任：工程在保修期内出现质量问题需要维修，如承包人在接到发包人的维修通知后一周内未予响应， 发包人有权自行修复或委托第三方修复，所需费用由承包人全部承担（修复费用=实际修复费用+实际修复费用20%的管理费用），上述违约金额在质量保证金中直接扣除，且承包人应在收到发包人扣罚通知后 7天内补足质量保证金，若承包人未按要求补足质量保证金的，发包人有权在退还质量保证金时双倍扣罚上述修复费用。</w:t>
      </w:r>
    </w:p>
    <w:p w14:paraId="505404DC">
      <w:pPr>
        <w:widowControl/>
        <w:tabs>
          <w:tab w:val="left" w:pos="2880"/>
        </w:tabs>
        <w:ind w:firstLine="480" w:firstLineChars="200"/>
        <w:jc w:val="left"/>
        <w:textAlignment w:val="baseline"/>
        <w:rPr>
          <w:rFonts w:hAnsi="宋体"/>
          <w:sz w:val="24"/>
          <w:szCs w:val="24"/>
        </w:rPr>
      </w:pPr>
      <w:r>
        <w:rPr>
          <w:rFonts w:hAnsi="宋体"/>
          <w:sz w:val="24"/>
          <w:szCs w:val="24"/>
        </w:rPr>
        <w:t>六、双方约定的其他工程质量保修事项：</w:t>
      </w:r>
    </w:p>
    <w:p w14:paraId="09C3B9E8">
      <w:pPr>
        <w:pStyle w:val="5"/>
        <w:rPr>
          <w:rFonts w:hint="eastAsia"/>
          <w:u w:val="single"/>
        </w:rPr>
      </w:pPr>
      <w:r>
        <w:rPr>
          <w:rFonts w:hint="eastAsia"/>
          <w:u w:val="single"/>
        </w:rPr>
        <w:t>1、质量保证金的缴纳及退还：</w:t>
      </w:r>
    </w:p>
    <w:p w14:paraId="07AE1AC7">
      <w:pPr>
        <w:pStyle w:val="5"/>
        <w:rPr>
          <w:rFonts w:hint="eastAsia"/>
          <w:u w:val="single"/>
        </w:rPr>
      </w:pPr>
      <w:r>
        <w:rPr>
          <w:rFonts w:hint="eastAsia"/>
          <w:u w:val="single"/>
        </w:rPr>
        <w:t>（1）质量保证金缴纳：结算审定价的1.5%作为质量保证金。</w:t>
      </w:r>
    </w:p>
    <w:p w14:paraId="4DB7A632">
      <w:pPr>
        <w:pStyle w:val="5"/>
        <w:rPr>
          <w:rFonts w:hint="eastAsia"/>
          <w:u w:val="single"/>
        </w:rPr>
      </w:pPr>
      <w:r>
        <w:rPr>
          <w:rFonts w:hint="eastAsia"/>
          <w:u w:val="single"/>
        </w:rPr>
        <w:t>（2）质量保证金的返还：在缺陷责任期满后三十天内一次性退还剩余质量保证金（不计息）。</w:t>
      </w:r>
    </w:p>
    <w:p w14:paraId="54FF0B11">
      <w:pPr>
        <w:pStyle w:val="5"/>
        <w:rPr>
          <w:rFonts w:hint="eastAsia"/>
          <w:u w:val="single"/>
        </w:rPr>
      </w:pPr>
      <w:r>
        <w:rPr>
          <w:rFonts w:hint="eastAsia"/>
          <w:u w:val="single"/>
        </w:rPr>
        <w:t>2、在保修期内出现下述情况：</w:t>
      </w:r>
    </w:p>
    <w:p w14:paraId="03D7F7BF">
      <w:pPr>
        <w:pStyle w:val="5"/>
        <w:rPr>
          <w:rFonts w:hint="eastAsia"/>
          <w:u w:val="single"/>
        </w:rPr>
      </w:pPr>
      <w:r>
        <w:rPr>
          <w:rFonts w:hint="eastAsia"/>
          <w:u w:val="single"/>
        </w:rPr>
        <w:t>（1）工程质量出现系统性缺陷，即同类缺陷出现3 次及以上；</w:t>
      </w:r>
    </w:p>
    <w:p w14:paraId="5FC75D39">
      <w:pPr>
        <w:pStyle w:val="5"/>
        <w:rPr>
          <w:rFonts w:hint="eastAsia"/>
          <w:u w:val="single"/>
        </w:rPr>
      </w:pPr>
      <w:r>
        <w:rPr>
          <w:rFonts w:hint="eastAsia"/>
          <w:u w:val="single"/>
        </w:rPr>
        <w:t>（2）单个或多个缺陷项目价值达到承包工程决算总价的10%以上；</w:t>
      </w:r>
    </w:p>
    <w:p w14:paraId="14019808">
      <w:pPr>
        <w:pStyle w:val="5"/>
        <w:rPr>
          <w:rFonts w:hint="eastAsia"/>
          <w:u w:val="single"/>
        </w:rPr>
      </w:pPr>
      <w:r>
        <w:rPr>
          <w:rFonts w:hint="eastAsia"/>
          <w:u w:val="single"/>
        </w:rPr>
        <w:t>（3）修复的项目在技术上需要时间验证其使用功能。</w:t>
      </w:r>
    </w:p>
    <w:p w14:paraId="18F6848C">
      <w:pPr>
        <w:pStyle w:val="5"/>
        <w:rPr>
          <w:rFonts w:hint="eastAsia"/>
          <w:u w:val="single"/>
        </w:rPr>
      </w:pPr>
      <w:r>
        <w:rPr>
          <w:rFonts w:hint="eastAsia"/>
          <w:u w:val="single"/>
        </w:rPr>
        <w:t>则保修期应作适当延长。延长的期限以原保修期的50%为限，在保修延长期内，保证金暂不作退还。</w:t>
      </w:r>
    </w:p>
    <w:p w14:paraId="6B31E267">
      <w:pPr>
        <w:pStyle w:val="5"/>
        <w:rPr>
          <w:szCs w:val="24"/>
        </w:rPr>
      </w:pPr>
      <w:r>
        <w:rPr>
          <w:rFonts w:hint="eastAsia"/>
          <w:u w:val="single"/>
        </w:rPr>
        <w:t>3、因承包人原因致使工程在合理使用期限内造成人身和财产损害的，承包人应承担损害赔偿责任。</w:t>
      </w:r>
    </w:p>
    <w:p w14:paraId="56BD3954">
      <w:pPr>
        <w:ind w:firstLine="456" w:firstLineChars="190"/>
        <w:textAlignment w:val="baseline"/>
        <w:rPr>
          <w:rFonts w:hAnsi="宋体"/>
          <w:sz w:val="24"/>
          <w:szCs w:val="24"/>
        </w:rPr>
      </w:pPr>
      <w:r>
        <w:rPr>
          <w:rFonts w:hAnsi="宋体"/>
          <w:sz w:val="24"/>
          <w:szCs w:val="24"/>
        </w:rPr>
        <w:t>工程质量保修书由发包人、承包人在工程竣工验收前共同签署，作为施工合同附件，其有效期限至保修期满。</w:t>
      </w:r>
    </w:p>
    <w:p w14:paraId="36A89391">
      <w:pPr>
        <w:ind w:firstLine="420"/>
        <w:textAlignment w:val="baseline"/>
        <w:rPr>
          <w:rFonts w:hAnsi="宋体"/>
          <w:sz w:val="24"/>
          <w:szCs w:val="24"/>
        </w:rPr>
      </w:pPr>
    </w:p>
    <w:p w14:paraId="5FE1BD7A">
      <w:pPr>
        <w:textAlignment w:val="baseline"/>
        <w:rPr>
          <w:rFonts w:hAnsi="宋体"/>
          <w:sz w:val="24"/>
          <w:szCs w:val="24"/>
        </w:rPr>
      </w:pPr>
    </w:p>
    <w:p w14:paraId="1B787404">
      <w:pPr>
        <w:textAlignment w:val="baseline"/>
        <w:rPr>
          <w:rFonts w:hAnsi="宋体"/>
          <w:sz w:val="24"/>
          <w:szCs w:val="24"/>
        </w:rPr>
      </w:pPr>
      <w:r>
        <w:rPr>
          <w:rFonts w:hAnsi="宋体"/>
          <w:sz w:val="24"/>
          <w:szCs w:val="24"/>
        </w:rPr>
        <w:t xml:space="preserve">发包人(公章)：         </w:t>
      </w:r>
      <w:r>
        <w:rPr>
          <w:rFonts w:hint="eastAsia" w:hAnsi="宋体"/>
          <w:sz w:val="24"/>
          <w:szCs w:val="24"/>
        </w:rPr>
        <w:t xml:space="preserve">        </w:t>
      </w:r>
      <w:r>
        <w:rPr>
          <w:rFonts w:hAnsi="宋体"/>
          <w:sz w:val="24"/>
          <w:szCs w:val="24"/>
        </w:rPr>
        <w:t>承包人(公章)：</w:t>
      </w:r>
      <w:r>
        <w:rPr>
          <w:rFonts w:hint="eastAsia" w:hAnsi="宋体"/>
          <w:sz w:val="24"/>
          <w:szCs w:val="24"/>
        </w:rPr>
        <w:t xml:space="preserve">          </w:t>
      </w:r>
      <w:r>
        <w:rPr>
          <w:rFonts w:hAnsi="宋体"/>
          <w:sz w:val="24"/>
          <w:szCs w:val="24"/>
        </w:rPr>
        <w:t xml:space="preserve"> </w:t>
      </w:r>
    </w:p>
    <w:p w14:paraId="3A0DF65C">
      <w:pPr>
        <w:textAlignment w:val="baseline"/>
        <w:rPr>
          <w:rFonts w:hAnsi="宋体"/>
          <w:sz w:val="24"/>
          <w:szCs w:val="24"/>
        </w:rPr>
      </w:pPr>
      <w:r>
        <w:rPr>
          <w:rFonts w:hAnsi="宋体"/>
          <w:sz w:val="24"/>
          <w:szCs w:val="24"/>
        </w:rPr>
        <w:t>地  址：</w:t>
      </w:r>
      <w:r>
        <w:rPr>
          <w:rFonts w:hint="eastAsia" w:hAnsi="宋体"/>
          <w:sz w:val="24"/>
          <w:szCs w:val="24"/>
        </w:rPr>
        <w:t xml:space="preserve">                            </w:t>
      </w:r>
      <w:r>
        <w:rPr>
          <w:rFonts w:hAnsi="宋体"/>
          <w:sz w:val="24"/>
          <w:szCs w:val="24"/>
        </w:rPr>
        <w:t>地  址：</w:t>
      </w:r>
      <w:r>
        <w:rPr>
          <w:rFonts w:hint="eastAsia" w:hAnsi="宋体"/>
          <w:sz w:val="24"/>
          <w:szCs w:val="24"/>
        </w:rPr>
        <w:t xml:space="preserve"> </w:t>
      </w:r>
      <w:r>
        <w:rPr>
          <w:rFonts w:hAnsi="宋体"/>
          <w:sz w:val="24"/>
          <w:szCs w:val="24"/>
        </w:rPr>
        <w:t xml:space="preserve"> </w:t>
      </w:r>
      <w:r>
        <w:rPr>
          <w:rFonts w:hint="eastAsia" w:hAnsi="宋体"/>
          <w:sz w:val="24"/>
          <w:szCs w:val="24"/>
        </w:rPr>
        <w:t xml:space="preserve"> </w:t>
      </w:r>
      <w:r>
        <w:rPr>
          <w:rFonts w:hAnsi="宋体"/>
          <w:sz w:val="24"/>
          <w:szCs w:val="24"/>
        </w:rPr>
        <w:t xml:space="preserve">    </w:t>
      </w:r>
    </w:p>
    <w:p w14:paraId="3B077ECA">
      <w:pPr>
        <w:textAlignment w:val="baseline"/>
        <w:rPr>
          <w:rFonts w:hAnsi="宋体"/>
          <w:sz w:val="24"/>
          <w:szCs w:val="24"/>
        </w:rPr>
      </w:pPr>
      <w:r>
        <w:rPr>
          <w:rFonts w:hAnsi="宋体"/>
          <w:sz w:val="24"/>
          <w:szCs w:val="24"/>
        </w:rPr>
        <w:t>法定代表人(签字)：</w:t>
      </w:r>
      <w:r>
        <w:rPr>
          <w:rFonts w:hint="eastAsia" w:hAnsi="宋体"/>
          <w:sz w:val="24"/>
          <w:szCs w:val="24"/>
        </w:rPr>
        <w:t xml:space="preserve">    </w:t>
      </w:r>
      <w:r>
        <w:rPr>
          <w:rFonts w:hAnsi="宋体"/>
          <w:sz w:val="24"/>
          <w:szCs w:val="24"/>
        </w:rPr>
        <w:t xml:space="preserve">   </w:t>
      </w:r>
      <w:r>
        <w:rPr>
          <w:rFonts w:hint="eastAsia" w:hAnsi="宋体"/>
          <w:sz w:val="24"/>
          <w:szCs w:val="24"/>
        </w:rPr>
        <w:t xml:space="preserve">        </w:t>
      </w:r>
      <w:r>
        <w:rPr>
          <w:rFonts w:hAnsi="宋体"/>
          <w:sz w:val="24"/>
          <w:szCs w:val="24"/>
        </w:rPr>
        <w:t>法定代表人(签字)：</w:t>
      </w:r>
      <w:r>
        <w:rPr>
          <w:rFonts w:hint="eastAsia" w:hAnsi="宋体"/>
          <w:sz w:val="24"/>
          <w:szCs w:val="24"/>
        </w:rPr>
        <w:t xml:space="preserve">      </w:t>
      </w:r>
      <w:r>
        <w:rPr>
          <w:rFonts w:hAnsi="宋体"/>
          <w:sz w:val="24"/>
          <w:szCs w:val="24"/>
        </w:rPr>
        <w:t xml:space="preserve"> </w:t>
      </w:r>
    </w:p>
    <w:p w14:paraId="25508EB2">
      <w:pPr>
        <w:textAlignment w:val="baseline"/>
        <w:rPr>
          <w:rFonts w:hAnsi="宋体"/>
          <w:sz w:val="24"/>
          <w:szCs w:val="24"/>
        </w:rPr>
      </w:pPr>
      <w:r>
        <w:rPr>
          <w:rFonts w:hAnsi="宋体"/>
          <w:sz w:val="24"/>
          <w:szCs w:val="24"/>
        </w:rPr>
        <w:t>委托代理人(签字)：</w:t>
      </w:r>
      <w:r>
        <w:rPr>
          <w:rFonts w:hint="eastAsia" w:hAnsi="宋体"/>
          <w:sz w:val="24"/>
          <w:szCs w:val="24"/>
        </w:rPr>
        <w:t xml:space="preserve">        </w:t>
      </w:r>
      <w:r>
        <w:rPr>
          <w:rFonts w:hAnsi="宋体"/>
          <w:sz w:val="24"/>
          <w:szCs w:val="24"/>
        </w:rPr>
        <w:t xml:space="preserve"> </w:t>
      </w:r>
      <w:r>
        <w:rPr>
          <w:rFonts w:hint="eastAsia" w:hAnsi="宋体"/>
          <w:sz w:val="24"/>
          <w:szCs w:val="24"/>
        </w:rPr>
        <w:t xml:space="preserve">        </w:t>
      </w:r>
      <w:r>
        <w:rPr>
          <w:rFonts w:hAnsi="宋体"/>
          <w:sz w:val="24"/>
          <w:szCs w:val="24"/>
        </w:rPr>
        <w:t xml:space="preserve">委托代理人(签字)：  </w:t>
      </w:r>
      <w:r>
        <w:rPr>
          <w:rFonts w:hint="eastAsia" w:hAnsi="宋体"/>
          <w:sz w:val="24"/>
          <w:szCs w:val="24"/>
        </w:rPr>
        <w:t xml:space="preserve"> </w:t>
      </w:r>
      <w:r>
        <w:rPr>
          <w:rFonts w:hAnsi="宋体"/>
          <w:sz w:val="24"/>
          <w:szCs w:val="24"/>
        </w:rPr>
        <w:t xml:space="preserve">    </w:t>
      </w:r>
    </w:p>
    <w:p w14:paraId="208585D2">
      <w:pPr>
        <w:textAlignment w:val="baseline"/>
        <w:rPr>
          <w:rFonts w:hAnsi="宋体"/>
          <w:sz w:val="24"/>
          <w:szCs w:val="24"/>
        </w:rPr>
      </w:pPr>
      <w:r>
        <w:rPr>
          <w:rFonts w:hAnsi="宋体"/>
          <w:sz w:val="24"/>
          <w:szCs w:val="24"/>
        </w:rPr>
        <w:t xml:space="preserve">电  话：   </w:t>
      </w:r>
      <w:r>
        <w:rPr>
          <w:rFonts w:hint="eastAsia" w:hAnsi="宋体"/>
          <w:sz w:val="24"/>
          <w:szCs w:val="24"/>
        </w:rPr>
        <w:t xml:space="preserve">   </w:t>
      </w:r>
      <w:r>
        <w:rPr>
          <w:rFonts w:hAnsi="宋体"/>
          <w:sz w:val="24"/>
          <w:szCs w:val="24"/>
        </w:rPr>
        <w:t xml:space="preserve"> </w:t>
      </w:r>
      <w:r>
        <w:rPr>
          <w:rFonts w:hint="eastAsia" w:hAnsi="宋体"/>
          <w:sz w:val="24"/>
          <w:szCs w:val="24"/>
        </w:rPr>
        <w:t xml:space="preserve">      </w:t>
      </w:r>
      <w:r>
        <w:rPr>
          <w:rFonts w:hAnsi="宋体"/>
          <w:sz w:val="24"/>
          <w:szCs w:val="24"/>
        </w:rPr>
        <w:t>电  话：</w:t>
      </w:r>
      <w:r>
        <w:rPr>
          <w:rFonts w:hint="eastAsia" w:hAnsi="宋体"/>
          <w:sz w:val="24"/>
          <w:szCs w:val="24"/>
        </w:rPr>
        <w:t xml:space="preserve">  </w:t>
      </w:r>
      <w:r>
        <w:rPr>
          <w:rFonts w:hAnsi="宋体"/>
          <w:sz w:val="24"/>
          <w:szCs w:val="24"/>
        </w:rPr>
        <w:t xml:space="preserve">   </w:t>
      </w:r>
    </w:p>
    <w:p w14:paraId="022D5CD7">
      <w:pPr>
        <w:textAlignment w:val="baseline"/>
        <w:rPr>
          <w:rFonts w:hAnsi="宋体"/>
          <w:sz w:val="24"/>
          <w:szCs w:val="24"/>
        </w:rPr>
      </w:pPr>
      <w:r>
        <w:rPr>
          <w:rFonts w:hAnsi="宋体"/>
          <w:sz w:val="24"/>
          <w:szCs w:val="24"/>
        </w:rPr>
        <w:t xml:space="preserve">传  真：    </w:t>
      </w:r>
      <w:r>
        <w:rPr>
          <w:rFonts w:hint="eastAsia" w:hAnsi="宋体"/>
          <w:sz w:val="24"/>
          <w:szCs w:val="24"/>
        </w:rPr>
        <w:t xml:space="preserve">         </w:t>
      </w:r>
      <w:r>
        <w:rPr>
          <w:rFonts w:hAnsi="宋体"/>
          <w:sz w:val="24"/>
          <w:szCs w:val="24"/>
        </w:rPr>
        <w:t>传  真：</w:t>
      </w:r>
      <w:r>
        <w:rPr>
          <w:rFonts w:hint="eastAsia" w:hAnsi="宋体"/>
          <w:sz w:val="24"/>
          <w:szCs w:val="24"/>
        </w:rPr>
        <w:t xml:space="preserve">  </w:t>
      </w:r>
      <w:r>
        <w:rPr>
          <w:rFonts w:hAnsi="宋体"/>
          <w:sz w:val="24"/>
          <w:szCs w:val="24"/>
        </w:rPr>
        <w:t xml:space="preserve">   </w:t>
      </w:r>
    </w:p>
    <w:p w14:paraId="0ECAA9F0">
      <w:pPr>
        <w:textAlignment w:val="baseline"/>
        <w:rPr>
          <w:rFonts w:hAnsi="宋体"/>
          <w:sz w:val="24"/>
          <w:szCs w:val="24"/>
        </w:rPr>
      </w:pPr>
      <w:r>
        <w:rPr>
          <w:rFonts w:hAnsi="宋体"/>
          <w:sz w:val="24"/>
          <w:szCs w:val="24"/>
        </w:rPr>
        <w:t xml:space="preserve">开户银行：    </w:t>
      </w:r>
      <w:r>
        <w:rPr>
          <w:rFonts w:hint="eastAsia" w:hAnsi="宋体"/>
          <w:sz w:val="24"/>
          <w:szCs w:val="24"/>
        </w:rPr>
        <w:t xml:space="preserve">         </w:t>
      </w:r>
      <w:r>
        <w:rPr>
          <w:rFonts w:hAnsi="宋体"/>
          <w:sz w:val="24"/>
          <w:szCs w:val="24"/>
        </w:rPr>
        <w:t xml:space="preserve">开户银行：   </w:t>
      </w:r>
    </w:p>
    <w:p w14:paraId="080BB215">
      <w:pPr>
        <w:textAlignment w:val="baseline"/>
        <w:rPr>
          <w:rFonts w:hAnsi="宋体"/>
          <w:sz w:val="24"/>
          <w:szCs w:val="24"/>
        </w:rPr>
      </w:pPr>
      <w:r>
        <w:rPr>
          <w:rFonts w:hAnsi="宋体"/>
          <w:sz w:val="24"/>
          <w:szCs w:val="24"/>
        </w:rPr>
        <w:t xml:space="preserve">账  号：       </w:t>
      </w:r>
      <w:r>
        <w:rPr>
          <w:rFonts w:hint="eastAsia" w:hAnsi="宋体"/>
          <w:sz w:val="24"/>
          <w:szCs w:val="24"/>
        </w:rPr>
        <w:t xml:space="preserve">          </w:t>
      </w:r>
      <w:r>
        <w:rPr>
          <w:rFonts w:hAnsi="宋体"/>
          <w:sz w:val="24"/>
          <w:szCs w:val="24"/>
        </w:rPr>
        <w:t>账</w:t>
      </w:r>
      <w:r>
        <w:rPr>
          <w:rFonts w:hint="eastAsia" w:hAnsi="宋体"/>
          <w:sz w:val="24"/>
          <w:szCs w:val="24"/>
        </w:rPr>
        <w:t xml:space="preserve"> </w:t>
      </w:r>
      <w:r>
        <w:rPr>
          <w:rFonts w:hAnsi="宋体"/>
          <w:sz w:val="24"/>
          <w:szCs w:val="24"/>
        </w:rPr>
        <w:t xml:space="preserve"> 号：</w:t>
      </w:r>
      <w:r>
        <w:rPr>
          <w:rFonts w:hint="eastAsia" w:hAnsi="宋体"/>
          <w:sz w:val="24"/>
          <w:szCs w:val="24"/>
        </w:rPr>
        <w:t xml:space="preserve">  </w:t>
      </w:r>
      <w:r>
        <w:rPr>
          <w:rFonts w:hAnsi="宋体"/>
          <w:sz w:val="24"/>
          <w:szCs w:val="24"/>
        </w:rPr>
        <w:t xml:space="preserve">  </w:t>
      </w:r>
      <w:r>
        <w:rPr>
          <w:rFonts w:hint="eastAsia" w:hAnsi="宋体"/>
          <w:sz w:val="24"/>
          <w:szCs w:val="24"/>
        </w:rPr>
        <w:t xml:space="preserve"> </w:t>
      </w:r>
    </w:p>
    <w:p w14:paraId="70E108B7">
      <w:pPr>
        <w:textAlignment w:val="baseline"/>
        <w:rPr>
          <w:rFonts w:hAnsi="宋体"/>
          <w:sz w:val="24"/>
          <w:szCs w:val="24"/>
        </w:rPr>
      </w:pPr>
      <w:r>
        <w:rPr>
          <w:rFonts w:hAnsi="宋体"/>
          <w:sz w:val="24"/>
          <w:szCs w:val="24"/>
        </w:rPr>
        <w:t xml:space="preserve">邮政编码：      </w:t>
      </w:r>
      <w:r>
        <w:rPr>
          <w:rFonts w:hint="eastAsia" w:hAnsi="宋体"/>
          <w:sz w:val="24"/>
          <w:szCs w:val="24"/>
        </w:rPr>
        <w:t xml:space="preserve">         </w:t>
      </w:r>
      <w:r>
        <w:rPr>
          <w:rFonts w:hAnsi="宋体"/>
          <w:sz w:val="24"/>
          <w:szCs w:val="24"/>
        </w:rPr>
        <w:t xml:space="preserve">邮政编码：   </w:t>
      </w:r>
    </w:p>
    <w:p w14:paraId="52284706">
      <w:pPr>
        <w:textAlignment w:val="baseline"/>
        <w:rPr>
          <w:rFonts w:hAnsi="宋体"/>
          <w:sz w:val="24"/>
          <w:szCs w:val="24"/>
        </w:rPr>
      </w:pPr>
    </w:p>
    <w:p w14:paraId="06E135BE">
      <w:pPr>
        <w:jc w:val="center"/>
        <w:textAlignment w:val="baseline"/>
        <w:rPr>
          <w:rFonts w:hAnsi="宋体"/>
          <w:sz w:val="24"/>
          <w:szCs w:val="24"/>
        </w:rPr>
      </w:pPr>
      <w:r>
        <w:rPr>
          <w:rFonts w:hAnsi="宋体"/>
          <w:sz w:val="24"/>
          <w:szCs w:val="24"/>
        </w:rPr>
        <w:br w:type="textWrapping"/>
      </w:r>
    </w:p>
    <w:p w14:paraId="4DCC74DD">
      <w:pPr>
        <w:jc w:val="center"/>
        <w:textAlignment w:val="baseline"/>
        <w:rPr>
          <w:rFonts w:hAnsi="宋体"/>
          <w:sz w:val="24"/>
          <w:szCs w:val="24"/>
        </w:rPr>
      </w:pPr>
      <w:r>
        <w:rPr>
          <w:rFonts w:hAnsi="宋体"/>
          <w:sz w:val="24"/>
          <w:szCs w:val="24"/>
        </w:rPr>
        <w:br w:type="page"/>
      </w:r>
    </w:p>
    <w:p w14:paraId="5ECBF2D0">
      <w:pPr>
        <w:jc w:val="center"/>
        <w:textAlignment w:val="baseline"/>
        <w:rPr>
          <w:rFonts w:hAnsi="宋体"/>
          <w:sz w:val="24"/>
        </w:rPr>
      </w:pPr>
      <w:r>
        <w:rPr>
          <w:rFonts w:hint="eastAsia" w:hAnsi="宋体"/>
          <w:sz w:val="24"/>
          <w:szCs w:val="24"/>
        </w:rPr>
        <w:t>建设工程廉政责任书</w:t>
      </w:r>
    </w:p>
    <w:p w14:paraId="4BEAF51D">
      <w:pPr>
        <w:snapToGrid w:val="0"/>
        <w:textAlignment w:val="baseline"/>
        <w:rPr>
          <w:rFonts w:hAnsi="宋体"/>
          <w:sz w:val="24"/>
          <w:szCs w:val="24"/>
        </w:rPr>
      </w:pPr>
    </w:p>
    <w:p w14:paraId="2693C53D">
      <w:pPr>
        <w:snapToGrid w:val="0"/>
        <w:textAlignment w:val="baseline"/>
        <w:rPr>
          <w:rFonts w:hAnsi="宋体"/>
          <w:sz w:val="24"/>
          <w:szCs w:val="24"/>
        </w:rPr>
      </w:pPr>
      <w:r>
        <w:rPr>
          <w:rFonts w:hint="eastAsia" w:hAnsi="宋体"/>
          <w:sz w:val="24"/>
          <w:szCs w:val="24"/>
        </w:rPr>
        <w:t xml:space="preserve">工程项目名称：               </w:t>
      </w:r>
    </w:p>
    <w:p w14:paraId="1A1065EB">
      <w:pPr>
        <w:snapToGrid w:val="0"/>
        <w:textAlignment w:val="baseline"/>
        <w:rPr>
          <w:rFonts w:hAnsi="宋体"/>
          <w:sz w:val="24"/>
          <w:szCs w:val="24"/>
        </w:rPr>
      </w:pPr>
    </w:p>
    <w:p w14:paraId="65EB0887">
      <w:pPr>
        <w:snapToGrid w:val="0"/>
        <w:textAlignment w:val="baseline"/>
        <w:rPr>
          <w:rFonts w:hAnsi="宋体"/>
          <w:sz w:val="24"/>
          <w:szCs w:val="24"/>
        </w:rPr>
      </w:pPr>
      <w:r>
        <w:rPr>
          <w:rFonts w:hint="eastAsia" w:hAnsi="宋体"/>
          <w:sz w:val="24"/>
          <w:szCs w:val="24"/>
        </w:rPr>
        <w:t xml:space="preserve">工程项目地址：              </w:t>
      </w:r>
    </w:p>
    <w:p w14:paraId="389CF808">
      <w:pPr>
        <w:snapToGrid w:val="0"/>
        <w:textAlignment w:val="baseline"/>
        <w:rPr>
          <w:rFonts w:hAnsi="宋体"/>
          <w:sz w:val="24"/>
          <w:szCs w:val="24"/>
        </w:rPr>
      </w:pPr>
    </w:p>
    <w:p w14:paraId="506D1789">
      <w:pPr>
        <w:snapToGrid w:val="0"/>
        <w:textAlignment w:val="baseline"/>
        <w:rPr>
          <w:rFonts w:hAnsi="宋体"/>
          <w:sz w:val="24"/>
          <w:szCs w:val="24"/>
        </w:rPr>
      </w:pPr>
      <w:r>
        <w:rPr>
          <w:rFonts w:hint="eastAsia" w:hAnsi="宋体"/>
          <w:sz w:val="24"/>
          <w:szCs w:val="24"/>
        </w:rPr>
        <w:t xml:space="preserve">甲方：                      </w:t>
      </w:r>
    </w:p>
    <w:p w14:paraId="5A0D3EC4">
      <w:pPr>
        <w:textAlignment w:val="baseline"/>
        <w:rPr>
          <w:rFonts w:hAnsi="宋体"/>
          <w:sz w:val="24"/>
          <w:szCs w:val="24"/>
        </w:rPr>
      </w:pPr>
    </w:p>
    <w:p w14:paraId="6F630C2A">
      <w:pPr>
        <w:textAlignment w:val="baseline"/>
        <w:rPr>
          <w:rFonts w:hAnsi="宋体"/>
          <w:sz w:val="24"/>
          <w:szCs w:val="24"/>
        </w:rPr>
      </w:pPr>
      <w:r>
        <w:rPr>
          <w:rFonts w:hint="eastAsia" w:hAnsi="宋体"/>
          <w:sz w:val="24"/>
          <w:szCs w:val="24"/>
        </w:rPr>
        <w:t xml:space="preserve">乙方：                       </w:t>
      </w:r>
    </w:p>
    <w:p w14:paraId="72CD9AA8">
      <w:pPr>
        <w:ind w:firstLine="480" w:firstLineChars="200"/>
        <w:textAlignment w:val="baseline"/>
        <w:rPr>
          <w:rFonts w:hAnsi="宋体"/>
          <w:sz w:val="24"/>
          <w:szCs w:val="24"/>
        </w:rPr>
      </w:pPr>
    </w:p>
    <w:p w14:paraId="7541210E">
      <w:pPr>
        <w:ind w:firstLine="480" w:firstLineChars="200"/>
        <w:textAlignment w:val="baseline"/>
        <w:rPr>
          <w:rFonts w:hAnsi="宋体"/>
          <w:sz w:val="24"/>
          <w:szCs w:val="24"/>
        </w:rPr>
      </w:pPr>
      <w:r>
        <w:rPr>
          <w:rFonts w:hint="eastAsia" w:hAnsi="宋体"/>
          <w:sz w:val="24"/>
          <w:szCs w:val="24"/>
        </w:rPr>
        <w:t>为加强工程建设中的廉政建设，规范工程建设双方的各项活动，防止发生各种谋取不正当利益的违法违纪行为，保护国家、集体和当事人的合法权益，根据国家有关工程建设的法律法规和廉政建设责任制规定，特订立本廉政责任书。</w:t>
      </w:r>
    </w:p>
    <w:p w14:paraId="0BD85CCC">
      <w:pPr>
        <w:numPr>
          <w:ilvl w:val="0"/>
          <w:numId w:val="4"/>
        </w:numPr>
        <w:tabs>
          <w:tab w:val="left" w:pos="1695"/>
        </w:tabs>
        <w:ind w:left="1695" w:hanging="1125"/>
        <w:textAlignment w:val="baseline"/>
        <w:rPr>
          <w:rFonts w:hAnsi="宋体"/>
          <w:sz w:val="24"/>
          <w:szCs w:val="24"/>
        </w:rPr>
      </w:pPr>
      <w:r>
        <w:rPr>
          <w:rFonts w:hint="eastAsia" w:hAnsi="宋体"/>
          <w:sz w:val="24"/>
          <w:szCs w:val="24"/>
        </w:rPr>
        <w:t>甲、乙双方的责任</w:t>
      </w:r>
    </w:p>
    <w:p w14:paraId="17732C73">
      <w:pPr>
        <w:textAlignment w:val="baseline"/>
        <w:rPr>
          <w:rFonts w:hAnsi="宋体"/>
          <w:sz w:val="24"/>
          <w:szCs w:val="24"/>
        </w:rPr>
      </w:pPr>
      <w:r>
        <w:rPr>
          <w:rFonts w:hint="eastAsia" w:hAnsi="宋体"/>
          <w:sz w:val="24"/>
          <w:szCs w:val="24"/>
        </w:rPr>
        <w:t xml:space="preserve">    （一）应严格遵守国家关于市场准入、项目招标投标、工程建设、市场活动的有关法律、法规，相关政策，以及廉政建设的各项规定。</w:t>
      </w:r>
    </w:p>
    <w:p w14:paraId="69998453">
      <w:pPr>
        <w:textAlignment w:val="baseline"/>
        <w:rPr>
          <w:rFonts w:hAnsi="宋体"/>
          <w:sz w:val="24"/>
          <w:szCs w:val="24"/>
        </w:rPr>
      </w:pPr>
      <w:r>
        <w:rPr>
          <w:rFonts w:hint="eastAsia" w:hAnsi="宋体"/>
          <w:sz w:val="24"/>
          <w:szCs w:val="24"/>
        </w:rPr>
        <w:t>　　（二）严格执行建设工程项目合同文件，自觉按合同办事。</w:t>
      </w:r>
    </w:p>
    <w:p w14:paraId="66B43E5E">
      <w:pPr>
        <w:ind w:firstLine="480" w:firstLineChars="200"/>
        <w:textAlignment w:val="baseline"/>
        <w:rPr>
          <w:rFonts w:hAnsi="宋体"/>
          <w:sz w:val="24"/>
          <w:szCs w:val="24"/>
        </w:rPr>
      </w:pPr>
      <w:r>
        <w:rPr>
          <w:rFonts w:hint="eastAsia" w:hAnsi="宋体"/>
          <w:sz w:val="24"/>
          <w:szCs w:val="24"/>
        </w:rPr>
        <w:t>（三）业务活动必须坚持公开、公平、诚信、透明的原则（除法律法规另有规定者外），不得为获取不正当利益，损害国家、集体和对方利益，不得违反工程建设的规章制度。</w:t>
      </w:r>
    </w:p>
    <w:p w14:paraId="29C3142F">
      <w:pPr>
        <w:ind w:firstLine="570"/>
        <w:textAlignment w:val="baseline"/>
        <w:rPr>
          <w:rFonts w:hAnsi="宋体"/>
          <w:sz w:val="24"/>
          <w:szCs w:val="24"/>
        </w:rPr>
      </w:pPr>
      <w:r>
        <w:rPr>
          <w:rFonts w:hint="eastAsia" w:hAnsi="宋体"/>
          <w:sz w:val="24"/>
          <w:szCs w:val="24"/>
        </w:rPr>
        <w:t>（四）发现对方在业务活动中有违规、违纪、违法行为的，应及时提醒对方，情节严重的，应向其上级主管部门或纪检监察、司法等有关机关举报。</w:t>
      </w:r>
    </w:p>
    <w:p w14:paraId="57AB05E0">
      <w:pPr>
        <w:ind w:firstLine="570"/>
        <w:textAlignment w:val="baseline"/>
        <w:rPr>
          <w:rFonts w:hAnsi="宋体"/>
          <w:sz w:val="24"/>
          <w:szCs w:val="24"/>
        </w:rPr>
      </w:pPr>
      <w:r>
        <w:rPr>
          <w:rFonts w:hint="eastAsia" w:hAnsi="宋体"/>
          <w:sz w:val="24"/>
          <w:szCs w:val="24"/>
        </w:rPr>
        <w:t>第二条　甲方的责任</w:t>
      </w:r>
    </w:p>
    <w:p w14:paraId="586A8537">
      <w:pPr>
        <w:ind w:firstLine="570"/>
        <w:textAlignment w:val="baseline"/>
        <w:rPr>
          <w:rFonts w:hAnsi="宋体"/>
          <w:sz w:val="24"/>
          <w:szCs w:val="24"/>
        </w:rPr>
      </w:pPr>
      <w:r>
        <w:rPr>
          <w:rFonts w:hint="eastAsia" w:hAnsi="宋体"/>
          <w:sz w:val="24"/>
          <w:szCs w:val="24"/>
        </w:rPr>
        <w:t>甲方的领导和从事该建设工程项目的工作人员在工程建设的事前、事中、事后应遵守以下规定：</w:t>
      </w:r>
    </w:p>
    <w:p w14:paraId="3439C8C1">
      <w:pPr>
        <w:ind w:firstLine="570"/>
        <w:textAlignment w:val="baseline"/>
        <w:rPr>
          <w:rFonts w:hAnsi="宋体"/>
          <w:sz w:val="24"/>
          <w:szCs w:val="24"/>
        </w:rPr>
      </w:pPr>
      <w:r>
        <w:rPr>
          <w:rFonts w:hint="eastAsia" w:hAnsi="宋体"/>
          <w:sz w:val="24"/>
          <w:szCs w:val="24"/>
        </w:rPr>
        <w:t>（一）不准向乙方和相关单位索要或接受回扣、礼金、有价证券、贵重物品和好处费、感谢费等。</w:t>
      </w:r>
    </w:p>
    <w:p w14:paraId="2713518F">
      <w:pPr>
        <w:ind w:firstLine="570"/>
        <w:textAlignment w:val="baseline"/>
        <w:rPr>
          <w:rFonts w:hAnsi="宋体"/>
          <w:sz w:val="24"/>
          <w:szCs w:val="24"/>
        </w:rPr>
      </w:pPr>
      <w:r>
        <w:rPr>
          <w:rFonts w:hint="eastAsia" w:hAnsi="宋体"/>
          <w:sz w:val="24"/>
          <w:szCs w:val="24"/>
        </w:rPr>
        <w:t>（二）不准在乙方和相关单位报销任何应由甲方或个人支付的费用。</w:t>
      </w:r>
    </w:p>
    <w:p w14:paraId="1449718A">
      <w:pPr>
        <w:ind w:firstLine="570"/>
        <w:textAlignment w:val="baseline"/>
        <w:rPr>
          <w:rFonts w:hAnsi="宋体"/>
          <w:sz w:val="24"/>
          <w:szCs w:val="24"/>
        </w:rPr>
      </w:pPr>
      <w:r>
        <w:rPr>
          <w:rFonts w:hint="eastAsia" w:hAnsi="宋体"/>
          <w:sz w:val="24"/>
          <w:szCs w:val="24"/>
        </w:rPr>
        <w:t>（三）不准要求、暗示或接受乙方和相关单位为个人装修住房、婚丧嫁娶、配偶子女的工作安排以及出国（境）、旅游等提供方便。</w:t>
      </w:r>
    </w:p>
    <w:p w14:paraId="229E178E">
      <w:pPr>
        <w:ind w:firstLine="570"/>
        <w:textAlignment w:val="baseline"/>
        <w:rPr>
          <w:rFonts w:hAnsi="宋体"/>
          <w:sz w:val="24"/>
          <w:szCs w:val="24"/>
        </w:rPr>
      </w:pPr>
      <w:r>
        <w:rPr>
          <w:rFonts w:hint="eastAsia" w:hAnsi="宋体"/>
          <w:sz w:val="24"/>
          <w:szCs w:val="24"/>
        </w:rPr>
        <w:t>（四）不准参加有可能影响公正执行公务的乙方和相关单位的宴请、健身、娱乐等活动。</w:t>
      </w:r>
    </w:p>
    <w:p w14:paraId="7580803A">
      <w:pPr>
        <w:ind w:firstLine="570"/>
        <w:textAlignment w:val="baseline"/>
        <w:rPr>
          <w:rFonts w:hAnsi="宋体"/>
          <w:sz w:val="24"/>
          <w:szCs w:val="24"/>
        </w:rPr>
      </w:pPr>
      <w:r>
        <w:rPr>
          <w:rFonts w:hint="eastAsia" w:hAnsi="宋体"/>
          <w:sz w:val="24"/>
          <w:szCs w:val="24"/>
        </w:rPr>
        <w:t>（五）不准向乙方和相关单位介绍或为配偶、子女、亲属参与同甲方项目工程合同有关的设备、材料、工程分包、劳务等经济活动。不得以任何理由向乙方和相关单位推荐分包单位和要求购买与项目工程合同规定以外的材料、设备等。</w:t>
      </w:r>
    </w:p>
    <w:p w14:paraId="54A977A8">
      <w:pPr>
        <w:ind w:firstLine="570"/>
        <w:textAlignment w:val="baseline"/>
        <w:rPr>
          <w:rFonts w:hAnsi="宋体"/>
          <w:sz w:val="24"/>
          <w:szCs w:val="24"/>
        </w:rPr>
      </w:pPr>
      <w:r>
        <w:rPr>
          <w:rFonts w:hint="eastAsia" w:hAnsi="宋体"/>
          <w:sz w:val="24"/>
          <w:szCs w:val="24"/>
        </w:rPr>
        <w:t>第三条 乙方的责任</w:t>
      </w:r>
    </w:p>
    <w:p w14:paraId="61FC3FCB">
      <w:pPr>
        <w:ind w:firstLine="570"/>
        <w:textAlignment w:val="baseline"/>
        <w:rPr>
          <w:rFonts w:hAnsi="宋体"/>
          <w:sz w:val="24"/>
          <w:szCs w:val="24"/>
        </w:rPr>
      </w:pPr>
      <w:r>
        <w:rPr>
          <w:rFonts w:hint="eastAsia" w:hAnsi="宋体"/>
          <w:sz w:val="24"/>
          <w:szCs w:val="24"/>
        </w:rPr>
        <w:t>应与甲方和相关单位保持正常的业务交往，按照有关法律法规和程序开展业务工作，严格执行工程建设的方针、政策，认真履行职责，并遵守以下规定：</w:t>
      </w:r>
    </w:p>
    <w:p w14:paraId="11541CEB">
      <w:pPr>
        <w:ind w:firstLine="570"/>
        <w:textAlignment w:val="baseline"/>
        <w:rPr>
          <w:rFonts w:hAnsi="宋体"/>
          <w:sz w:val="24"/>
          <w:szCs w:val="24"/>
        </w:rPr>
      </w:pPr>
      <w:r>
        <w:rPr>
          <w:rFonts w:hint="eastAsia" w:hAnsi="宋体"/>
          <w:sz w:val="24"/>
          <w:szCs w:val="24"/>
        </w:rPr>
        <w:t>（一）不准以任何理由向甲方和相关单位及其工作人员索要、接收或赠送礼金、有价证券、贵重物品及回扣、好处费、感谢费等。</w:t>
      </w:r>
    </w:p>
    <w:p w14:paraId="6AE38A38">
      <w:pPr>
        <w:ind w:firstLine="570"/>
        <w:textAlignment w:val="baseline"/>
        <w:rPr>
          <w:rFonts w:hAnsi="宋体"/>
          <w:sz w:val="24"/>
          <w:szCs w:val="24"/>
        </w:rPr>
      </w:pPr>
      <w:r>
        <w:rPr>
          <w:rFonts w:hint="eastAsia" w:hAnsi="宋体"/>
          <w:sz w:val="24"/>
          <w:szCs w:val="24"/>
        </w:rPr>
        <w:t>（二）不准以任何理由为甲方和相关单位报销应由对方或个人支付的费用。</w:t>
      </w:r>
    </w:p>
    <w:p w14:paraId="49B19E50">
      <w:pPr>
        <w:ind w:firstLine="570"/>
        <w:textAlignment w:val="baseline"/>
        <w:rPr>
          <w:rFonts w:hAnsi="宋体"/>
          <w:sz w:val="24"/>
          <w:szCs w:val="24"/>
        </w:rPr>
      </w:pPr>
      <w:r>
        <w:rPr>
          <w:rFonts w:hint="eastAsia" w:hAnsi="宋体"/>
          <w:sz w:val="24"/>
          <w:szCs w:val="24"/>
        </w:rPr>
        <w:t>（三）不准接受或暗示为甲方、相关单位或个人装修住房、婚丧嫁娶、配偶子女的工作安排以及出国（境）、旅游等提供方便。</w:t>
      </w:r>
    </w:p>
    <w:p w14:paraId="1E2EA0FE">
      <w:pPr>
        <w:ind w:firstLine="570"/>
        <w:textAlignment w:val="baseline"/>
        <w:rPr>
          <w:rFonts w:hAnsi="宋体"/>
          <w:sz w:val="24"/>
          <w:szCs w:val="24"/>
        </w:rPr>
      </w:pPr>
      <w:r>
        <w:rPr>
          <w:rFonts w:hint="eastAsia" w:hAnsi="宋体"/>
          <w:sz w:val="24"/>
          <w:szCs w:val="24"/>
        </w:rPr>
        <w:t>（四）不准违反合同约定而使用甲方、相关单位提供的通信、交通工具和高档办公用品。</w:t>
      </w:r>
    </w:p>
    <w:p w14:paraId="2BA3692E">
      <w:pPr>
        <w:ind w:firstLine="570"/>
        <w:textAlignment w:val="baseline"/>
        <w:rPr>
          <w:rFonts w:hAnsi="宋体"/>
          <w:sz w:val="24"/>
          <w:szCs w:val="24"/>
        </w:rPr>
      </w:pPr>
      <w:r>
        <w:rPr>
          <w:rFonts w:hint="eastAsia" w:hAnsi="宋体"/>
          <w:sz w:val="24"/>
          <w:szCs w:val="24"/>
        </w:rPr>
        <w:t>（五）不准以任何理由为甲方、相关单位或个人组织有可能影响公正执行公务的宴请、健身、娱乐等活动。</w:t>
      </w:r>
    </w:p>
    <w:p w14:paraId="0217D670">
      <w:pPr>
        <w:ind w:firstLine="570"/>
        <w:textAlignment w:val="baseline"/>
        <w:rPr>
          <w:rFonts w:hAnsi="宋体"/>
          <w:sz w:val="24"/>
          <w:szCs w:val="24"/>
        </w:rPr>
      </w:pPr>
      <w:r>
        <w:rPr>
          <w:rFonts w:hint="eastAsia" w:hAnsi="宋体"/>
          <w:sz w:val="24"/>
          <w:szCs w:val="24"/>
        </w:rPr>
        <w:t>第四条　违约责任</w:t>
      </w:r>
    </w:p>
    <w:p w14:paraId="231AA4C3">
      <w:pPr>
        <w:ind w:firstLine="570"/>
        <w:textAlignment w:val="baseline"/>
        <w:rPr>
          <w:rFonts w:hAnsi="宋体"/>
          <w:sz w:val="24"/>
          <w:szCs w:val="24"/>
        </w:rPr>
      </w:pPr>
      <w:r>
        <w:rPr>
          <w:rFonts w:hint="eastAsia" w:hAnsi="宋体"/>
          <w:sz w:val="24"/>
          <w:szCs w:val="24"/>
        </w:rPr>
        <w:t>（一）甲方工作人员有违反本责任书第一、二条责任行为的，按照管理权限，依据有关法律法规给予党纪、政纪处分或组织处理；涉嫌犯罪的，移交司法机关追究刑事责任；给乙方单位造成经济损失的，甲方应予以赔偿。</w:t>
      </w:r>
    </w:p>
    <w:p w14:paraId="5FD0BDF7">
      <w:pPr>
        <w:ind w:firstLine="570"/>
        <w:textAlignment w:val="baseline"/>
        <w:rPr>
          <w:rFonts w:hAnsi="宋体"/>
          <w:sz w:val="24"/>
          <w:szCs w:val="24"/>
        </w:rPr>
      </w:pPr>
      <w:r>
        <w:rPr>
          <w:rFonts w:hint="eastAsia" w:hAnsi="宋体"/>
          <w:sz w:val="24"/>
          <w:szCs w:val="24"/>
        </w:rPr>
        <w:t>（二）乙方工作人员有违反本责任书第一、三条责任行为的，按照管理权限，依据有关法律法规给予党纪、政纪处分或组织处理；涉嫌犯罪的，移交司法机关追究刑事责任；给甲方单位造成经济损失的，乙方 应予以赔偿。</w:t>
      </w:r>
    </w:p>
    <w:p w14:paraId="6639E989">
      <w:pPr>
        <w:ind w:firstLine="570"/>
        <w:textAlignment w:val="baseline"/>
        <w:rPr>
          <w:rFonts w:hAnsi="宋体"/>
          <w:sz w:val="24"/>
          <w:szCs w:val="24"/>
        </w:rPr>
      </w:pPr>
      <w:r>
        <w:rPr>
          <w:rFonts w:hint="eastAsia" w:hAnsi="宋体"/>
          <w:sz w:val="24"/>
          <w:szCs w:val="24"/>
        </w:rPr>
        <w:t>第五条　本责任书作为工程合同的附件，与工程合同具有同等法律效力。经双方签署后立即生效。</w:t>
      </w:r>
    </w:p>
    <w:p w14:paraId="30BB7139">
      <w:pPr>
        <w:ind w:firstLine="570"/>
        <w:textAlignment w:val="baseline"/>
        <w:rPr>
          <w:rFonts w:hAnsi="宋体"/>
          <w:sz w:val="24"/>
          <w:szCs w:val="24"/>
        </w:rPr>
      </w:pPr>
      <w:r>
        <w:rPr>
          <w:rFonts w:hint="eastAsia" w:hAnsi="宋体"/>
          <w:sz w:val="24"/>
          <w:szCs w:val="24"/>
        </w:rPr>
        <w:t>第六条　本责任书的有效期为双方签署之日起至该工程项目竣工验收合格时止。</w:t>
      </w:r>
    </w:p>
    <w:p w14:paraId="3251C5B1">
      <w:pPr>
        <w:ind w:firstLine="570"/>
        <w:textAlignment w:val="baseline"/>
        <w:rPr>
          <w:rFonts w:hAnsi="宋体"/>
          <w:sz w:val="24"/>
          <w:szCs w:val="24"/>
        </w:rPr>
      </w:pPr>
      <w:r>
        <w:rPr>
          <w:rFonts w:hint="eastAsia" w:hAnsi="宋体"/>
          <w:sz w:val="24"/>
          <w:szCs w:val="24"/>
        </w:rPr>
        <w:t>第七条　本责任书一式捌份，由甲乙双方各执肆份。</w:t>
      </w:r>
    </w:p>
    <w:p w14:paraId="2DA296D1">
      <w:pPr>
        <w:ind w:firstLine="570"/>
        <w:textAlignment w:val="baseline"/>
        <w:rPr>
          <w:rFonts w:hAnsi="宋体"/>
          <w:sz w:val="24"/>
          <w:szCs w:val="24"/>
        </w:rPr>
      </w:pPr>
    </w:p>
    <w:p w14:paraId="1C8D54C9">
      <w:pPr>
        <w:ind w:firstLine="570"/>
        <w:textAlignment w:val="baseline"/>
        <w:rPr>
          <w:rFonts w:hAnsi="宋体"/>
          <w:sz w:val="24"/>
          <w:szCs w:val="24"/>
        </w:rPr>
      </w:pPr>
    </w:p>
    <w:p w14:paraId="7F55682C">
      <w:pPr>
        <w:ind w:firstLine="570"/>
        <w:textAlignment w:val="baseline"/>
        <w:rPr>
          <w:rFonts w:hAnsi="宋体"/>
          <w:sz w:val="24"/>
          <w:szCs w:val="24"/>
        </w:rPr>
      </w:pPr>
    </w:p>
    <w:p w14:paraId="5C6DEE7D">
      <w:pPr>
        <w:ind w:firstLine="570"/>
        <w:textAlignment w:val="baseline"/>
        <w:rPr>
          <w:rFonts w:hAnsi="宋体"/>
          <w:sz w:val="24"/>
          <w:szCs w:val="24"/>
        </w:rPr>
      </w:pPr>
      <w:r>
        <w:rPr>
          <w:rFonts w:hint="eastAsia" w:hAnsi="宋体"/>
          <w:sz w:val="24"/>
          <w:szCs w:val="24"/>
        </w:rPr>
        <w:t>甲方单位：（盖章）</w:t>
      </w:r>
      <w:r>
        <w:rPr>
          <w:rFonts w:hint="eastAsia" w:hAnsi="宋体"/>
          <w:sz w:val="24"/>
          <w:szCs w:val="24"/>
        </w:rPr>
        <w:tab/>
      </w:r>
      <w:r>
        <w:rPr>
          <w:rFonts w:hint="eastAsia" w:hAnsi="宋体"/>
          <w:sz w:val="24"/>
          <w:szCs w:val="24"/>
        </w:rPr>
        <w:tab/>
      </w:r>
      <w:r>
        <w:rPr>
          <w:rFonts w:hint="eastAsia" w:hAnsi="宋体"/>
          <w:sz w:val="24"/>
          <w:szCs w:val="24"/>
        </w:rPr>
        <w:tab/>
      </w:r>
      <w:r>
        <w:rPr>
          <w:rFonts w:hint="eastAsia" w:hAnsi="宋体"/>
          <w:sz w:val="24"/>
          <w:szCs w:val="24"/>
        </w:rPr>
        <w:tab/>
      </w:r>
      <w:r>
        <w:rPr>
          <w:rFonts w:hint="eastAsia" w:hAnsi="宋体"/>
          <w:sz w:val="24"/>
          <w:szCs w:val="24"/>
        </w:rPr>
        <w:t xml:space="preserve"> 乙方单位：（盖章）</w:t>
      </w:r>
    </w:p>
    <w:p w14:paraId="37769FEC">
      <w:pPr>
        <w:ind w:firstLine="570"/>
        <w:textAlignment w:val="baseline"/>
        <w:rPr>
          <w:rFonts w:hAnsi="宋体"/>
          <w:sz w:val="24"/>
          <w:szCs w:val="24"/>
        </w:rPr>
      </w:pPr>
      <w:r>
        <w:rPr>
          <w:rFonts w:hint="eastAsia" w:hAnsi="宋体"/>
          <w:sz w:val="24"/>
          <w:szCs w:val="24"/>
        </w:rPr>
        <w:t>法定代表人：</w:t>
      </w:r>
      <w:r>
        <w:rPr>
          <w:rFonts w:hint="eastAsia" w:hAnsi="宋体"/>
          <w:sz w:val="24"/>
          <w:szCs w:val="24"/>
        </w:rPr>
        <w:tab/>
      </w:r>
      <w:r>
        <w:rPr>
          <w:rFonts w:hint="eastAsia" w:hAnsi="宋体"/>
          <w:sz w:val="24"/>
          <w:szCs w:val="24"/>
        </w:rPr>
        <w:tab/>
      </w:r>
      <w:r>
        <w:rPr>
          <w:rFonts w:hint="eastAsia" w:hAnsi="宋体"/>
          <w:sz w:val="24"/>
          <w:szCs w:val="24"/>
        </w:rPr>
        <w:tab/>
      </w:r>
      <w:r>
        <w:rPr>
          <w:rFonts w:hint="eastAsia" w:hAnsi="宋体"/>
          <w:sz w:val="24"/>
          <w:szCs w:val="24"/>
        </w:rPr>
        <w:tab/>
      </w:r>
      <w:r>
        <w:rPr>
          <w:rFonts w:hint="eastAsia" w:hAnsi="宋体"/>
          <w:sz w:val="24"/>
          <w:szCs w:val="24"/>
        </w:rPr>
        <w:tab/>
      </w:r>
      <w:r>
        <w:rPr>
          <w:rFonts w:hint="eastAsia" w:hAnsi="宋体"/>
          <w:sz w:val="24"/>
          <w:szCs w:val="24"/>
        </w:rPr>
        <w:t xml:space="preserve">     法定代表人：</w:t>
      </w:r>
    </w:p>
    <w:p w14:paraId="396A0502">
      <w:pPr>
        <w:textAlignment w:val="baseline"/>
        <w:rPr>
          <w:rFonts w:hAnsi="宋体"/>
          <w:sz w:val="24"/>
          <w:szCs w:val="24"/>
        </w:rPr>
      </w:pPr>
      <w:r>
        <w:rPr>
          <w:rFonts w:hint="eastAsia" w:hAnsi="宋体"/>
          <w:sz w:val="24"/>
          <w:szCs w:val="24"/>
        </w:rPr>
        <w:t xml:space="preserve">     地址：                          地址：</w:t>
      </w:r>
    </w:p>
    <w:p w14:paraId="21B17919">
      <w:pPr>
        <w:textAlignment w:val="baseline"/>
        <w:rPr>
          <w:rFonts w:hAnsi="宋体"/>
          <w:sz w:val="24"/>
          <w:szCs w:val="24"/>
        </w:rPr>
      </w:pPr>
      <w:r>
        <w:rPr>
          <w:rFonts w:hint="eastAsia" w:hAnsi="宋体"/>
          <w:sz w:val="24"/>
          <w:szCs w:val="24"/>
        </w:rPr>
        <w:t xml:space="preserve">     电话： </w:t>
      </w:r>
      <w:r>
        <w:rPr>
          <w:rFonts w:hint="eastAsia" w:hAnsi="宋体"/>
          <w:sz w:val="24"/>
          <w:szCs w:val="24"/>
        </w:rPr>
        <w:tab/>
      </w:r>
      <w:r>
        <w:rPr>
          <w:rFonts w:hint="eastAsia" w:hAnsi="宋体"/>
          <w:sz w:val="24"/>
          <w:szCs w:val="24"/>
        </w:rPr>
        <w:tab/>
      </w:r>
      <w:r>
        <w:rPr>
          <w:rFonts w:hint="eastAsia" w:hAnsi="宋体"/>
          <w:sz w:val="24"/>
          <w:szCs w:val="24"/>
        </w:rPr>
        <w:tab/>
      </w:r>
      <w:r>
        <w:rPr>
          <w:rFonts w:hint="eastAsia" w:hAnsi="宋体"/>
          <w:sz w:val="24"/>
          <w:szCs w:val="24"/>
        </w:rPr>
        <w:t xml:space="preserve">             </w:t>
      </w:r>
      <w:r>
        <w:rPr>
          <w:rFonts w:hint="eastAsia" w:hAnsi="宋体"/>
          <w:sz w:val="24"/>
          <w:szCs w:val="24"/>
        </w:rPr>
        <w:tab/>
      </w:r>
      <w:r>
        <w:rPr>
          <w:rFonts w:hint="eastAsia" w:hAnsi="宋体"/>
          <w:sz w:val="24"/>
          <w:szCs w:val="24"/>
        </w:rPr>
        <w:t xml:space="preserve">  电话：</w:t>
      </w:r>
    </w:p>
    <w:p w14:paraId="20775300">
      <w:pPr>
        <w:textAlignment w:val="baseline"/>
        <w:rPr>
          <w:rFonts w:hAnsi="宋体"/>
          <w:sz w:val="24"/>
          <w:szCs w:val="24"/>
        </w:rPr>
      </w:pPr>
      <w:r>
        <w:rPr>
          <w:rFonts w:hint="eastAsia" w:hAnsi="宋体"/>
          <w:sz w:val="24"/>
          <w:szCs w:val="24"/>
        </w:rPr>
        <w:t xml:space="preserve">  </w:t>
      </w:r>
    </w:p>
    <w:p w14:paraId="6445E4B3">
      <w:pPr>
        <w:jc w:val="right"/>
        <w:textAlignment w:val="baseline"/>
        <w:rPr>
          <w:rFonts w:hAnsi="宋体"/>
          <w:sz w:val="24"/>
          <w:szCs w:val="24"/>
        </w:rPr>
      </w:pPr>
      <w:r>
        <w:rPr>
          <w:rFonts w:hint="eastAsia" w:hAnsi="宋体"/>
          <w:sz w:val="24"/>
          <w:szCs w:val="24"/>
        </w:rPr>
        <w:t xml:space="preserve">年    月    日   </w:t>
      </w:r>
    </w:p>
    <w:p w14:paraId="539509DF">
      <w:pPr>
        <w:textAlignment w:val="baseline"/>
        <w:rPr>
          <w:rFonts w:hAnsi="宋体"/>
          <w:sz w:val="24"/>
          <w:szCs w:val="24"/>
        </w:rPr>
      </w:pPr>
      <w:r>
        <w:rPr>
          <w:rFonts w:hint="eastAsia" w:hAnsi="宋体"/>
          <w:sz w:val="24"/>
          <w:szCs w:val="24"/>
        </w:rPr>
        <w:br w:type="textWrapping"/>
      </w:r>
    </w:p>
    <w:p w14:paraId="45DF12D1">
      <w:pPr>
        <w:textAlignment w:val="baseline"/>
        <w:rPr>
          <w:b/>
          <w:i/>
          <w:caps/>
        </w:rPr>
      </w:pPr>
    </w:p>
    <w:p w14:paraId="50EEFF98">
      <w:pPr>
        <w:adjustRightInd/>
        <w:spacing w:line="300" w:lineRule="auto"/>
        <w:rPr>
          <w:rFonts w:ascii="宋体" w:hAnsi="宋体"/>
          <w:snapToGrid w:val="0"/>
          <w:color w:val="auto"/>
          <w:kern w:val="0"/>
          <w:szCs w:val="21"/>
          <w:highlight w:val="none"/>
        </w:rPr>
      </w:pPr>
    </w:p>
    <w:p w14:paraId="20E872C2">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716134F5">
      <w:pPr>
        <w:snapToGrid w:val="0"/>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6"/>
      <w:r>
        <w:rPr>
          <w:rFonts w:hint="eastAsia" w:ascii="宋体" w:hAnsi="宋体" w:cs="宋体"/>
          <w:b/>
          <w:color w:val="auto"/>
          <w:sz w:val="36"/>
          <w:szCs w:val="20"/>
          <w:highlight w:val="none"/>
        </w:rPr>
        <w:t xml:space="preserve"> </w:t>
      </w:r>
      <w:bookmarkEnd w:id="397"/>
      <w:r>
        <w:rPr>
          <w:rFonts w:hint="eastAsia" w:ascii="宋体" w:hAnsi="宋体" w:cs="宋体"/>
          <w:b/>
          <w:color w:val="auto"/>
          <w:sz w:val="36"/>
          <w:szCs w:val="20"/>
          <w:highlight w:val="none"/>
        </w:rPr>
        <w:t>应提交的有关格式范例</w:t>
      </w:r>
    </w:p>
    <w:p w14:paraId="7DFEFC3A">
      <w:pPr>
        <w:spacing w:line="360" w:lineRule="auto"/>
        <w:jc w:val="center"/>
        <w:outlineLvl w:val="0"/>
        <w:rPr>
          <w:rFonts w:ascii="宋体" w:hAnsi="宋体" w:cs="宋体"/>
          <w:b/>
          <w:color w:val="auto"/>
          <w:kern w:val="0"/>
          <w:sz w:val="36"/>
          <w:szCs w:val="36"/>
          <w:highlight w:val="none"/>
        </w:rPr>
      </w:pPr>
    </w:p>
    <w:p w14:paraId="7EE66AE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52DBD15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2145994">
      <w:pPr>
        <w:spacing w:line="360" w:lineRule="auto"/>
        <w:jc w:val="center"/>
        <w:outlineLvl w:val="0"/>
        <w:rPr>
          <w:rFonts w:ascii="宋体" w:hAnsi="宋体" w:cs="宋体"/>
          <w:b/>
          <w:color w:val="auto"/>
          <w:kern w:val="0"/>
          <w:sz w:val="36"/>
          <w:szCs w:val="36"/>
          <w:highlight w:val="none"/>
        </w:rPr>
      </w:pPr>
    </w:p>
    <w:p w14:paraId="463A749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47F2EA92">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4D28370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3AB9ED8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0A47CC8A">
      <w:pPr>
        <w:snapToGrid w:val="0"/>
        <w:spacing w:line="360" w:lineRule="auto"/>
        <w:ind w:firstLine="480" w:firstLineChars="200"/>
        <w:rPr>
          <w:rFonts w:ascii="宋体" w:hAnsi="宋体" w:cs="宋体"/>
          <w:color w:val="auto"/>
          <w:sz w:val="24"/>
          <w:highlight w:val="none"/>
        </w:rPr>
      </w:pPr>
    </w:p>
    <w:p w14:paraId="4922933F">
      <w:pPr>
        <w:spacing w:line="360" w:lineRule="auto"/>
        <w:ind w:firstLine="480" w:firstLineChars="200"/>
        <w:rPr>
          <w:rFonts w:ascii="宋体" w:hAnsi="宋体" w:cs="宋体"/>
          <w:color w:val="auto"/>
          <w:sz w:val="24"/>
          <w:highlight w:val="none"/>
        </w:rPr>
      </w:pPr>
    </w:p>
    <w:p w14:paraId="5D151BC0">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7B6AE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088DDFE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我方参与（项目名称）【项目编号：（采购编号）】政府采购活动，郑重承诺：</w:t>
      </w:r>
    </w:p>
    <w:p w14:paraId="07471751">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AF056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413803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17CDDB2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57082DC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74952AD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C3E110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53FCE0B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1FF7A4A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3003E8F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5A8F259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69760ABC">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45907C0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C152D72">
      <w:pPr>
        <w:snapToGrid w:val="0"/>
        <w:spacing w:line="360" w:lineRule="auto"/>
        <w:ind w:right="480"/>
        <w:jc w:val="center"/>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440" w:right="1080" w:bottom="1440" w:left="1080" w:header="851" w:footer="992" w:gutter="0"/>
          <w:cols w:space="720" w:num="1"/>
          <w:titlePg/>
          <w:docGrid w:linePitch="312" w:charSpace="0"/>
        </w:sectPr>
      </w:pPr>
    </w:p>
    <w:p w14:paraId="7D9FF88D">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0632B2F">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[以联合体形式参与的，提供联合协议（附件5）；本项目不接受联合体或者供应商不以联合体形式投参与的，则不需要提供]</w:t>
      </w:r>
    </w:p>
    <w:p w14:paraId="7F5D06AE">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4E2BEED1">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2107E173">
      <w:pPr>
        <w:spacing w:line="360" w:lineRule="auto"/>
        <w:rPr>
          <w:rFonts w:ascii="宋体" w:hAnsi="宋体" w:cs="宋体"/>
          <w:color w:val="auto"/>
          <w:sz w:val="24"/>
          <w:highlight w:val="none"/>
        </w:rPr>
      </w:pPr>
      <w:r>
        <w:rPr>
          <w:rFonts w:hint="eastAsia" w:ascii="宋体" w:hAnsi="宋体" w:cs="宋体"/>
          <w:color w:val="auto"/>
          <w:sz w:val="24"/>
          <w:highlight w:val="none"/>
        </w:rPr>
        <w:t>（根据竞争性磋商公告落实政府采购政策需满足的资格要求选择提供相应的材料；未要求的，无需提供）</w:t>
      </w:r>
    </w:p>
    <w:p w14:paraId="1F81B3E8">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.专门面向中小企业，工程全部由符合政策要求的中小企业（或小微企业）承建的，提供相应的中小企业声明函（附件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3D3B4367">
      <w:pPr>
        <w:widowControl/>
        <w:spacing w:line="360" w:lineRule="auto"/>
        <w:ind w:firstLine="480"/>
        <w:jc w:val="left"/>
        <w:rPr>
          <w:rFonts w:ascii="宋体" w:hAnsi="宋体" w:cs="宋体"/>
          <w:color w:val="auto"/>
          <w:sz w:val="24"/>
          <w:highlight w:val="none"/>
        </w:rPr>
      </w:pPr>
    </w:p>
    <w:p w14:paraId="27BBBE1F">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），联合协议中中小企业合同金额应当达到竞争性磋商公告载明的比例；如果供应商本身提供所有标的均由中小企业承建的，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6B819922">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2557B28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），分包意向协议中中小企业合同金额应当达到竞争性磋商公告载明的比例；如果供应商本身提供所有标的均由中小企业承建，</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29E481B">
      <w:pPr>
        <w:widowControl/>
        <w:spacing w:line="360" w:lineRule="auto"/>
        <w:ind w:left="150"/>
        <w:jc w:val="center"/>
        <w:rPr>
          <w:rFonts w:ascii="宋体" w:hAnsi="宋体" w:cs="宋体"/>
          <w:b/>
          <w:color w:val="auto"/>
          <w:kern w:val="0"/>
          <w:sz w:val="32"/>
          <w:szCs w:val="32"/>
          <w:highlight w:val="none"/>
        </w:rPr>
      </w:pPr>
    </w:p>
    <w:p w14:paraId="51174462">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7F9DB62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（根据竞争性磋商公告本项目的特定资格要求提供相应的材料；未要求的，无需提供）</w:t>
      </w:r>
    </w:p>
    <w:p w14:paraId="3CCA65F9">
      <w:pPr>
        <w:rPr>
          <w:rFonts w:ascii="宋体" w:hAnsi="宋体" w:cs="宋体"/>
          <w:color w:val="auto"/>
          <w:highlight w:val="none"/>
        </w:rPr>
      </w:pPr>
    </w:p>
    <w:p w14:paraId="2BA786C8">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3F414F92">
      <w:pPr>
        <w:pStyle w:val="3"/>
        <w:rPr>
          <w:rFonts w:ascii="宋体" w:hAnsi="宋体" w:cs="宋体"/>
          <w:b w:val="0"/>
          <w:color w:val="auto"/>
          <w:kern w:val="0"/>
          <w:sz w:val="36"/>
          <w:szCs w:val="36"/>
          <w:highlight w:val="none"/>
        </w:rPr>
      </w:pPr>
    </w:p>
    <w:p w14:paraId="74F898BC">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69278CB8">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43FA047F">
      <w:pPr>
        <w:numPr>
          <w:ilvl w:val="255"/>
          <w:numId w:val="0"/>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响应函……………………………………………………………………………（页码）</w:t>
      </w:r>
    </w:p>
    <w:p w14:paraId="26FC36CC">
      <w:pPr>
        <w:numPr>
          <w:ilvl w:val="255"/>
          <w:numId w:val="0"/>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2）授权委托书或法定代表人（单位负责人、自然人本人）身份证明</w:t>
      </w:r>
      <w:r>
        <w:rPr>
          <w:rFonts w:hint="eastAsia" w:ascii="宋体" w:hAnsi="宋体" w:cs="宋体"/>
          <w:color w:val="auto"/>
          <w:sz w:val="24"/>
          <w:highlight w:val="none"/>
        </w:rPr>
        <w:t>……………（页码）</w:t>
      </w:r>
    </w:p>
    <w:p w14:paraId="53C46EE3">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）分包意向协议………………………………………………………………………（页码）</w:t>
      </w:r>
    </w:p>
    <w:p w14:paraId="4B10110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）符合性审查资料……………………………………………………………………（页码）</w:t>
      </w:r>
    </w:p>
    <w:p w14:paraId="7FC63498">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）评审标准相应的商务技术资料……………………………………………………（页码）（</w:t>
      </w:r>
      <w:r>
        <w:rPr>
          <w:rFonts w:ascii="宋体" w:hAnsi="宋体" w:cs="宋体"/>
          <w:color w:val="auto"/>
          <w:sz w:val="24"/>
          <w:highlight w:val="none"/>
        </w:rPr>
        <w:t>6</w:t>
      </w:r>
      <w:r>
        <w:rPr>
          <w:rFonts w:hint="eastAsia" w:ascii="宋体" w:hAnsi="宋体" w:cs="宋体"/>
          <w:color w:val="auto"/>
          <w:sz w:val="24"/>
          <w:highlight w:val="none"/>
        </w:rPr>
        <w:t>）商务技术偏离表……………………………………………………………………（页码）</w:t>
      </w:r>
    </w:p>
    <w:p w14:paraId="5CB08127">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lang w:val="zh-CN"/>
        </w:rPr>
        <w:t>（</w:t>
      </w:r>
      <w:r>
        <w:rPr>
          <w:rFonts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rPr>
        <w:t>…………………………………………………（页码）</w:t>
      </w:r>
    </w:p>
    <w:p w14:paraId="0B0C9B61">
      <w:pPr>
        <w:snapToGrid w:val="0"/>
        <w:spacing w:line="360" w:lineRule="auto"/>
        <w:jc w:val="center"/>
        <w:rPr>
          <w:rFonts w:ascii="宋体" w:hAnsi="宋体" w:cs="宋体"/>
          <w:b/>
          <w:color w:val="auto"/>
          <w:kern w:val="0"/>
          <w:sz w:val="24"/>
          <w:szCs w:val="32"/>
          <w:highlight w:val="none"/>
          <w:lang w:val="zh-CN"/>
        </w:rPr>
        <w:sectPr>
          <w:pgSz w:w="11906" w:h="16838"/>
          <w:pgMar w:top="1440" w:right="1080" w:bottom="1440" w:left="1080" w:header="851" w:footer="992" w:gutter="0"/>
          <w:cols w:space="720" w:num="1"/>
          <w:titlePg/>
          <w:docGrid w:linePitch="312" w:charSpace="0"/>
        </w:sectPr>
      </w:pPr>
    </w:p>
    <w:p w14:paraId="541959DE">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一、响应函</w:t>
      </w:r>
    </w:p>
    <w:p w14:paraId="788BEF5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18873AE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我方参加你方组织的（项目名称）【项目编号：（采购编号）】采购的有关活动，并对此项目提交响应文件及报价。为此：</w:t>
      </w:r>
    </w:p>
    <w:p w14:paraId="334BB61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1、我方承诺响应文件有效期从提交响应文件的截止之日起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本响应文件在响应文件有效期满之前均具有约束力。</w:t>
      </w:r>
    </w:p>
    <w:p w14:paraId="2B255C2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14:paraId="50FF23E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5C289F9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01F72F2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1CFFEB0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15A1A0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579DC2C7">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42BDFC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2.2.1响应函；</w:t>
      </w:r>
      <w:r>
        <w:rPr>
          <w:rFonts w:hint="eastAsia" w:ascii="宋体" w:hAnsi="宋体" w:cs="宋体"/>
          <w:color w:val="auto"/>
          <w:sz w:val="24"/>
          <w:highlight w:val="none"/>
          <w:lang w:val="zh-CN"/>
        </w:rPr>
        <w:t xml:space="preserve"> </w:t>
      </w:r>
    </w:p>
    <w:p w14:paraId="1A6E86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8A184A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4ED882A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B5924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评审标准相应的商务技术资料；</w:t>
      </w:r>
    </w:p>
    <w:p w14:paraId="5C0EB59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2.2.6商务技术偏离表；</w:t>
      </w:r>
    </w:p>
    <w:p w14:paraId="54EF8E94">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32669A0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770CD25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2.3.1报价单；</w:t>
      </w:r>
    </w:p>
    <w:p w14:paraId="5EC4944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2.3.2已标价工程量清单；</w:t>
      </w:r>
    </w:p>
    <w:p w14:paraId="0C21454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2.3.3中小企业声明函（如果有）。</w:t>
      </w:r>
    </w:p>
    <w:p w14:paraId="4612F05A">
      <w:pPr>
        <w:pStyle w:val="8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3、我方承诺除商务技术偏离表列出的偏离外，我方响应采购文件的全部要求。对</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文件中材料的真实性、合法性负责</w:t>
      </w:r>
      <w:r>
        <w:rPr>
          <w:rFonts w:hint="eastAsia" w:ascii="宋体" w:hAnsi="宋体" w:cs="宋体"/>
          <w:color w:val="auto"/>
          <w:sz w:val="24"/>
          <w:highlight w:val="none"/>
          <w:lang w:eastAsia="zh-CN"/>
        </w:rPr>
        <w:t>，积极配合采购人、采购代理机构复核响应文件中的资料</w:t>
      </w:r>
      <w:r>
        <w:rPr>
          <w:rFonts w:hint="eastAsia" w:ascii="宋体" w:hAnsi="宋体" w:cs="宋体"/>
          <w:color w:val="auto"/>
          <w:sz w:val="24"/>
          <w:highlight w:val="none"/>
        </w:rPr>
        <w:t>。</w:t>
      </w:r>
    </w:p>
    <w:p w14:paraId="1306655B">
      <w:pPr>
        <w:snapToGrid w:val="0"/>
        <w:spacing w:line="360" w:lineRule="auto"/>
        <w:ind w:firstLine="480" w:firstLineChars="200"/>
        <w:rPr>
          <w:rFonts w:ascii="宋体" w:hAnsi="宋体" w:cs="宋体"/>
          <w:color w:val="auto"/>
          <w:sz w:val="24"/>
          <w:highlight w:val="none"/>
        </w:rPr>
      </w:pPr>
    </w:p>
    <w:p w14:paraId="142253B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4、如我方成交，我方承诺：</w:t>
      </w:r>
    </w:p>
    <w:p w14:paraId="4B5D454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14:paraId="5B6839D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63F21CF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4.3按照采购文件要求提交履约保证金； </w:t>
      </w:r>
    </w:p>
    <w:p w14:paraId="7BFFD39D">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4A0E2807">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2E82FBC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 xml:space="preserve">、其他补充说明: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7F74DC3">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供应商名称（电子签名）：                          </w:t>
      </w:r>
    </w:p>
    <w:p w14:paraId="6E6E2C7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5CDAFDA">
      <w:pPr>
        <w:snapToGrid w:val="0"/>
        <w:spacing w:line="360" w:lineRule="auto"/>
        <w:ind w:left="420" w:leftChars="200" w:firstLine="4200" w:firstLineChars="1750"/>
        <w:rPr>
          <w:rFonts w:ascii="宋体" w:hAnsi="宋体" w:cs="宋体"/>
          <w:color w:val="auto"/>
          <w:kern w:val="0"/>
          <w:sz w:val="24"/>
          <w:highlight w:val="none"/>
          <w:u w:val="single"/>
        </w:rPr>
      </w:pPr>
    </w:p>
    <w:p w14:paraId="5CC3895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6793DF4">
      <w:pPr>
        <w:snapToGrid w:val="0"/>
        <w:spacing w:line="360" w:lineRule="auto"/>
        <w:jc w:val="center"/>
        <w:rPr>
          <w:rFonts w:ascii="宋体" w:hAnsi="宋体" w:cs="宋体"/>
          <w:b/>
          <w:color w:val="auto"/>
          <w:kern w:val="0"/>
          <w:sz w:val="32"/>
          <w:szCs w:val="32"/>
          <w:highlight w:val="none"/>
        </w:rPr>
      </w:pPr>
    </w:p>
    <w:p w14:paraId="575A18AD">
      <w:pPr>
        <w:snapToGrid w:val="0"/>
        <w:spacing w:line="360" w:lineRule="auto"/>
        <w:rPr>
          <w:rFonts w:ascii="宋体" w:hAnsi="宋体" w:cs="宋体"/>
          <w:color w:val="auto"/>
          <w:sz w:val="24"/>
          <w:highlight w:val="none"/>
        </w:rPr>
      </w:pPr>
    </w:p>
    <w:p w14:paraId="3CEB5F15">
      <w:pPr>
        <w:jc w:val="center"/>
        <w:rPr>
          <w:rFonts w:ascii="宋体" w:hAnsi="宋体" w:cs="宋体"/>
          <w:b/>
          <w:color w:val="auto"/>
          <w:kern w:val="0"/>
          <w:sz w:val="32"/>
          <w:szCs w:val="32"/>
          <w:highlight w:val="none"/>
        </w:rPr>
      </w:pPr>
    </w:p>
    <w:p w14:paraId="293E1D2D">
      <w:pPr>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1EF537BE">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二、授权委托书或法定代表人（单位负责人、自然人本人）身份证明</w:t>
      </w:r>
    </w:p>
    <w:p w14:paraId="006BC0A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66EDAB60">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授权委托书（适用于非联合体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5016858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67F1BC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（项目名称）【项目编号：（采购编号）】</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35AC6AE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251E56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1BED06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38019BB7">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2DA7367E">
      <w:pPr>
        <w:snapToGrid w:val="0"/>
        <w:spacing w:line="360" w:lineRule="auto"/>
        <w:rPr>
          <w:rFonts w:ascii="宋体" w:hAnsi="宋体" w:cs="宋体"/>
          <w:color w:val="auto"/>
          <w:sz w:val="24"/>
          <w:highlight w:val="none"/>
        </w:rPr>
      </w:pPr>
    </w:p>
    <w:p w14:paraId="7A3FD01A">
      <w:pPr>
        <w:snapToGrid w:val="0"/>
        <w:spacing w:line="360" w:lineRule="auto"/>
        <w:rPr>
          <w:rFonts w:ascii="宋体" w:hAnsi="宋体" w:cs="宋体"/>
          <w:color w:val="auto"/>
          <w:sz w:val="24"/>
          <w:highlight w:val="none"/>
        </w:rPr>
      </w:pPr>
    </w:p>
    <w:p w14:paraId="664089D1">
      <w:pPr>
        <w:snapToGrid w:val="0"/>
        <w:spacing w:line="360" w:lineRule="auto"/>
        <w:rPr>
          <w:rFonts w:ascii="宋体" w:hAnsi="宋体" w:cs="宋体"/>
          <w:color w:val="auto"/>
          <w:sz w:val="24"/>
          <w:highlight w:val="none"/>
        </w:rPr>
      </w:pPr>
    </w:p>
    <w:p w14:paraId="0069B807">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5C11984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3E20071">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（项目名称）【项目编号：（采购编号）】</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3E1E2A8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A6F745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4006A1D">
      <w:pPr>
        <w:jc w:val="center"/>
        <w:rPr>
          <w:rFonts w:ascii="宋体" w:hAnsi="宋体" w:cs="宋体"/>
          <w:b/>
          <w:color w:val="auto"/>
          <w:kern w:val="0"/>
          <w:sz w:val="32"/>
          <w:szCs w:val="32"/>
          <w:highlight w:val="none"/>
        </w:rPr>
      </w:pPr>
    </w:p>
    <w:p w14:paraId="4EFF91B2">
      <w:pPr>
        <w:jc w:val="center"/>
        <w:rPr>
          <w:rFonts w:ascii="宋体" w:hAnsi="宋体" w:cs="宋体"/>
          <w:b/>
          <w:color w:val="auto"/>
          <w:kern w:val="0"/>
          <w:sz w:val="32"/>
          <w:szCs w:val="32"/>
          <w:highlight w:val="none"/>
        </w:rPr>
      </w:pPr>
    </w:p>
    <w:p w14:paraId="1B73AD52">
      <w:pPr>
        <w:jc w:val="center"/>
        <w:rPr>
          <w:rFonts w:ascii="宋体" w:hAnsi="宋体" w:cs="宋体"/>
          <w:b/>
          <w:color w:val="auto"/>
          <w:kern w:val="0"/>
          <w:sz w:val="32"/>
          <w:szCs w:val="32"/>
          <w:highlight w:val="none"/>
        </w:rPr>
      </w:pPr>
    </w:p>
    <w:p w14:paraId="36D3348E">
      <w:pPr>
        <w:rPr>
          <w:rFonts w:ascii="宋体" w:hAnsi="宋体" w:cs="宋体"/>
          <w:color w:val="auto"/>
          <w:highlight w:val="none"/>
        </w:rPr>
      </w:pPr>
    </w:p>
    <w:p w14:paraId="27479325">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527380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7348E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3DF20C5">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9070AC1">
      <w:pPr>
        <w:snapToGrid w:val="0"/>
        <w:jc w:val="center"/>
        <w:rPr>
          <w:rFonts w:hint="eastAsia" w:ascii="宋体" w:hAnsi="宋体" w:cs="宋体"/>
          <w:b/>
          <w:bCs/>
          <w:color w:val="auto"/>
          <w:sz w:val="32"/>
          <w:szCs w:val="32"/>
          <w:highlight w:val="none"/>
          <w:lang w:val="zh-CN"/>
        </w:rPr>
      </w:pPr>
    </w:p>
    <w:p w14:paraId="7503DE52">
      <w:pPr>
        <w:snapToGrid w:val="0"/>
        <w:jc w:val="center"/>
        <w:rPr>
          <w:rFonts w:hint="eastAsia" w:ascii="宋体" w:hAnsi="宋体" w:cs="宋体"/>
          <w:b/>
          <w:bCs/>
          <w:color w:val="auto"/>
          <w:sz w:val="32"/>
          <w:szCs w:val="32"/>
          <w:highlight w:val="none"/>
          <w:lang w:val="zh-CN"/>
        </w:rPr>
      </w:pPr>
    </w:p>
    <w:p w14:paraId="5913899A">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法定代表人、单位负责人或自然人本人</w:t>
      </w:r>
      <w:r>
        <w:rPr>
          <w:rFonts w:hint="eastAsia" w:ascii="宋体" w:hAnsi="宋体" w:cs="宋体"/>
          <w:b/>
          <w:bCs/>
          <w:color w:val="auto"/>
          <w:sz w:val="32"/>
          <w:szCs w:val="32"/>
          <w:highlight w:val="none"/>
        </w:rPr>
        <w:t>的身份证明（适用于法定代表人、单位负责人或者自然人本人代表供应商参加响应）</w:t>
      </w:r>
    </w:p>
    <w:p w14:paraId="13048319">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6E58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7FE4732">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05DD6DA9">
            <w:pPr>
              <w:pStyle w:val="149"/>
              <w:adjustRightInd w:val="0"/>
              <w:spacing w:line="360" w:lineRule="auto"/>
              <w:rPr>
                <w:rFonts w:hAnsi="宋体" w:cs="宋体"/>
                <w:bCs/>
                <w:color w:val="auto"/>
                <w:sz w:val="24"/>
                <w:highlight w:val="none"/>
              </w:rPr>
            </w:pPr>
          </w:p>
        </w:tc>
      </w:tr>
    </w:tbl>
    <w:p w14:paraId="79821AD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561CBC2">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16C75143">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76AC353">
      <w:pPr>
        <w:jc w:val="center"/>
        <w:rPr>
          <w:rFonts w:ascii="宋体" w:hAnsi="宋体" w:cs="宋体"/>
          <w:b/>
          <w:color w:val="auto"/>
          <w:kern w:val="0"/>
          <w:sz w:val="32"/>
          <w:szCs w:val="32"/>
          <w:highlight w:val="none"/>
        </w:rPr>
      </w:pPr>
    </w:p>
    <w:p w14:paraId="31AC59AB">
      <w:pPr>
        <w:jc w:val="center"/>
        <w:rPr>
          <w:rFonts w:ascii="宋体" w:hAnsi="宋体" w:cs="宋体"/>
          <w:b/>
          <w:color w:val="auto"/>
          <w:kern w:val="0"/>
          <w:sz w:val="32"/>
          <w:szCs w:val="32"/>
          <w:highlight w:val="none"/>
        </w:rPr>
      </w:pPr>
    </w:p>
    <w:p w14:paraId="06433F0C">
      <w:pPr>
        <w:jc w:val="center"/>
        <w:rPr>
          <w:rFonts w:ascii="宋体" w:hAnsi="宋体" w:cs="宋体"/>
          <w:b/>
          <w:color w:val="auto"/>
          <w:kern w:val="0"/>
          <w:sz w:val="32"/>
          <w:szCs w:val="32"/>
          <w:highlight w:val="none"/>
        </w:rPr>
      </w:pPr>
    </w:p>
    <w:p w14:paraId="6D46462B">
      <w:pPr>
        <w:jc w:val="center"/>
        <w:rPr>
          <w:rFonts w:ascii="宋体" w:hAnsi="宋体" w:cs="宋体"/>
          <w:b/>
          <w:color w:val="auto"/>
          <w:kern w:val="0"/>
          <w:sz w:val="32"/>
          <w:szCs w:val="32"/>
          <w:highlight w:val="none"/>
        </w:rPr>
      </w:pPr>
    </w:p>
    <w:p w14:paraId="64520BA0">
      <w:pPr>
        <w:jc w:val="center"/>
        <w:rPr>
          <w:rFonts w:ascii="宋体" w:hAnsi="宋体" w:cs="宋体"/>
          <w:b/>
          <w:color w:val="auto"/>
          <w:kern w:val="0"/>
          <w:sz w:val="32"/>
          <w:szCs w:val="32"/>
          <w:highlight w:val="none"/>
        </w:rPr>
      </w:pPr>
    </w:p>
    <w:p w14:paraId="5BFAF008">
      <w:pPr>
        <w:jc w:val="center"/>
        <w:rPr>
          <w:rFonts w:ascii="宋体" w:hAnsi="宋体" w:cs="宋体"/>
          <w:b/>
          <w:color w:val="auto"/>
          <w:kern w:val="0"/>
          <w:sz w:val="32"/>
          <w:szCs w:val="32"/>
          <w:highlight w:val="none"/>
        </w:rPr>
      </w:pPr>
    </w:p>
    <w:p w14:paraId="327C72FA">
      <w:pPr>
        <w:jc w:val="center"/>
        <w:rPr>
          <w:rFonts w:ascii="宋体" w:hAnsi="宋体" w:cs="宋体"/>
          <w:b/>
          <w:color w:val="auto"/>
          <w:kern w:val="0"/>
          <w:sz w:val="32"/>
          <w:szCs w:val="32"/>
          <w:highlight w:val="none"/>
        </w:rPr>
      </w:pPr>
    </w:p>
    <w:p w14:paraId="6768D3B9">
      <w:pPr>
        <w:jc w:val="center"/>
        <w:rPr>
          <w:rFonts w:ascii="宋体" w:hAnsi="宋体" w:cs="宋体"/>
          <w:b/>
          <w:color w:val="auto"/>
          <w:kern w:val="0"/>
          <w:sz w:val="32"/>
          <w:szCs w:val="32"/>
          <w:highlight w:val="none"/>
        </w:rPr>
      </w:pPr>
    </w:p>
    <w:p w14:paraId="5E8062F0">
      <w:pPr>
        <w:jc w:val="center"/>
        <w:rPr>
          <w:rFonts w:ascii="宋体" w:hAnsi="宋体" w:cs="宋体"/>
          <w:b/>
          <w:color w:val="auto"/>
          <w:kern w:val="0"/>
          <w:sz w:val="32"/>
          <w:szCs w:val="32"/>
          <w:highlight w:val="none"/>
        </w:rPr>
      </w:pPr>
    </w:p>
    <w:p w14:paraId="56407390">
      <w:pPr>
        <w:jc w:val="center"/>
        <w:rPr>
          <w:rFonts w:ascii="宋体" w:hAnsi="宋体" w:cs="宋体"/>
          <w:b/>
          <w:color w:val="auto"/>
          <w:kern w:val="0"/>
          <w:sz w:val="32"/>
          <w:szCs w:val="32"/>
          <w:highlight w:val="none"/>
        </w:rPr>
      </w:pPr>
    </w:p>
    <w:p w14:paraId="60F02B42">
      <w:pPr>
        <w:snapToGrid w:val="0"/>
        <w:spacing w:line="360" w:lineRule="auto"/>
        <w:ind w:right="480"/>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13240B9F">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三、分包意向协议</w:t>
      </w:r>
    </w:p>
    <w:p w14:paraId="1337EB2F">
      <w:pPr>
        <w:widowControl/>
        <w:spacing w:line="360" w:lineRule="auto"/>
        <w:ind w:firstLine="120" w:firstLineChars="50"/>
        <w:jc w:val="left"/>
        <w:rPr>
          <w:rFonts w:ascii="宋体" w:hAnsi="宋体" w:cs="宋体"/>
          <w:color w:val="auto"/>
          <w:sz w:val="24"/>
          <w:highlight w:val="none"/>
        </w:rPr>
      </w:pPr>
      <w:bookmarkStart w:id="613" w:name="_Hlk101169080"/>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；采购人不同意分包或者供应商成交后不以分包方式履行合同的，则不需要提供。</w:t>
      </w:r>
      <w:r>
        <w:rPr>
          <w:rFonts w:hint="eastAsia" w:ascii="宋体" w:hAnsi="宋体" w:cs="宋体"/>
          <w:color w:val="auto"/>
          <w:sz w:val="24"/>
          <w:highlight w:val="none"/>
        </w:rPr>
        <w:t>]</w:t>
      </w:r>
    </w:p>
    <w:bookmarkEnd w:id="613"/>
    <w:p w14:paraId="78460CAC">
      <w:pPr>
        <w:snapToGrid w:val="0"/>
        <w:spacing w:line="360" w:lineRule="auto"/>
        <w:rPr>
          <w:rFonts w:ascii="宋体" w:hAnsi="宋体" w:cs="宋体"/>
          <w:color w:val="auto"/>
          <w:kern w:val="0"/>
          <w:sz w:val="24"/>
          <w:highlight w:val="none"/>
        </w:rPr>
      </w:pPr>
    </w:p>
    <w:p w14:paraId="7CF35D5A">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四、符合性审查资料</w:t>
      </w:r>
    </w:p>
    <w:p w14:paraId="7A504A55">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6B16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ED4261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DEE7F5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3FBE011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01732BC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14:paraId="268F05A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46D79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1C2AD29">
            <w:pP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457EED15">
            <w:pPr>
              <w:spacing w:line="360" w:lineRule="auto"/>
              <w:rPr>
                <w:rFonts w:ascii="宋体" w:hAnsi="宋体" w:cs="宋体"/>
                <w:color w:val="auto"/>
                <w:sz w:val="24"/>
                <w:highlight w:val="none"/>
              </w:rPr>
            </w:pPr>
            <w:r>
              <w:rPr>
                <w:rFonts w:hint="eastAsia" w:ascii="宋体" w:hAnsi="宋体" w:cs="宋体"/>
                <w:color w:val="auto"/>
                <w:sz w:val="24"/>
                <w:highlight w:val="none"/>
              </w:rPr>
              <w:t>响应文件按照采购文件要求签署、盖章。</w:t>
            </w:r>
          </w:p>
        </w:tc>
        <w:tc>
          <w:tcPr>
            <w:tcW w:w="2551" w:type="dxa"/>
            <w:vAlign w:val="center"/>
          </w:tcPr>
          <w:p w14:paraId="60DAB515">
            <w:pP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vAlign w:val="center"/>
          </w:tcPr>
          <w:p w14:paraId="51114DDE">
            <w:pPr>
              <w:rPr>
                <w:rFonts w:ascii="宋体" w:hAnsi="宋体" w:cs="宋体"/>
                <w:color w:val="auto"/>
                <w:sz w:val="24"/>
                <w:highlight w:val="none"/>
              </w:rPr>
            </w:pPr>
            <w:r>
              <w:rPr>
                <w:rFonts w:hint="eastAsia" w:ascii="宋体" w:hAnsi="宋体" w:cs="宋体"/>
                <w:color w:val="auto"/>
                <w:sz w:val="24"/>
                <w:highlight w:val="none"/>
              </w:rPr>
              <w:t>见响应文件</w:t>
            </w:r>
          </w:p>
          <w:p w14:paraId="1904B3DF">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BDD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D4321B1">
            <w:pPr>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14:paraId="39A32E06">
            <w:pPr>
              <w:spacing w:line="360" w:lineRule="auto"/>
              <w:rPr>
                <w:rFonts w:ascii="宋体" w:hAnsi="宋体" w:cs="宋体"/>
                <w:color w:val="auto"/>
                <w:sz w:val="24"/>
                <w:highlight w:val="none"/>
              </w:rPr>
            </w:pPr>
            <w:r>
              <w:rPr>
                <w:rFonts w:hint="eastAsia" w:ascii="宋体" w:hAnsi="宋体" w:cs="宋体"/>
                <w:color w:val="auto"/>
                <w:sz w:val="24"/>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66614168">
            <w:pPr>
              <w:rPr>
                <w:rFonts w:ascii="宋体" w:hAnsi="宋体" w:cs="宋体"/>
                <w:color w:val="auto"/>
                <w:sz w:val="24"/>
                <w:highlight w:val="none"/>
              </w:rPr>
            </w:pPr>
            <w:r>
              <w:rPr>
                <w:rFonts w:hint="eastAsia" w:ascii="宋体" w:hAnsi="宋体" w:cs="宋体"/>
                <w:color w:val="auto"/>
                <w:sz w:val="24"/>
                <w:highlight w:val="none"/>
              </w:rPr>
              <w:t>节能产品认证证书（本项目拟采购的产品不属于政府强制采购的节能产品品目清单范围的，无需提供）</w:t>
            </w:r>
          </w:p>
        </w:tc>
        <w:tc>
          <w:tcPr>
            <w:tcW w:w="1418" w:type="dxa"/>
            <w:vAlign w:val="center"/>
          </w:tcPr>
          <w:p w14:paraId="1B774F87">
            <w:pPr>
              <w:rPr>
                <w:rFonts w:ascii="宋体" w:hAnsi="宋体" w:cs="宋体"/>
                <w:color w:val="auto"/>
                <w:sz w:val="24"/>
                <w:highlight w:val="none"/>
              </w:rPr>
            </w:pPr>
            <w:r>
              <w:rPr>
                <w:rFonts w:hint="eastAsia" w:ascii="宋体" w:hAnsi="宋体" w:cs="宋体"/>
                <w:color w:val="auto"/>
                <w:sz w:val="24"/>
                <w:highlight w:val="none"/>
              </w:rPr>
              <w:t>见响应文件</w:t>
            </w:r>
          </w:p>
          <w:p w14:paraId="103737EE">
            <w:pPr>
              <w:pStyle w:val="3"/>
              <w:jc w:val="both"/>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p>
        </w:tc>
      </w:tr>
      <w:tr w14:paraId="7A3FB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4B6B0B9">
            <w:pP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14:paraId="38A8736B">
            <w:pPr>
              <w:spacing w:line="360" w:lineRule="auto"/>
              <w:rPr>
                <w:rFonts w:ascii="宋体" w:hAnsi="宋体" w:cs="宋体"/>
                <w:color w:val="auto"/>
                <w:sz w:val="24"/>
                <w:highlight w:val="none"/>
              </w:rPr>
            </w:pPr>
            <w:r>
              <w:rPr>
                <w:rFonts w:hint="eastAsia" w:ascii="宋体" w:hAnsi="宋体" w:cs="宋体"/>
                <w:color w:val="auto"/>
                <w:sz w:val="24"/>
                <w:highlight w:val="none"/>
              </w:rPr>
              <w:t>响应文件中承诺的响应文件有效期不少于采购文件中载明的响应文件有效期。</w:t>
            </w:r>
          </w:p>
        </w:tc>
        <w:tc>
          <w:tcPr>
            <w:tcW w:w="2551" w:type="dxa"/>
            <w:vAlign w:val="center"/>
          </w:tcPr>
          <w:p w14:paraId="430C54D5">
            <w:pPr>
              <w:rPr>
                <w:rFonts w:ascii="宋体" w:hAnsi="宋体" w:cs="宋体"/>
                <w:color w:val="auto"/>
                <w:sz w:val="24"/>
                <w:highlight w:val="none"/>
              </w:rPr>
            </w:pPr>
            <w:r>
              <w:rPr>
                <w:rFonts w:hint="eastAsia" w:ascii="宋体" w:hAnsi="宋体" w:cs="宋体"/>
                <w:color w:val="auto"/>
                <w:sz w:val="24"/>
                <w:highlight w:val="none"/>
              </w:rPr>
              <w:t>响应函</w:t>
            </w:r>
          </w:p>
        </w:tc>
        <w:tc>
          <w:tcPr>
            <w:tcW w:w="1418" w:type="dxa"/>
            <w:vAlign w:val="center"/>
          </w:tcPr>
          <w:p w14:paraId="5444BA53">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D763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9B8EEAC">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4</w:t>
            </w:r>
          </w:p>
        </w:tc>
        <w:tc>
          <w:tcPr>
            <w:tcW w:w="4991" w:type="dxa"/>
            <w:vAlign w:val="top"/>
          </w:tcPr>
          <w:p w14:paraId="3F10BC8E">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64C95335">
            <w:pPr>
              <w:rPr>
                <w:rFonts w:ascii="宋体" w:hAnsi="宋体" w:cs="宋体"/>
                <w:color w:val="auto"/>
                <w:sz w:val="24"/>
                <w:highlight w:val="none"/>
              </w:rPr>
            </w:pPr>
            <w:r>
              <w:rPr>
                <w:rFonts w:hint="eastAsia" w:ascii="宋体" w:hAnsi="宋体" w:cs="宋体"/>
                <w:color w:val="auto"/>
                <w:kern w:val="0"/>
                <w:sz w:val="24"/>
                <w:highlight w:val="none"/>
              </w:rPr>
              <w:t>采购文件其它实质性要求相应的材料（“▲” 系指实质性要求条款，采购文件无其它实质性要求的，无需提供）</w:t>
            </w:r>
          </w:p>
        </w:tc>
        <w:tc>
          <w:tcPr>
            <w:tcW w:w="1418" w:type="dxa"/>
            <w:vAlign w:val="center"/>
          </w:tcPr>
          <w:p w14:paraId="2E129498">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8596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F9C4D1B">
            <w:pPr>
              <w:jc w:val="center"/>
              <w:rPr>
                <w:rFonts w:hint="eastAsia" w:ascii="宋体" w:hAnsi="宋体" w:cs="宋体"/>
                <w:color w:val="auto"/>
                <w:sz w:val="24"/>
                <w:highlight w:val="none"/>
              </w:rPr>
            </w:pPr>
            <w:r>
              <w:rPr>
                <w:rFonts w:hint="eastAsia" w:ascii="宋体" w:hAnsi="宋体" w:cs="宋体"/>
                <w:b w:val="0"/>
                <w:bCs w:val="0"/>
                <w:color w:val="auto"/>
                <w:sz w:val="24"/>
                <w:highlight w:val="none"/>
                <w:lang w:val="en-US" w:eastAsia="zh-CN"/>
              </w:rPr>
              <w:t>5</w:t>
            </w:r>
          </w:p>
        </w:tc>
        <w:tc>
          <w:tcPr>
            <w:tcW w:w="4991" w:type="dxa"/>
            <w:vAlign w:val="top"/>
          </w:tcPr>
          <w:p w14:paraId="6E4C030D">
            <w:pPr>
              <w:spacing w:line="360" w:lineRule="auto"/>
              <w:rPr>
                <w:rFonts w:hint="eastAsia"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66361DEA">
            <w:pPr>
              <w:rPr>
                <w:rFonts w:hint="eastAsia" w:ascii="宋体" w:hAnsi="宋体" w:cs="宋体"/>
                <w:color w:val="auto"/>
                <w:kern w:val="0"/>
                <w:sz w:val="24"/>
                <w:highlight w:val="none"/>
              </w:rPr>
            </w:pPr>
          </w:p>
        </w:tc>
        <w:tc>
          <w:tcPr>
            <w:tcW w:w="1418" w:type="dxa"/>
            <w:vAlign w:val="center"/>
          </w:tcPr>
          <w:p w14:paraId="4AD41BDA">
            <w:pPr>
              <w:rPr>
                <w:rFonts w:hint="eastAsia" w:ascii="宋体" w:hAnsi="宋体" w:cs="宋体"/>
                <w:color w:val="auto"/>
                <w:sz w:val="24"/>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280A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1E776A">
            <w:pPr>
              <w:jc w:val="center"/>
              <w:rPr>
                <w:rFonts w:hint="eastAsia"/>
                <w:color w:val="auto"/>
                <w:highlight w:val="none"/>
              </w:rPr>
            </w:pPr>
            <w:r>
              <w:rPr>
                <w:rFonts w:hint="eastAsia" w:ascii="宋体" w:hAnsi="宋体" w:cs="宋体"/>
                <w:color w:val="auto"/>
                <w:kern w:val="0"/>
                <w:sz w:val="24"/>
                <w:highlight w:val="none"/>
              </w:rPr>
              <w:t>……</w:t>
            </w:r>
          </w:p>
        </w:tc>
        <w:tc>
          <w:tcPr>
            <w:tcW w:w="4991" w:type="dxa"/>
            <w:vAlign w:val="top"/>
          </w:tcPr>
          <w:p w14:paraId="47AADD3C">
            <w:pPr>
              <w:spacing w:line="360" w:lineRule="auto"/>
              <w:rPr>
                <w:rFonts w:hint="eastAsia"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6FBBB7FD">
            <w:pPr>
              <w:rPr>
                <w:rFonts w:hint="eastAsia" w:ascii="宋体" w:hAnsi="宋体" w:cs="宋体"/>
                <w:color w:val="auto"/>
                <w:kern w:val="0"/>
                <w:sz w:val="24"/>
                <w:highlight w:val="none"/>
              </w:rPr>
            </w:pPr>
          </w:p>
        </w:tc>
        <w:tc>
          <w:tcPr>
            <w:tcW w:w="1418" w:type="dxa"/>
            <w:vAlign w:val="center"/>
          </w:tcPr>
          <w:p w14:paraId="20BCB9CE">
            <w:pPr>
              <w:rPr>
                <w:rFonts w:hint="eastAsia" w:ascii="宋体" w:hAnsi="宋体" w:cs="宋体"/>
                <w:color w:val="auto"/>
                <w:sz w:val="24"/>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B84B28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16AD3F3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文件中实质性要求必须明确响应。</w:t>
      </w:r>
    </w:p>
    <w:p w14:paraId="189261D7">
      <w:pPr>
        <w:pStyle w:val="79"/>
        <w:rPr>
          <w:color w:val="auto"/>
          <w:highlight w:val="none"/>
        </w:rPr>
      </w:pPr>
    </w:p>
    <w:p w14:paraId="69CC33B6">
      <w:pPr>
        <w:jc w:val="center"/>
        <w:rPr>
          <w:rFonts w:ascii="宋体" w:hAnsi="宋体" w:cs="宋体"/>
          <w:b/>
          <w:color w:val="auto"/>
          <w:kern w:val="0"/>
          <w:sz w:val="32"/>
          <w:szCs w:val="32"/>
          <w:highlight w:val="none"/>
        </w:rPr>
      </w:pPr>
    </w:p>
    <w:p w14:paraId="26266A54">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1CEA579B">
      <w:pPr>
        <w:jc w:val="center"/>
        <w:rPr>
          <w:rFonts w:ascii="宋体" w:hAnsi="宋体" w:cs="宋体"/>
          <w:b/>
          <w:color w:val="auto"/>
          <w:kern w:val="0"/>
          <w:sz w:val="32"/>
          <w:szCs w:val="32"/>
          <w:highlight w:val="none"/>
        </w:rPr>
      </w:pPr>
    </w:p>
    <w:p w14:paraId="574CD4B3">
      <w:pPr>
        <w:jc w:val="center"/>
        <w:rPr>
          <w:rFonts w:ascii="宋体" w:hAnsi="宋体" w:cs="宋体"/>
          <w:b/>
          <w:color w:val="auto"/>
          <w:kern w:val="0"/>
          <w:sz w:val="32"/>
          <w:szCs w:val="32"/>
          <w:highlight w:val="none"/>
        </w:rPr>
      </w:pPr>
    </w:p>
    <w:p w14:paraId="32105FB2">
      <w:pPr>
        <w:jc w:val="center"/>
        <w:rPr>
          <w:rFonts w:ascii="宋体" w:hAnsi="宋体" w:cs="宋体"/>
          <w:b/>
          <w:color w:val="auto"/>
          <w:kern w:val="0"/>
          <w:sz w:val="32"/>
          <w:szCs w:val="32"/>
          <w:highlight w:val="none"/>
        </w:rPr>
      </w:pPr>
    </w:p>
    <w:p w14:paraId="2FE72B19">
      <w:pPr>
        <w:jc w:val="center"/>
        <w:rPr>
          <w:rFonts w:ascii="宋体" w:hAnsi="宋体" w:cs="宋体"/>
          <w:b/>
          <w:color w:val="auto"/>
          <w:kern w:val="0"/>
          <w:sz w:val="32"/>
          <w:szCs w:val="32"/>
          <w:highlight w:val="none"/>
        </w:rPr>
      </w:pPr>
    </w:p>
    <w:p w14:paraId="3858EEE1">
      <w:pPr>
        <w:jc w:val="center"/>
        <w:rPr>
          <w:rFonts w:ascii="宋体" w:hAnsi="宋体" w:cs="宋体"/>
          <w:b/>
          <w:color w:val="auto"/>
          <w:kern w:val="0"/>
          <w:sz w:val="32"/>
          <w:szCs w:val="32"/>
          <w:highlight w:val="none"/>
        </w:rPr>
      </w:pPr>
    </w:p>
    <w:p w14:paraId="611C3AC8">
      <w:pPr>
        <w:jc w:val="center"/>
        <w:rPr>
          <w:rFonts w:ascii="宋体" w:hAnsi="宋体" w:cs="宋体"/>
          <w:b/>
          <w:color w:val="auto"/>
          <w:kern w:val="0"/>
          <w:sz w:val="32"/>
          <w:szCs w:val="32"/>
          <w:highlight w:val="none"/>
        </w:rPr>
      </w:pPr>
    </w:p>
    <w:p w14:paraId="3D23DD20">
      <w:pPr>
        <w:jc w:val="center"/>
        <w:rPr>
          <w:rFonts w:ascii="宋体" w:hAnsi="宋体" w:cs="宋体"/>
          <w:b/>
          <w:color w:val="auto"/>
          <w:kern w:val="0"/>
          <w:sz w:val="32"/>
          <w:szCs w:val="32"/>
          <w:highlight w:val="none"/>
        </w:rPr>
      </w:pPr>
    </w:p>
    <w:p w14:paraId="602F4DE8">
      <w:pPr>
        <w:jc w:val="center"/>
        <w:rPr>
          <w:rFonts w:ascii="宋体" w:hAnsi="宋体" w:cs="宋体"/>
          <w:b/>
          <w:color w:val="auto"/>
          <w:kern w:val="0"/>
          <w:sz w:val="32"/>
          <w:szCs w:val="32"/>
          <w:highlight w:val="none"/>
        </w:rPr>
      </w:pPr>
    </w:p>
    <w:p w14:paraId="433571D5">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五、评审标准相应的商务技术资料</w:t>
      </w:r>
    </w:p>
    <w:p w14:paraId="0A5B20DD">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（按采购文件第四部分评审办法前附表中“响应文件中评审标准相应的商务技术资料目录”提供资料。）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31790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57DFF8C">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11F06358">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lang w:eastAsia="zh-CN"/>
              </w:rPr>
              <w:t>响应</w:t>
            </w:r>
            <w:r>
              <w:rPr>
                <w:rFonts w:hint="eastAsia" w:cs="仿宋_GB2312" w:asciiTheme="minorEastAsia" w:hAnsiTheme="minorEastAsia" w:eastAsiaTheme="minorEastAsia"/>
                <w:b w:val="0"/>
                <w:bCs/>
                <w:color w:val="auto"/>
                <w:sz w:val="24"/>
                <w:highlight w:val="none"/>
              </w:rPr>
              <w:t>文件中评标标准相应的商务技术资料目录*</w:t>
            </w:r>
          </w:p>
        </w:tc>
        <w:tc>
          <w:tcPr>
            <w:tcW w:w="3046" w:type="dxa"/>
          </w:tcPr>
          <w:p w14:paraId="56B0D8B0">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lang w:eastAsia="zh-CN"/>
              </w:rPr>
              <w:t>响应</w:t>
            </w:r>
            <w:r>
              <w:rPr>
                <w:rFonts w:hint="eastAsia" w:ascii="宋体" w:hAnsi="宋体" w:cs="宋体"/>
                <w:b w:val="0"/>
                <w:bCs/>
                <w:color w:val="auto"/>
                <w:sz w:val="24"/>
                <w:highlight w:val="none"/>
              </w:rPr>
              <w:t>文件中的页码位置</w:t>
            </w:r>
          </w:p>
        </w:tc>
      </w:tr>
      <w:tr w14:paraId="2D34F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C6B25BC">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5FBBD284">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5282E27">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w:t>
            </w:r>
            <w:r>
              <w:rPr>
                <w:rFonts w:hint="eastAsia" w:ascii="宋体" w:hAnsi="宋体" w:cs="宋体"/>
                <w:b w:val="0"/>
                <w:bCs/>
                <w:color w:val="auto"/>
                <w:sz w:val="24"/>
                <w:highlight w:val="none"/>
                <w:lang w:eastAsia="zh-CN"/>
              </w:rPr>
              <w:t>响应</w:t>
            </w:r>
            <w:r>
              <w:rPr>
                <w:rFonts w:hint="eastAsia" w:ascii="宋体" w:hAnsi="宋体" w:cs="宋体"/>
                <w:b w:val="0"/>
                <w:bCs/>
                <w:color w:val="auto"/>
                <w:sz w:val="24"/>
                <w:highlight w:val="none"/>
              </w:rPr>
              <w:t>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57644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38A6689">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1A8D5E2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6D7B23A3">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w:t>
            </w:r>
            <w:r>
              <w:rPr>
                <w:rFonts w:hint="eastAsia" w:ascii="宋体" w:hAnsi="宋体" w:cs="宋体"/>
                <w:b w:val="0"/>
                <w:bCs/>
                <w:color w:val="auto"/>
                <w:sz w:val="24"/>
                <w:highlight w:val="none"/>
                <w:lang w:eastAsia="zh-CN"/>
              </w:rPr>
              <w:t>响应</w:t>
            </w:r>
            <w:r>
              <w:rPr>
                <w:rFonts w:hint="eastAsia" w:ascii="宋体" w:hAnsi="宋体" w:cs="宋体"/>
                <w:b w:val="0"/>
                <w:bCs/>
                <w:color w:val="auto"/>
                <w:sz w:val="24"/>
                <w:highlight w:val="none"/>
              </w:rPr>
              <w:t>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AEA4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83AD15F">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BE6CB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5A2EE10">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w:t>
            </w:r>
            <w:r>
              <w:rPr>
                <w:rFonts w:hint="eastAsia" w:ascii="宋体" w:hAnsi="宋体" w:cs="宋体"/>
                <w:b w:val="0"/>
                <w:bCs/>
                <w:color w:val="auto"/>
                <w:sz w:val="24"/>
                <w:highlight w:val="none"/>
                <w:lang w:eastAsia="zh-CN"/>
              </w:rPr>
              <w:t>响应</w:t>
            </w:r>
            <w:r>
              <w:rPr>
                <w:rFonts w:hint="eastAsia" w:ascii="宋体" w:hAnsi="宋体" w:cs="宋体"/>
                <w:b w:val="0"/>
                <w:bCs/>
                <w:color w:val="auto"/>
                <w:sz w:val="24"/>
                <w:highlight w:val="none"/>
              </w:rPr>
              <w:t>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23C8A57">
      <w:pPr>
        <w:jc w:val="center"/>
        <w:rPr>
          <w:rFonts w:ascii="宋体" w:hAnsi="宋体" w:cs="宋体"/>
          <w:b/>
          <w:color w:val="auto"/>
          <w:kern w:val="0"/>
          <w:sz w:val="32"/>
          <w:szCs w:val="32"/>
          <w:highlight w:val="none"/>
        </w:rPr>
      </w:pPr>
    </w:p>
    <w:p w14:paraId="1BF7E7E8">
      <w:pPr>
        <w:jc w:val="center"/>
        <w:rPr>
          <w:rFonts w:ascii="宋体" w:hAnsi="宋体" w:cs="宋体"/>
          <w:b/>
          <w:color w:val="auto"/>
          <w:kern w:val="0"/>
          <w:sz w:val="32"/>
          <w:szCs w:val="32"/>
          <w:highlight w:val="none"/>
        </w:rPr>
      </w:pPr>
    </w:p>
    <w:p w14:paraId="7E5C7E9A">
      <w:pPr>
        <w:jc w:val="center"/>
        <w:rPr>
          <w:rFonts w:ascii="宋体" w:hAnsi="宋体" w:cs="宋体"/>
          <w:b/>
          <w:color w:val="auto"/>
          <w:kern w:val="0"/>
          <w:sz w:val="32"/>
          <w:szCs w:val="32"/>
          <w:highlight w:val="none"/>
        </w:rPr>
      </w:pPr>
    </w:p>
    <w:p w14:paraId="44201491">
      <w:pPr>
        <w:jc w:val="center"/>
        <w:rPr>
          <w:rFonts w:ascii="宋体" w:hAnsi="宋体" w:cs="宋体"/>
          <w:b/>
          <w:color w:val="auto"/>
          <w:kern w:val="0"/>
          <w:sz w:val="32"/>
          <w:szCs w:val="32"/>
          <w:highlight w:val="none"/>
        </w:rPr>
      </w:pPr>
    </w:p>
    <w:p w14:paraId="4B09B182">
      <w:pPr>
        <w:jc w:val="center"/>
        <w:rPr>
          <w:rFonts w:ascii="宋体" w:hAnsi="宋体" w:cs="宋体"/>
          <w:b/>
          <w:color w:val="auto"/>
          <w:kern w:val="0"/>
          <w:sz w:val="32"/>
          <w:szCs w:val="32"/>
          <w:highlight w:val="none"/>
        </w:rPr>
      </w:pPr>
    </w:p>
    <w:p w14:paraId="0C0D62C4">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8455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A0834AF">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16B2D0F">
            <w:pPr>
              <w:jc w:val="center"/>
              <w:rPr>
                <w:rFonts w:ascii="宋体" w:hAnsi="宋体" w:cs="宋体"/>
                <w:b/>
                <w:bCs/>
                <w:color w:val="auto"/>
                <w:sz w:val="24"/>
                <w:highlight w:val="none"/>
              </w:rPr>
            </w:pPr>
            <w:r>
              <w:rPr>
                <w:rFonts w:hint="eastAsia" w:ascii="宋体" w:hAnsi="宋体" w:cs="宋体"/>
                <w:b/>
                <w:bCs/>
                <w:color w:val="auto"/>
                <w:sz w:val="24"/>
                <w:highlight w:val="none"/>
              </w:rPr>
              <w:t>采购文件章节及具体内容</w:t>
            </w:r>
          </w:p>
        </w:tc>
        <w:tc>
          <w:tcPr>
            <w:tcW w:w="3546" w:type="dxa"/>
          </w:tcPr>
          <w:p w14:paraId="2152CC45">
            <w:pP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14:paraId="0982083F">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4B333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992E8F7">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001B53F7">
            <w:pPr>
              <w:jc w:val="center"/>
              <w:rPr>
                <w:rFonts w:ascii="宋体" w:hAnsi="宋体" w:cs="宋体"/>
                <w:b/>
                <w:color w:val="auto"/>
                <w:kern w:val="0"/>
                <w:sz w:val="32"/>
                <w:szCs w:val="32"/>
                <w:highlight w:val="none"/>
              </w:rPr>
            </w:pPr>
          </w:p>
        </w:tc>
        <w:tc>
          <w:tcPr>
            <w:tcW w:w="3546" w:type="dxa"/>
          </w:tcPr>
          <w:p w14:paraId="21E43F1F">
            <w:pPr>
              <w:jc w:val="center"/>
              <w:rPr>
                <w:rFonts w:ascii="宋体" w:hAnsi="宋体" w:cs="宋体"/>
                <w:b/>
                <w:color w:val="auto"/>
                <w:kern w:val="0"/>
                <w:sz w:val="32"/>
                <w:szCs w:val="32"/>
                <w:highlight w:val="none"/>
              </w:rPr>
            </w:pPr>
          </w:p>
        </w:tc>
        <w:tc>
          <w:tcPr>
            <w:tcW w:w="1276" w:type="dxa"/>
          </w:tcPr>
          <w:p w14:paraId="148377FE">
            <w:pPr>
              <w:jc w:val="center"/>
              <w:rPr>
                <w:rFonts w:ascii="宋体" w:hAnsi="宋体" w:cs="宋体"/>
                <w:b/>
                <w:color w:val="auto"/>
                <w:kern w:val="0"/>
                <w:sz w:val="32"/>
                <w:szCs w:val="32"/>
                <w:highlight w:val="none"/>
              </w:rPr>
            </w:pPr>
          </w:p>
        </w:tc>
      </w:tr>
      <w:tr w14:paraId="6A9AE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C7AF839">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015EBF5F">
            <w:pPr>
              <w:jc w:val="center"/>
              <w:rPr>
                <w:rFonts w:ascii="宋体" w:hAnsi="宋体" w:cs="宋体"/>
                <w:b/>
                <w:color w:val="auto"/>
                <w:kern w:val="0"/>
                <w:sz w:val="32"/>
                <w:szCs w:val="32"/>
                <w:highlight w:val="none"/>
              </w:rPr>
            </w:pPr>
          </w:p>
        </w:tc>
        <w:tc>
          <w:tcPr>
            <w:tcW w:w="3546" w:type="dxa"/>
          </w:tcPr>
          <w:p w14:paraId="50380F21">
            <w:pPr>
              <w:jc w:val="center"/>
              <w:rPr>
                <w:rFonts w:ascii="宋体" w:hAnsi="宋体" w:cs="宋体"/>
                <w:b/>
                <w:color w:val="auto"/>
                <w:kern w:val="0"/>
                <w:sz w:val="32"/>
                <w:szCs w:val="32"/>
                <w:highlight w:val="none"/>
              </w:rPr>
            </w:pPr>
          </w:p>
        </w:tc>
        <w:tc>
          <w:tcPr>
            <w:tcW w:w="1276" w:type="dxa"/>
          </w:tcPr>
          <w:p w14:paraId="0742FC2D">
            <w:pPr>
              <w:jc w:val="center"/>
              <w:rPr>
                <w:rFonts w:ascii="宋体" w:hAnsi="宋体" w:cs="宋体"/>
                <w:b/>
                <w:color w:val="auto"/>
                <w:kern w:val="0"/>
                <w:sz w:val="32"/>
                <w:szCs w:val="32"/>
                <w:highlight w:val="none"/>
              </w:rPr>
            </w:pPr>
          </w:p>
        </w:tc>
      </w:tr>
      <w:tr w14:paraId="1438D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446EFB3">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D868463">
            <w:pPr>
              <w:jc w:val="center"/>
              <w:rPr>
                <w:rFonts w:ascii="宋体" w:hAnsi="宋体" w:cs="宋体"/>
                <w:b/>
                <w:color w:val="auto"/>
                <w:kern w:val="0"/>
                <w:sz w:val="32"/>
                <w:szCs w:val="32"/>
                <w:highlight w:val="none"/>
              </w:rPr>
            </w:pPr>
          </w:p>
        </w:tc>
        <w:tc>
          <w:tcPr>
            <w:tcW w:w="3546" w:type="dxa"/>
          </w:tcPr>
          <w:p w14:paraId="312C83F0">
            <w:pPr>
              <w:jc w:val="center"/>
              <w:rPr>
                <w:rFonts w:ascii="宋体" w:hAnsi="宋体" w:cs="宋体"/>
                <w:b/>
                <w:color w:val="auto"/>
                <w:kern w:val="0"/>
                <w:sz w:val="32"/>
                <w:szCs w:val="32"/>
                <w:highlight w:val="none"/>
              </w:rPr>
            </w:pPr>
          </w:p>
        </w:tc>
        <w:tc>
          <w:tcPr>
            <w:tcW w:w="1276" w:type="dxa"/>
          </w:tcPr>
          <w:p w14:paraId="22536C21">
            <w:pPr>
              <w:jc w:val="center"/>
              <w:rPr>
                <w:rFonts w:ascii="宋体" w:hAnsi="宋体" w:cs="宋体"/>
                <w:b/>
                <w:color w:val="auto"/>
                <w:kern w:val="0"/>
                <w:sz w:val="32"/>
                <w:szCs w:val="32"/>
                <w:highlight w:val="none"/>
              </w:rPr>
            </w:pPr>
          </w:p>
        </w:tc>
      </w:tr>
    </w:tbl>
    <w:p w14:paraId="781432C6">
      <w:pPr>
        <w:jc w:val="left"/>
        <w:rPr>
          <w:rFonts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供应商保证：除商务技术偏离表列出的偏离外，供应商响应采购文件的全部要求</w:t>
      </w:r>
    </w:p>
    <w:p w14:paraId="60BB50FA">
      <w:pPr>
        <w:jc w:val="center"/>
        <w:rPr>
          <w:rFonts w:ascii="宋体" w:hAnsi="宋体" w:cs="宋体"/>
          <w:b/>
          <w:color w:val="auto"/>
          <w:kern w:val="0"/>
          <w:sz w:val="32"/>
          <w:szCs w:val="32"/>
          <w:highlight w:val="none"/>
        </w:rPr>
      </w:pPr>
    </w:p>
    <w:p w14:paraId="11571757">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2AF678E6">
      <w:pPr>
        <w:pStyle w:val="7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2.本表格所反映的偏离情况与“符合性审查资料”、“评标标准相应的商务技术资料”不一致的，以“符合性审查资料”、“评标标准相应的商务技术资料”为准。</w:t>
      </w:r>
    </w:p>
    <w:p w14:paraId="25A82AF3">
      <w:pPr>
        <w:pStyle w:val="7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3.投标人须保证：除商务技术偏离表列出的偏离外，投标人响应招标文件的全部非实质性要求。</w:t>
      </w:r>
    </w:p>
    <w:p w14:paraId="4EA723EB">
      <w:pPr>
        <w:spacing w:line="360" w:lineRule="auto"/>
        <w:ind w:right="420"/>
        <w:rPr>
          <w:rFonts w:ascii="宋体" w:hAnsi="宋体" w:cs="宋体"/>
          <w:color w:val="auto"/>
          <w:sz w:val="24"/>
          <w:highlight w:val="none"/>
        </w:rPr>
      </w:pPr>
    </w:p>
    <w:p w14:paraId="0ECBEF48">
      <w:pPr>
        <w:ind w:firstLine="1911" w:firstLineChars="595"/>
        <w:rPr>
          <w:rFonts w:ascii="宋体" w:hAnsi="宋体" w:cs="宋体"/>
          <w:b/>
          <w:bCs/>
          <w:color w:val="auto"/>
          <w:sz w:val="32"/>
          <w:szCs w:val="32"/>
          <w:highlight w:val="none"/>
        </w:rPr>
        <w:sectPr>
          <w:footerReference r:id="rId13" w:type="first"/>
          <w:footerReference r:id="rId12" w:type="default"/>
          <w:pgSz w:w="11906" w:h="16838"/>
          <w:pgMar w:top="1440" w:right="1080" w:bottom="1440" w:left="1080" w:header="851" w:footer="992" w:gutter="0"/>
          <w:cols w:space="720" w:num="1"/>
          <w:titlePg/>
          <w:docGrid w:linePitch="312" w:charSpace="0"/>
        </w:sectPr>
      </w:pPr>
    </w:p>
    <w:p w14:paraId="650D8727">
      <w:pPr>
        <w:snapToGrid w:val="0"/>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35B8347">
      <w:pPr>
        <w:snapToGrid w:val="0"/>
        <w:spacing w:line="360" w:lineRule="auto"/>
        <w:rPr>
          <w:rFonts w:ascii="宋体" w:hAnsi="宋体" w:cs="宋体"/>
          <w:color w:val="auto"/>
          <w:sz w:val="24"/>
          <w:highlight w:val="none"/>
        </w:rPr>
      </w:pPr>
    </w:p>
    <w:p w14:paraId="1DEA6C9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82FDD2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6780532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165E742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6EBB8C5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86ABC7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1EC0C73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14:paraId="3F86F26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36DA8A6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19CA9DE1">
      <w:pPr>
        <w:autoSpaceDE w:val="0"/>
        <w:autoSpaceDN w:val="0"/>
        <w:spacing w:line="360" w:lineRule="auto"/>
        <w:ind w:left="2"/>
        <w:jc w:val="left"/>
        <w:rPr>
          <w:rFonts w:ascii="宋体" w:hAnsi="宋体" w:cs="宋体"/>
          <w:color w:val="auto"/>
          <w:kern w:val="0"/>
          <w:sz w:val="24"/>
          <w:highlight w:val="none"/>
          <w:lang w:val="zh-CN"/>
        </w:rPr>
      </w:pPr>
    </w:p>
    <w:p w14:paraId="39023F8C">
      <w:pPr>
        <w:autoSpaceDE w:val="0"/>
        <w:autoSpaceDN w:val="0"/>
        <w:spacing w:line="360" w:lineRule="auto"/>
        <w:ind w:left="2"/>
        <w:jc w:val="left"/>
        <w:rPr>
          <w:rFonts w:ascii="宋体" w:hAnsi="宋体" w:cs="宋体"/>
          <w:color w:val="auto"/>
          <w:kern w:val="0"/>
          <w:sz w:val="24"/>
          <w:highlight w:val="none"/>
          <w:lang w:val="zh-CN"/>
        </w:rPr>
      </w:pPr>
    </w:p>
    <w:p w14:paraId="19A22D62">
      <w:pPr>
        <w:autoSpaceDE w:val="0"/>
        <w:autoSpaceDN w:val="0"/>
        <w:spacing w:line="360" w:lineRule="auto"/>
        <w:ind w:left="2"/>
        <w:jc w:val="left"/>
        <w:rPr>
          <w:rFonts w:ascii="宋体" w:hAnsi="宋体" w:cs="宋体"/>
          <w:color w:val="auto"/>
          <w:kern w:val="0"/>
          <w:sz w:val="24"/>
          <w:highlight w:val="none"/>
          <w:lang w:val="zh-CN"/>
        </w:rPr>
      </w:pPr>
    </w:p>
    <w:p w14:paraId="6EC4271B">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1464BB79">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15892C57">
      <w:pPr>
        <w:spacing w:line="360" w:lineRule="auto"/>
        <w:jc w:val="center"/>
        <w:rPr>
          <w:rFonts w:ascii="宋体" w:hAnsi="宋体" w:cs="宋体"/>
          <w:b/>
          <w:bCs/>
          <w:color w:val="auto"/>
          <w:sz w:val="24"/>
          <w:highlight w:val="none"/>
        </w:rPr>
      </w:pPr>
    </w:p>
    <w:p w14:paraId="546571C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7092211">
      <w:pPr>
        <w:spacing w:line="360" w:lineRule="auto"/>
        <w:jc w:val="center"/>
        <w:rPr>
          <w:rFonts w:ascii="宋体" w:hAnsi="宋体" w:cs="宋体"/>
          <w:b/>
          <w:bCs/>
          <w:color w:val="auto"/>
          <w:sz w:val="24"/>
          <w:highlight w:val="none"/>
        </w:rPr>
        <w:sectPr>
          <w:pgSz w:w="11906" w:h="16838"/>
          <w:pgMar w:top="1440" w:right="1080" w:bottom="1440" w:left="1080" w:header="851" w:footer="992" w:gutter="0"/>
          <w:cols w:space="720" w:num="1"/>
          <w:titlePg/>
          <w:docGrid w:linePitch="312" w:charSpace="0"/>
        </w:sectPr>
      </w:pPr>
    </w:p>
    <w:p w14:paraId="42639DC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780981C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09B1B8C">
      <w:pPr>
        <w:spacing w:line="360" w:lineRule="auto"/>
        <w:jc w:val="center"/>
        <w:outlineLvl w:val="0"/>
        <w:rPr>
          <w:rFonts w:ascii="宋体" w:hAnsi="宋体" w:cs="宋体"/>
          <w:b/>
          <w:color w:val="auto"/>
          <w:kern w:val="0"/>
          <w:sz w:val="36"/>
          <w:szCs w:val="36"/>
          <w:highlight w:val="none"/>
        </w:rPr>
      </w:pPr>
    </w:p>
    <w:p w14:paraId="02B28562">
      <w:pPr>
        <w:numPr>
          <w:ilvl w:val="0"/>
          <w:numId w:val="5"/>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报价单…………………………………………………………………………（页码）</w:t>
      </w:r>
    </w:p>
    <w:p w14:paraId="5961014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）已标价工程量清单……………………………………………………………（页码）</w:t>
      </w:r>
    </w:p>
    <w:p w14:paraId="17D54694">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14:paraId="3C505630">
      <w:pPr>
        <w:pStyle w:val="80"/>
        <w:rPr>
          <w:color w:val="auto"/>
          <w:highlight w:val="none"/>
        </w:rPr>
      </w:pPr>
    </w:p>
    <w:p w14:paraId="63EC58DD">
      <w:pPr>
        <w:snapToGrid w:val="0"/>
        <w:spacing w:line="360" w:lineRule="auto"/>
        <w:ind w:right="480"/>
        <w:jc w:val="center"/>
        <w:rPr>
          <w:rFonts w:ascii="宋体" w:hAnsi="宋体" w:cs="宋体"/>
          <w:b/>
          <w:color w:val="auto"/>
          <w:kern w:val="0"/>
          <w:sz w:val="32"/>
          <w:szCs w:val="32"/>
          <w:highlight w:val="none"/>
        </w:rPr>
      </w:pPr>
    </w:p>
    <w:p w14:paraId="488E17BF">
      <w:pPr>
        <w:snapToGrid w:val="0"/>
        <w:spacing w:line="360" w:lineRule="auto"/>
        <w:ind w:right="480"/>
        <w:jc w:val="center"/>
        <w:rPr>
          <w:rFonts w:ascii="宋体" w:hAnsi="宋体" w:cs="宋体"/>
          <w:b/>
          <w:color w:val="auto"/>
          <w:kern w:val="0"/>
          <w:sz w:val="32"/>
          <w:szCs w:val="32"/>
          <w:highlight w:val="none"/>
        </w:rPr>
      </w:pPr>
    </w:p>
    <w:p w14:paraId="17108EDC">
      <w:pPr>
        <w:snapToGrid w:val="0"/>
        <w:spacing w:line="360" w:lineRule="auto"/>
        <w:ind w:right="480"/>
        <w:jc w:val="center"/>
        <w:rPr>
          <w:rFonts w:ascii="宋体" w:hAnsi="宋体" w:cs="宋体"/>
          <w:b/>
          <w:color w:val="auto"/>
          <w:kern w:val="0"/>
          <w:sz w:val="32"/>
          <w:szCs w:val="32"/>
          <w:highlight w:val="none"/>
        </w:rPr>
      </w:pPr>
    </w:p>
    <w:p w14:paraId="6859EF7A">
      <w:pPr>
        <w:snapToGrid w:val="0"/>
        <w:spacing w:line="360" w:lineRule="auto"/>
        <w:ind w:right="480"/>
        <w:jc w:val="center"/>
        <w:rPr>
          <w:rFonts w:ascii="宋体" w:hAnsi="宋体" w:cs="宋体"/>
          <w:b/>
          <w:color w:val="auto"/>
          <w:kern w:val="0"/>
          <w:sz w:val="32"/>
          <w:szCs w:val="32"/>
          <w:highlight w:val="none"/>
        </w:rPr>
      </w:pPr>
    </w:p>
    <w:p w14:paraId="4EDA764B">
      <w:pPr>
        <w:snapToGrid w:val="0"/>
        <w:spacing w:line="360" w:lineRule="auto"/>
        <w:ind w:right="480"/>
        <w:jc w:val="center"/>
        <w:rPr>
          <w:rFonts w:ascii="宋体" w:hAnsi="宋体" w:cs="宋体"/>
          <w:b/>
          <w:color w:val="auto"/>
          <w:kern w:val="0"/>
          <w:sz w:val="32"/>
          <w:szCs w:val="32"/>
          <w:highlight w:val="none"/>
        </w:rPr>
      </w:pPr>
    </w:p>
    <w:p w14:paraId="60CEE197">
      <w:pPr>
        <w:snapToGrid w:val="0"/>
        <w:spacing w:line="360" w:lineRule="auto"/>
        <w:ind w:right="480"/>
        <w:jc w:val="center"/>
        <w:rPr>
          <w:rFonts w:ascii="宋体" w:hAnsi="宋体" w:cs="宋体"/>
          <w:b/>
          <w:color w:val="auto"/>
          <w:kern w:val="0"/>
          <w:sz w:val="32"/>
          <w:szCs w:val="32"/>
          <w:highlight w:val="none"/>
        </w:rPr>
      </w:pPr>
    </w:p>
    <w:p w14:paraId="1F18C8EA">
      <w:pPr>
        <w:snapToGrid w:val="0"/>
        <w:spacing w:line="360" w:lineRule="auto"/>
        <w:ind w:right="480"/>
        <w:jc w:val="center"/>
        <w:rPr>
          <w:rFonts w:ascii="宋体" w:hAnsi="宋体" w:cs="宋体"/>
          <w:b/>
          <w:color w:val="auto"/>
          <w:kern w:val="0"/>
          <w:sz w:val="32"/>
          <w:szCs w:val="32"/>
          <w:highlight w:val="none"/>
        </w:rPr>
      </w:pPr>
    </w:p>
    <w:p w14:paraId="1EA7F655">
      <w:pPr>
        <w:snapToGrid w:val="0"/>
        <w:spacing w:line="360" w:lineRule="auto"/>
        <w:ind w:right="480"/>
        <w:jc w:val="center"/>
        <w:rPr>
          <w:rFonts w:ascii="宋体" w:hAnsi="宋体" w:cs="宋体"/>
          <w:b/>
          <w:color w:val="auto"/>
          <w:kern w:val="0"/>
          <w:sz w:val="32"/>
          <w:szCs w:val="32"/>
          <w:highlight w:val="none"/>
        </w:rPr>
      </w:pPr>
    </w:p>
    <w:p w14:paraId="2B8CE194">
      <w:pPr>
        <w:snapToGrid w:val="0"/>
        <w:spacing w:line="360" w:lineRule="auto"/>
        <w:ind w:right="480"/>
        <w:jc w:val="center"/>
        <w:rPr>
          <w:rFonts w:ascii="宋体" w:hAnsi="宋体" w:cs="宋体"/>
          <w:b/>
          <w:color w:val="auto"/>
          <w:kern w:val="0"/>
          <w:sz w:val="32"/>
          <w:szCs w:val="32"/>
          <w:highlight w:val="none"/>
        </w:rPr>
      </w:pPr>
    </w:p>
    <w:p w14:paraId="60888567">
      <w:pPr>
        <w:snapToGrid w:val="0"/>
        <w:spacing w:line="360" w:lineRule="auto"/>
        <w:ind w:right="480"/>
        <w:jc w:val="center"/>
        <w:rPr>
          <w:rFonts w:ascii="宋体" w:hAnsi="宋体" w:cs="宋体"/>
          <w:b/>
          <w:color w:val="auto"/>
          <w:kern w:val="0"/>
          <w:sz w:val="32"/>
          <w:szCs w:val="32"/>
          <w:highlight w:val="none"/>
        </w:rPr>
      </w:pPr>
    </w:p>
    <w:p w14:paraId="66E9BB39">
      <w:pPr>
        <w:snapToGrid w:val="0"/>
        <w:spacing w:line="360" w:lineRule="auto"/>
        <w:ind w:right="480"/>
        <w:jc w:val="center"/>
        <w:rPr>
          <w:rFonts w:ascii="宋体" w:hAnsi="宋体" w:cs="宋体"/>
          <w:b/>
          <w:color w:val="auto"/>
          <w:kern w:val="0"/>
          <w:sz w:val="32"/>
          <w:szCs w:val="32"/>
          <w:highlight w:val="none"/>
        </w:rPr>
      </w:pPr>
    </w:p>
    <w:p w14:paraId="593F9A87">
      <w:pPr>
        <w:snapToGrid w:val="0"/>
        <w:spacing w:line="360" w:lineRule="auto"/>
        <w:ind w:right="480"/>
        <w:jc w:val="center"/>
        <w:rPr>
          <w:rFonts w:ascii="宋体" w:hAnsi="宋体" w:cs="宋体"/>
          <w:b/>
          <w:color w:val="auto"/>
          <w:kern w:val="0"/>
          <w:sz w:val="32"/>
          <w:szCs w:val="32"/>
          <w:highlight w:val="none"/>
        </w:rPr>
      </w:pPr>
    </w:p>
    <w:p w14:paraId="72665943">
      <w:pPr>
        <w:snapToGrid w:val="0"/>
        <w:spacing w:line="360" w:lineRule="auto"/>
        <w:ind w:right="480"/>
        <w:jc w:val="center"/>
        <w:rPr>
          <w:rFonts w:ascii="宋体" w:hAnsi="宋体" w:cs="宋体"/>
          <w:b/>
          <w:color w:val="auto"/>
          <w:kern w:val="0"/>
          <w:sz w:val="32"/>
          <w:szCs w:val="32"/>
          <w:highlight w:val="none"/>
        </w:rPr>
      </w:pPr>
    </w:p>
    <w:p w14:paraId="2297D2A2">
      <w:pPr>
        <w:snapToGrid w:val="0"/>
        <w:spacing w:line="360" w:lineRule="auto"/>
        <w:ind w:right="480"/>
        <w:jc w:val="center"/>
        <w:rPr>
          <w:rFonts w:ascii="宋体" w:hAnsi="宋体" w:cs="宋体"/>
          <w:b/>
          <w:color w:val="auto"/>
          <w:kern w:val="0"/>
          <w:sz w:val="32"/>
          <w:szCs w:val="32"/>
          <w:highlight w:val="none"/>
        </w:rPr>
      </w:pPr>
    </w:p>
    <w:p w14:paraId="746A1DB3">
      <w:pPr>
        <w:snapToGrid w:val="0"/>
        <w:spacing w:line="360" w:lineRule="auto"/>
        <w:ind w:right="480"/>
        <w:jc w:val="center"/>
        <w:rPr>
          <w:rFonts w:ascii="宋体" w:hAnsi="宋体" w:cs="宋体"/>
          <w:b/>
          <w:color w:val="auto"/>
          <w:kern w:val="0"/>
          <w:sz w:val="32"/>
          <w:szCs w:val="32"/>
          <w:highlight w:val="none"/>
        </w:rPr>
      </w:pPr>
    </w:p>
    <w:p w14:paraId="54493331">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footerReference r:id="rId16" w:type="first"/>
          <w:headerReference r:id="rId14" w:type="default"/>
          <w:footerReference r:id="rId15" w:type="default"/>
          <w:pgSz w:w="11906" w:h="16838"/>
          <w:pgMar w:top="1440" w:right="1080" w:bottom="1440" w:left="1080" w:header="851" w:footer="992" w:gutter="0"/>
          <w:cols w:space="720" w:num="1"/>
          <w:titlePg/>
          <w:docGrid w:linePitch="312" w:charSpace="0"/>
        </w:sectPr>
      </w:pPr>
    </w:p>
    <w:p w14:paraId="76ADA537">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一、报价单</w:t>
      </w:r>
    </w:p>
    <w:p w14:paraId="4807DDF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EAD0015">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按你方采购文件要求，我们，本响应文件签字方，谨此向你方发出要约如下：如你方接受本投标，我方承诺按照如下报价单的价格完成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【项目编号：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40251656">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报价单(单位均为人民币元)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14:paraId="182FF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14:paraId="7E531EE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项目名称</w:t>
            </w:r>
          </w:p>
        </w:tc>
        <w:tc>
          <w:tcPr>
            <w:tcW w:w="1843" w:type="dxa"/>
          </w:tcPr>
          <w:p w14:paraId="112144D1">
            <w:pPr>
              <w:spacing w:line="360" w:lineRule="auto"/>
              <w:jc w:val="center"/>
              <w:rPr>
                <w:rFonts w:ascii="宋体" w:hAnsi="宋体" w:cs="宋体"/>
                <w:b/>
                <w:color w:val="auto"/>
                <w:sz w:val="24"/>
                <w:highlight w:val="none"/>
              </w:rPr>
            </w:pPr>
          </w:p>
          <w:p w14:paraId="1F6AAF9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施工范围</w:t>
            </w:r>
          </w:p>
        </w:tc>
        <w:tc>
          <w:tcPr>
            <w:tcW w:w="3118" w:type="dxa"/>
            <w:vAlign w:val="center"/>
          </w:tcPr>
          <w:p w14:paraId="63BF178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施工工期</w:t>
            </w:r>
          </w:p>
        </w:tc>
        <w:tc>
          <w:tcPr>
            <w:tcW w:w="2552" w:type="dxa"/>
            <w:vAlign w:val="center"/>
          </w:tcPr>
          <w:p w14:paraId="73AD59B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项目经理</w:t>
            </w:r>
          </w:p>
        </w:tc>
        <w:tc>
          <w:tcPr>
            <w:tcW w:w="1984" w:type="dxa"/>
            <w:vAlign w:val="center"/>
          </w:tcPr>
          <w:p w14:paraId="5D61ED5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执业证书信息</w:t>
            </w:r>
          </w:p>
        </w:tc>
        <w:tc>
          <w:tcPr>
            <w:tcW w:w="3119" w:type="dxa"/>
            <w:vAlign w:val="center"/>
          </w:tcPr>
          <w:p w14:paraId="276D2A45">
            <w:pPr>
              <w:spacing w:line="360" w:lineRule="auto"/>
              <w:jc w:val="center"/>
              <w:rPr>
                <w:rFonts w:ascii="宋体" w:hAnsi="宋体" w:cs="宋体"/>
                <w:b/>
                <w:color w:val="auto"/>
                <w:sz w:val="24"/>
                <w:highlight w:val="none"/>
              </w:rPr>
            </w:pPr>
          </w:p>
          <w:p w14:paraId="7074A6B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6AB87695">
            <w:pPr>
              <w:spacing w:line="360" w:lineRule="auto"/>
              <w:jc w:val="center"/>
              <w:rPr>
                <w:rFonts w:ascii="宋体" w:hAnsi="宋体" w:cs="宋体"/>
                <w:b/>
                <w:color w:val="auto"/>
                <w:sz w:val="24"/>
                <w:highlight w:val="none"/>
              </w:rPr>
            </w:pPr>
          </w:p>
        </w:tc>
      </w:tr>
      <w:tr w14:paraId="35AF5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57FCA0B0">
            <w:pPr>
              <w:snapToGrid w:val="0"/>
              <w:spacing w:line="360" w:lineRule="auto"/>
              <w:jc w:val="center"/>
              <w:rPr>
                <w:rFonts w:ascii="宋体" w:hAnsi="宋体" w:cs="宋体"/>
                <w:color w:val="auto"/>
                <w:sz w:val="24"/>
                <w:highlight w:val="none"/>
              </w:rPr>
            </w:pPr>
          </w:p>
        </w:tc>
        <w:tc>
          <w:tcPr>
            <w:tcW w:w="1843" w:type="dxa"/>
            <w:vAlign w:val="center"/>
          </w:tcPr>
          <w:p w14:paraId="1E2F5915">
            <w:pPr>
              <w:snapToGrid w:val="0"/>
              <w:spacing w:line="360" w:lineRule="auto"/>
              <w:jc w:val="center"/>
              <w:rPr>
                <w:rFonts w:ascii="宋体" w:hAnsi="宋体" w:cs="宋体"/>
                <w:color w:val="auto"/>
                <w:sz w:val="24"/>
                <w:highlight w:val="none"/>
              </w:rPr>
            </w:pPr>
          </w:p>
        </w:tc>
        <w:tc>
          <w:tcPr>
            <w:tcW w:w="3118" w:type="dxa"/>
            <w:vAlign w:val="center"/>
          </w:tcPr>
          <w:p w14:paraId="052ECF62">
            <w:pPr>
              <w:snapToGrid w:val="0"/>
              <w:spacing w:line="360" w:lineRule="auto"/>
              <w:jc w:val="center"/>
              <w:rPr>
                <w:rFonts w:ascii="宋体" w:hAnsi="宋体" w:cs="宋体"/>
                <w:color w:val="auto"/>
                <w:sz w:val="24"/>
                <w:highlight w:val="none"/>
              </w:rPr>
            </w:pPr>
          </w:p>
        </w:tc>
        <w:tc>
          <w:tcPr>
            <w:tcW w:w="2552" w:type="dxa"/>
            <w:vAlign w:val="center"/>
          </w:tcPr>
          <w:p w14:paraId="28D0496E">
            <w:pPr>
              <w:spacing w:line="360" w:lineRule="auto"/>
              <w:jc w:val="center"/>
              <w:rPr>
                <w:rFonts w:ascii="宋体" w:hAnsi="宋体" w:cs="宋体"/>
                <w:color w:val="auto"/>
                <w:sz w:val="24"/>
                <w:highlight w:val="none"/>
              </w:rPr>
            </w:pPr>
          </w:p>
        </w:tc>
        <w:tc>
          <w:tcPr>
            <w:tcW w:w="1984" w:type="dxa"/>
            <w:vAlign w:val="center"/>
          </w:tcPr>
          <w:p w14:paraId="438E67FF">
            <w:pPr>
              <w:spacing w:line="360" w:lineRule="auto"/>
              <w:jc w:val="center"/>
              <w:rPr>
                <w:rFonts w:ascii="宋体" w:hAnsi="宋体" w:cs="宋体"/>
                <w:color w:val="auto"/>
                <w:sz w:val="24"/>
                <w:highlight w:val="none"/>
              </w:rPr>
            </w:pPr>
          </w:p>
        </w:tc>
        <w:tc>
          <w:tcPr>
            <w:tcW w:w="3119" w:type="dxa"/>
            <w:vAlign w:val="center"/>
          </w:tcPr>
          <w:p w14:paraId="624E6030">
            <w:pPr>
              <w:spacing w:line="360" w:lineRule="auto"/>
              <w:jc w:val="center"/>
              <w:rPr>
                <w:rFonts w:ascii="宋体" w:hAnsi="宋体" w:cs="宋体"/>
                <w:color w:val="auto"/>
                <w:sz w:val="24"/>
                <w:highlight w:val="none"/>
              </w:rPr>
            </w:pPr>
          </w:p>
        </w:tc>
      </w:tr>
      <w:tr w14:paraId="60E64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6161F1A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磋商报价（小写）</w:t>
            </w:r>
          </w:p>
        </w:tc>
        <w:tc>
          <w:tcPr>
            <w:tcW w:w="7655" w:type="dxa"/>
            <w:gridSpan w:val="3"/>
            <w:vAlign w:val="center"/>
          </w:tcPr>
          <w:p w14:paraId="0BF55447">
            <w:pPr>
              <w:spacing w:line="360" w:lineRule="auto"/>
              <w:jc w:val="center"/>
              <w:rPr>
                <w:rFonts w:ascii="宋体" w:hAnsi="宋体" w:cs="宋体"/>
                <w:color w:val="auto"/>
                <w:sz w:val="24"/>
                <w:highlight w:val="none"/>
              </w:rPr>
            </w:pPr>
          </w:p>
        </w:tc>
      </w:tr>
      <w:tr w14:paraId="6F57E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6F9A700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磋商报价（大写）</w:t>
            </w:r>
          </w:p>
        </w:tc>
        <w:tc>
          <w:tcPr>
            <w:tcW w:w="7655" w:type="dxa"/>
            <w:gridSpan w:val="3"/>
            <w:vAlign w:val="center"/>
          </w:tcPr>
          <w:p w14:paraId="72F809DC">
            <w:pPr>
              <w:spacing w:line="360" w:lineRule="auto"/>
              <w:jc w:val="center"/>
              <w:rPr>
                <w:rFonts w:ascii="宋体" w:hAnsi="宋体" w:cs="宋体"/>
                <w:color w:val="auto"/>
                <w:sz w:val="24"/>
                <w:highlight w:val="none"/>
              </w:rPr>
            </w:pPr>
          </w:p>
        </w:tc>
      </w:tr>
    </w:tbl>
    <w:p w14:paraId="7BBC2BED">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1D197800">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响应文件含有采购人不能接受的附加条件，响应文件无效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38F54DD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采购内容未包含在《报价单》名称栏中，供应商不能作出合理解释的，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响应文件含有采购人不能接受的附加条件的，响应文件无效。</w:t>
      </w:r>
    </w:p>
    <w:p w14:paraId="3236492D">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3、特别提示：采购代理机构将对项目名称和项目编号，成交供应商名称、地址和成交金额、施工范围、施工工期、项目经理、执业证书信息、品牌（如果有）、规格型号、数量、单价等予以公示。</w:t>
      </w:r>
    </w:p>
    <w:p w14:paraId="1AD2BDB9">
      <w:pPr>
        <w:spacing w:line="360" w:lineRule="auto"/>
        <w:ind w:firstLine="482" w:firstLineChars="200"/>
        <w:rPr>
          <w:rFonts w:ascii="宋体" w:hAnsi="宋体" w:cs="宋体"/>
          <w:b/>
          <w:color w:val="auto"/>
          <w:kern w:val="0"/>
          <w:sz w:val="24"/>
          <w:highlight w:val="none"/>
        </w:rPr>
      </w:pPr>
    </w:p>
    <w:p w14:paraId="073DF63C">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24C0BF4E">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40" w:right="1080" w:bottom="1440" w:left="1080" w:header="851" w:footer="992" w:gutter="0"/>
          <w:cols w:space="720" w:num="1"/>
          <w:titlePg/>
          <w:docGrid w:linePitch="312" w:charSpace="0"/>
        </w:sectPr>
      </w:pPr>
    </w:p>
    <w:p w14:paraId="4224B616">
      <w:pPr>
        <w:pStyle w:val="693"/>
        <w:keepNext w:val="0"/>
        <w:pageBreakBefore/>
        <w:tabs>
          <w:tab w:val="clear" w:pos="720"/>
        </w:tabs>
        <w:snapToGrid w:val="0"/>
        <w:spacing w:before="120" w:after="120"/>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kern w:val="2"/>
          <w:sz w:val="32"/>
          <w:szCs w:val="32"/>
          <w:highlight w:val="none"/>
        </w:rPr>
        <w:t>、已标价工程量清单</w:t>
      </w:r>
    </w:p>
    <w:p w14:paraId="747B1F6B">
      <w:pPr>
        <w:ind w:right="420"/>
        <w:rPr>
          <w:rFonts w:ascii="宋体" w:hAnsi="宋体" w:cs="宋体"/>
          <w:color w:val="auto"/>
          <w:sz w:val="24"/>
          <w:highlight w:val="none"/>
        </w:rPr>
      </w:pPr>
      <w:r>
        <w:rPr>
          <w:rFonts w:hint="eastAsia" w:ascii="宋体" w:hAnsi="宋体" w:cs="宋体"/>
          <w:color w:val="auto"/>
          <w:sz w:val="24"/>
          <w:highlight w:val="none"/>
        </w:rPr>
        <w:t xml:space="preserve">注：按采购文件工程量清单编制 </w:t>
      </w:r>
    </w:p>
    <w:p w14:paraId="17477E6C">
      <w:pPr>
        <w:pStyle w:val="61"/>
        <w:ind w:firstLine="480"/>
        <w:rPr>
          <w:rFonts w:cs="宋体"/>
          <w:color w:val="auto"/>
          <w:sz w:val="24"/>
          <w:highlight w:val="none"/>
        </w:rPr>
      </w:pPr>
    </w:p>
    <w:p w14:paraId="1007982D">
      <w:pPr>
        <w:pStyle w:val="61"/>
        <w:ind w:firstLine="480"/>
        <w:rPr>
          <w:rFonts w:cs="宋体"/>
          <w:color w:val="auto"/>
          <w:sz w:val="24"/>
          <w:highlight w:val="none"/>
        </w:rPr>
        <w:sectPr>
          <w:footerReference r:id="rId20" w:type="first"/>
          <w:headerReference r:id="rId17" w:type="default"/>
          <w:footerReference r:id="rId18" w:type="default"/>
          <w:footerReference r:id="rId19" w:type="even"/>
          <w:pgSz w:w="11906" w:h="16838"/>
          <w:pgMar w:top="1440" w:right="1080" w:bottom="1440" w:left="1080" w:header="851" w:footer="992" w:gutter="0"/>
          <w:cols w:space="720" w:num="1"/>
          <w:titlePg/>
          <w:docGrid w:linePitch="312" w:charSpace="0"/>
        </w:sectPr>
      </w:pPr>
    </w:p>
    <w:p w14:paraId="58C65A9B">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614" w:name="_Hlk101259491"/>
      <w:r>
        <w:rPr>
          <w:rFonts w:hint="eastAsia" w:ascii="宋体" w:hAnsi="宋体" w:eastAsia="宋体" w:cs="宋体"/>
          <w:color w:val="auto"/>
          <w:sz w:val="32"/>
          <w:szCs w:val="32"/>
          <w:highlight w:val="none"/>
        </w:rPr>
        <w:t>（如果有）</w:t>
      </w:r>
      <w:bookmarkEnd w:id="614"/>
    </w:p>
    <w:p w14:paraId="67413327">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2AF574A3">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615" w:name="_Toc465665161"/>
      <w:r>
        <w:rPr>
          <w:rFonts w:hint="eastAsia" w:ascii="宋体" w:hAnsi="宋体" w:cs="宋体"/>
          <w:color w:val="auto"/>
          <w:highlight w:val="none"/>
        </w:rPr>
        <w:t>附件</w:t>
      </w:r>
      <w:bookmarkEnd w:id="615"/>
    </w:p>
    <w:p w14:paraId="413A710A">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6FAACB25">
      <w:pPr>
        <w:spacing w:line="360" w:lineRule="auto"/>
        <w:jc w:val="center"/>
        <w:rPr>
          <w:rFonts w:ascii="宋体" w:hAnsi="宋体" w:cs="宋体"/>
          <w:b/>
          <w:color w:val="auto"/>
          <w:spacing w:val="6"/>
          <w:sz w:val="32"/>
          <w:szCs w:val="32"/>
          <w:highlight w:val="none"/>
        </w:rPr>
      </w:pPr>
      <w:bookmarkStart w:id="616" w:name="OLE_LINK14"/>
      <w:bookmarkStart w:id="617" w:name="OLE_LINK13"/>
      <w:r>
        <w:rPr>
          <w:rFonts w:hint="eastAsia" w:ascii="宋体" w:hAnsi="宋体" w:cs="宋体"/>
          <w:b/>
          <w:color w:val="auto"/>
          <w:spacing w:val="6"/>
          <w:sz w:val="32"/>
          <w:szCs w:val="32"/>
          <w:highlight w:val="none"/>
        </w:rPr>
        <w:t>残疾人福利性单位声明函</w:t>
      </w:r>
    </w:p>
    <w:bookmarkEnd w:id="616"/>
    <w:bookmarkEnd w:id="617"/>
    <w:p w14:paraId="151A1878">
      <w:pPr>
        <w:spacing w:line="360" w:lineRule="auto"/>
        <w:rPr>
          <w:rFonts w:ascii="宋体" w:hAnsi="宋体" w:cs="宋体"/>
          <w:b/>
          <w:color w:val="auto"/>
          <w:spacing w:val="6"/>
          <w:sz w:val="30"/>
          <w:szCs w:val="30"/>
          <w:highlight w:val="none"/>
        </w:rPr>
      </w:pPr>
    </w:p>
    <w:p w14:paraId="79EC5A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3F82F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7AE7E225">
      <w:pPr>
        <w:spacing w:line="360" w:lineRule="auto"/>
        <w:ind w:firstLine="480" w:firstLineChars="200"/>
        <w:rPr>
          <w:rFonts w:ascii="宋体" w:hAnsi="宋体" w:cs="宋体"/>
          <w:color w:val="auto"/>
          <w:sz w:val="24"/>
          <w:highlight w:val="none"/>
        </w:rPr>
      </w:pPr>
    </w:p>
    <w:p w14:paraId="0D2C993D">
      <w:pPr>
        <w:spacing w:line="360" w:lineRule="auto"/>
        <w:ind w:firstLine="480" w:firstLineChars="200"/>
        <w:rPr>
          <w:rFonts w:ascii="宋体" w:hAnsi="宋体" w:cs="宋体"/>
          <w:color w:val="auto"/>
          <w:sz w:val="24"/>
          <w:highlight w:val="none"/>
        </w:rPr>
      </w:pPr>
    </w:p>
    <w:p w14:paraId="68A22BCC">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14:paraId="15D5C8C6">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3AA334C7">
      <w:pPr>
        <w:spacing w:line="360" w:lineRule="auto"/>
        <w:ind w:firstLine="480" w:firstLineChars="200"/>
        <w:rPr>
          <w:rFonts w:ascii="宋体" w:hAnsi="宋体" w:cs="宋体"/>
          <w:color w:val="auto"/>
          <w:sz w:val="24"/>
          <w:highlight w:val="none"/>
        </w:rPr>
      </w:pPr>
    </w:p>
    <w:p w14:paraId="08E57F31">
      <w:pPr>
        <w:spacing w:line="360" w:lineRule="auto"/>
        <w:ind w:firstLine="420" w:firstLineChars="200"/>
        <w:rPr>
          <w:rFonts w:ascii="宋体" w:hAnsi="宋体" w:cs="宋体"/>
          <w:color w:val="auto"/>
          <w:highlight w:val="none"/>
        </w:rPr>
      </w:pPr>
    </w:p>
    <w:p w14:paraId="355C403E">
      <w:pPr>
        <w:spacing w:line="360" w:lineRule="auto"/>
        <w:ind w:firstLine="420" w:firstLineChars="200"/>
        <w:rPr>
          <w:rFonts w:ascii="宋体" w:hAnsi="宋体" w:cs="宋体"/>
          <w:color w:val="auto"/>
          <w:highlight w:val="none"/>
        </w:rPr>
      </w:pPr>
    </w:p>
    <w:p w14:paraId="035CBC35">
      <w:pPr>
        <w:spacing w:line="360" w:lineRule="auto"/>
        <w:ind w:firstLine="420" w:firstLineChars="200"/>
        <w:rPr>
          <w:rFonts w:ascii="宋体" w:hAnsi="宋体" w:cs="宋体"/>
          <w:color w:val="auto"/>
          <w:highlight w:val="none"/>
        </w:rPr>
      </w:pPr>
    </w:p>
    <w:p w14:paraId="48E48972">
      <w:pPr>
        <w:spacing w:line="360" w:lineRule="auto"/>
        <w:ind w:firstLine="420" w:firstLineChars="200"/>
        <w:rPr>
          <w:rFonts w:ascii="宋体" w:hAnsi="宋体" w:cs="宋体"/>
          <w:color w:val="auto"/>
          <w:highlight w:val="none"/>
        </w:rPr>
      </w:pPr>
    </w:p>
    <w:p w14:paraId="1F4F731C">
      <w:pPr>
        <w:spacing w:line="360" w:lineRule="auto"/>
        <w:rPr>
          <w:rFonts w:ascii="宋体" w:hAnsi="宋体" w:cs="宋体"/>
          <w:b/>
          <w:color w:val="auto"/>
          <w:sz w:val="24"/>
          <w:highlight w:val="none"/>
        </w:rPr>
      </w:pPr>
    </w:p>
    <w:p w14:paraId="405B7C14">
      <w:pPr>
        <w:spacing w:line="360" w:lineRule="auto"/>
        <w:rPr>
          <w:rFonts w:ascii="宋体" w:hAnsi="宋体" w:cs="宋体"/>
          <w:b/>
          <w:color w:val="auto"/>
          <w:sz w:val="24"/>
          <w:highlight w:val="none"/>
        </w:rPr>
      </w:pPr>
    </w:p>
    <w:p w14:paraId="1ACE45DA">
      <w:pPr>
        <w:spacing w:line="360" w:lineRule="auto"/>
        <w:rPr>
          <w:rFonts w:ascii="宋体" w:hAnsi="宋体" w:cs="宋体"/>
          <w:b/>
          <w:color w:val="auto"/>
          <w:sz w:val="24"/>
          <w:highlight w:val="none"/>
        </w:rPr>
      </w:pPr>
    </w:p>
    <w:p w14:paraId="1417E6C8">
      <w:pPr>
        <w:spacing w:line="360" w:lineRule="auto"/>
        <w:rPr>
          <w:rFonts w:ascii="宋体" w:hAnsi="宋体" w:cs="宋体"/>
          <w:b/>
          <w:color w:val="auto"/>
          <w:sz w:val="24"/>
          <w:highlight w:val="none"/>
        </w:rPr>
      </w:pPr>
    </w:p>
    <w:p w14:paraId="6B8286EB">
      <w:pPr>
        <w:spacing w:line="360" w:lineRule="auto"/>
        <w:rPr>
          <w:rFonts w:ascii="宋体" w:hAnsi="宋体" w:cs="宋体"/>
          <w:b/>
          <w:color w:val="auto"/>
          <w:sz w:val="24"/>
          <w:highlight w:val="none"/>
        </w:rPr>
      </w:pPr>
    </w:p>
    <w:p w14:paraId="52E26A08">
      <w:pPr>
        <w:spacing w:line="360" w:lineRule="auto"/>
        <w:rPr>
          <w:rFonts w:ascii="宋体" w:hAnsi="宋体" w:cs="宋体"/>
          <w:b/>
          <w:color w:val="auto"/>
          <w:sz w:val="24"/>
          <w:highlight w:val="none"/>
        </w:rPr>
      </w:pPr>
    </w:p>
    <w:p w14:paraId="633211AF">
      <w:pPr>
        <w:spacing w:line="360" w:lineRule="auto"/>
        <w:rPr>
          <w:rFonts w:ascii="宋体" w:hAnsi="宋体" w:cs="宋体"/>
          <w:b/>
          <w:color w:val="auto"/>
          <w:sz w:val="24"/>
          <w:highlight w:val="none"/>
        </w:rPr>
      </w:pPr>
    </w:p>
    <w:p w14:paraId="435CA4DE">
      <w:pPr>
        <w:spacing w:line="360" w:lineRule="auto"/>
        <w:rPr>
          <w:rFonts w:ascii="宋体" w:hAnsi="宋体" w:cs="宋体"/>
          <w:b/>
          <w:color w:val="auto"/>
          <w:sz w:val="24"/>
          <w:highlight w:val="none"/>
        </w:rPr>
      </w:pPr>
    </w:p>
    <w:p w14:paraId="68364347">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77411FCF">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37EA7854">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2682CE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2494746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1E0619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7CC689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835558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3703D0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987853">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606E217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47583E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528D31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D57A44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649EAA5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6194767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21EC9BF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44F692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7506FAB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F06069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CDB0A7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1683D1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6A210CF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727D2FF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1128FA1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A7089A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D75FF4A">
      <w:pPr>
        <w:spacing w:line="360" w:lineRule="auto"/>
        <w:jc w:val="center"/>
        <w:rPr>
          <w:rFonts w:ascii="宋体" w:hAnsi="宋体" w:cs="宋体"/>
          <w:b/>
          <w:bCs/>
          <w:color w:val="auto"/>
          <w:sz w:val="24"/>
          <w:highlight w:val="none"/>
        </w:rPr>
      </w:pPr>
    </w:p>
    <w:p w14:paraId="1B60A9E4">
      <w:pPr>
        <w:spacing w:line="360" w:lineRule="auto"/>
        <w:rPr>
          <w:rFonts w:ascii="宋体" w:hAnsi="宋体" w:cs="宋体"/>
          <w:b/>
          <w:color w:val="auto"/>
          <w:sz w:val="24"/>
          <w:highlight w:val="none"/>
        </w:rPr>
      </w:pPr>
    </w:p>
    <w:p w14:paraId="21B996F4">
      <w:pPr>
        <w:spacing w:line="360" w:lineRule="auto"/>
        <w:rPr>
          <w:rFonts w:ascii="宋体" w:hAnsi="宋体" w:cs="宋体"/>
          <w:b/>
          <w:color w:val="auto"/>
          <w:sz w:val="24"/>
          <w:highlight w:val="none"/>
        </w:rPr>
      </w:pPr>
    </w:p>
    <w:p w14:paraId="54F3B773">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4FC95D0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15905EB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0FB07E0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C7C93D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26C6F7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5F833A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049A9A56">
      <w:pPr>
        <w:widowControl/>
        <w:spacing w:line="360" w:lineRule="auto"/>
        <w:ind w:firstLine="600" w:firstLineChars="200"/>
        <w:jc w:val="left"/>
        <w:rPr>
          <w:rFonts w:ascii="宋体" w:hAnsi="宋体" w:cs="宋体"/>
          <w:color w:val="auto"/>
          <w:sz w:val="30"/>
          <w:szCs w:val="30"/>
          <w:highlight w:val="none"/>
        </w:rPr>
      </w:pPr>
    </w:p>
    <w:p w14:paraId="452D6D07">
      <w:pPr>
        <w:spacing w:line="360" w:lineRule="auto"/>
        <w:jc w:val="center"/>
        <w:rPr>
          <w:rFonts w:ascii="宋体" w:hAnsi="宋体" w:cs="宋体"/>
          <w:b/>
          <w:color w:val="auto"/>
          <w:spacing w:val="6"/>
          <w:sz w:val="32"/>
          <w:szCs w:val="32"/>
          <w:highlight w:val="none"/>
        </w:rPr>
      </w:pPr>
    </w:p>
    <w:p w14:paraId="233B5FEB">
      <w:pPr>
        <w:spacing w:line="360" w:lineRule="auto"/>
        <w:jc w:val="center"/>
        <w:rPr>
          <w:rFonts w:ascii="宋体" w:hAnsi="宋体" w:cs="宋体"/>
          <w:b/>
          <w:color w:val="auto"/>
          <w:spacing w:val="6"/>
          <w:sz w:val="32"/>
          <w:szCs w:val="32"/>
          <w:highlight w:val="none"/>
        </w:rPr>
      </w:pPr>
    </w:p>
    <w:p w14:paraId="29D1721D">
      <w:pPr>
        <w:spacing w:line="360" w:lineRule="auto"/>
        <w:jc w:val="center"/>
        <w:rPr>
          <w:rFonts w:ascii="宋体" w:hAnsi="宋体" w:cs="宋体"/>
          <w:b/>
          <w:color w:val="auto"/>
          <w:spacing w:val="6"/>
          <w:sz w:val="32"/>
          <w:szCs w:val="32"/>
          <w:highlight w:val="none"/>
        </w:rPr>
      </w:pPr>
    </w:p>
    <w:p w14:paraId="0CBDB787">
      <w:pPr>
        <w:spacing w:line="360" w:lineRule="auto"/>
        <w:jc w:val="center"/>
        <w:rPr>
          <w:rFonts w:ascii="宋体" w:hAnsi="宋体" w:cs="宋体"/>
          <w:b/>
          <w:color w:val="auto"/>
          <w:spacing w:val="6"/>
          <w:sz w:val="32"/>
          <w:szCs w:val="32"/>
          <w:highlight w:val="none"/>
        </w:rPr>
      </w:pPr>
    </w:p>
    <w:p w14:paraId="56421284">
      <w:pPr>
        <w:spacing w:line="360" w:lineRule="auto"/>
        <w:jc w:val="center"/>
        <w:rPr>
          <w:rFonts w:ascii="宋体" w:hAnsi="宋体" w:cs="宋体"/>
          <w:b/>
          <w:color w:val="auto"/>
          <w:spacing w:val="6"/>
          <w:sz w:val="32"/>
          <w:szCs w:val="32"/>
          <w:highlight w:val="none"/>
        </w:rPr>
      </w:pPr>
    </w:p>
    <w:p w14:paraId="2DF6CA52">
      <w:pPr>
        <w:spacing w:line="360" w:lineRule="auto"/>
        <w:jc w:val="center"/>
        <w:rPr>
          <w:rFonts w:ascii="宋体" w:hAnsi="宋体" w:cs="宋体"/>
          <w:b/>
          <w:color w:val="auto"/>
          <w:spacing w:val="6"/>
          <w:sz w:val="32"/>
          <w:szCs w:val="32"/>
          <w:highlight w:val="none"/>
        </w:rPr>
      </w:pPr>
    </w:p>
    <w:p w14:paraId="65F67E81">
      <w:pPr>
        <w:spacing w:line="360" w:lineRule="auto"/>
        <w:jc w:val="center"/>
        <w:rPr>
          <w:rFonts w:ascii="宋体" w:hAnsi="宋体" w:cs="宋体"/>
          <w:b/>
          <w:color w:val="auto"/>
          <w:spacing w:val="6"/>
          <w:sz w:val="32"/>
          <w:szCs w:val="32"/>
          <w:highlight w:val="none"/>
        </w:rPr>
      </w:pPr>
    </w:p>
    <w:p w14:paraId="6B94D379">
      <w:pPr>
        <w:spacing w:line="360" w:lineRule="auto"/>
        <w:jc w:val="center"/>
        <w:rPr>
          <w:rFonts w:ascii="宋体" w:hAnsi="宋体" w:cs="宋体"/>
          <w:b/>
          <w:color w:val="auto"/>
          <w:spacing w:val="6"/>
          <w:sz w:val="32"/>
          <w:szCs w:val="32"/>
          <w:highlight w:val="none"/>
        </w:rPr>
      </w:pPr>
    </w:p>
    <w:p w14:paraId="3AB4F57C">
      <w:pPr>
        <w:spacing w:line="360" w:lineRule="auto"/>
        <w:jc w:val="center"/>
        <w:rPr>
          <w:rFonts w:ascii="宋体" w:hAnsi="宋体" w:cs="宋体"/>
          <w:b/>
          <w:color w:val="auto"/>
          <w:spacing w:val="6"/>
          <w:sz w:val="32"/>
          <w:szCs w:val="32"/>
          <w:highlight w:val="none"/>
        </w:rPr>
      </w:pPr>
    </w:p>
    <w:p w14:paraId="07E016CC">
      <w:pPr>
        <w:spacing w:line="360" w:lineRule="auto"/>
        <w:jc w:val="center"/>
        <w:rPr>
          <w:rFonts w:ascii="宋体" w:hAnsi="宋体" w:cs="宋体"/>
          <w:b/>
          <w:color w:val="auto"/>
          <w:spacing w:val="6"/>
          <w:sz w:val="32"/>
          <w:szCs w:val="32"/>
          <w:highlight w:val="none"/>
        </w:rPr>
      </w:pPr>
    </w:p>
    <w:p w14:paraId="3FBAC3F4">
      <w:pPr>
        <w:spacing w:line="360" w:lineRule="auto"/>
        <w:jc w:val="center"/>
        <w:rPr>
          <w:rFonts w:ascii="宋体" w:hAnsi="宋体" w:cs="宋体"/>
          <w:b/>
          <w:color w:val="auto"/>
          <w:spacing w:val="6"/>
          <w:sz w:val="32"/>
          <w:szCs w:val="32"/>
          <w:highlight w:val="none"/>
        </w:rPr>
      </w:pPr>
    </w:p>
    <w:p w14:paraId="49067CDB">
      <w:pPr>
        <w:spacing w:line="360" w:lineRule="auto"/>
        <w:jc w:val="center"/>
        <w:rPr>
          <w:rFonts w:ascii="宋体" w:hAnsi="宋体" w:cs="宋体"/>
          <w:b/>
          <w:color w:val="auto"/>
          <w:spacing w:val="6"/>
          <w:sz w:val="32"/>
          <w:szCs w:val="32"/>
          <w:highlight w:val="none"/>
        </w:rPr>
      </w:pPr>
    </w:p>
    <w:p w14:paraId="169B5423">
      <w:pPr>
        <w:spacing w:line="360" w:lineRule="auto"/>
        <w:jc w:val="left"/>
        <w:rPr>
          <w:rFonts w:ascii="宋体" w:hAnsi="宋体" w:cs="宋体"/>
          <w:b/>
          <w:color w:val="auto"/>
          <w:spacing w:val="6"/>
          <w:sz w:val="32"/>
          <w:szCs w:val="32"/>
          <w:highlight w:val="none"/>
        </w:rPr>
      </w:pPr>
    </w:p>
    <w:p w14:paraId="37952ECC">
      <w:pPr>
        <w:spacing w:line="360" w:lineRule="auto"/>
        <w:jc w:val="left"/>
        <w:rPr>
          <w:rFonts w:ascii="宋体" w:hAnsi="宋体" w:cs="宋体"/>
          <w:b/>
          <w:color w:val="auto"/>
          <w:spacing w:val="6"/>
          <w:sz w:val="32"/>
          <w:szCs w:val="32"/>
          <w:highlight w:val="none"/>
        </w:rPr>
      </w:pPr>
    </w:p>
    <w:p w14:paraId="2AE7DA74">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2B84D234">
      <w:pPr>
        <w:spacing w:line="360" w:lineRule="auto"/>
        <w:jc w:val="center"/>
        <w:rPr>
          <w:rFonts w:ascii="宋体" w:hAnsi="宋体" w:cs="宋体"/>
          <w:b/>
          <w:color w:val="auto"/>
          <w:sz w:val="24"/>
          <w:highlight w:val="none"/>
        </w:rPr>
      </w:pPr>
    </w:p>
    <w:p w14:paraId="510526A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713A2A60">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4D0394D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56EE8FE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ECCF89E">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549F3D">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971E54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EB53683">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53044AB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06313C6">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A3A8F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FD98CBE">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3C962118">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ECBC24C">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8CB99C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8A0CE0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37A170B">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23FC19A5">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3D4BA3C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CCA3B68">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364B93">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2CCC6493">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BF0F7F8">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E0AA781">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4CFA53F7">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3FA1C884">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0D1EE4E">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2E64FE06">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577505CB">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241CDB6">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6937215">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12D83F7">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64633AF">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0649673">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352BA2F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FB1D32D">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4E9E2FAD">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60BC0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2493E14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DF9679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BC35188">
      <w:pPr>
        <w:spacing w:line="360" w:lineRule="auto"/>
        <w:rPr>
          <w:rFonts w:ascii="宋体" w:hAnsi="宋体" w:cs="宋体"/>
          <w:b/>
          <w:color w:val="auto"/>
          <w:sz w:val="24"/>
          <w:highlight w:val="none"/>
        </w:rPr>
      </w:pPr>
    </w:p>
    <w:p w14:paraId="391F358A">
      <w:pPr>
        <w:spacing w:line="360" w:lineRule="auto"/>
        <w:rPr>
          <w:rFonts w:ascii="宋体" w:hAnsi="宋体" w:cs="宋体"/>
          <w:b/>
          <w:color w:val="auto"/>
          <w:sz w:val="24"/>
          <w:highlight w:val="none"/>
        </w:rPr>
      </w:pPr>
    </w:p>
    <w:p w14:paraId="40B879D0">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2721BCA8">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62DBB61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4025B9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FB105F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38C21EE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FE5D80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5B238BA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E0B91EC">
      <w:pPr>
        <w:spacing w:line="360" w:lineRule="auto"/>
        <w:rPr>
          <w:rFonts w:ascii="宋体" w:hAnsi="宋体" w:cs="宋体"/>
          <w:b/>
          <w:color w:val="auto"/>
          <w:sz w:val="24"/>
          <w:highlight w:val="none"/>
        </w:rPr>
      </w:pPr>
    </w:p>
    <w:p w14:paraId="01A3E497">
      <w:pPr>
        <w:autoSpaceDE w:val="0"/>
        <w:autoSpaceDN w:val="0"/>
        <w:jc w:val="center"/>
        <w:rPr>
          <w:rFonts w:ascii="宋体" w:hAnsi="宋体" w:cs="宋体"/>
          <w:b/>
          <w:color w:val="auto"/>
          <w:spacing w:val="6"/>
          <w:sz w:val="32"/>
          <w:szCs w:val="32"/>
          <w:highlight w:val="none"/>
        </w:rPr>
      </w:pPr>
    </w:p>
    <w:p w14:paraId="0A9ADBB5">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7362585">
      <w:pPr>
        <w:spacing w:line="360" w:lineRule="auto"/>
        <w:rPr>
          <w:rFonts w:ascii="宋体" w:hAnsi="宋体" w:cs="宋体"/>
          <w:color w:val="auto"/>
          <w:sz w:val="24"/>
          <w:highlight w:val="none"/>
          <w:u w:val="single"/>
        </w:rPr>
      </w:pPr>
    </w:p>
    <w:p w14:paraId="116D9B3B">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6D8C7B8E">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你方组织的（项目名称）项目【项目编号：（采购编号）】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4C9B51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B2456D0">
      <w:pPr>
        <w:spacing w:line="360" w:lineRule="auto"/>
        <w:ind w:firstLine="494"/>
        <w:rPr>
          <w:rFonts w:ascii="宋体" w:hAnsi="宋体" w:cs="宋体"/>
          <w:color w:val="auto"/>
          <w:sz w:val="24"/>
          <w:highlight w:val="none"/>
        </w:rPr>
      </w:pPr>
    </w:p>
    <w:p w14:paraId="28580D7F">
      <w:pPr>
        <w:spacing w:line="360" w:lineRule="auto"/>
        <w:ind w:firstLine="494"/>
        <w:rPr>
          <w:rFonts w:ascii="宋体" w:hAnsi="宋体" w:cs="宋体"/>
          <w:color w:val="auto"/>
          <w:sz w:val="24"/>
          <w:highlight w:val="none"/>
        </w:rPr>
      </w:pPr>
    </w:p>
    <w:p w14:paraId="711C61BA">
      <w:pPr>
        <w:spacing w:line="360" w:lineRule="auto"/>
        <w:ind w:firstLine="494"/>
        <w:rPr>
          <w:rFonts w:ascii="宋体" w:hAnsi="宋体" w:cs="宋体"/>
          <w:color w:val="auto"/>
          <w:sz w:val="24"/>
          <w:highlight w:val="none"/>
        </w:rPr>
      </w:pPr>
    </w:p>
    <w:p w14:paraId="7C99512A">
      <w:pPr>
        <w:spacing w:line="360" w:lineRule="auto"/>
        <w:ind w:firstLine="494"/>
        <w:rPr>
          <w:rFonts w:ascii="宋体" w:hAnsi="宋体" w:cs="宋体"/>
          <w:color w:val="auto"/>
          <w:sz w:val="24"/>
          <w:highlight w:val="none"/>
        </w:rPr>
      </w:pPr>
    </w:p>
    <w:p w14:paraId="296F5B02">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供应商（法定名称章）：</w:t>
      </w:r>
    </w:p>
    <w:p w14:paraId="7ECF6D31">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052D992">
      <w:pPr>
        <w:rPr>
          <w:rFonts w:ascii="宋体" w:hAnsi="宋体" w:cs="宋体"/>
          <w:color w:val="auto"/>
          <w:sz w:val="24"/>
          <w:highlight w:val="none"/>
        </w:rPr>
      </w:pPr>
      <w:r>
        <w:rPr>
          <w:rFonts w:hint="eastAsia" w:ascii="宋体" w:hAnsi="宋体" w:cs="宋体"/>
          <w:b/>
          <w:bCs/>
          <w:color w:val="auto"/>
          <w:sz w:val="24"/>
          <w:highlight w:val="none"/>
        </w:rPr>
        <w:t>附：</w:t>
      </w:r>
    </w:p>
    <w:p w14:paraId="62743779">
      <w:pP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w:t>供应商</w:t>
      </w:r>
      <w:r>
        <w:rPr>
          <w:rFonts w:hint="eastAsia" w:ascii="宋体" w:hAnsi="宋体" w:cs="宋体"/>
          <w:color w:val="auto"/>
          <w:sz w:val="24"/>
          <w:highlight w:val="none"/>
        </w:rPr>
        <w:t>法定名称章（印模）                供应商“XX专用章”（印模）</w:t>
      </w:r>
    </w:p>
    <w:p w14:paraId="3081366B">
      <w:pPr>
        <w:autoSpaceDE w:val="0"/>
        <w:autoSpaceDN w:val="0"/>
        <w:jc w:val="center"/>
        <w:rPr>
          <w:rFonts w:ascii="宋体" w:hAnsi="宋体" w:cs="宋体"/>
          <w:b/>
          <w:color w:val="auto"/>
          <w:spacing w:val="6"/>
          <w:sz w:val="32"/>
          <w:szCs w:val="32"/>
          <w:highlight w:val="none"/>
        </w:rPr>
      </w:pPr>
    </w:p>
    <w:p w14:paraId="349186B1">
      <w:pPr>
        <w:autoSpaceDE w:val="0"/>
        <w:autoSpaceDN w:val="0"/>
        <w:jc w:val="center"/>
        <w:rPr>
          <w:rFonts w:ascii="宋体" w:hAnsi="宋体" w:cs="宋体"/>
          <w:b/>
          <w:color w:val="auto"/>
          <w:spacing w:val="6"/>
          <w:sz w:val="32"/>
          <w:szCs w:val="32"/>
          <w:highlight w:val="none"/>
        </w:rPr>
      </w:pPr>
    </w:p>
    <w:p w14:paraId="0DABA73C">
      <w:pPr>
        <w:autoSpaceDE w:val="0"/>
        <w:autoSpaceDN w:val="0"/>
        <w:jc w:val="center"/>
        <w:rPr>
          <w:rFonts w:ascii="宋体" w:hAnsi="宋体" w:cs="宋体"/>
          <w:b/>
          <w:color w:val="auto"/>
          <w:spacing w:val="6"/>
          <w:sz w:val="32"/>
          <w:szCs w:val="32"/>
          <w:highlight w:val="none"/>
        </w:rPr>
      </w:pPr>
    </w:p>
    <w:p w14:paraId="286AF8DB">
      <w:pPr>
        <w:autoSpaceDE w:val="0"/>
        <w:autoSpaceDN w:val="0"/>
        <w:jc w:val="center"/>
        <w:rPr>
          <w:rFonts w:ascii="宋体" w:hAnsi="宋体" w:cs="宋体"/>
          <w:b/>
          <w:color w:val="auto"/>
          <w:spacing w:val="6"/>
          <w:sz w:val="32"/>
          <w:szCs w:val="32"/>
          <w:highlight w:val="none"/>
        </w:rPr>
      </w:pPr>
    </w:p>
    <w:p w14:paraId="5A62480B">
      <w:pPr>
        <w:autoSpaceDE w:val="0"/>
        <w:autoSpaceDN w:val="0"/>
        <w:jc w:val="center"/>
        <w:rPr>
          <w:rFonts w:ascii="宋体" w:hAnsi="宋体" w:cs="宋体"/>
          <w:b/>
          <w:color w:val="auto"/>
          <w:spacing w:val="6"/>
          <w:sz w:val="32"/>
          <w:szCs w:val="32"/>
          <w:highlight w:val="none"/>
        </w:rPr>
      </w:pPr>
    </w:p>
    <w:p w14:paraId="72BF02A5">
      <w:pPr>
        <w:autoSpaceDE w:val="0"/>
        <w:autoSpaceDN w:val="0"/>
        <w:jc w:val="center"/>
        <w:rPr>
          <w:rFonts w:ascii="宋体" w:hAnsi="宋体" w:cs="宋体"/>
          <w:b/>
          <w:color w:val="auto"/>
          <w:spacing w:val="6"/>
          <w:sz w:val="32"/>
          <w:szCs w:val="32"/>
          <w:highlight w:val="none"/>
        </w:rPr>
      </w:pPr>
    </w:p>
    <w:p w14:paraId="5BE31B7E">
      <w:pPr>
        <w:autoSpaceDE w:val="0"/>
        <w:autoSpaceDN w:val="0"/>
        <w:jc w:val="center"/>
        <w:rPr>
          <w:rFonts w:ascii="宋体" w:hAnsi="宋体" w:cs="宋体"/>
          <w:b/>
          <w:color w:val="auto"/>
          <w:spacing w:val="6"/>
          <w:sz w:val="32"/>
          <w:szCs w:val="32"/>
          <w:highlight w:val="none"/>
        </w:rPr>
      </w:pPr>
    </w:p>
    <w:p w14:paraId="5E18CC39">
      <w:pPr>
        <w:autoSpaceDE w:val="0"/>
        <w:autoSpaceDN w:val="0"/>
        <w:jc w:val="center"/>
        <w:rPr>
          <w:rFonts w:ascii="宋体" w:hAnsi="宋体" w:cs="宋体"/>
          <w:b/>
          <w:color w:val="auto"/>
          <w:spacing w:val="6"/>
          <w:sz w:val="32"/>
          <w:szCs w:val="32"/>
          <w:highlight w:val="none"/>
        </w:rPr>
      </w:pPr>
    </w:p>
    <w:p w14:paraId="1D034AD2">
      <w:pPr>
        <w:autoSpaceDE w:val="0"/>
        <w:autoSpaceDN w:val="0"/>
        <w:jc w:val="center"/>
        <w:rPr>
          <w:rFonts w:ascii="宋体" w:hAnsi="宋体" w:cs="宋体"/>
          <w:b/>
          <w:color w:val="auto"/>
          <w:spacing w:val="6"/>
          <w:sz w:val="32"/>
          <w:szCs w:val="32"/>
          <w:highlight w:val="none"/>
        </w:rPr>
      </w:pPr>
    </w:p>
    <w:p w14:paraId="2D663C78">
      <w:pPr>
        <w:autoSpaceDE w:val="0"/>
        <w:autoSpaceDN w:val="0"/>
        <w:jc w:val="center"/>
        <w:rPr>
          <w:rFonts w:ascii="宋体" w:hAnsi="宋体" w:cs="宋体"/>
          <w:b/>
          <w:color w:val="auto"/>
          <w:spacing w:val="6"/>
          <w:sz w:val="32"/>
          <w:szCs w:val="32"/>
          <w:highlight w:val="none"/>
        </w:rPr>
      </w:pPr>
    </w:p>
    <w:p w14:paraId="75AFDBF6">
      <w:pPr>
        <w:autoSpaceDE w:val="0"/>
        <w:autoSpaceDN w:val="0"/>
        <w:jc w:val="center"/>
        <w:rPr>
          <w:rFonts w:ascii="宋体" w:hAnsi="宋体" w:cs="宋体"/>
          <w:b/>
          <w:color w:val="auto"/>
          <w:spacing w:val="6"/>
          <w:sz w:val="32"/>
          <w:szCs w:val="32"/>
          <w:highlight w:val="none"/>
        </w:rPr>
      </w:pPr>
    </w:p>
    <w:p w14:paraId="536C7AFF">
      <w:pPr>
        <w:autoSpaceDE w:val="0"/>
        <w:autoSpaceDN w:val="0"/>
        <w:jc w:val="center"/>
        <w:rPr>
          <w:rFonts w:ascii="宋体" w:hAnsi="宋体" w:cs="宋体"/>
          <w:b/>
          <w:color w:val="auto"/>
          <w:spacing w:val="6"/>
          <w:sz w:val="32"/>
          <w:szCs w:val="32"/>
          <w:highlight w:val="none"/>
        </w:rPr>
      </w:pPr>
    </w:p>
    <w:p w14:paraId="559A69A4">
      <w:pPr>
        <w:autoSpaceDE w:val="0"/>
        <w:autoSpaceDN w:val="0"/>
        <w:jc w:val="center"/>
        <w:rPr>
          <w:rFonts w:ascii="宋体" w:hAnsi="宋体" w:cs="宋体"/>
          <w:b/>
          <w:color w:val="auto"/>
          <w:spacing w:val="6"/>
          <w:sz w:val="32"/>
          <w:szCs w:val="32"/>
          <w:highlight w:val="none"/>
        </w:rPr>
      </w:pPr>
    </w:p>
    <w:p w14:paraId="30A59C44">
      <w:pPr>
        <w:autoSpaceDE w:val="0"/>
        <w:autoSpaceDN w:val="0"/>
        <w:jc w:val="center"/>
        <w:rPr>
          <w:rFonts w:ascii="宋体" w:hAnsi="宋体" w:cs="宋体"/>
          <w:b/>
          <w:color w:val="auto"/>
          <w:spacing w:val="6"/>
          <w:sz w:val="32"/>
          <w:szCs w:val="32"/>
          <w:highlight w:val="none"/>
        </w:rPr>
      </w:pPr>
    </w:p>
    <w:p w14:paraId="24859420">
      <w:pPr>
        <w:autoSpaceDE w:val="0"/>
        <w:autoSpaceDN w:val="0"/>
        <w:jc w:val="center"/>
        <w:rPr>
          <w:rFonts w:ascii="宋体" w:hAnsi="宋体" w:cs="宋体"/>
          <w:b/>
          <w:color w:val="auto"/>
          <w:spacing w:val="6"/>
          <w:sz w:val="32"/>
          <w:szCs w:val="32"/>
          <w:highlight w:val="none"/>
        </w:rPr>
      </w:pPr>
    </w:p>
    <w:p w14:paraId="4A214312">
      <w:pPr>
        <w:autoSpaceDE w:val="0"/>
        <w:autoSpaceDN w:val="0"/>
        <w:jc w:val="center"/>
        <w:rPr>
          <w:rFonts w:ascii="宋体" w:hAnsi="宋体" w:cs="宋体"/>
          <w:b/>
          <w:color w:val="auto"/>
          <w:spacing w:val="6"/>
          <w:sz w:val="32"/>
          <w:szCs w:val="32"/>
          <w:highlight w:val="none"/>
        </w:rPr>
      </w:pPr>
    </w:p>
    <w:p w14:paraId="39E44D47">
      <w:pPr>
        <w:autoSpaceDE w:val="0"/>
        <w:autoSpaceDN w:val="0"/>
        <w:jc w:val="center"/>
        <w:rPr>
          <w:rFonts w:ascii="宋体" w:hAnsi="宋体" w:cs="宋体"/>
          <w:b/>
          <w:color w:val="auto"/>
          <w:spacing w:val="6"/>
          <w:sz w:val="32"/>
          <w:szCs w:val="32"/>
          <w:highlight w:val="none"/>
        </w:rPr>
      </w:pPr>
    </w:p>
    <w:p w14:paraId="161A37DD">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FCF224A">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（以联合体形式参与的，提供联合协议；本项目不接受联合体或者供应商不以联合体形式参与的，则不需要提供）</w:t>
      </w:r>
    </w:p>
    <w:p w14:paraId="6023BEE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（项目名称）【项目编号：（采购编号）】</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 xml:space="preserve">。 </w:t>
      </w:r>
    </w:p>
    <w:p w14:paraId="053CBC0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656DC5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授权代表根据采购文件规定及</w:t>
      </w:r>
      <w:r>
        <w:rPr>
          <w:rFonts w:hint="eastAsia" w:ascii="宋体" w:hAnsi="宋体" w:cs="宋体"/>
          <w:color w:val="auto"/>
          <w:kern w:val="0"/>
          <w:sz w:val="24"/>
          <w:highlight w:val="none"/>
        </w:rPr>
        <w:t>响应内容</w:t>
      </w:r>
      <w:r>
        <w:rPr>
          <w:rFonts w:hint="eastAsia" w:ascii="宋体" w:hAnsi="宋体" w:cs="宋体"/>
          <w:color w:val="auto"/>
          <w:kern w:val="0"/>
          <w:sz w:val="24"/>
          <w:highlight w:val="none"/>
          <w:lang w:val="zh-CN"/>
        </w:rPr>
        <w:t>而对采购人、采购代理机构所作的任何合法承诺，包括书面澄清及相应等均对联合投标各方产生约束力。</w:t>
      </w:r>
    </w:p>
    <w:p w14:paraId="648E906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中，分工如下：</w:t>
      </w:r>
    </w:p>
    <w:p w14:paraId="53BC1F55">
      <w:pPr>
        <w:snapToGrid w:val="0"/>
        <w:spacing w:line="360" w:lineRule="auto"/>
        <w:ind w:firstLine="576"/>
        <w:rPr>
          <w:rFonts w:ascii="宋体" w:hAnsi="宋体" w:cs="宋体"/>
          <w:color w:val="auto"/>
          <w:kern w:val="0"/>
          <w:sz w:val="24"/>
          <w:highlight w:val="none"/>
          <w:lang w:val="zh-CN"/>
        </w:rPr>
      </w:pPr>
      <w:bookmarkStart w:id="618"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41F563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30DE32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618"/>
    <w:p w14:paraId="323DC2F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69133C7">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提供的全部工程由小微企业承建，其合同份额占到合同总金额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w:t>
      </w:r>
      <w:r>
        <w:rPr>
          <w:rFonts w:hint="eastAsia" w:ascii="宋体" w:hAnsi="宋体" w:cs="宋体"/>
          <w:b/>
          <w:color w:val="auto"/>
          <w:kern w:val="0"/>
          <w:sz w:val="24"/>
          <w:highlight w:val="none"/>
        </w:rPr>
        <w:t>磋商</w:t>
      </w:r>
      <w:r>
        <w:rPr>
          <w:rFonts w:hint="eastAsia" w:ascii="宋体" w:hAnsi="宋体" w:cs="宋体"/>
          <w:b/>
          <w:color w:val="auto"/>
          <w:kern w:val="0"/>
          <w:sz w:val="24"/>
          <w:highlight w:val="none"/>
          <w:lang w:val="zh-CN"/>
        </w:rPr>
        <w:t>的，联合协议约定小微企业的合同份额占到合同总金额30%以上的，对联合体报价给予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30B7A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28189CA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五、如果成交，</w:t>
      </w:r>
      <w:r>
        <w:rPr>
          <w:rFonts w:hint="eastAsia" w:ascii="宋体" w:hAnsi="宋体" w:cs="宋体"/>
          <w:color w:val="auto"/>
          <w:sz w:val="24"/>
          <w:highlight w:val="none"/>
        </w:rPr>
        <w:t>联合体各成员方共同与采购人签订合同，并就采购合同约定的事项对采购人承担连带责任。</w:t>
      </w:r>
    </w:p>
    <w:p w14:paraId="61BFD13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的其他事宜：</w:t>
      </w:r>
    </w:p>
    <w:p w14:paraId="3A0F695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BDDC1A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3FE51E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8593B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877DF85">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0B2298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F88E7C9">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597A14D8">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01F08F1B">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cs="宋体"/>
          <w:color w:val="auto"/>
          <w:sz w:val="24"/>
          <w:highlight w:val="none"/>
        </w:rPr>
        <w:t>）</w:t>
      </w:r>
    </w:p>
    <w:p w14:paraId="31FBB2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（项目名称）【项目编号：（采购编号）】</w:t>
      </w:r>
      <w:r>
        <w:rPr>
          <w:rFonts w:hint="eastAsia" w:ascii="宋体" w:hAnsi="宋体" w:cs="宋体"/>
          <w:color w:val="auto"/>
          <w:kern w:val="0"/>
          <w:sz w:val="24"/>
          <w:highlight w:val="none"/>
          <w:lang w:val="zh-CN"/>
        </w:rPr>
        <w:t>的成交供应商，将依法采取分包方式履行合同。</w:t>
      </w: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7B254C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1481FD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5E2018C3">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47E9C63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B8DC762">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……）提供的工程全部由小微企业承建，</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3383F07E">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619"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要求合同分包形式参加的项目或采购包，供应商按采购文件第一部分竞争性磋商公告申请人的资格要求中规定的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619"/>
    </w:p>
    <w:p w14:paraId="4032CF7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3173A4E5">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7F5B74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47AA83F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3A34B3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EC3900B">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1C22788">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4CCCBF0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282127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5E93211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9062296">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14:paraId="0466DEB9">
      <w:pPr>
        <w:snapToGrid w:val="0"/>
        <w:spacing w:line="360" w:lineRule="auto"/>
        <w:ind w:firstLine="5640" w:firstLineChars="23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14:paraId="6FC00436">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0451C9">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8942966">
      <w:pPr>
        <w:autoSpaceDE w:val="0"/>
        <w:autoSpaceDN w:val="0"/>
        <w:jc w:val="center"/>
        <w:rPr>
          <w:rFonts w:ascii="宋体" w:hAnsi="宋体" w:cs="宋体"/>
          <w:b/>
          <w:color w:val="auto"/>
          <w:spacing w:val="6"/>
          <w:sz w:val="32"/>
          <w:szCs w:val="32"/>
          <w:highlight w:val="none"/>
        </w:rPr>
      </w:pPr>
    </w:p>
    <w:p w14:paraId="3767B357">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37A77167">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7</w:t>
      </w:r>
      <w:r>
        <w:rPr>
          <w:rFonts w:hint="eastAsia" w:ascii="宋体" w:hAnsi="宋体" w:cs="宋体"/>
          <w:b/>
          <w:color w:val="auto"/>
          <w:spacing w:val="6"/>
          <w:sz w:val="32"/>
          <w:szCs w:val="32"/>
          <w:highlight w:val="none"/>
        </w:rPr>
        <w:t>：</w:t>
      </w:r>
      <w:r>
        <w:rPr>
          <w:rFonts w:hint="eastAsia" w:ascii="宋体" w:hAnsi="宋体" w:cs="宋体"/>
          <w:b/>
          <w:color w:val="auto"/>
          <w:sz w:val="32"/>
          <w:szCs w:val="32"/>
          <w:highlight w:val="none"/>
        </w:rPr>
        <w:t>中小企业声明函</w:t>
      </w:r>
    </w:p>
    <w:p w14:paraId="64232495">
      <w:pPr>
        <w:spacing w:line="360" w:lineRule="auto"/>
        <w:jc w:val="center"/>
        <w:rPr>
          <w:rFonts w:ascii="宋体" w:hAnsi="宋体" w:cs="宋体"/>
          <w:color w:val="auto"/>
          <w:sz w:val="24"/>
          <w:highlight w:val="none"/>
          <w:u w:val="single"/>
        </w:rPr>
      </w:pPr>
    </w:p>
    <w:p w14:paraId="49A496DF">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中小企业声明函（工程）</w:t>
      </w:r>
    </w:p>
    <w:p w14:paraId="74A36849">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AE800A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83ACD8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5EAD3D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0AFEBE6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3959FCD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03EF7230">
      <w:pPr>
        <w:spacing w:line="360" w:lineRule="auto"/>
        <w:ind w:firstLine="480" w:firstLineChars="200"/>
        <w:rPr>
          <w:rFonts w:ascii="宋体" w:hAnsi="宋体" w:cs="宋体"/>
          <w:color w:val="auto"/>
          <w:sz w:val="24"/>
          <w:highlight w:val="none"/>
        </w:rPr>
      </w:pPr>
    </w:p>
    <w:p w14:paraId="1A0E9246">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32A01C65">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ECAE916">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14:paraId="61D46239">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685823EB">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b/>
          <w:bCs w:val="0"/>
          <w:color w:val="auto"/>
          <w:kern w:val="2"/>
          <w:sz w:val="24"/>
          <w:szCs w:val="24"/>
          <w:highlight w:val="none"/>
          <w:woUserID w:val="1"/>
        </w:rPr>
      </w:pPr>
      <w:r>
        <w:rPr>
          <w:rFonts w:hint="eastAsia" w:ascii="宋体" w:hAnsi="宋体" w:eastAsia="宋体" w:cs="宋体"/>
          <w:color w:val="auto"/>
          <w:kern w:val="2"/>
          <w:sz w:val="24"/>
          <w:szCs w:val="24"/>
          <w:highlight w:val="none"/>
          <w:lang w:val="en-US" w:eastAsia="zh-CN" w:bidi="ar"/>
          <w:woUserID w:val="1"/>
        </w:rPr>
        <w:t>①从业人员、营业收入、资产总额填报上一年度数据，无上一年度数据的新成立企业可不填报。</w:t>
      </w:r>
      <w:r>
        <w:rPr>
          <w:rFonts w:hint="eastAsia" w:ascii="宋体" w:hAnsi="宋体" w:eastAsia="宋体" w:cs="宋体"/>
          <w:caps w:val="0"/>
          <w:color w:val="auto"/>
          <w:spacing w:val="0"/>
          <w:kern w:val="2"/>
          <w:sz w:val="24"/>
          <w:szCs w:val="24"/>
          <w:highlight w:val="none"/>
          <w:shd w:val="clear" w:fill="C9E7FF"/>
          <w:lang w:val="en-US" w:eastAsia="zh-CN" w:bidi="ar"/>
          <w:woUserID w:val="1"/>
        </w:rPr>
        <w:t>②《中小企业声明函》中“标的名称”、“采购文件中明确的所属行业”依据招标文件第二部分投标人须知前附表中“采购标的及其对应的中小企业划分标准所属行业”的指引，逐一填写，不得缺漏。</w:t>
      </w:r>
    </w:p>
    <w:p w14:paraId="4DA6EEAA">
      <w:pPr>
        <w:spacing w:line="360" w:lineRule="auto"/>
        <w:jc w:val="center"/>
        <w:rPr>
          <w:rFonts w:ascii="宋体" w:hAnsi="宋体" w:cs="宋体"/>
          <w:b/>
          <w:color w:val="auto"/>
          <w:sz w:val="32"/>
          <w:szCs w:val="32"/>
          <w:highlight w:val="none"/>
        </w:rPr>
      </w:pPr>
    </w:p>
    <w:p w14:paraId="5F0D6597">
      <w:pPr>
        <w:spacing w:line="360" w:lineRule="auto"/>
        <w:rPr>
          <w:rFonts w:ascii="宋体" w:hAnsi="宋体" w:cs="宋体"/>
          <w:bCs/>
          <w:color w:val="auto"/>
          <w:sz w:val="24"/>
          <w:highlight w:val="none"/>
        </w:rPr>
        <w:sectPr>
          <w:pgSz w:w="11906" w:h="16838"/>
          <w:pgMar w:top="1440" w:right="1080" w:bottom="1440" w:left="1080" w:header="851" w:footer="992" w:gutter="0"/>
          <w:cols w:space="720" w:num="1"/>
          <w:titlePg/>
          <w:docGrid w:linePitch="312" w:charSpace="0"/>
        </w:sectPr>
      </w:pPr>
    </w:p>
    <w:p w14:paraId="61E1C6E2">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附件8：工程量清单（另附）</w:t>
      </w:r>
    </w:p>
    <w:p w14:paraId="7B16B231">
      <w:pPr>
        <w:spacing w:line="360" w:lineRule="auto"/>
        <w:rPr>
          <w:rFonts w:ascii="宋体" w:hAnsi="宋体" w:cs="宋体"/>
          <w:b/>
          <w:color w:val="auto"/>
          <w:spacing w:val="6"/>
          <w:sz w:val="32"/>
          <w:szCs w:val="32"/>
          <w:highlight w:val="none"/>
        </w:rPr>
      </w:pPr>
    </w:p>
    <w:p w14:paraId="15106880">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附件9：图纸（另附）</w:t>
      </w:r>
    </w:p>
    <w:p w14:paraId="5B922A18">
      <w:pPr>
        <w:pStyle w:val="26"/>
        <w:rPr>
          <w:color w:val="auto"/>
          <w:highlight w:val="none"/>
        </w:rPr>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ingLiU_HKSCS">
    <w:altName w:val="MingLiU-ExtB"/>
    <w:panose1 w:val="00000000000000000000"/>
    <w:charset w:val="88"/>
    <w:family w:val="roman"/>
    <w:pitch w:val="default"/>
    <w:sig w:usb0="00000000" w:usb1="00000000" w:usb2="00000016" w:usb3="00000000" w:csb0="00100001"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182A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1CF06">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B6B99">
    <w:pPr>
      <w:pStyle w:val="41"/>
      <w:framePr w:wrap="around" w:vAnchor="text" w:hAnchor="margin" w:xAlign="right" w:y="1"/>
      <w:rPr>
        <w:rStyle w:val="72"/>
      </w:rPr>
    </w:pPr>
    <w:r>
      <w:fldChar w:fldCharType="begin"/>
    </w:r>
    <w:r>
      <w:rPr>
        <w:rStyle w:val="72"/>
      </w:rPr>
      <w:instrText xml:space="preserve">PAGE  </w:instrText>
    </w:r>
    <w:r>
      <w:fldChar w:fldCharType="end"/>
    </w:r>
  </w:p>
  <w:p w14:paraId="5FE92C6F">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A7405">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620" w:name="_Toc91899912"/>
    <w:bookmarkStart w:id="621" w:name="_Toc36110187"/>
    <w:bookmarkStart w:id="622" w:name="_Toc164085800"/>
    <w:bookmarkStart w:id="623" w:name="_Toc131845147"/>
    <w:r>
      <w:rPr>
        <w:rFonts w:hint="eastAsia" w:ascii="仿宋_GB2312" w:eastAsia="仿宋_GB2312"/>
        <w:kern w:val="0"/>
        <w:szCs w:val="21"/>
      </w:rPr>
      <w:t xml:space="preserve"> 页</w:t>
    </w:r>
    <w:bookmarkEnd w:id="620"/>
    <w:bookmarkEnd w:id="621"/>
    <w:bookmarkEnd w:id="622"/>
    <w:bookmarkEnd w:id="62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96370">
    <w:pPr>
      <w:pStyle w:val="41"/>
      <w:framePr w:wrap="around" w:vAnchor="text" w:hAnchor="margin" w:xAlign="right" w:y="1"/>
      <w:rPr>
        <w:rStyle w:val="72"/>
      </w:rPr>
    </w:pPr>
    <w:r>
      <w:fldChar w:fldCharType="begin"/>
    </w:r>
    <w:r>
      <w:rPr>
        <w:rStyle w:val="72"/>
      </w:rPr>
      <w:instrText xml:space="preserve">PAGE  </w:instrText>
    </w:r>
    <w:r>
      <w:fldChar w:fldCharType="end"/>
    </w:r>
  </w:p>
  <w:p w14:paraId="7185516C">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46B5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9AD6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DD7A6BC">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1550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5FF3857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9173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0F89F0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A9C9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804238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2E48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4777CF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4583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62F3CDD6">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E4A67">
    <w:pPr>
      <w:pStyle w:val="42"/>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4767F">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D908C">
    <w:pPr>
      <w:pStyle w:val="4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74A21">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2A965">
    <w:pPr>
      <w:pStyle w:val="42"/>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9D8C0">
    <w:pPr>
      <w:pStyle w:val="42"/>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9F268A1C"/>
    <w:multiLevelType w:val="singleLevel"/>
    <w:tmpl w:val="9F268A1C"/>
    <w:lvl w:ilvl="0" w:tentative="0">
      <w:start w:val="1"/>
      <w:numFmt w:val="decimal"/>
      <w:suff w:val="nothing"/>
      <w:lvlText w:val="（%1）"/>
      <w:lvlJc w:val="left"/>
    </w:lvl>
  </w:abstractNum>
  <w:abstractNum w:abstractNumId="2">
    <w:nsid w:val="00000006"/>
    <w:multiLevelType w:val="singleLevel"/>
    <w:tmpl w:val="00000006"/>
    <w:lvl w:ilvl="0" w:tentative="0">
      <w:start w:val="1"/>
      <w:numFmt w:val="decimal"/>
      <w:suff w:val="nothing"/>
      <w:lvlText w:val="（%1）"/>
      <w:lvlJc w:val="left"/>
    </w:lvl>
  </w:abstractNum>
  <w:abstractNum w:abstractNumId="3">
    <w:nsid w:val="313042CF"/>
    <w:multiLevelType w:val="multilevel"/>
    <w:tmpl w:val="313042CF"/>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4">
    <w:nsid w:val="54817595"/>
    <w:multiLevelType w:val="singleLevel"/>
    <w:tmpl w:val="54817595"/>
    <w:lvl w:ilvl="0" w:tentative="0">
      <w:start w:val="18"/>
      <w:numFmt w:val="decimal"/>
      <w:suff w:val="space"/>
      <w:lvlText w:val="%1."/>
      <w:lvlJc w:val="left"/>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6"/>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D55165"/>
    <w:rsid w:val="01DF6BF8"/>
    <w:rsid w:val="01E70DB5"/>
    <w:rsid w:val="01EC2C57"/>
    <w:rsid w:val="025F0711"/>
    <w:rsid w:val="026B2E25"/>
    <w:rsid w:val="02824D4D"/>
    <w:rsid w:val="02DC4B10"/>
    <w:rsid w:val="02DD76CE"/>
    <w:rsid w:val="02F36323"/>
    <w:rsid w:val="02F5619C"/>
    <w:rsid w:val="0326446A"/>
    <w:rsid w:val="032D5555"/>
    <w:rsid w:val="036634D2"/>
    <w:rsid w:val="03DD35E4"/>
    <w:rsid w:val="03F040A4"/>
    <w:rsid w:val="04076900"/>
    <w:rsid w:val="041A5A3B"/>
    <w:rsid w:val="042311BA"/>
    <w:rsid w:val="042B157A"/>
    <w:rsid w:val="048F763B"/>
    <w:rsid w:val="049F330E"/>
    <w:rsid w:val="04AA775C"/>
    <w:rsid w:val="04AF1889"/>
    <w:rsid w:val="04C64E6C"/>
    <w:rsid w:val="04F66F48"/>
    <w:rsid w:val="05251E14"/>
    <w:rsid w:val="05A16594"/>
    <w:rsid w:val="05A7762D"/>
    <w:rsid w:val="060E5941"/>
    <w:rsid w:val="06110FAF"/>
    <w:rsid w:val="061E21DC"/>
    <w:rsid w:val="06493CA7"/>
    <w:rsid w:val="065A6178"/>
    <w:rsid w:val="066F1CF3"/>
    <w:rsid w:val="06930BB8"/>
    <w:rsid w:val="07245D42"/>
    <w:rsid w:val="07264C62"/>
    <w:rsid w:val="0779354C"/>
    <w:rsid w:val="07A46B95"/>
    <w:rsid w:val="08061376"/>
    <w:rsid w:val="08452D77"/>
    <w:rsid w:val="086401F8"/>
    <w:rsid w:val="08661343"/>
    <w:rsid w:val="08751CAA"/>
    <w:rsid w:val="087E4C40"/>
    <w:rsid w:val="08923AEE"/>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155A4"/>
    <w:rsid w:val="0A5B7E63"/>
    <w:rsid w:val="0A703465"/>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2008DB"/>
    <w:rsid w:val="0E5604B2"/>
    <w:rsid w:val="0E6D5D79"/>
    <w:rsid w:val="0E9D0089"/>
    <w:rsid w:val="0EB803EE"/>
    <w:rsid w:val="0EF94D4B"/>
    <w:rsid w:val="0F4958DC"/>
    <w:rsid w:val="0F515DF7"/>
    <w:rsid w:val="0F596BA8"/>
    <w:rsid w:val="0F6248D2"/>
    <w:rsid w:val="0F693536"/>
    <w:rsid w:val="0F7539A4"/>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437C74"/>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2B4878"/>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8991E73"/>
    <w:rsid w:val="18A60398"/>
    <w:rsid w:val="197D1039"/>
    <w:rsid w:val="19932372"/>
    <w:rsid w:val="19A20DD5"/>
    <w:rsid w:val="19AE03F1"/>
    <w:rsid w:val="1A071A03"/>
    <w:rsid w:val="1A1F16AE"/>
    <w:rsid w:val="1A3B5C77"/>
    <w:rsid w:val="1A803E8C"/>
    <w:rsid w:val="1A984BAD"/>
    <w:rsid w:val="1AB8220E"/>
    <w:rsid w:val="1AE4166C"/>
    <w:rsid w:val="1AF06CFB"/>
    <w:rsid w:val="1AF11B8D"/>
    <w:rsid w:val="1B11359C"/>
    <w:rsid w:val="1B2A271F"/>
    <w:rsid w:val="1B530544"/>
    <w:rsid w:val="1B713184"/>
    <w:rsid w:val="1BA209CF"/>
    <w:rsid w:val="1BB4777D"/>
    <w:rsid w:val="1BD75AB8"/>
    <w:rsid w:val="1C0459C2"/>
    <w:rsid w:val="1C1B3B4A"/>
    <w:rsid w:val="1C3D6610"/>
    <w:rsid w:val="1C7725CD"/>
    <w:rsid w:val="1C88086E"/>
    <w:rsid w:val="1D266CE1"/>
    <w:rsid w:val="1D3963AF"/>
    <w:rsid w:val="1D3D0FE5"/>
    <w:rsid w:val="1D6A673C"/>
    <w:rsid w:val="1D9247AE"/>
    <w:rsid w:val="1DB567EC"/>
    <w:rsid w:val="1DDE10AA"/>
    <w:rsid w:val="1DF51A98"/>
    <w:rsid w:val="1E3D060F"/>
    <w:rsid w:val="1E3F7D2E"/>
    <w:rsid w:val="1E4134E4"/>
    <w:rsid w:val="1E5062B3"/>
    <w:rsid w:val="1E523514"/>
    <w:rsid w:val="1E554B1D"/>
    <w:rsid w:val="1E714A66"/>
    <w:rsid w:val="1E802593"/>
    <w:rsid w:val="1E8B6156"/>
    <w:rsid w:val="1EA703CC"/>
    <w:rsid w:val="1EB7330C"/>
    <w:rsid w:val="1F0A0FF3"/>
    <w:rsid w:val="1F5771FF"/>
    <w:rsid w:val="1F646BF6"/>
    <w:rsid w:val="1F90412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42E04"/>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AA14F8"/>
    <w:rsid w:val="30DF1478"/>
    <w:rsid w:val="30EC586F"/>
    <w:rsid w:val="319C6071"/>
    <w:rsid w:val="31A11ECE"/>
    <w:rsid w:val="31AC537E"/>
    <w:rsid w:val="31E3679B"/>
    <w:rsid w:val="31E732FD"/>
    <w:rsid w:val="32517576"/>
    <w:rsid w:val="32BE5C2C"/>
    <w:rsid w:val="32D63C1D"/>
    <w:rsid w:val="32FB6478"/>
    <w:rsid w:val="332410BB"/>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401AD9"/>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204F94"/>
    <w:rsid w:val="3A3651E5"/>
    <w:rsid w:val="3A744481"/>
    <w:rsid w:val="3A8C7BEF"/>
    <w:rsid w:val="3A906246"/>
    <w:rsid w:val="3A9E536B"/>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6176D3"/>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1C37AA"/>
    <w:rsid w:val="449101DD"/>
    <w:rsid w:val="44D37FBC"/>
    <w:rsid w:val="44DE1391"/>
    <w:rsid w:val="451B225C"/>
    <w:rsid w:val="452410C9"/>
    <w:rsid w:val="45317DFB"/>
    <w:rsid w:val="456D3CE4"/>
    <w:rsid w:val="4579042C"/>
    <w:rsid w:val="457F0571"/>
    <w:rsid w:val="45851176"/>
    <w:rsid w:val="45C55BC2"/>
    <w:rsid w:val="45C63B94"/>
    <w:rsid w:val="460E7DA5"/>
    <w:rsid w:val="46422483"/>
    <w:rsid w:val="4659254A"/>
    <w:rsid w:val="465B0637"/>
    <w:rsid w:val="465E3F0D"/>
    <w:rsid w:val="466A16E6"/>
    <w:rsid w:val="46893F2B"/>
    <w:rsid w:val="46C444E6"/>
    <w:rsid w:val="46C4686E"/>
    <w:rsid w:val="477B778F"/>
    <w:rsid w:val="478203EC"/>
    <w:rsid w:val="47B025FA"/>
    <w:rsid w:val="4809698F"/>
    <w:rsid w:val="4811697D"/>
    <w:rsid w:val="487A3E25"/>
    <w:rsid w:val="488B5503"/>
    <w:rsid w:val="48937E21"/>
    <w:rsid w:val="489A0361"/>
    <w:rsid w:val="48A8102D"/>
    <w:rsid w:val="48B94FF3"/>
    <w:rsid w:val="48E37AAB"/>
    <w:rsid w:val="48FD4B4C"/>
    <w:rsid w:val="490A68E0"/>
    <w:rsid w:val="491055FE"/>
    <w:rsid w:val="495F5B3E"/>
    <w:rsid w:val="496F77D7"/>
    <w:rsid w:val="497654FD"/>
    <w:rsid w:val="49B64211"/>
    <w:rsid w:val="49D41AAC"/>
    <w:rsid w:val="49F6167F"/>
    <w:rsid w:val="4A064FA0"/>
    <w:rsid w:val="4A16615C"/>
    <w:rsid w:val="4A4424D7"/>
    <w:rsid w:val="4A7638C4"/>
    <w:rsid w:val="4AB82D0F"/>
    <w:rsid w:val="4AEB7664"/>
    <w:rsid w:val="4AFD7C19"/>
    <w:rsid w:val="4B0567D1"/>
    <w:rsid w:val="4B236AAE"/>
    <w:rsid w:val="4B2F799D"/>
    <w:rsid w:val="4B707271"/>
    <w:rsid w:val="4B9739F7"/>
    <w:rsid w:val="4BEE2503"/>
    <w:rsid w:val="4BF727EA"/>
    <w:rsid w:val="4C245A30"/>
    <w:rsid w:val="4CB6685F"/>
    <w:rsid w:val="4CC367FE"/>
    <w:rsid w:val="4D077F3C"/>
    <w:rsid w:val="4D123355"/>
    <w:rsid w:val="4D2A3B31"/>
    <w:rsid w:val="4D312C52"/>
    <w:rsid w:val="4D905305"/>
    <w:rsid w:val="4D964A72"/>
    <w:rsid w:val="4D9C1254"/>
    <w:rsid w:val="4D9E5B15"/>
    <w:rsid w:val="4E793892"/>
    <w:rsid w:val="4E800872"/>
    <w:rsid w:val="4EC569ED"/>
    <w:rsid w:val="4ED50EA1"/>
    <w:rsid w:val="4EEC050C"/>
    <w:rsid w:val="4F104EC3"/>
    <w:rsid w:val="4F47354A"/>
    <w:rsid w:val="4F911C54"/>
    <w:rsid w:val="4FE42565"/>
    <w:rsid w:val="4FE625E0"/>
    <w:rsid w:val="5021480F"/>
    <w:rsid w:val="505C301C"/>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03D8D"/>
    <w:rsid w:val="52D94AA4"/>
    <w:rsid w:val="52EA3A62"/>
    <w:rsid w:val="52F50BB8"/>
    <w:rsid w:val="530878CD"/>
    <w:rsid w:val="53097272"/>
    <w:rsid w:val="534C1537"/>
    <w:rsid w:val="53544462"/>
    <w:rsid w:val="5397158E"/>
    <w:rsid w:val="53E325D5"/>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002B6"/>
    <w:rsid w:val="55923347"/>
    <w:rsid w:val="55925180"/>
    <w:rsid w:val="55983B1B"/>
    <w:rsid w:val="55A8376B"/>
    <w:rsid w:val="55DC29B6"/>
    <w:rsid w:val="55DD4241"/>
    <w:rsid w:val="566B6D1E"/>
    <w:rsid w:val="57032A2C"/>
    <w:rsid w:val="570F5219"/>
    <w:rsid w:val="572E78E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2E57DE"/>
    <w:rsid w:val="58917D2F"/>
    <w:rsid w:val="5894085C"/>
    <w:rsid w:val="58AE4F0C"/>
    <w:rsid w:val="58B85899"/>
    <w:rsid w:val="58E363A9"/>
    <w:rsid w:val="591E264C"/>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BE2749"/>
    <w:rsid w:val="5AD63A24"/>
    <w:rsid w:val="5AE51A4D"/>
    <w:rsid w:val="5B2E1A1D"/>
    <w:rsid w:val="5B843A1C"/>
    <w:rsid w:val="5B873E3F"/>
    <w:rsid w:val="5C02690E"/>
    <w:rsid w:val="5C196DA7"/>
    <w:rsid w:val="5C2A048C"/>
    <w:rsid w:val="5C4D2220"/>
    <w:rsid w:val="5C80234E"/>
    <w:rsid w:val="5C8A680C"/>
    <w:rsid w:val="5D0C4701"/>
    <w:rsid w:val="5D0F0395"/>
    <w:rsid w:val="5D221076"/>
    <w:rsid w:val="5D397964"/>
    <w:rsid w:val="5D5A391C"/>
    <w:rsid w:val="5D5F10C0"/>
    <w:rsid w:val="5D790E2F"/>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0D059B"/>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C45248"/>
    <w:rsid w:val="63F23480"/>
    <w:rsid w:val="64055776"/>
    <w:rsid w:val="641F5B67"/>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112C4A"/>
    <w:rsid w:val="672F3F24"/>
    <w:rsid w:val="673E055F"/>
    <w:rsid w:val="67551CE3"/>
    <w:rsid w:val="67A22552"/>
    <w:rsid w:val="67B22DCC"/>
    <w:rsid w:val="67BE71AA"/>
    <w:rsid w:val="67CF7323"/>
    <w:rsid w:val="67D90273"/>
    <w:rsid w:val="67DE5875"/>
    <w:rsid w:val="67E55852"/>
    <w:rsid w:val="67EB1AB4"/>
    <w:rsid w:val="67FA1285"/>
    <w:rsid w:val="68551F4F"/>
    <w:rsid w:val="687C10C9"/>
    <w:rsid w:val="68840C16"/>
    <w:rsid w:val="68876EFB"/>
    <w:rsid w:val="68884654"/>
    <w:rsid w:val="689F444F"/>
    <w:rsid w:val="68B96DBB"/>
    <w:rsid w:val="68CA2805"/>
    <w:rsid w:val="68E937A3"/>
    <w:rsid w:val="68FB149A"/>
    <w:rsid w:val="693E15D3"/>
    <w:rsid w:val="69627681"/>
    <w:rsid w:val="6977531D"/>
    <w:rsid w:val="69CC2BFF"/>
    <w:rsid w:val="69FD55B8"/>
    <w:rsid w:val="6A0B1C62"/>
    <w:rsid w:val="6A2406C8"/>
    <w:rsid w:val="6A3B7666"/>
    <w:rsid w:val="6A9A1ADF"/>
    <w:rsid w:val="6ADE0BD1"/>
    <w:rsid w:val="6AE81378"/>
    <w:rsid w:val="6AE96859"/>
    <w:rsid w:val="6B147746"/>
    <w:rsid w:val="6B24787C"/>
    <w:rsid w:val="6B431148"/>
    <w:rsid w:val="6B573233"/>
    <w:rsid w:val="6B5B6274"/>
    <w:rsid w:val="6B935D53"/>
    <w:rsid w:val="6C1316F7"/>
    <w:rsid w:val="6C196F71"/>
    <w:rsid w:val="6C226FCB"/>
    <w:rsid w:val="6C31226F"/>
    <w:rsid w:val="6C517EC7"/>
    <w:rsid w:val="6C552F0B"/>
    <w:rsid w:val="6C8C67B7"/>
    <w:rsid w:val="6C9D744C"/>
    <w:rsid w:val="6D167928"/>
    <w:rsid w:val="6D26299B"/>
    <w:rsid w:val="6D4772EC"/>
    <w:rsid w:val="6D9078AF"/>
    <w:rsid w:val="6DAA3FEF"/>
    <w:rsid w:val="6DC0172B"/>
    <w:rsid w:val="6DCB690C"/>
    <w:rsid w:val="6DD41A5B"/>
    <w:rsid w:val="6DF43C2E"/>
    <w:rsid w:val="6DF51CA3"/>
    <w:rsid w:val="6E355086"/>
    <w:rsid w:val="6E8335BD"/>
    <w:rsid w:val="6E8E12EF"/>
    <w:rsid w:val="6E972936"/>
    <w:rsid w:val="6ED446C5"/>
    <w:rsid w:val="6F2A7D94"/>
    <w:rsid w:val="6F8331F1"/>
    <w:rsid w:val="6FAE1A09"/>
    <w:rsid w:val="6FD75BF8"/>
    <w:rsid w:val="707723D0"/>
    <w:rsid w:val="70F5661B"/>
    <w:rsid w:val="71360107"/>
    <w:rsid w:val="713B688E"/>
    <w:rsid w:val="7148279F"/>
    <w:rsid w:val="71D43752"/>
    <w:rsid w:val="71F1796A"/>
    <w:rsid w:val="71FB63D5"/>
    <w:rsid w:val="72154626"/>
    <w:rsid w:val="72262B5D"/>
    <w:rsid w:val="72283FF7"/>
    <w:rsid w:val="722E7212"/>
    <w:rsid w:val="723A0474"/>
    <w:rsid w:val="724D52A9"/>
    <w:rsid w:val="725923E4"/>
    <w:rsid w:val="72864BF7"/>
    <w:rsid w:val="729023FC"/>
    <w:rsid w:val="73C0646E"/>
    <w:rsid w:val="742222F5"/>
    <w:rsid w:val="74476126"/>
    <w:rsid w:val="74706664"/>
    <w:rsid w:val="747F3682"/>
    <w:rsid w:val="749C4185"/>
    <w:rsid w:val="74A956BC"/>
    <w:rsid w:val="75067759"/>
    <w:rsid w:val="752E6DCD"/>
    <w:rsid w:val="7551380D"/>
    <w:rsid w:val="755D394A"/>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36DC3"/>
    <w:rsid w:val="7904172F"/>
    <w:rsid w:val="790F7E27"/>
    <w:rsid w:val="792A231A"/>
    <w:rsid w:val="79316829"/>
    <w:rsid w:val="79583325"/>
    <w:rsid w:val="797E66A9"/>
    <w:rsid w:val="798518A4"/>
    <w:rsid w:val="79A97383"/>
    <w:rsid w:val="79E27E8B"/>
    <w:rsid w:val="79F850CE"/>
    <w:rsid w:val="79FD443C"/>
    <w:rsid w:val="79FEE5E2"/>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D564F7"/>
    <w:rsid w:val="7CE27788"/>
    <w:rsid w:val="7D0C32F1"/>
    <w:rsid w:val="7D0F408D"/>
    <w:rsid w:val="7D491C6C"/>
    <w:rsid w:val="7D5429C0"/>
    <w:rsid w:val="7D6E6D43"/>
    <w:rsid w:val="7DB57A34"/>
    <w:rsid w:val="7DE60973"/>
    <w:rsid w:val="7DEF0916"/>
    <w:rsid w:val="7E1E5218"/>
    <w:rsid w:val="7E6C679B"/>
    <w:rsid w:val="7E9A4E1F"/>
    <w:rsid w:val="7EA7723A"/>
    <w:rsid w:val="7EF56FBB"/>
    <w:rsid w:val="7F0768EB"/>
    <w:rsid w:val="7F143BEC"/>
    <w:rsid w:val="7F362021"/>
    <w:rsid w:val="7F715AF2"/>
    <w:rsid w:val="7F7B47F9"/>
    <w:rsid w:val="7F886E69"/>
    <w:rsid w:val="AEFB2051"/>
    <w:rsid w:val="BB7FA927"/>
    <w:rsid w:val="EFF72F48"/>
    <w:rsid w:val="F5FFD31F"/>
    <w:rsid w:val="F7E57758"/>
    <w:rsid w:val="F7FD985E"/>
    <w:rsid w:val="FBDE7B37"/>
    <w:rsid w:val="FEF398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1"/>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link w:val="26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qFormat/>
    <w:uiPriority w:val="0"/>
    <w:rPr>
      <w:b/>
      <w:bCs/>
    </w:rPr>
  </w:style>
  <w:style w:type="paragraph" w:styleId="61">
    <w:name w:val="Body Text First Indent 2"/>
    <w:basedOn w:val="26"/>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7"/>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出段落1"/>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99"/>
    <w:rPr>
      <w:kern w:val="2"/>
      <w:sz w:val="21"/>
      <w:szCs w:val="24"/>
    </w:rPr>
  </w:style>
  <w:style w:type="character" w:customStyle="1" w:styleId="345">
    <w:name w:val="签名 Char"/>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9"/>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样式 标题 2 + Times New Roman 四号 非加粗 段前: 5 磅 段后: 0 磅 行距: 固定值 20..."/>
    <w:basedOn w:val="3"/>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5">
    <w:name w:val="p16"/>
    <w:basedOn w:val="1"/>
    <w:qFormat/>
    <w:uiPriority w:val="0"/>
    <w:pPr>
      <w:widowControl/>
      <w:spacing w:before="100" w:after="100"/>
      <w:jc w:val="left"/>
    </w:pPr>
    <w:rPr>
      <w:rFonts w:ascii="宋体" w:hAnsi="宋体" w:cs="宋体"/>
      <w:color w:val="000000"/>
      <w:kern w:val="0"/>
      <w:sz w:val="24"/>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内文正文"/>
    <w:basedOn w:val="34"/>
    <w:autoRedefine/>
    <w:qFormat/>
    <w:uiPriority w:val="0"/>
    <w:pPr>
      <w:adjustRightInd w:val="0"/>
      <w:snapToGrid w:val="0"/>
      <w:spacing w:line="400" w:lineRule="exact"/>
      <w:ind w:firstLine="200" w:firstLineChars="200"/>
    </w:pPr>
    <w:rPr>
      <w:rFonts w:ascii="Arial" w:hAnsi="Arial"/>
      <w:color w:val="000000"/>
    </w:rPr>
  </w:style>
  <w:style w:type="paragraph" w:styleId="968">
    <w:name w:val="List Paragraph"/>
    <w:basedOn w:val="1"/>
    <w:autoRedefine/>
    <w:qFormat/>
    <w:uiPriority w:val="99"/>
    <w:pPr>
      <w:ind w:firstLine="420" w:firstLineChars="200"/>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101</Pages>
  <Words>22893</Words>
  <Characters>24490</Characters>
  <Lines>1</Lines>
  <Paragraphs>1</Paragraphs>
  <TotalTime>4</TotalTime>
  <ScaleCrop>false</ScaleCrop>
  <LinksUpToDate>false</LinksUpToDate>
  <CharactersWithSpaces>25040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2022-05-07T23:35:00Z</dcterms:created>
  <dc:creator>玥</dc:creator>
  <cp:lastModifiedBy>比你酷一点儿</cp:lastModifiedBy>
  <cp:lastPrinted>2021-12-28T03:06:00Z</cp:lastPrinted>
  <dcterms:modified xsi:type="dcterms:W3CDTF">2025-06-24T06:53:06Z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4A46E0FCE2EA011A02E7BA67BE254928_43</vt:lpwstr>
  </property>
  <property fmtid="{D5CDD505-2E9C-101B-9397-08002B2CF9AE}" pid="5" name="commondata">
    <vt:lpwstr>eyJoZGlkIjoiNGNlMmFkMDQ1NDY0ZmRiM2Q0NjY4NTFjN2IwMTllYjMifQ==</vt:lpwstr>
  </property>
  <property fmtid="{D5CDD505-2E9C-101B-9397-08002B2CF9AE}" pid="6" name="KSOTemplateDocerSaveRecord">
    <vt:lpwstr>eyJoZGlkIjoiZDk4MjY5ODUzZGU3YjFhNGQ2ZjliOGYwMDE1MGFhZjMiLCJ1c2VySWQiOiI0Mzc5ODY0MTkifQ==</vt:lpwstr>
  </property>
</Properties>
</file>